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56" w:lineRule="auto" w:before="61"/>
        <w:ind w:left="421" w:right="1021" w:firstLine="0"/>
        <w:jc w:val="center"/>
        <w:rPr>
          <w:rFonts w:ascii="Times New Roman"/>
          <w:b/>
          <w:sz w:val="24"/>
        </w:rPr>
      </w:pPr>
      <w:r>
        <w:rPr>
          <w:rFonts w:ascii="Times New Roman"/>
          <w:b/>
          <w:sz w:val="24"/>
        </w:rPr>
        <w:t>EVALUATING</w:t>
      </w:r>
      <w:r>
        <w:rPr>
          <w:rFonts w:ascii="Times New Roman"/>
          <w:b/>
          <w:spacing w:val="-8"/>
          <w:sz w:val="24"/>
        </w:rPr>
        <w:t> </w:t>
      </w:r>
      <w:r>
        <w:rPr>
          <w:rFonts w:ascii="Times New Roman"/>
          <w:b/>
          <w:sz w:val="24"/>
        </w:rPr>
        <w:t>THE</w:t>
      </w:r>
      <w:r>
        <w:rPr>
          <w:rFonts w:ascii="Times New Roman"/>
          <w:b/>
          <w:spacing w:val="-5"/>
          <w:sz w:val="24"/>
        </w:rPr>
        <w:t> </w:t>
      </w:r>
      <w:r>
        <w:rPr>
          <w:rFonts w:ascii="Times New Roman"/>
          <w:b/>
          <w:sz w:val="24"/>
        </w:rPr>
        <w:t>ANTIBACTERIAL</w:t>
      </w:r>
      <w:r>
        <w:rPr>
          <w:rFonts w:ascii="Times New Roman"/>
          <w:b/>
          <w:spacing w:val="-5"/>
          <w:sz w:val="24"/>
        </w:rPr>
        <w:t> </w:t>
      </w:r>
      <w:r>
        <w:rPr>
          <w:rFonts w:ascii="Times New Roman"/>
          <w:b/>
          <w:sz w:val="24"/>
        </w:rPr>
        <w:t>EFFICACY</w:t>
      </w:r>
      <w:r>
        <w:rPr>
          <w:rFonts w:ascii="Times New Roman"/>
          <w:b/>
          <w:spacing w:val="-6"/>
          <w:sz w:val="24"/>
        </w:rPr>
        <w:t> </w:t>
      </w:r>
      <w:r>
        <w:rPr>
          <w:rFonts w:ascii="Times New Roman"/>
          <w:b/>
          <w:sz w:val="24"/>
        </w:rPr>
        <w:t>OF</w:t>
      </w:r>
      <w:r>
        <w:rPr>
          <w:rFonts w:ascii="Times New Roman"/>
          <w:b/>
          <w:spacing w:val="-8"/>
          <w:sz w:val="24"/>
        </w:rPr>
        <w:t> </w:t>
      </w:r>
      <w:r>
        <w:rPr>
          <w:rFonts w:ascii="Times New Roman"/>
          <w:b/>
          <w:sz w:val="24"/>
        </w:rPr>
        <w:t>HONEY</w:t>
      </w:r>
      <w:r>
        <w:rPr>
          <w:rFonts w:ascii="Times New Roman"/>
          <w:b/>
          <w:spacing w:val="-5"/>
          <w:sz w:val="24"/>
        </w:rPr>
        <w:t> </w:t>
      </w:r>
      <w:r>
        <w:rPr>
          <w:rFonts w:ascii="Times New Roman"/>
          <w:b/>
          <w:sz w:val="24"/>
        </w:rPr>
        <w:t>AND</w:t>
      </w:r>
      <w:r>
        <w:rPr>
          <w:rFonts w:ascii="Times New Roman"/>
          <w:b/>
          <w:spacing w:val="-6"/>
          <w:sz w:val="24"/>
        </w:rPr>
        <w:t> </w:t>
      </w:r>
      <w:r>
        <w:rPr>
          <w:rFonts w:ascii="Times New Roman"/>
          <w:b/>
          <w:sz w:val="24"/>
        </w:rPr>
        <w:t>LEMON JUICE AGAINST BACTERIA ISOLATES FROM RESPIRATORY TRACT </w:t>
      </w:r>
      <w:r>
        <w:rPr>
          <w:rFonts w:ascii="Times New Roman"/>
          <w:b/>
          <w:spacing w:val="-2"/>
          <w:sz w:val="24"/>
        </w:rPr>
        <w:t>INFECTIONS</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158"/>
        <w:rPr>
          <w:rFonts w:ascii="Times New Roman"/>
          <w:b/>
          <w:sz w:val="24"/>
        </w:rPr>
      </w:pPr>
    </w:p>
    <w:p>
      <w:pPr>
        <w:spacing w:before="0"/>
        <w:ind w:left="421" w:right="1014" w:firstLine="0"/>
        <w:jc w:val="center"/>
        <w:rPr>
          <w:rFonts w:ascii="Times New Roman"/>
          <w:b/>
          <w:sz w:val="24"/>
        </w:rPr>
      </w:pPr>
      <w:r>
        <w:rPr>
          <w:rFonts w:ascii="Times New Roman"/>
          <w:b/>
          <w:spacing w:val="-5"/>
          <w:sz w:val="24"/>
        </w:rPr>
        <w:t>BY</w:t>
      </w:r>
    </w:p>
    <w:p>
      <w:pPr>
        <w:pStyle w:val="BodyText"/>
        <w:rPr>
          <w:rFonts w:ascii="Times New Roman"/>
          <w:b/>
          <w:sz w:val="24"/>
        </w:rPr>
      </w:pPr>
    </w:p>
    <w:p>
      <w:pPr>
        <w:pStyle w:val="BodyText"/>
        <w:rPr>
          <w:rFonts w:ascii="Times New Roman"/>
          <w:b/>
          <w:sz w:val="24"/>
        </w:rPr>
      </w:pPr>
    </w:p>
    <w:p>
      <w:pPr>
        <w:pStyle w:val="BodyText"/>
        <w:spacing w:before="272"/>
        <w:rPr>
          <w:rFonts w:ascii="Times New Roman"/>
          <w:b/>
          <w:sz w:val="24"/>
        </w:rPr>
      </w:pPr>
    </w:p>
    <w:p>
      <w:pPr>
        <w:pStyle w:val="Heading1"/>
        <w:spacing w:before="0"/>
        <w:ind w:left="421" w:right="1017"/>
        <w:jc w:val="center"/>
      </w:pPr>
      <w:r>
        <w:rPr/>
        <w:t>Mari</w:t>
      </w:r>
      <w:r>
        <w:rPr>
          <w:spacing w:val="-1"/>
        </w:rPr>
        <w:t> </w:t>
      </w:r>
      <w:r>
        <w:rPr/>
        <w:t>Mshelia</w:t>
      </w:r>
      <w:r>
        <w:rPr>
          <w:spacing w:val="-1"/>
        </w:rPr>
        <w:t> </w:t>
      </w:r>
      <w:r>
        <w:rPr>
          <w:spacing w:val="-4"/>
        </w:rPr>
        <w:t>BATA</w:t>
      </w:r>
    </w:p>
    <w:p>
      <w:pPr>
        <w:spacing w:before="180"/>
        <w:ind w:left="2605" w:right="0" w:firstLine="0"/>
        <w:jc w:val="left"/>
        <w:rPr>
          <w:rFonts w:ascii="Times New Roman"/>
          <w:b/>
          <w:sz w:val="24"/>
        </w:rPr>
      </w:pPr>
      <w:r>
        <w:rPr>
          <w:rFonts w:ascii="Times New Roman"/>
          <w:b/>
          <w:sz w:val="24"/>
        </w:rPr>
        <w:t>B.</w:t>
      </w:r>
      <w:r>
        <w:rPr>
          <w:rFonts w:ascii="Times New Roman"/>
          <w:b/>
          <w:spacing w:val="-2"/>
          <w:sz w:val="24"/>
        </w:rPr>
        <w:t> </w:t>
      </w:r>
      <w:r>
        <w:rPr>
          <w:rFonts w:ascii="Times New Roman"/>
          <w:b/>
          <w:sz w:val="24"/>
        </w:rPr>
        <w:t>SC.</w:t>
      </w:r>
      <w:r>
        <w:rPr>
          <w:rFonts w:ascii="Times New Roman"/>
          <w:b/>
          <w:spacing w:val="-2"/>
          <w:sz w:val="24"/>
        </w:rPr>
        <w:t> </w:t>
      </w:r>
      <w:r>
        <w:rPr>
          <w:rFonts w:ascii="Times New Roman"/>
          <w:b/>
          <w:sz w:val="24"/>
        </w:rPr>
        <w:t>MICROBIOLOGY</w:t>
      </w:r>
      <w:r>
        <w:rPr>
          <w:rFonts w:ascii="Times New Roman"/>
          <w:b/>
          <w:spacing w:val="-2"/>
          <w:sz w:val="24"/>
        </w:rPr>
        <w:t> </w:t>
      </w:r>
      <w:r>
        <w:rPr>
          <w:rFonts w:ascii="Times New Roman"/>
          <w:b/>
          <w:sz w:val="24"/>
        </w:rPr>
        <w:t>(UNIMAID)</w:t>
      </w:r>
      <w:r>
        <w:rPr>
          <w:rFonts w:ascii="Times New Roman"/>
          <w:b/>
          <w:spacing w:val="-1"/>
          <w:sz w:val="24"/>
        </w:rPr>
        <w:t> </w:t>
      </w:r>
      <w:r>
        <w:rPr>
          <w:rFonts w:ascii="Times New Roman"/>
          <w:b/>
          <w:spacing w:val="-4"/>
          <w:sz w:val="24"/>
        </w:rPr>
        <w:t>2009</w:t>
      </w:r>
    </w:p>
    <w:p>
      <w:pPr>
        <w:spacing w:before="182"/>
        <w:ind w:left="2982" w:right="0" w:firstLine="0"/>
        <w:jc w:val="left"/>
        <w:rPr>
          <w:rFonts w:ascii="Times New Roman"/>
          <w:b/>
          <w:sz w:val="24"/>
        </w:rPr>
      </w:pPr>
      <w:r>
        <w:rPr>
          <w:rFonts w:ascii="Times New Roman"/>
          <w:b/>
          <w:sz w:val="24"/>
        </w:rPr>
        <w:t>M.</w:t>
      </w:r>
      <w:r>
        <w:rPr>
          <w:rFonts w:ascii="Times New Roman"/>
          <w:b/>
          <w:spacing w:val="-4"/>
          <w:sz w:val="24"/>
        </w:rPr>
        <w:t> </w:t>
      </w:r>
      <w:r>
        <w:rPr>
          <w:rFonts w:ascii="Times New Roman"/>
          <w:b/>
          <w:sz w:val="24"/>
        </w:rPr>
        <w:t>SC./PHARM-SCI/6309/2010-</w:t>
      </w:r>
      <w:r>
        <w:rPr>
          <w:rFonts w:ascii="Times New Roman"/>
          <w:b/>
          <w:spacing w:val="-4"/>
          <w:sz w:val="24"/>
        </w:rPr>
        <w:t>2011</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178"/>
        <w:rPr>
          <w:rFonts w:ascii="Times New Roman"/>
          <w:b/>
          <w:sz w:val="24"/>
        </w:rPr>
      </w:pPr>
    </w:p>
    <w:p>
      <w:pPr>
        <w:spacing w:line="256" w:lineRule="auto" w:before="0"/>
        <w:ind w:left="421" w:right="1019" w:firstLine="0"/>
        <w:jc w:val="center"/>
        <w:rPr>
          <w:rFonts w:ascii="Times New Roman"/>
          <w:b/>
          <w:sz w:val="24"/>
        </w:rPr>
      </w:pPr>
      <w:r>
        <w:rPr>
          <w:rFonts w:ascii="Times New Roman"/>
          <w:b/>
          <w:sz w:val="24"/>
        </w:rPr>
        <w:t>A</w:t>
      </w:r>
      <w:r>
        <w:rPr>
          <w:rFonts w:ascii="Times New Roman"/>
          <w:b/>
          <w:spacing w:val="-4"/>
          <w:sz w:val="24"/>
        </w:rPr>
        <w:t> </w:t>
      </w:r>
      <w:r>
        <w:rPr>
          <w:rFonts w:ascii="Times New Roman"/>
          <w:b/>
          <w:sz w:val="24"/>
        </w:rPr>
        <w:t>THESIS</w:t>
      </w:r>
      <w:r>
        <w:rPr>
          <w:rFonts w:ascii="Times New Roman"/>
          <w:b/>
          <w:spacing w:val="-6"/>
          <w:sz w:val="24"/>
        </w:rPr>
        <w:t> </w:t>
      </w:r>
      <w:r>
        <w:rPr>
          <w:rFonts w:ascii="Times New Roman"/>
          <w:b/>
          <w:sz w:val="24"/>
        </w:rPr>
        <w:t>SUBMITTED</w:t>
      </w:r>
      <w:r>
        <w:rPr>
          <w:rFonts w:ascii="Times New Roman"/>
          <w:b/>
          <w:spacing w:val="-4"/>
          <w:sz w:val="24"/>
        </w:rPr>
        <w:t> </w:t>
      </w:r>
      <w:r>
        <w:rPr>
          <w:rFonts w:ascii="Times New Roman"/>
          <w:b/>
          <w:sz w:val="24"/>
        </w:rPr>
        <w:t>TO</w:t>
      </w:r>
      <w:r>
        <w:rPr>
          <w:rFonts w:ascii="Times New Roman"/>
          <w:b/>
          <w:spacing w:val="-4"/>
          <w:sz w:val="24"/>
        </w:rPr>
        <w:t> </w:t>
      </w:r>
      <w:r>
        <w:rPr>
          <w:rFonts w:ascii="Times New Roman"/>
          <w:b/>
          <w:sz w:val="24"/>
        </w:rPr>
        <w:t>THE</w:t>
      </w:r>
      <w:r>
        <w:rPr>
          <w:rFonts w:ascii="Times New Roman"/>
          <w:b/>
          <w:spacing w:val="-4"/>
          <w:sz w:val="24"/>
        </w:rPr>
        <w:t> </w:t>
      </w:r>
      <w:r>
        <w:rPr>
          <w:rFonts w:ascii="Times New Roman"/>
          <w:b/>
          <w:sz w:val="24"/>
        </w:rPr>
        <w:t>SCHOOL</w:t>
      </w:r>
      <w:r>
        <w:rPr>
          <w:rFonts w:ascii="Times New Roman"/>
          <w:b/>
          <w:spacing w:val="-6"/>
          <w:sz w:val="24"/>
        </w:rPr>
        <w:t> </w:t>
      </w:r>
      <w:r>
        <w:rPr>
          <w:rFonts w:ascii="Times New Roman"/>
          <w:b/>
          <w:sz w:val="24"/>
        </w:rPr>
        <w:t>OF POST</w:t>
      </w:r>
      <w:r>
        <w:rPr>
          <w:rFonts w:ascii="Times New Roman"/>
          <w:b/>
          <w:spacing w:val="-4"/>
          <w:sz w:val="24"/>
        </w:rPr>
        <w:t> </w:t>
      </w:r>
      <w:r>
        <w:rPr>
          <w:rFonts w:ascii="Times New Roman"/>
          <w:b/>
          <w:sz w:val="24"/>
        </w:rPr>
        <w:t>GRADUATE</w:t>
      </w:r>
      <w:r>
        <w:rPr>
          <w:rFonts w:ascii="Times New Roman"/>
          <w:b/>
          <w:spacing w:val="-4"/>
          <w:sz w:val="24"/>
        </w:rPr>
        <w:t> </w:t>
      </w:r>
      <w:r>
        <w:rPr>
          <w:rFonts w:ascii="Times New Roman"/>
          <w:b/>
          <w:sz w:val="24"/>
        </w:rPr>
        <w:t>STUDIES, AHMADU BELLO UNIVERSITY, ZARIA</w:t>
      </w:r>
    </w:p>
    <w:p>
      <w:pPr>
        <w:spacing w:line="256" w:lineRule="auto" w:before="166"/>
        <w:ind w:left="553" w:right="1093" w:firstLine="0"/>
        <w:jc w:val="center"/>
        <w:rPr>
          <w:rFonts w:ascii="Times New Roman"/>
          <w:b/>
          <w:sz w:val="24"/>
        </w:rPr>
      </w:pPr>
      <w:r>
        <w:rPr>
          <w:rFonts w:ascii="Times New Roman"/>
          <w:b/>
          <w:sz w:val="24"/>
        </w:rPr>
        <w:t>IN</w:t>
      </w:r>
      <w:r>
        <w:rPr>
          <w:rFonts w:ascii="Times New Roman"/>
          <w:b/>
          <w:spacing w:val="-4"/>
          <w:sz w:val="24"/>
        </w:rPr>
        <w:t> </w:t>
      </w:r>
      <w:r>
        <w:rPr>
          <w:rFonts w:ascii="Times New Roman"/>
          <w:b/>
          <w:sz w:val="24"/>
        </w:rPr>
        <w:t>PARTIAL</w:t>
      </w:r>
      <w:r>
        <w:rPr>
          <w:rFonts w:ascii="Times New Roman"/>
          <w:b/>
          <w:spacing w:val="-4"/>
          <w:sz w:val="24"/>
        </w:rPr>
        <w:t> </w:t>
      </w:r>
      <w:r>
        <w:rPr>
          <w:rFonts w:ascii="Times New Roman"/>
          <w:b/>
          <w:sz w:val="24"/>
        </w:rPr>
        <w:t>FULFILLMENT</w:t>
      </w:r>
      <w:r>
        <w:rPr>
          <w:rFonts w:ascii="Times New Roman"/>
          <w:b/>
          <w:spacing w:val="-4"/>
          <w:sz w:val="24"/>
        </w:rPr>
        <w:t> </w:t>
      </w:r>
      <w:r>
        <w:rPr>
          <w:rFonts w:ascii="Times New Roman"/>
          <w:b/>
          <w:sz w:val="24"/>
        </w:rPr>
        <w:t>OF</w:t>
      </w:r>
      <w:r>
        <w:rPr>
          <w:rFonts w:ascii="Times New Roman"/>
          <w:b/>
          <w:spacing w:val="-7"/>
          <w:sz w:val="24"/>
        </w:rPr>
        <w:t> </w:t>
      </w:r>
      <w:r>
        <w:rPr>
          <w:rFonts w:ascii="Times New Roman"/>
          <w:b/>
          <w:sz w:val="24"/>
        </w:rPr>
        <w:t>THE</w:t>
      </w:r>
      <w:r>
        <w:rPr>
          <w:rFonts w:ascii="Times New Roman"/>
          <w:b/>
          <w:spacing w:val="-4"/>
          <w:sz w:val="24"/>
        </w:rPr>
        <w:t> </w:t>
      </w:r>
      <w:r>
        <w:rPr>
          <w:rFonts w:ascii="Times New Roman"/>
          <w:b/>
          <w:sz w:val="24"/>
        </w:rPr>
        <w:t>REQUIREMENTS</w:t>
      </w:r>
      <w:r>
        <w:rPr>
          <w:rFonts w:ascii="Times New Roman"/>
          <w:b/>
          <w:spacing w:val="-4"/>
          <w:sz w:val="24"/>
        </w:rPr>
        <w:t> </w:t>
      </w:r>
      <w:r>
        <w:rPr>
          <w:rFonts w:ascii="Times New Roman"/>
          <w:b/>
          <w:sz w:val="24"/>
        </w:rPr>
        <w:t>FOR</w:t>
      </w:r>
      <w:r>
        <w:rPr>
          <w:rFonts w:ascii="Times New Roman"/>
          <w:b/>
          <w:spacing w:val="-4"/>
          <w:sz w:val="24"/>
        </w:rPr>
        <w:t> </w:t>
      </w:r>
      <w:r>
        <w:rPr>
          <w:rFonts w:ascii="Times New Roman"/>
          <w:b/>
          <w:sz w:val="24"/>
        </w:rPr>
        <w:t>THE</w:t>
      </w:r>
      <w:r>
        <w:rPr>
          <w:rFonts w:ascii="Times New Roman"/>
          <w:b/>
          <w:spacing w:val="-4"/>
          <w:sz w:val="24"/>
        </w:rPr>
        <w:t> </w:t>
      </w:r>
      <w:r>
        <w:rPr>
          <w:rFonts w:ascii="Times New Roman"/>
          <w:b/>
          <w:sz w:val="24"/>
        </w:rPr>
        <w:t>AWARD</w:t>
      </w:r>
      <w:r>
        <w:rPr>
          <w:rFonts w:ascii="Times New Roman"/>
          <w:b/>
          <w:spacing w:val="-5"/>
          <w:sz w:val="24"/>
        </w:rPr>
        <w:t> </w:t>
      </w:r>
      <w:r>
        <w:rPr>
          <w:rFonts w:ascii="Times New Roman"/>
          <w:b/>
          <w:sz w:val="24"/>
        </w:rPr>
        <w:t>OF MASTER OF SCIENCE DEGREE IN PHARMACEUTICAL MICROBIOLOGY.</w:t>
      </w:r>
    </w:p>
    <w:p>
      <w:pPr>
        <w:pStyle w:val="BodyText"/>
        <w:rPr>
          <w:rFonts w:ascii="Times New Roman"/>
          <w:b/>
          <w:sz w:val="24"/>
        </w:rPr>
      </w:pPr>
    </w:p>
    <w:p>
      <w:pPr>
        <w:pStyle w:val="BodyText"/>
        <w:rPr>
          <w:rFonts w:ascii="Times New Roman"/>
          <w:b/>
          <w:sz w:val="24"/>
        </w:rPr>
      </w:pPr>
    </w:p>
    <w:p>
      <w:pPr>
        <w:pStyle w:val="BodyText"/>
        <w:spacing w:before="252"/>
        <w:rPr>
          <w:rFonts w:ascii="Times New Roman"/>
          <w:b/>
          <w:sz w:val="24"/>
        </w:rPr>
      </w:pPr>
    </w:p>
    <w:p>
      <w:pPr>
        <w:spacing w:line="256" w:lineRule="auto" w:before="0"/>
        <w:ind w:left="421" w:right="1021" w:firstLine="0"/>
        <w:jc w:val="center"/>
        <w:rPr>
          <w:rFonts w:ascii="Times New Roman"/>
          <w:b/>
          <w:sz w:val="24"/>
        </w:rPr>
      </w:pPr>
      <w:r>
        <w:rPr>
          <w:rFonts w:ascii="Times New Roman"/>
          <w:b/>
          <w:sz w:val="24"/>
        </w:rPr>
        <w:t>DEPARTMENT</w:t>
      </w:r>
      <w:r>
        <w:rPr>
          <w:rFonts w:ascii="Times New Roman"/>
          <w:b/>
          <w:spacing w:val="-9"/>
          <w:sz w:val="24"/>
        </w:rPr>
        <w:t> </w:t>
      </w:r>
      <w:r>
        <w:rPr>
          <w:rFonts w:ascii="Times New Roman"/>
          <w:b/>
          <w:sz w:val="24"/>
        </w:rPr>
        <w:t>OF</w:t>
      </w:r>
      <w:r>
        <w:rPr>
          <w:rFonts w:ascii="Times New Roman"/>
          <w:b/>
          <w:spacing w:val="-10"/>
          <w:sz w:val="24"/>
        </w:rPr>
        <w:t> </w:t>
      </w:r>
      <w:r>
        <w:rPr>
          <w:rFonts w:ascii="Times New Roman"/>
          <w:b/>
          <w:sz w:val="24"/>
        </w:rPr>
        <w:t>PHARMACEUTICS</w:t>
      </w:r>
      <w:r>
        <w:rPr>
          <w:rFonts w:ascii="Times New Roman"/>
          <w:b/>
          <w:spacing w:val="-9"/>
          <w:sz w:val="24"/>
        </w:rPr>
        <w:t> </w:t>
      </w:r>
      <w:r>
        <w:rPr>
          <w:rFonts w:ascii="Times New Roman"/>
          <w:b/>
          <w:sz w:val="24"/>
        </w:rPr>
        <w:t>AND</w:t>
      </w:r>
      <w:r>
        <w:rPr>
          <w:rFonts w:ascii="Times New Roman"/>
          <w:b/>
          <w:spacing w:val="-9"/>
          <w:sz w:val="24"/>
        </w:rPr>
        <w:t> </w:t>
      </w:r>
      <w:r>
        <w:rPr>
          <w:rFonts w:ascii="Times New Roman"/>
          <w:b/>
          <w:sz w:val="24"/>
        </w:rPr>
        <w:t>PHARMACEUTICAL </w:t>
      </w:r>
      <w:r>
        <w:rPr>
          <w:rFonts w:ascii="Times New Roman"/>
          <w:b/>
          <w:spacing w:val="-2"/>
          <w:sz w:val="24"/>
        </w:rPr>
        <w:t>MICROBIOLOGY</w:t>
      </w:r>
    </w:p>
    <w:p>
      <w:pPr>
        <w:spacing w:line="398" w:lineRule="auto" w:before="163"/>
        <w:ind w:left="2168" w:right="2768" w:firstLine="0"/>
        <w:jc w:val="center"/>
        <w:rPr>
          <w:rFonts w:ascii="Times New Roman"/>
          <w:b/>
          <w:sz w:val="24"/>
        </w:rPr>
      </w:pPr>
      <w:r>
        <w:rPr>
          <w:rFonts w:ascii="Times New Roman"/>
          <w:b/>
          <w:sz w:val="24"/>
        </w:rPr>
        <w:t>FACULTY</w:t>
      </w:r>
      <w:r>
        <w:rPr>
          <w:rFonts w:ascii="Times New Roman"/>
          <w:b/>
          <w:spacing w:val="-11"/>
          <w:sz w:val="24"/>
        </w:rPr>
        <w:t> </w:t>
      </w:r>
      <w:r>
        <w:rPr>
          <w:rFonts w:ascii="Times New Roman"/>
          <w:b/>
          <w:sz w:val="24"/>
        </w:rPr>
        <w:t>OF</w:t>
      </w:r>
      <w:r>
        <w:rPr>
          <w:rFonts w:ascii="Times New Roman"/>
          <w:b/>
          <w:spacing w:val="-12"/>
          <w:sz w:val="24"/>
        </w:rPr>
        <w:t> </w:t>
      </w:r>
      <w:r>
        <w:rPr>
          <w:rFonts w:ascii="Times New Roman"/>
          <w:b/>
          <w:sz w:val="24"/>
        </w:rPr>
        <w:t>PHARMACEUTICAL</w:t>
      </w:r>
      <w:r>
        <w:rPr>
          <w:rFonts w:ascii="Times New Roman"/>
          <w:b/>
          <w:spacing w:val="-11"/>
          <w:sz w:val="24"/>
        </w:rPr>
        <w:t> </w:t>
      </w:r>
      <w:r>
        <w:rPr>
          <w:rFonts w:ascii="Times New Roman"/>
          <w:b/>
          <w:sz w:val="24"/>
        </w:rPr>
        <w:t>SCIENCES AHMADU BELLO UNIVERSITY, ZARIA </w:t>
      </w:r>
      <w:r>
        <w:rPr>
          <w:rFonts w:ascii="Times New Roman"/>
          <w:b/>
          <w:spacing w:val="-2"/>
          <w:sz w:val="24"/>
        </w:rPr>
        <w:t>NIGERIA</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176"/>
        <w:rPr>
          <w:rFonts w:ascii="Times New Roman"/>
          <w:b/>
          <w:sz w:val="24"/>
        </w:rPr>
      </w:pPr>
    </w:p>
    <w:p>
      <w:pPr>
        <w:spacing w:before="1"/>
        <w:ind w:left="421" w:right="1016" w:firstLine="0"/>
        <w:jc w:val="center"/>
        <w:rPr>
          <w:rFonts w:ascii="Times New Roman"/>
          <w:b/>
          <w:sz w:val="24"/>
        </w:rPr>
      </w:pPr>
      <w:r>
        <w:rPr>
          <w:rFonts w:ascii="Times New Roman"/>
          <w:b/>
          <w:sz w:val="24"/>
        </w:rPr>
        <w:t>JUNE, </w:t>
      </w:r>
      <w:r>
        <w:rPr>
          <w:rFonts w:ascii="Times New Roman"/>
          <w:b/>
          <w:spacing w:val="-4"/>
          <w:sz w:val="24"/>
        </w:rPr>
        <w:t>2014</w:t>
      </w:r>
    </w:p>
    <w:p>
      <w:pPr>
        <w:spacing w:after="0"/>
        <w:jc w:val="center"/>
        <w:rPr>
          <w:rFonts w:ascii="Times New Roman"/>
          <w:sz w:val="24"/>
        </w:rPr>
        <w:sectPr>
          <w:footerReference w:type="default" r:id="rId5"/>
          <w:type w:val="continuous"/>
          <w:pgSz w:w="11910" w:h="16840"/>
          <w:pgMar w:header="0" w:footer="1055" w:top="1360" w:bottom="1240" w:left="1060" w:right="460"/>
          <w:pgNumType w:start="1"/>
        </w:sectPr>
      </w:pPr>
    </w:p>
    <w:p>
      <w:pPr>
        <w:spacing w:before="67"/>
        <w:ind w:left="421" w:right="1017" w:firstLine="0"/>
        <w:jc w:val="center"/>
        <w:rPr>
          <w:rFonts w:ascii="Times New Roman"/>
          <w:b/>
          <w:sz w:val="24"/>
        </w:rPr>
      </w:pPr>
      <w:r>
        <w:rPr>
          <w:rFonts w:ascii="Times New Roman"/>
          <w:b/>
          <w:spacing w:val="-2"/>
          <w:sz w:val="24"/>
        </w:rPr>
        <w:t>ABSTRACT</w:t>
      </w:r>
    </w:p>
    <w:p>
      <w:pPr>
        <w:spacing w:line="480" w:lineRule="auto" w:before="197"/>
        <w:ind w:left="380" w:right="974" w:firstLine="0"/>
        <w:jc w:val="both"/>
        <w:rPr>
          <w:rFonts w:ascii="Times New Roman"/>
          <w:sz w:val="24"/>
        </w:rPr>
      </w:pPr>
      <w:r>
        <w:rPr>
          <w:rFonts w:ascii="Times New Roman"/>
          <w:sz w:val="24"/>
        </w:rPr>
        <w:t>The antibacterial effect of honey and lemon were investigated. Their use separately and in combination were compared with that of standard antibiotics against </w:t>
      </w:r>
      <w:r>
        <w:rPr>
          <w:rFonts w:ascii="Times New Roman"/>
          <w:i/>
          <w:sz w:val="24"/>
        </w:rPr>
        <w:t>Klebsiellapneumoniae</w:t>
      </w:r>
      <w:r>
        <w:rPr>
          <w:rFonts w:ascii="Times New Roman"/>
          <w:sz w:val="24"/>
        </w:rPr>
        <w:t>, </w:t>
      </w:r>
      <w:r>
        <w:rPr>
          <w:rFonts w:ascii="Times New Roman"/>
          <w:i/>
          <w:sz w:val="24"/>
        </w:rPr>
        <w:t>Staphylococcusaureus</w:t>
      </w:r>
      <w:r>
        <w:rPr>
          <w:rFonts w:ascii="Times New Roman"/>
          <w:sz w:val="24"/>
        </w:rPr>
        <w:t>, </w:t>
      </w:r>
      <w:r>
        <w:rPr>
          <w:rFonts w:ascii="Times New Roman"/>
          <w:i/>
          <w:sz w:val="24"/>
        </w:rPr>
        <w:t>Streptococcus pneumoniae</w:t>
      </w:r>
      <w:r>
        <w:rPr>
          <w:rFonts w:ascii="Times New Roman"/>
          <w:sz w:val="24"/>
        </w:rPr>
        <w:t>, </w:t>
      </w:r>
      <w:r>
        <w:rPr>
          <w:rFonts w:ascii="Times New Roman"/>
          <w:i/>
          <w:sz w:val="24"/>
        </w:rPr>
        <w:t>Pseudomonas </w:t>
      </w:r>
      <w:r>
        <w:rPr>
          <w:rFonts w:ascii="Times New Roman"/>
          <w:i/>
          <w:sz w:val="24"/>
        </w:rPr>
        <w:t>aeruginosa</w:t>
      </w:r>
      <w:r>
        <w:rPr>
          <w:rFonts w:ascii="Times New Roman"/>
          <w:sz w:val="24"/>
        </w:rPr>
        <w:t>, </w:t>
      </w:r>
      <w:r>
        <w:rPr>
          <w:rFonts w:ascii="Times New Roman"/>
          <w:i/>
          <w:sz w:val="24"/>
        </w:rPr>
        <w:t>Haemophilusinfluenzae </w:t>
      </w:r>
      <w:r>
        <w:rPr>
          <w:rFonts w:ascii="Times New Roman"/>
          <w:sz w:val="24"/>
        </w:rPr>
        <w:t>and </w:t>
      </w:r>
      <w:r>
        <w:rPr>
          <w:rFonts w:ascii="Times New Roman"/>
          <w:i/>
          <w:sz w:val="24"/>
        </w:rPr>
        <w:t>Streptococcus pyogenes</w:t>
      </w:r>
      <w:r>
        <w:rPr>
          <w:rFonts w:ascii="Times New Roman"/>
          <w:sz w:val="24"/>
        </w:rPr>
        <w:t>isolates from sputum, ear swab, nasal secretion and throat swab samples of patients from Ahmadu Bello University Teaching Hospital (ABUTH), Zaria, and Ahmadu Bello University Health Services (ABUHS) Zaria, Nigeria</w:t>
      </w:r>
      <w:r>
        <w:rPr>
          <w:rFonts w:ascii="Times New Roman"/>
          <w:i/>
          <w:sz w:val="24"/>
        </w:rPr>
        <w:t>. </w:t>
      </w:r>
      <w:r>
        <w:rPr>
          <w:rFonts w:ascii="Times New Roman"/>
          <w:sz w:val="24"/>
        </w:rPr>
        <w:t>Agar diffusion and broth dilution methods were employed to assess degree of susceptibility of the isolates to honey and/or lemon, and the standard antibiotic formulations. Minimum Inhibitory Concentrations and Minimum Bactericidal Concentrations were evaluated. Rate</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Kill</w:t>
      </w:r>
      <w:r>
        <w:rPr>
          <w:rFonts w:ascii="Times New Roman"/>
          <w:spacing w:val="-2"/>
          <w:sz w:val="24"/>
        </w:rPr>
        <w:t> </w:t>
      </w:r>
      <w:r>
        <w:rPr>
          <w:rFonts w:ascii="Times New Roman"/>
          <w:sz w:val="24"/>
        </w:rPr>
        <w:t>was</w:t>
      </w:r>
      <w:r>
        <w:rPr>
          <w:rFonts w:ascii="Times New Roman"/>
          <w:spacing w:val="-2"/>
          <w:sz w:val="24"/>
        </w:rPr>
        <w:t> </w:t>
      </w:r>
      <w:r>
        <w:rPr>
          <w:rFonts w:ascii="Times New Roman"/>
          <w:sz w:val="24"/>
        </w:rPr>
        <w:t>carried</w:t>
      </w:r>
      <w:r>
        <w:rPr>
          <w:rFonts w:ascii="Times New Roman"/>
          <w:spacing w:val="-1"/>
          <w:sz w:val="24"/>
        </w:rPr>
        <w:t> </w:t>
      </w:r>
      <w:r>
        <w:rPr>
          <w:rFonts w:ascii="Times New Roman"/>
          <w:sz w:val="24"/>
        </w:rPr>
        <w:t>out</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know</w:t>
      </w:r>
      <w:r>
        <w:rPr>
          <w:rFonts w:ascii="Times New Roman"/>
          <w:spacing w:val="-1"/>
          <w:sz w:val="24"/>
        </w:rPr>
        <w:t> </w:t>
      </w:r>
      <w:r>
        <w:rPr>
          <w:rFonts w:ascii="Times New Roman"/>
          <w:sz w:val="24"/>
        </w:rPr>
        <w:t>the</w:t>
      </w:r>
      <w:r>
        <w:rPr>
          <w:rFonts w:ascii="Times New Roman"/>
          <w:spacing w:val="-3"/>
          <w:sz w:val="24"/>
        </w:rPr>
        <w:t> </w:t>
      </w:r>
      <w:r>
        <w:rPr>
          <w:rFonts w:ascii="Times New Roman"/>
          <w:sz w:val="24"/>
        </w:rPr>
        <w:t>death/survival</w:t>
      </w:r>
      <w:r>
        <w:rPr>
          <w:rFonts w:ascii="Times New Roman"/>
          <w:spacing w:val="-2"/>
          <w:sz w:val="24"/>
        </w:rPr>
        <w:t> </w:t>
      </w:r>
      <w:r>
        <w:rPr>
          <w:rFonts w:ascii="Times New Roman"/>
          <w:sz w:val="24"/>
        </w:rPr>
        <w:t>rate</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bacterial</w:t>
      </w:r>
      <w:r>
        <w:rPr>
          <w:rFonts w:ascii="Times New Roman"/>
          <w:spacing w:val="-2"/>
          <w:sz w:val="24"/>
        </w:rPr>
        <w:t> </w:t>
      </w:r>
      <w:r>
        <w:rPr>
          <w:rFonts w:ascii="Times New Roman"/>
          <w:sz w:val="24"/>
        </w:rPr>
        <w:t>isolates after exposure to the agents. Test for synergy was also carried out to know if there is synergistic effect between the honey and the lemon juice. The zones of inhibition (mm) of</w:t>
      </w:r>
      <w:r>
        <w:rPr>
          <w:rFonts w:ascii="Times New Roman"/>
          <w:spacing w:val="40"/>
          <w:sz w:val="24"/>
        </w:rPr>
        <w:t> </w:t>
      </w:r>
      <w:r>
        <w:rPr>
          <w:rFonts w:ascii="Times New Roman"/>
          <w:sz w:val="24"/>
        </w:rPr>
        <w:t>13-32</w:t>
      </w:r>
      <w:r>
        <w:rPr>
          <w:rFonts w:ascii="Times New Roman"/>
          <w:spacing w:val="79"/>
          <w:w w:val="150"/>
          <w:sz w:val="24"/>
        </w:rPr>
        <w:t> </w:t>
      </w:r>
      <w:r>
        <w:rPr>
          <w:rFonts w:ascii="Times New Roman"/>
          <w:sz w:val="24"/>
        </w:rPr>
        <w:t>(Ceftriaxone),</w:t>
      </w:r>
      <w:r>
        <w:rPr>
          <w:rFonts w:ascii="Times New Roman"/>
          <w:spacing w:val="78"/>
          <w:w w:val="150"/>
          <w:sz w:val="24"/>
        </w:rPr>
        <w:t> </w:t>
      </w:r>
      <w:r>
        <w:rPr>
          <w:rFonts w:ascii="Times New Roman"/>
          <w:sz w:val="24"/>
        </w:rPr>
        <w:t>07-29</w:t>
      </w:r>
      <w:r>
        <w:rPr>
          <w:rFonts w:ascii="Times New Roman"/>
          <w:spacing w:val="79"/>
          <w:w w:val="150"/>
          <w:sz w:val="24"/>
        </w:rPr>
        <w:t> </w:t>
      </w:r>
      <w:r>
        <w:rPr>
          <w:rFonts w:ascii="Times New Roman"/>
          <w:sz w:val="24"/>
        </w:rPr>
        <w:t>(Gentamicin),</w:t>
      </w:r>
      <w:r>
        <w:rPr>
          <w:rFonts w:ascii="Times New Roman"/>
          <w:spacing w:val="25"/>
          <w:sz w:val="24"/>
        </w:rPr>
        <w:t>  </w:t>
      </w:r>
      <w:r>
        <w:rPr>
          <w:rFonts w:ascii="Times New Roman"/>
          <w:sz w:val="24"/>
        </w:rPr>
        <w:t>07-35</w:t>
      </w:r>
      <w:r>
        <w:rPr>
          <w:rFonts w:ascii="Times New Roman"/>
          <w:spacing w:val="79"/>
          <w:w w:val="150"/>
          <w:sz w:val="24"/>
        </w:rPr>
        <w:t> </w:t>
      </w:r>
      <w:r>
        <w:rPr>
          <w:rFonts w:ascii="Times New Roman"/>
          <w:sz w:val="24"/>
        </w:rPr>
        <w:t>(Amoxicillin-Clavulanic</w:t>
      </w:r>
      <w:r>
        <w:rPr>
          <w:rFonts w:ascii="Times New Roman"/>
          <w:spacing w:val="78"/>
          <w:w w:val="150"/>
          <w:sz w:val="24"/>
        </w:rPr>
        <w:t> </w:t>
      </w:r>
      <w:r>
        <w:rPr>
          <w:rFonts w:ascii="Times New Roman"/>
          <w:sz w:val="24"/>
        </w:rPr>
        <w:t>acid),</w:t>
      </w:r>
      <w:r>
        <w:rPr>
          <w:rFonts w:ascii="Times New Roman"/>
          <w:spacing w:val="79"/>
          <w:w w:val="150"/>
          <w:sz w:val="24"/>
        </w:rPr>
        <w:t> </w:t>
      </w:r>
      <w:r>
        <w:rPr>
          <w:rFonts w:ascii="Times New Roman"/>
          <w:sz w:val="24"/>
        </w:rPr>
        <w:t>14-</w:t>
      </w:r>
      <w:r>
        <w:rPr>
          <w:rFonts w:ascii="Times New Roman"/>
          <w:spacing w:val="-5"/>
          <w:sz w:val="24"/>
        </w:rPr>
        <w:t>33</w:t>
      </w:r>
    </w:p>
    <w:p>
      <w:pPr>
        <w:spacing w:line="480" w:lineRule="auto" w:before="2"/>
        <w:ind w:left="380" w:right="972" w:firstLine="0"/>
        <w:jc w:val="both"/>
        <w:rPr>
          <w:rFonts w:ascii="Times New Roman" w:hAnsi="Times New Roman"/>
          <w:sz w:val="24"/>
        </w:rPr>
      </w:pPr>
      <w:r>
        <w:rPr>
          <w:rFonts w:ascii="Times New Roman" w:hAnsi="Times New Roman"/>
          <w:sz w:val="24"/>
        </w:rPr>
        <w:t>(Levofloxacin), 07-30 (Azithromycin), 10-34 (Honey), 12-29 (Lemon), and 18-29 (Honey/Lemon mixture) were obtained. Minimum Inhibitory Concentrations range between 1.95-125</w:t>
      </w:r>
      <w:r>
        <w:rPr>
          <w:rFonts w:ascii="Times New Roman" w:hAnsi="Times New Roman"/>
          <w:spacing w:val="24"/>
          <w:sz w:val="24"/>
        </w:rPr>
        <w:t> </w:t>
      </w:r>
      <w:r>
        <w:rPr>
          <w:rFonts w:ascii="Times New Roman" w:hAnsi="Times New Roman"/>
          <w:sz w:val="24"/>
        </w:rPr>
        <w:t>µg/ml</w:t>
      </w:r>
      <w:r>
        <w:rPr>
          <w:rFonts w:ascii="Times New Roman" w:hAnsi="Times New Roman"/>
          <w:spacing w:val="26"/>
          <w:sz w:val="24"/>
        </w:rPr>
        <w:t> </w:t>
      </w:r>
      <w:r>
        <w:rPr>
          <w:rFonts w:ascii="Times New Roman" w:hAnsi="Times New Roman"/>
          <w:sz w:val="24"/>
        </w:rPr>
        <w:t>(Ceftriaxone),</w:t>
      </w:r>
      <w:r>
        <w:rPr>
          <w:rFonts w:ascii="Times New Roman" w:hAnsi="Times New Roman"/>
          <w:spacing w:val="25"/>
          <w:sz w:val="24"/>
        </w:rPr>
        <w:t> </w:t>
      </w:r>
      <w:r>
        <w:rPr>
          <w:rFonts w:ascii="Times New Roman" w:hAnsi="Times New Roman"/>
          <w:sz w:val="24"/>
        </w:rPr>
        <w:t>1.56-100</w:t>
      </w:r>
      <w:r>
        <w:rPr>
          <w:rFonts w:ascii="Times New Roman" w:hAnsi="Times New Roman"/>
          <w:spacing w:val="26"/>
          <w:sz w:val="24"/>
        </w:rPr>
        <w:t> </w:t>
      </w:r>
      <w:r>
        <w:rPr>
          <w:rFonts w:ascii="Times New Roman" w:hAnsi="Times New Roman"/>
          <w:sz w:val="24"/>
        </w:rPr>
        <w:t>µg/ml</w:t>
      </w:r>
      <w:r>
        <w:rPr>
          <w:rFonts w:ascii="Times New Roman" w:hAnsi="Times New Roman"/>
          <w:spacing w:val="26"/>
          <w:sz w:val="24"/>
        </w:rPr>
        <w:t> </w:t>
      </w:r>
      <w:r>
        <w:rPr>
          <w:rFonts w:ascii="Times New Roman" w:hAnsi="Times New Roman"/>
          <w:sz w:val="24"/>
        </w:rPr>
        <w:t>(Gentamicin),</w:t>
      </w:r>
      <w:r>
        <w:rPr>
          <w:rFonts w:ascii="Times New Roman" w:hAnsi="Times New Roman"/>
          <w:spacing w:val="26"/>
          <w:sz w:val="24"/>
        </w:rPr>
        <w:t> </w:t>
      </w:r>
      <w:r>
        <w:rPr>
          <w:rFonts w:ascii="Times New Roman" w:hAnsi="Times New Roman"/>
          <w:sz w:val="24"/>
        </w:rPr>
        <w:t>3.91-125</w:t>
      </w:r>
      <w:r>
        <w:rPr>
          <w:rFonts w:ascii="Times New Roman" w:hAnsi="Times New Roman"/>
          <w:spacing w:val="26"/>
          <w:sz w:val="24"/>
        </w:rPr>
        <w:t> </w:t>
      </w:r>
      <w:r>
        <w:rPr>
          <w:rFonts w:ascii="Times New Roman" w:hAnsi="Times New Roman"/>
          <w:sz w:val="24"/>
        </w:rPr>
        <w:t>µg/ml</w:t>
      </w:r>
      <w:r>
        <w:rPr>
          <w:rFonts w:ascii="Times New Roman" w:hAnsi="Times New Roman"/>
          <w:spacing w:val="26"/>
          <w:sz w:val="24"/>
        </w:rPr>
        <w:t> </w:t>
      </w:r>
      <w:r>
        <w:rPr>
          <w:rFonts w:ascii="Times New Roman" w:hAnsi="Times New Roman"/>
          <w:spacing w:val="-2"/>
          <w:sz w:val="24"/>
        </w:rPr>
        <w:t>(Amoxicillin-</w:t>
      </w:r>
    </w:p>
    <w:p>
      <w:pPr>
        <w:spacing w:line="480" w:lineRule="auto" w:before="0"/>
        <w:ind w:left="380" w:right="975" w:firstLine="0"/>
        <w:jc w:val="both"/>
        <w:rPr>
          <w:rFonts w:ascii="Times New Roman" w:hAnsi="Times New Roman"/>
          <w:sz w:val="24"/>
        </w:rPr>
      </w:pPr>
      <w:r>
        <w:rPr>
          <w:rFonts w:ascii="Times New Roman" w:hAnsi="Times New Roman"/>
          <w:sz w:val="24"/>
        </w:rPr>
        <w:t>Clavulanic acid), 0.98-62.5 µg/ml (Levofloxacin), 0.78-100 µg/ml (Azithromycin), 20-75 µg/ml (Honey), 15.0 - 47.5 µg/ml (Lemon), and 15-50 µg/ml (Honey/Lemon mixture). Excellent antibacterial activity was observed with lemon, honey and lemon mixture, Levofloxacin, Ceftriaxone and Gentamicin, while honey, Amoxicillin-Clavulanic acid and Azithromycinshowed less antibacterial activity. Better killing of the bacteria isolates on exposure to honey and lemon was observed with Lemon and Honey/Lemon mixture than the Honey alone. There is additive effect, but no antagonistic effectin the mixture of honey and lemon</w:t>
      </w:r>
      <w:r>
        <w:rPr>
          <w:rFonts w:ascii="Times New Roman" w:hAnsi="Times New Roman"/>
          <w:spacing w:val="26"/>
          <w:sz w:val="24"/>
        </w:rPr>
        <w:t> </w:t>
      </w:r>
      <w:r>
        <w:rPr>
          <w:rFonts w:ascii="Times New Roman" w:hAnsi="Times New Roman"/>
          <w:sz w:val="24"/>
        </w:rPr>
        <w:t>juice.</w:t>
      </w:r>
      <w:r>
        <w:rPr>
          <w:rFonts w:ascii="Times New Roman" w:hAnsi="Times New Roman"/>
          <w:spacing w:val="26"/>
          <w:sz w:val="24"/>
        </w:rPr>
        <w:t> </w:t>
      </w:r>
      <w:r>
        <w:rPr>
          <w:rFonts w:ascii="Times New Roman" w:hAnsi="Times New Roman"/>
          <w:sz w:val="24"/>
        </w:rPr>
        <w:t>Generally,</w:t>
      </w:r>
      <w:r>
        <w:rPr>
          <w:rFonts w:ascii="Times New Roman" w:hAnsi="Times New Roman"/>
          <w:spacing w:val="30"/>
          <w:sz w:val="24"/>
        </w:rPr>
        <w:t> </w:t>
      </w:r>
      <w:r>
        <w:rPr>
          <w:rFonts w:ascii="Times New Roman" w:hAnsi="Times New Roman"/>
          <w:sz w:val="24"/>
        </w:rPr>
        <w:t>their</w:t>
      </w:r>
      <w:r>
        <w:rPr>
          <w:rFonts w:ascii="Times New Roman" w:hAnsi="Times New Roman"/>
          <w:spacing w:val="25"/>
          <w:sz w:val="24"/>
        </w:rPr>
        <w:t> </w:t>
      </w:r>
      <w:r>
        <w:rPr>
          <w:rFonts w:ascii="Times New Roman" w:hAnsi="Times New Roman"/>
          <w:sz w:val="24"/>
        </w:rPr>
        <w:t>activity</w:t>
      </w:r>
      <w:r>
        <w:rPr>
          <w:rFonts w:ascii="Times New Roman" w:hAnsi="Times New Roman"/>
          <w:spacing w:val="21"/>
          <w:sz w:val="24"/>
        </w:rPr>
        <w:t> </w:t>
      </w:r>
      <w:r>
        <w:rPr>
          <w:rFonts w:ascii="Times New Roman" w:hAnsi="Times New Roman"/>
          <w:sz w:val="24"/>
        </w:rPr>
        <w:t>is</w:t>
      </w:r>
      <w:r>
        <w:rPr>
          <w:rFonts w:ascii="Times New Roman" w:hAnsi="Times New Roman"/>
          <w:spacing w:val="26"/>
          <w:sz w:val="24"/>
        </w:rPr>
        <w:t> </w:t>
      </w:r>
      <w:r>
        <w:rPr>
          <w:rFonts w:ascii="Times New Roman" w:hAnsi="Times New Roman"/>
          <w:sz w:val="24"/>
        </w:rPr>
        <w:t>within</w:t>
      </w:r>
      <w:r>
        <w:rPr>
          <w:rFonts w:ascii="Times New Roman" w:hAnsi="Times New Roman"/>
          <w:spacing w:val="27"/>
          <w:sz w:val="24"/>
        </w:rPr>
        <w:t> </w:t>
      </w:r>
      <w:r>
        <w:rPr>
          <w:rFonts w:ascii="Times New Roman" w:hAnsi="Times New Roman"/>
          <w:sz w:val="24"/>
        </w:rPr>
        <w:t>the</w:t>
      </w:r>
      <w:r>
        <w:rPr>
          <w:rFonts w:ascii="Times New Roman" w:hAnsi="Times New Roman"/>
          <w:spacing w:val="25"/>
          <w:sz w:val="24"/>
        </w:rPr>
        <w:t> </w:t>
      </w:r>
      <w:r>
        <w:rPr>
          <w:rFonts w:ascii="Times New Roman" w:hAnsi="Times New Roman"/>
          <w:sz w:val="24"/>
        </w:rPr>
        <w:t>additive</w:t>
      </w:r>
      <w:r>
        <w:rPr>
          <w:rFonts w:ascii="Times New Roman" w:hAnsi="Times New Roman"/>
          <w:spacing w:val="28"/>
          <w:sz w:val="24"/>
        </w:rPr>
        <w:t> </w:t>
      </w:r>
      <w:r>
        <w:rPr>
          <w:rFonts w:ascii="Times New Roman" w:hAnsi="Times New Roman"/>
          <w:sz w:val="24"/>
        </w:rPr>
        <w:t>level</w:t>
      </w:r>
      <w:r>
        <w:rPr>
          <w:rFonts w:ascii="Times New Roman" w:hAnsi="Times New Roman"/>
          <w:spacing w:val="26"/>
          <w:sz w:val="24"/>
        </w:rPr>
        <w:t> </w:t>
      </w:r>
      <w:r>
        <w:rPr>
          <w:rFonts w:ascii="Times New Roman" w:hAnsi="Times New Roman"/>
          <w:sz w:val="24"/>
        </w:rPr>
        <w:t>(&gt;0.5</w:t>
      </w:r>
      <w:r>
        <w:rPr>
          <w:rFonts w:ascii="Times New Roman" w:hAnsi="Times New Roman"/>
          <w:spacing w:val="26"/>
          <w:sz w:val="24"/>
        </w:rPr>
        <w:t> </w:t>
      </w:r>
      <w:r>
        <w:rPr>
          <w:rFonts w:ascii="Times New Roman" w:hAnsi="Times New Roman"/>
          <w:sz w:val="24"/>
        </w:rPr>
        <w:t>to</w:t>
      </w:r>
      <w:r>
        <w:rPr>
          <w:rFonts w:ascii="Times New Roman" w:hAnsi="Times New Roman"/>
          <w:spacing w:val="28"/>
          <w:sz w:val="24"/>
        </w:rPr>
        <w:t> </w:t>
      </w:r>
      <w:r>
        <w:rPr>
          <w:rFonts w:ascii="Times New Roman" w:hAnsi="Times New Roman"/>
          <w:sz w:val="24"/>
        </w:rPr>
        <w:t>≤1)</w:t>
      </w:r>
      <w:r>
        <w:rPr>
          <w:rFonts w:ascii="Times New Roman" w:hAnsi="Times New Roman"/>
          <w:spacing w:val="25"/>
          <w:sz w:val="24"/>
        </w:rPr>
        <w:t> </w:t>
      </w:r>
      <w:r>
        <w:rPr>
          <w:rFonts w:ascii="Times New Roman" w:hAnsi="Times New Roman"/>
          <w:sz w:val="24"/>
        </w:rPr>
        <w:t>of</w:t>
      </w:r>
      <w:r>
        <w:rPr>
          <w:rFonts w:ascii="Times New Roman" w:hAnsi="Times New Roman"/>
          <w:spacing w:val="28"/>
          <w:sz w:val="24"/>
        </w:rPr>
        <w:t> </w:t>
      </w:r>
      <w:r>
        <w:rPr>
          <w:rFonts w:ascii="Times New Roman" w:hAnsi="Times New Roman"/>
          <w:spacing w:val="-2"/>
          <w:sz w:val="24"/>
        </w:rPr>
        <w:t>Fractional</w:t>
      </w:r>
    </w:p>
    <w:p>
      <w:pPr>
        <w:spacing w:after="0" w:line="480" w:lineRule="auto"/>
        <w:jc w:val="both"/>
        <w:rPr>
          <w:rFonts w:ascii="Times New Roman" w:hAnsi="Times New Roman"/>
          <w:sz w:val="24"/>
        </w:rPr>
        <w:sectPr>
          <w:pgSz w:w="11910" w:h="16840"/>
          <w:pgMar w:header="0" w:footer="1055" w:top="1800" w:bottom="1240" w:left="1060" w:right="460"/>
        </w:sectPr>
      </w:pPr>
    </w:p>
    <w:p>
      <w:pPr>
        <w:spacing w:line="480" w:lineRule="auto" w:before="73"/>
        <w:ind w:left="380" w:right="971" w:firstLine="0"/>
        <w:jc w:val="both"/>
        <w:rPr>
          <w:rFonts w:ascii="Times New Roman"/>
          <w:sz w:val="24"/>
        </w:rPr>
      </w:pPr>
      <w:r>
        <w:rPr>
          <w:rFonts w:ascii="Times New Roman"/>
          <w:sz w:val="24"/>
        </w:rPr>
        <w:t>Inhibitory Concentration index. This study justifies the use of Honey and Lemon separately and in mixture as an alternative medicine by</w:t>
      </w:r>
      <w:r>
        <w:rPr>
          <w:rFonts w:ascii="Times New Roman"/>
          <w:spacing w:val="-2"/>
          <w:sz w:val="24"/>
        </w:rPr>
        <w:t> </w:t>
      </w:r>
      <w:r>
        <w:rPr>
          <w:rFonts w:ascii="Times New Roman"/>
          <w:sz w:val="24"/>
        </w:rPr>
        <w:t>the populace in the treatment of respiratory</w:t>
      </w:r>
      <w:r>
        <w:rPr>
          <w:rFonts w:ascii="Times New Roman"/>
          <w:spacing w:val="-2"/>
          <w:sz w:val="24"/>
        </w:rPr>
        <w:t> </w:t>
      </w:r>
      <w:r>
        <w:rPr>
          <w:rFonts w:ascii="Times New Roman"/>
          <w:sz w:val="24"/>
        </w:rPr>
        <w:t>tract </w:t>
      </w:r>
      <w:r>
        <w:rPr>
          <w:rFonts w:ascii="Times New Roman"/>
          <w:spacing w:val="-2"/>
          <w:sz w:val="24"/>
        </w:rPr>
        <w:t>infections.</w:t>
      </w:r>
    </w:p>
    <w:p>
      <w:pPr>
        <w:spacing w:line="480" w:lineRule="auto" w:before="1"/>
        <w:ind w:left="380" w:right="978" w:firstLine="0"/>
        <w:jc w:val="both"/>
        <w:rPr>
          <w:rFonts w:ascii="Times New Roman"/>
          <w:sz w:val="24"/>
        </w:rPr>
      </w:pPr>
      <w:r>
        <w:rPr>
          <w:rFonts w:ascii="Times New Roman"/>
          <w:b/>
          <w:sz w:val="24"/>
        </w:rPr>
        <w:t>Key words: </w:t>
      </w:r>
      <w:r>
        <w:rPr>
          <w:rFonts w:ascii="Times New Roman"/>
          <w:sz w:val="24"/>
        </w:rPr>
        <w:t>Honey, Lemon, Standard antibiotics, Synergistic effect, Antibacterial activity, zone of inhibition.</w:t>
      </w:r>
    </w:p>
    <w:p>
      <w:pPr>
        <w:spacing w:after="0" w:line="480" w:lineRule="auto"/>
        <w:jc w:val="both"/>
        <w:rPr>
          <w:rFonts w:ascii="Times New Roman"/>
          <w:sz w:val="24"/>
        </w:rPr>
        <w:sectPr>
          <w:pgSz w:w="11910" w:h="16840"/>
          <w:pgMar w:header="0" w:footer="1055" w:top="1340" w:bottom="1240" w:left="1060" w:right="460"/>
        </w:sectPr>
      </w:pPr>
    </w:p>
    <w:p>
      <w:pPr>
        <w:pStyle w:val="Heading2"/>
        <w:spacing w:before="41"/>
        <w:ind w:left="222"/>
        <w:jc w:val="center"/>
      </w:pPr>
      <w:r>
        <w:rPr/>
        <w:t>CHAPTER</w:t>
      </w:r>
      <w:r>
        <w:rPr>
          <w:spacing w:val="-6"/>
        </w:rPr>
        <w:t> </w:t>
      </w:r>
      <w:r>
        <w:rPr>
          <w:spacing w:val="-5"/>
        </w:rPr>
        <w:t>ONE</w:t>
      </w:r>
    </w:p>
    <w:p>
      <w:pPr>
        <w:pStyle w:val="BodyText"/>
        <w:spacing w:before="200"/>
        <w:rPr>
          <w:b/>
        </w:rPr>
      </w:pPr>
    </w:p>
    <w:p>
      <w:pPr>
        <w:tabs>
          <w:tab w:pos="4230" w:val="left" w:leader="none"/>
        </w:tabs>
        <w:spacing w:before="0"/>
        <w:ind w:left="380" w:right="0" w:firstLine="0"/>
        <w:jc w:val="left"/>
        <w:rPr>
          <w:b/>
          <w:sz w:val="22"/>
        </w:rPr>
      </w:pPr>
      <w:r>
        <w:rPr>
          <w:b/>
          <w:spacing w:val="-5"/>
          <w:sz w:val="22"/>
        </w:rPr>
        <w:t>1.0</w:t>
      </w:r>
      <w:r>
        <w:rPr>
          <w:b/>
          <w:sz w:val="22"/>
        </w:rPr>
        <w:tab/>
      </w:r>
      <w:r>
        <w:rPr>
          <w:b/>
          <w:spacing w:val="-2"/>
          <w:sz w:val="22"/>
        </w:rPr>
        <w:t>INTRODUCTION</w:t>
      </w:r>
    </w:p>
    <w:p>
      <w:pPr>
        <w:pStyle w:val="BodyText"/>
        <w:spacing w:before="197"/>
        <w:rPr>
          <w:b/>
        </w:rPr>
      </w:pPr>
    </w:p>
    <w:p>
      <w:pPr>
        <w:spacing w:line="480" w:lineRule="auto" w:before="0"/>
        <w:ind w:left="1100" w:right="973" w:firstLine="720"/>
        <w:jc w:val="both"/>
        <w:rPr>
          <w:sz w:val="22"/>
        </w:rPr>
      </w:pPr>
      <w:r>
        <w:rPr>
          <w:sz w:val="22"/>
        </w:rPr>
        <w:t>Honey is a sweet food made by bees using nectar from flowers. The variety</w:t>
      </w:r>
      <w:r>
        <w:rPr>
          <w:spacing w:val="40"/>
          <w:sz w:val="22"/>
        </w:rPr>
        <w:t> </w:t>
      </w:r>
      <w:r>
        <w:rPr>
          <w:sz w:val="22"/>
        </w:rPr>
        <w:t>produced by honey bees (the genus </w:t>
      </w:r>
      <w:r>
        <w:rPr>
          <w:i/>
          <w:sz w:val="22"/>
        </w:rPr>
        <w:t>Apis</w:t>
      </w:r>
      <w:r>
        <w:rPr>
          <w:sz w:val="22"/>
        </w:rPr>
        <w:t>) is the one most commonly referred to and is the type of honey collected by beekeepers and consumed by humans. The various species of</w:t>
      </w:r>
      <w:r>
        <w:rPr>
          <w:spacing w:val="40"/>
          <w:sz w:val="22"/>
        </w:rPr>
        <w:t> </w:t>
      </w:r>
      <w:r>
        <w:rPr>
          <w:i/>
          <w:sz w:val="22"/>
        </w:rPr>
        <w:t>Apis </w:t>
      </w:r>
      <w:r>
        <w:rPr>
          <w:sz w:val="22"/>
        </w:rPr>
        <w:t>include; </w:t>
      </w:r>
      <w:hyperlink r:id="rId6">
        <w:r>
          <w:rPr>
            <w:i/>
            <w:sz w:val="22"/>
          </w:rPr>
          <w:t>Apis andreniformis</w:t>
        </w:r>
        <w:r>
          <w:rPr>
            <w:sz w:val="22"/>
          </w:rPr>
          <w:t>,</w:t>
        </w:r>
      </w:hyperlink>
      <w:r>
        <w:rPr>
          <w:sz w:val="22"/>
        </w:rPr>
        <w:t> </w:t>
      </w:r>
      <w:hyperlink r:id="rId7">
        <w:r>
          <w:rPr>
            <w:i/>
            <w:sz w:val="22"/>
          </w:rPr>
          <w:t>Apis florea</w:t>
        </w:r>
        <w:r>
          <w:rPr>
            <w:sz w:val="22"/>
          </w:rPr>
          <w:t>,</w:t>
        </w:r>
      </w:hyperlink>
      <w:r>
        <w:rPr>
          <w:sz w:val="22"/>
        </w:rPr>
        <w:t> </w:t>
      </w:r>
      <w:hyperlink r:id="rId8">
        <w:r>
          <w:rPr>
            <w:i/>
            <w:sz w:val="22"/>
          </w:rPr>
          <w:t>Apis dorsata</w:t>
        </w:r>
        <w:r>
          <w:rPr>
            <w:sz w:val="22"/>
          </w:rPr>
          <w:t>,</w:t>
        </w:r>
      </w:hyperlink>
      <w:r>
        <w:rPr>
          <w:sz w:val="22"/>
        </w:rPr>
        <w:t> </w:t>
      </w:r>
      <w:hyperlink r:id="rId9">
        <w:r>
          <w:rPr>
            <w:i/>
            <w:sz w:val="22"/>
          </w:rPr>
          <w:t>Apis cerana</w:t>
        </w:r>
        <w:r>
          <w:rPr>
            <w:sz w:val="22"/>
          </w:rPr>
          <w:t>,</w:t>
        </w:r>
      </w:hyperlink>
      <w:r>
        <w:rPr>
          <w:sz w:val="22"/>
        </w:rPr>
        <w:t> </w:t>
      </w:r>
      <w:hyperlink r:id="rId10">
        <w:r>
          <w:rPr>
            <w:i/>
            <w:sz w:val="22"/>
          </w:rPr>
          <w:t>Apis koschevnikovi</w:t>
        </w:r>
        <w:r>
          <w:rPr>
            <w:sz w:val="22"/>
          </w:rPr>
          <w:t>,</w:t>
        </w:r>
      </w:hyperlink>
      <w:r>
        <w:rPr>
          <w:sz w:val="22"/>
        </w:rPr>
        <w:t> </w:t>
      </w:r>
      <w:hyperlink r:id="rId11">
        <w:r>
          <w:rPr>
            <w:i/>
            <w:sz w:val="22"/>
          </w:rPr>
          <w:t>Apis mellifera</w:t>
        </w:r>
        <w:r>
          <w:rPr>
            <w:sz w:val="22"/>
          </w:rPr>
          <w:t>,</w:t>
        </w:r>
      </w:hyperlink>
      <w:r>
        <w:rPr>
          <w:sz w:val="22"/>
        </w:rPr>
        <w:t> </w:t>
      </w:r>
      <w:hyperlink r:id="rId12">
        <w:r>
          <w:rPr>
            <w:i/>
            <w:sz w:val="22"/>
          </w:rPr>
          <w:t>Apis nigrocincta</w:t>
        </w:r>
      </w:hyperlink>
      <w:r>
        <w:rPr>
          <w:i/>
          <w:sz w:val="22"/>
        </w:rPr>
        <w:t> </w:t>
      </w:r>
      <w:r>
        <w:rPr>
          <w:sz w:val="22"/>
        </w:rPr>
        <w:t>(Silveira </w:t>
      </w:r>
      <w:r>
        <w:rPr>
          <w:i/>
          <w:sz w:val="22"/>
        </w:rPr>
        <w:t>et al., </w:t>
      </w:r>
      <w:r>
        <w:rPr>
          <w:sz w:val="22"/>
        </w:rPr>
        <w:t>2002).</w:t>
      </w:r>
    </w:p>
    <w:p>
      <w:pPr>
        <w:pStyle w:val="BodyText"/>
        <w:spacing w:line="480" w:lineRule="auto" w:before="161"/>
        <w:ind w:left="1100" w:right="975" w:firstLine="720"/>
        <w:jc w:val="both"/>
      </w:pPr>
      <w:r>
        <w:rPr/>
        <w:t>Honey bees convert nectar into honey by a process of regurgitation and store it as primary food source in</w:t>
      </w:r>
      <w:r>
        <w:rPr>
          <w:spacing w:val="-1"/>
        </w:rPr>
        <w:t> </w:t>
      </w:r>
      <w:r>
        <w:rPr/>
        <w:t>wax</w:t>
      </w:r>
      <w:r>
        <w:rPr>
          <w:spacing w:val="-1"/>
        </w:rPr>
        <w:t> </w:t>
      </w:r>
      <w:r>
        <w:rPr/>
        <w:t>honeycombs inside the beehive. The sweet taste</w:t>
      </w:r>
      <w:r>
        <w:rPr>
          <w:spacing w:val="-2"/>
        </w:rPr>
        <w:t> </w:t>
      </w:r>
      <w:r>
        <w:rPr/>
        <w:t>of honey is as a result of the monosaccharides; fructose and glucose and has approximately the same</w:t>
      </w:r>
      <w:r>
        <w:rPr>
          <w:spacing w:val="40"/>
        </w:rPr>
        <w:t> </w:t>
      </w:r>
      <w:r>
        <w:rPr/>
        <w:t>relative sweetness as that of granulated sugar (National Honey Board, 2010). It has</w:t>
      </w:r>
      <w:r>
        <w:rPr>
          <w:spacing w:val="80"/>
        </w:rPr>
        <w:t> </w:t>
      </w:r>
      <w:r>
        <w:rPr/>
        <w:t>attractive chemical properties for baking, and a distinctive flavor that leads some people to prefer it over sugar and other sweeteners. Most microorganisms do not grow in honey because of its low water activity of 0.6 (Molan, 1992c).</w:t>
      </w:r>
    </w:p>
    <w:p>
      <w:pPr>
        <w:pStyle w:val="BodyText"/>
        <w:spacing w:line="480" w:lineRule="auto" w:before="201"/>
        <w:ind w:left="1100" w:right="977" w:firstLine="720"/>
        <w:jc w:val="both"/>
      </w:pPr>
      <w:r>
        <w:rPr/>
        <w:t>Hydrogen peroxide (H</w:t>
      </w:r>
      <w:r>
        <w:rPr>
          <w:vertAlign w:val="subscript"/>
        </w:rPr>
        <w:t>2</w:t>
      </w:r>
      <w:r>
        <w:rPr>
          <w:vertAlign w:val="baseline"/>
        </w:rPr>
        <w:t>O</w:t>
      </w:r>
      <w:r>
        <w:rPr>
          <w:vertAlign w:val="subscript"/>
        </w:rPr>
        <w:t>2</w:t>
      </w:r>
      <w:r>
        <w:rPr>
          <w:vertAlign w:val="baseline"/>
        </w:rPr>
        <w:t>), methylglyoxal (MGO), bee defensin, pH and osmotic effect of honey are known to be responsible for the antimicrobial effects (Mandal, 2011).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2"/>
      </w:pPr>
    </w:p>
    <w:p>
      <w:pPr>
        <w:pStyle w:val="BodyText"/>
        <w:spacing w:line="482" w:lineRule="auto"/>
        <w:ind w:left="1100" w:right="979" w:firstLine="720"/>
        <w:jc w:val="both"/>
      </w:pPr>
      <w:r>
        <w:rPr/>
        <w:t>Lemon fruit is an</w:t>
      </w:r>
      <w:r>
        <w:rPr>
          <w:spacing w:val="-1"/>
        </w:rPr>
        <w:t> </w:t>
      </w:r>
      <w:r>
        <w:rPr/>
        <w:t>inexpensive, easily available citrus fruit, popular for its</w:t>
      </w:r>
      <w:r>
        <w:rPr>
          <w:spacing w:val="-2"/>
        </w:rPr>
        <w:t> </w:t>
      </w:r>
      <w:r>
        <w:rPr/>
        <w:t>culinary</w:t>
      </w:r>
      <w:r>
        <w:rPr>
          <w:spacing w:val="-2"/>
        </w:rPr>
        <w:t> </w:t>
      </w:r>
      <w:r>
        <w:rPr/>
        <w:t>and medicinal uses (NPCS, 2012). The Lemon fruit juice consists of about 5% citric acid that gives a sour (tarty) taste to the lemon. It is a rich source of vitamin C (Andrew, 2010; NPCS, 2012).</w:t>
      </w:r>
    </w:p>
    <w:p>
      <w:pPr>
        <w:pStyle w:val="BodyText"/>
        <w:spacing w:before="195"/>
        <w:ind w:left="1100"/>
      </w:pPr>
      <w:r>
        <w:rPr/>
        <w:t>Lemon</w:t>
      </w:r>
      <w:r>
        <w:rPr>
          <w:spacing w:val="-7"/>
        </w:rPr>
        <w:t> </w:t>
      </w:r>
      <w:r>
        <w:rPr/>
        <w:t>has</w:t>
      </w:r>
      <w:r>
        <w:rPr>
          <w:spacing w:val="-6"/>
        </w:rPr>
        <w:t> </w:t>
      </w:r>
      <w:r>
        <w:rPr/>
        <w:t>been</w:t>
      </w:r>
      <w:r>
        <w:rPr>
          <w:spacing w:val="-6"/>
        </w:rPr>
        <w:t> </w:t>
      </w:r>
      <w:r>
        <w:rPr/>
        <w:t>classified</w:t>
      </w:r>
      <w:r>
        <w:rPr>
          <w:spacing w:val="-6"/>
        </w:rPr>
        <w:t> </w:t>
      </w:r>
      <w:r>
        <w:rPr/>
        <w:t>scientifically</w:t>
      </w:r>
      <w:r>
        <w:rPr>
          <w:spacing w:val="-3"/>
        </w:rPr>
        <w:t> </w:t>
      </w:r>
      <w:r>
        <w:rPr>
          <w:spacing w:val="-4"/>
        </w:rPr>
        <w:t>into:</w:t>
      </w:r>
    </w:p>
    <w:p>
      <w:pPr>
        <w:spacing w:after="0"/>
        <w:sectPr>
          <w:pgSz w:w="11910" w:h="16840"/>
          <w:pgMar w:header="0" w:footer="1055" w:top="1380" w:bottom="1240" w:left="1060" w:right="460"/>
        </w:sectPr>
      </w:pPr>
    </w:p>
    <w:p>
      <w:pPr>
        <w:tabs>
          <w:tab w:pos="3260" w:val="left" w:leader="none"/>
        </w:tabs>
        <w:spacing w:before="41"/>
        <w:ind w:left="1100" w:right="0" w:firstLine="0"/>
        <w:jc w:val="left"/>
        <w:rPr>
          <w:sz w:val="22"/>
        </w:rPr>
      </w:pPr>
      <w:r>
        <w:rPr>
          <w:spacing w:val="-2"/>
          <w:sz w:val="22"/>
        </w:rPr>
        <w:t>Kingdom:</w:t>
      </w:r>
      <w:r>
        <w:rPr>
          <w:sz w:val="22"/>
        </w:rPr>
        <w:tab/>
      </w:r>
      <w:r>
        <w:rPr>
          <w:i/>
          <w:spacing w:val="-2"/>
          <w:sz w:val="22"/>
        </w:rPr>
        <w:t>Plantae</w:t>
      </w:r>
      <w:r>
        <w:rPr>
          <w:spacing w:val="-2"/>
          <w:sz w:val="22"/>
        </w:rPr>
        <w:t>;</w:t>
      </w:r>
    </w:p>
    <w:p>
      <w:pPr>
        <w:pStyle w:val="BodyText"/>
        <w:spacing w:before="200"/>
      </w:pPr>
    </w:p>
    <w:p>
      <w:pPr>
        <w:tabs>
          <w:tab w:pos="2540" w:val="left" w:leader="none"/>
          <w:tab w:pos="3260" w:val="left" w:leader="none"/>
        </w:tabs>
        <w:spacing w:line="657" w:lineRule="auto" w:before="0"/>
        <w:ind w:left="1100" w:right="6106" w:firstLine="0"/>
        <w:jc w:val="left"/>
        <w:rPr>
          <w:sz w:val="22"/>
        </w:rPr>
      </w:pPr>
      <w:r>
        <w:rPr>
          <w:spacing w:val="-2"/>
          <w:sz w:val="22"/>
        </w:rPr>
        <w:t>Order:</w:t>
      </w:r>
      <w:r>
        <w:rPr>
          <w:sz w:val="22"/>
        </w:rPr>
        <w:tab/>
        <w:tab/>
      </w:r>
      <w:r>
        <w:rPr>
          <w:i/>
          <w:spacing w:val="-2"/>
          <w:sz w:val="22"/>
        </w:rPr>
        <w:t>Sapindales</w:t>
      </w:r>
      <w:r>
        <w:rPr>
          <w:spacing w:val="-2"/>
          <w:sz w:val="22"/>
        </w:rPr>
        <w:t>; Family:</w:t>
      </w:r>
      <w:r>
        <w:rPr>
          <w:sz w:val="22"/>
        </w:rPr>
        <w:tab/>
      </w:r>
      <w:r>
        <w:rPr>
          <w:i/>
          <w:spacing w:val="-2"/>
          <w:sz w:val="22"/>
        </w:rPr>
        <w:t>Rutaceae</w:t>
      </w:r>
      <w:r>
        <w:rPr>
          <w:spacing w:val="-2"/>
          <w:sz w:val="22"/>
        </w:rPr>
        <w:t>;</w:t>
      </w:r>
    </w:p>
    <w:p>
      <w:pPr>
        <w:tabs>
          <w:tab w:pos="2540" w:val="left" w:leader="none"/>
        </w:tabs>
        <w:spacing w:before="2"/>
        <w:ind w:left="1100" w:right="0" w:firstLine="0"/>
        <w:jc w:val="left"/>
        <w:rPr>
          <w:sz w:val="22"/>
        </w:rPr>
      </w:pPr>
      <w:r>
        <w:rPr>
          <w:spacing w:val="-2"/>
          <w:sz w:val="22"/>
        </w:rPr>
        <w:t>Genus:</w:t>
      </w:r>
      <w:r>
        <w:rPr>
          <w:sz w:val="22"/>
        </w:rPr>
        <w:tab/>
      </w:r>
      <w:r>
        <w:rPr>
          <w:i/>
          <w:spacing w:val="-2"/>
          <w:sz w:val="22"/>
        </w:rPr>
        <w:t>Citrus</w:t>
      </w:r>
      <w:r>
        <w:rPr>
          <w:spacing w:val="-2"/>
          <w:sz w:val="22"/>
        </w:rPr>
        <w:t>;</w:t>
      </w:r>
    </w:p>
    <w:p>
      <w:pPr>
        <w:pStyle w:val="BodyText"/>
        <w:spacing w:before="202"/>
      </w:pPr>
    </w:p>
    <w:p>
      <w:pPr>
        <w:tabs>
          <w:tab w:pos="3260" w:val="left" w:leader="none"/>
        </w:tabs>
        <w:spacing w:before="0"/>
        <w:ind w:left="1100" w:right="0" w:firstLine="0"/>
        <w:jc w:val="left"/>
        <w:rPr>
          <w:sz w:val="22"/>
        </w:rPr>
      </w:pPr>
      <w:r>
        <w:rPr>
          <w:spacing w:val="-2"/>
          <w:sz w:val="22"/>
        </w:rPr>
        <w:t>Species:</w:t>
      </w:r>
      <w:r>
        <w:rPr>
          <w:sz w:val="22"/>
        </w:rPr>
        <w:tab/>
      </w:r>
      <w:r>
        <w:rPr>
          <w:i/>
          <w:sz w:val="22"/>
        </w:rPr>
        <w:t>limon</w:t>
      </w:r>
      <w:r>
        <w:rPr>
          <w:sz w:val="22"/>
        </w:rPr>
        <w:t>;</w:t>
      </w:r>
      <w:r>
        <w:rPr>
          <w:spacing w:val="-4"/>
          <w:sz w:val="22"/>
        </w:rPr>
        <w:t> </w:t>
      </w:r>
      <w:r>
        <w:rPr>
          <w:spacing w:val="-5"/>
          <w:sz w:val="22"/>
        </w:rPr>
        <w:t>and</w:t>
      </w:r>
    </w:p>
    <w:p>
      <w:pPr>
        <w:pStyle w:val="BodyText"/>
        <w:spacing w:before="200"/>
      </w:pPr>
    </w:p>
    <w:p>
      <w:pPr>
        <w:tabs>
          <w:tab w:pos="3260" w:val="left" w:leader="none"/>
        </w:tabs>
        <w:spacing w:before="0"/>
        <w:ind w:left="1100" w:right="0" w:firstLine="0"/>
        <w:jc w:val="left"/>
        <w:rPr>
          <w:sz w:val="22"/>
        </w:rPr>
      </w:pPr>
      <w:r>
        <w:rPr>
          <w:sz w:val="22"/>
        </w:rPr>
        <w:t>Binomial</w:t>
      </w:r>
      <w:r>
        <w:rPr>
          <w:spacing w:val="-7"/>
          <w:sz w:val="22"/>
        </w:rPr>
        <w:t> </w:t>
      </w:r>
      <w:r>
        <w:rPr>
          <w:spacing w:val="-4"/>
          <w:sz w:val="22"/>
        </w:rPr>
        <w:t>name:</w:t>
      </w:r>
      <w:r>
        <w:rPr>
          <w:sz w:val="22"/>
        </w:rPr>
        <w:tab/>
      </w:r>
      <w:r>
        <w:rPr>
          <w:i/>
          <w:sz w:val="22"/>
        </w:rPr>
        <w:t>Citrus </w:t>
      </w:r>
      <w:r>
        <w:rPr>
          <w:i/>
          <w:spacing w:val="-2"/>
          <w:sz w:val="22"/>
        </w:rPr>
        <w:t>limon</w:t>
      </w:r>
      <w:r>
        <w:rPr>
          <w:spacing w:val="-2"/>
          <w:sz w:val="22"/>
        </w:rPr>
        <w:t>.</w:t>
      </w:r>
    </w:p>
    <w:p>
      <w:pPr>
        <w:pStyle w:val="BodyText"/>
        <w:spacing w:before="192"/>
      </w:pPr>
    </w:p>
    <w:p>
      <w:pPr>
        <w:spacing w:line="480" w:lineRule="auto" w:before="0"/>
        <w:ind w:left="1100" w:right="980" w:firstLine="720"/>
        <w:jc w:val="both"/>
        <w:rPr>
          <w:rFonts w:ascii="Times New Roman"/>
          <w:sz w:val="24"/>
        </w:rPr>
      </w:pPr>
      <w:r>
        <w:rPr>
          <w:rFonts w:ascii="Times New Roman"/>
          <w:sz w:val="24"/>
        </w:rPr>
        <w:t>The different varieties of lemon are Bush lemon, Eureka, Lisbon, Meyer, Ponderosa, and Variegated pink. However, the species used in this work was the Eureka species as identified in the Herbarium section of Biological Science, Ahmadu Bello University, Zaria.</w:t>
      </w:r>
    </w:p>
    <w:p>
      <w:pPr>
        <w:pStyle w:val="BodyText"/>
        <w:spacing w:before="6"/>
        <w:rPr>
          <w:rFonts w:ascii="Times New Roman"/>
          <w:sz w:val="24"/>
        </w:rPr>
      </w:pPr>
    </w:p>
    <w:p>
      <w:pPr>
        <w:spacing w:line="480" w:lineRule="auto" w:before="0"/>
        <w:ind w:left="1100" w:right="975" w:firstLine="720"/>
        <w:jc w:val="both"/>
        <w:rPr>
          <w:rFonts w:ascii="Times New Roman"/>
          <w:sz w:val="24"/>
        </w:rPr>
      </w:pPr>
      <w:r>
        <w:rPr>
          <w:rFonts w:ascii="Times New Roman"/>
          <w:sz w:val="24"/>
        </w:rPr>
        <w:t>Eureka fruit has a markedly ribbed surface. The fruit color is yellow at maturity.</w:t>
      </w:r>
      <w:r>
        <w:rPr>
          <w:rFonts w:ascii="Times New Roman"/>
          <w:spacing w:val="40"/>
          <w:sz w:val="24"/>
        </w:rPr>
        <w:t> </w:t>
      </w:r>
      <w:r>
        <w:rPr>
          <w:rFonts w:ascii="Times New Roman"/>
          <w:sz w:val="24"/>
        </w:rPr>
        <w:t>It is a sour lemon variety and usually has fewer seeds. It is one of the two most popular</w:t>
      </w:r>
      <w:r>
        <w:rPr>
          <w:rFonts w:ascii="Times New Roman"/>
          <w:spacing w:val="-2"/>
          <w:sz w:val="24"/>
        </w:rPr>
        <w:t> </w:t>
      </w:r>
      <w:r>
        <w:rPr>
          <w:rFonts w:ascii="Times New Roman"/>
          <w:sz w:val="24"/>
        </w:rPr>
        <w:t>sour</w:t>
      </w:r>
      <w:r>
        <w:rPr>
          <w:rFonts w:ascii="Times New Roman"/>
          <w:spacing w:val="-1"/>
          <w:sz w:val="24"/>
        </w:rPr>
        <w:t> </w:t>
      </w:r>
      <w:r>
        <w:rPr>
          <w:rFonts w:ascii="Times New Roman"/>
          <w:sz w:val="24"/>
        </w:rPr>
        <w:t>lemons in the</w:t>
      </w:r>
      <w:r>
        <w:rPr>
          <w:rFonts w:ascii="Times New Roman"/>
          <w:spacing w:val="-1"/>
          <w:sz w:val="24"/>
        </w:rPr>
        <w:t> </w:t>
      </w:r>
      <w:r>
        <w:rPr>
          <w:rFonts w:ascii="Times New Roman"/>
          <w:sz w:val="24"/>
        </w:rPr>
        <w:t>world (Lisbon lemon is the</w:t>
      </w:r>
      <w:r>
        <w:rPr>
          <w:rFonts w:ascii="Times New Roman"/>
          <w:spacing w:val="-1"/>
          <w:sz w:val="24"/>
        </w:rPr>
        <w:t> </w:t>
      </w:r>
      <w:r>
        <w:rPr>
          <w:rFonts w:ascii="Times New Roman"/>
          <w:sz w:val="24"/>
        </w:rPr>
        <w:t>other</w:t>
      </w:r>
      <w:r>
        <w:rPr>
          <w:rFonts w:ascii="Times New Roman"/>
          <w:spacing w:val="-2"/>
          <w:sz w:val="24"/>
        </w:rPr>
        <w:t> </w:t>
      </w:r>
      <w:r>
        <w:rPr>
          <w:rFonts w:ascii="Times New Roman"/>
          <w:sz w:val="24"/>
        </w:rPr>
        <w:t>one) (NPCS, 2012). Lisbon lemons contain more</w:t>
      </w:r>
      <w:r>
        <w:rPr>
          <w:rFonts w:ascii="Times New Roman"/>
          <w:spacing w:val="-2"/>
          <w:sz w:val="24"/>
        </w:rPr>
        <w:t> </w:t>
      </w:r>
      <w:r>
        <w:rPr>
          <w:rFonts w:ascii="Times New Roman"/>
          <w:sz w:val="24"/>
        </w:rPr>
        <w:t>seeds than</w:t>
      </w:r>
      <w:r>
        <w:rPr>
          <w:rFonts w:ascii="Times New Roman"/>
          <w:spacing w:val="-1"/>
          <w:sz w:val="24"/>
        </w:rPr>
        <w:t> </w:t>
      </w:r>
      <w:r>
        <w:rPr>
          <w:rFonts w:ascii="Times New Roman"/>
          <w:sz w:val="24"/>
        </w:rPr>
        <w:t>Eureka</w:t>
      </w:r>
      <w:r>
        <w:rPr>
          <w:rFonts w:ascii="Times New Roman"/>
          <w:spacing w:val="-1"/>
          <w:sz w:val="24"/>
        </w:rPr>
        <w:t> </w:t>
      </w:r>
      <w:r>
        <w:rPr>
          <w:rFonts w:ascii="Times New Roman"/>
          <w:sz w:val="24"/>
        </w:rPr>
        <w:t>lemons which are</w:t>
      </w:r>
      <w:r>
        <w:rPr>
          <w:rFonts w:ascii="Times New Roman"/>
          <w:spacing w:val="-2"/>
          <w:sz w:val="24"/>
        </w:rPr>
        <w:t> </w:t>
      </w:r>
      <w:r>
        <w:rPr>
          <w:rFonts w:ascii="Times New Roman"/>
          <w:sz w:val="24"/>
        </w:rPr>
        <w:t>nearly</w:t>
      </w:r>
      <w:r>
        <w:rPr>
          <w:rFonts w:ascii="Times New Roman"/>
          <w:spacing w:val="-5"/>
          <w:sz w:val="24"/>
        </w:rPr>
        <w:t> </w:t>
      </w:r>
      <w:r>
        <w:rPr>
          <w:rFonts w:ascii="Times New Roman"/>
          <w:sz w:val="24"/>
        </w:rPr>
        <w:t>seedless. The pulp of a Eureka lemon is greenish-yellow. There are two kinds of Eureka lemon fruits: the pink Eureka variegated lemon fruit and the plain yellow.</w:t>
      </w:r>
    </w:p>
    <w:p>
      <w:pPr>
        <w:spacing w:after="0" w:line="480" w:lineRule="auto"/>
        <w:jc w:val="both"/>
        <w:rPr>
          <w:rFonts w:ascii="Times New Roman"/>
          <w:sz w:val="24"/>
        </w:rPr>
        <w:sectPr>
          <w:pgSz w:w="11910" w:h="16840"/>
          <w:pgMar w:header="0" w:footer="1055" w:top="1380" w:bottom="1240" w:left="1060" w:right="460"/>
        </w:sectPr>
      </w:pPr>
    </w:p>
    <w:p>
      <w:pPr>
        <w:tabs>
          <w:tab w:pos="5266" w:val="left" w:leader="none"/>
        </w:tabs>
        <w:spacing w:line="240" w:lineRule="auto"/>
        <w:ind w:left="410" w:right="0" w:firstLine="0"/>
        <w:rPr>
          <w:rFonts w:ascii="Times New Roman"/>
          <w:sz w:val="20"/>
        </w:rPr>
      </w:pPr>
      <w:r>
        <w:rPr>
          <w:rFonts w:ascii="Times New Roman"/>
          <w:position w:val="1"/>
          <w:sz w:val="20"/>
        </w:rPr>
        <w:drawing>
          <wp:inline distT="0" distB="0" distL="0" distR="0">
            <wp:extent cx="2491582" cy="2272855"/>
            <wp:effectExtent l="0" t="0" r="0" b="0"/>
            <wp:docPr id="2" name="Image 2" descr="https://encrypted-tbn1.gstatic.com/images?q=tbn:ANd9GcQ62Nea4-AXW21M7pdw7Y39kM79QnzghJzlMdRQ5q7CPycLdgCVKA"/>
            <wp:cNvGraphicFramePr>
              <a:graphicFrameLocks/>
            </wp:cNvGraphicFramePr>
            <a:graphic>
              <a:graphicData uri="http://schemas.openxmlformats.org/drawingml/2006/picture">
                <pic:pic>
                  <pic:nvPicPr>
                    <pic:cNvPr id="2" name="Image 2" descr="https://encrypted-tbn1.gstatic.com/images?q=tbn:ANd9GcQ62Nea4-AXW21M7pdw7Y39kM79QnzghJzlMdRQ5q7CPycLdgCVKA"/>
                    <pic:cNvPicPr/>
                  </pic:nvPicPr>
                  <pic:blipFill>
                    <a:blip r:embed="rId13" cstate="print"/>
                    <a:stretch>
                      <a:fillRect/>
                    </a:stretch>
                  </pic:blipFill>
                  <pic:spPr>
                    <a:xfrm>
                      <a:off x="0" y="0"/>
                      <a:ext cx="2491582" cy="2272855"/>
                    </a:xfrm>
                    <a:prstGeom prst="rect">
                      <a:avLst/>
                    </a:prstGeom>
                  </pic:spPr>
                </pic:pic>
              </a:graphicData>
            </a:graphic>
          </wp:inline>
        </w:drawing>
      </w:r>
      <w:r>
        <w:rPr>
          <w:rFonts w:ascii="Times New Roman"/>
          <w:position w:val="1"/>
          <w:sz w:val="20"/>
        </w:rPr>
      </w:r>
      <w:r>
        <w:rPr>
          <w:rFonts w:ascii="Times New Roman"/>
          <w:position w:val="1"/>
          <w:sz w:val="20"/>
        </w:rPr>
        <w:tab/>
      </w:r>
      <w:r>
        <w:rPr>
          <w:rFonts w:ascii="Times New Roman"/>
          <w:sz w:val="20"/>
        </w:rPr>
        <w:drawing>
          <wp:inline distT="0" distB="0" distL="0" distR="0">
            <wp:extent cx="2621548" cy="2297429"/>
            <wp:effectExtent l="0" t="0" r="0" b="0"/>
            <wp:docPr id="3" name="Image 3" descr="IMG0562A"/>
            <wp:cNvGraphicFramePr>
              <a:graphicFrameLocks/>
            </wp:cNvGraphicFramePr>
            <a:graphic>
              <a:graphicData uri="http://schemas.openxmlformats.org/drawingml/2006/picture">
                <pic:pic>
                  <pic:nvPicPr>
                    <pic:cNvPr id="3" name="Image 3" descr="IMG0562A"/>
                    <pic:cNvPicPr/>
                  </pic:nvPicPr>
                  <pic:blipFill>
                    <a:blip r:embed="rId14" cstate="print"/>
                    <a:stretch>
                      <a:fillRect/>
                    </a:stretch>
                  </pic:blipFill>
                  <pic:spPr>
                    <a:xfrm>
                      <a:off x="0" y="0"/>
                      <a:ext cx="2621548" cy="2297429"/>
                    </a:xfrm>
                    <a:prstGeom prst="rect">
                      <a:avLst/>
                    </a:prstGeom>
                  </pic:spPr>
                </pic:pic>
              </a:graphicData>
            </a:graphic>
          </wp:inline>
        </w:drawing>
      </w:r>
      <w:r>
        <w:rPr>
          <w:rFonts w:ascii="Times New Roman"/>
          <w:sz w:val="20"/>
        </w:rPr>
      </w:r>
    </w:p>
    <w:p>
      <w:pPr>
        <w:pStyle w:val="BodyText"/>
        <w:rPr>
          <w:rFonts w:ascii="Times New Roman"/>
        </w:rPr>
      </w:pPr>
    </w:p>
    <w:p>
      <w:pPr>
        <w:pStyle w:val="BodyText"/>
        <w:spacing w:before="81"/>
        <w:rPr>
          <w:rFonts w:ascii="Times New Roman"/>
        </w:rPr>
      </w:pPr>
    </w:p>
    <w:p>
      <w:pPr>
        <w:pStyle w:val="BodyText"/>
        <w:tabs>
          <w:tab w:pos="4701" w:val="left" w:leader="none"/>
        </w:tabs>
        <w:spacing w:line="508" w:lineRule="auto"/>
        <w:ind w:left="380" w:right="3061"/>
      </w:pPr>
      <w:r>
        <w:rPr/>
        <w:t>Plate I</w:t>
      </w:r>
      <w:r>
        <w:rPr>
          <w:vertAlign w:val="subscript"/>
        </w:rPr>
        <w:t>a</w:t>
      </w:r>
      <w:r>
        <w:rPr>
          <w:vertAlign w:val="baseline"/>
        </w:rPr>
        <w:t>: Eureka Lemon Fruits</w:t>
        <w:tab/>
        <w:t>Plate</w:t>
      </w:r>
      <w:r>
        <w:rPr>
          <w:spacing w:val="-10"/>
          <w:vertAlign w:val="baseline"/>
        </w:rPr>
        <w:t> </w:t>
      </w:r>
      <w:r>
        <w:rPr>
          <w:vertAlign w:val="baseline"/>
        </w:rPr>
        <w:t>I</w:t>
      </w:r>
      <w:r>
        <w:rPr>
          <w:vertAlign w:val="subscript"/>
        </w:rPr>
        <w:t>b</w:t>
      </w:r>
      <w:r>
        <w:rPr>
          <w:vertAlign w:val="baseline"/>
        </w:rPr>
        <w:t>:</w:t>
      </w:r>
      <w:r>
        <w:rPr>
          <w:spacing w:val="-9"/>
          <w:vertAlign w:val="baseline"/>
        </w:rPr>
        <w:t> </w:t>
      </w:r>
      <w:r>
        <w:rPr>
          <w:vertAlign w:val="baseline"/>
        </w:rPr>
        <w:t>Eureka</w:t>
      </w:r>
      <w:r>
        <w:rPr>
          <w:spacing w:val="-9"/>
          <w:vertAlign w:val="baseline"/>
        </w:rPr>
        <w:t> </w:t>
      </w:r>
      <w:r>
        <w:rPr>
          <w:vertAlign w:val="baseline"/>
        </w:rPr>
        <w:t>Lemon</w:t>
      </w:r>
      <w:r>
        <w:rPr>
          <w:spacing w:val="-9"/>
          <w:vertAlign w:val="baseline"/>
        </w:rPr>
        <w:t> </w:t>
      </w:r>
      <w:r>
        <w:rPr>
          <w:vertAlign w:val="baseline"/>
        </w:rPr>
        <w:t>Fruits. (Moon Growers, 2010).</w:t>
      </w:r>
    </w:p>
    <w:p>
      <w:pPr>
        <w:pStyle w:val="Heading3"/>
        <w:tabs>
          <w:tab w:pos="3260" w:val="left" w:leader="none"/>
        </w:tabs>
        <w:spacing w:line="267" w:lineRule="exact"/>
        <w:ind w:left="380"/>
      </w:pPr>
      <w:r>
        <w:rPr>
          <w:spacing w:val="-5"/>
        </w:rPr>
        <w:t>1.1</w:t>
      </w:r>
      <w:r>
        <w:rPr/>
        <w:tab/>
        <w:t>Background</w:t>
      </w:r>
      <w:r>
        <w:rPr>
          <w:spacing w:val="-5"/>
        </w:rPr>
        <w:t> </w:t>
      </w:r>
      <w:r>
        <w:rPr/>
        <w:t>of</w:t>
      </w:r>
      <w:r>
        <w:rPr>
          <w:spacing w:val="-4"/>
        </w:rPr>
        <w:t> </w:t>
      </w:r>
      <w:r>
        <w:rPr/>
        <w:t>the</w:t>
      </w:r>
      <w:r>
        <w:rPr>
          <w:spacing w:val="-5"/>
        </w:rPr>
        <w:t> </w:t>
      </w:r>
      <w:r>
        <w:rPr>
          <w:spacing w:val="-2"/>
        </w:rPr>
        <w:t>Study</w:t>
      </w:r>
    </w:p>
    <w:p>
      <w:pPr>
        <w:pStyle w:val="BodyText"/>
        <w:rPr>
          <w:b/>
        </w:rPr>
      </w:pPr>
    </w:p>
    <w:p>
      <w:pPr>
        <w:pStyle w:val="BodyText"/>
        <w:spacing w:before="12"/>
        <w:rPr>
          <w:b/>
        </w:rPr>
      </w:pPr>
    </w:p>
    <w:p>
      <w:pPr>
        <w:pStyle w:val="BodyText"/>
        <w:spacing w:line="480" w:lineRule="auto" w:before="1"/>
        <w:ind w:left="1100" w:right="973" w:firstLine="720"/>
        <w:jc w:val="both"/>
      </w:pPr>
      <w:r>
        <w:rPr/>
        <w:t>The respiratory tract extends from the larynx to the nostrils and comprises of oropharynx and the nasopharynx together with the communicating cavities, the sinuses, the middle ear and extends to the lungs. The respiratory tract is the part of the </w:t>
      </w:r>
      <w:hyperlink r:id="rId15">
        <w:r>
          <w:rPr/>
          <w:t>anatomy</w:t>
        </w:r>
      </w:hyperlink>
      <w:r>
        <w:rPr>
          <w:spacing w:val="40"/>
        </w:rPr>
        <w:t> </w:t>
      </w:r>
      <w:r>
        <w:rPr/>
        <w:t>involved with the process</w:t>
      </w:r>
      <w:r>
        <w:rPr>
          <w:spacing w:val="-1"/>
        </w:rPr>
        <w:t> </w:t>
      </w:r>
      <w:r>
        <w:rPr/>
        <w:t>of </w:t>
      </w:r>
      <w:hyperlink r:id="rId16">
        <w:r>
          <w:rPr/>
          <w:t>respiration</w:t>
        </w:r>
      </w:hyperlink>
      <w:r>
        <w:rPr/>
        <w:t> (Jeremy </w:t>
      </w:r>
      <w:r>
        <w:rPr>
          <w:i/>
        </w:rPr>
        <w:t>et al</w:t>
      </w:r>
      <w:r>
        <w:rPr/>
        <w:t>., 2006). The respiratory tract is divided into the upper and the lower respiratory tract.</w:t>
      </w:r>
      <w:r>
        <w:rPr>
          <w:spacing w:val="40"/>
        </w:rPr>
        <w:t> </w:t>
      </w:r>
      <w:r>
        <w:rPr/>
        <w:t>The </w:t>
      </w:r>
      <w:hyperlink r:id="rId17">
        <w:r>
          <w:rPr/>
          <w:t>upper respiratory tract</w:t>
        </w:r>
      </w:hyperlink>
      <w:r>
        <w:rPr>
          <w:spacing w:val="-1"/>
        </w:rPr>
        <w:t> </w:t>
      </w:r>
      <w:r>
        <w:rPr/>
        <w:t>is generally considered</w:t>
      </w:r>
      <w:r>
        <w:rPr>
          <w:spacing w:val="59"/>
        </w:rPr>
        <w:t>  </w:t>
      </w:r>
      <w:r>
        <w:rPr/>
        <w:t>to</w:t>
      </w:r>
      <w:r>
        <w:rPr>
          <w:spacing w:val="60"/>
        </w:rPr>
        <w:t>  </w:t>
      </w:r>
      <w:r>
        <w:rPr/>
        <w:t>be</w:t>
      </w:r>
      <w:r>
        <w:rPr>
          <w:spacing w:val="60"/>
        </w:rPr>
        <w:t>  </w:t>
      </w:r>
      <w:r>
        <w:rPr/>
        <w:t>the</w:t>
      </w:r>
      <w:r>
        <w:rPr>
          <w:spacing w:val="58"/>
        </w:rPr>
        <w:t>  </w:t>
      </w:r>
      <w:r>
        <w:rPr/>
        <w:t>airway</w:t>
      </w:r>
      <w:r>
        <w:rPr>
          <w:spacing w:val="60"/>
        </w:rPr>
        <w:t>  </w:t>
      </w:r>
      <w:r>
        <w:rPr/>
        <w:t>above</w:t>
      </w:r>
      <w:r>
        <w:rPr>
          <w:spacing w:val="60"/>
        </w:rPr>
        <w:t>  </w:t>
      </w:r>
      <w:r>
        <w:rPr/>
        <w:t>the</w:t>
      </w:r>
      <w:r>
        <w:rPr>
          <w:spacing w:val="-1"/>
        </w:rPr>
        <w:t> </w:t>
      </w:r>
      <w:hyperlink r:id="rId18">
        <w:r>
          <w:rPr/>
          <w:t>glottis</w:t>
        </w:r>
      </w:hyperlink>
      <w:r>
        <w:rPr>
          <w:spacing w:val="-3"/>
        </w:rPr>
        <w:t> </w:t>
      </w:r>
      <w:r>
        <w:rPr/>
        <w:t>or</w:t>
      </w:r>
      <w:r>
        <w:rPr>
          <w:spacing w:val="59"/>
        </w:rPr>
        <w:t>  </w:t>
      </w:r>
      <w:r>
        <w:rPr/>
        <w:t>vocal</w:t>
      </w:r>
      <w:r>
        <w:rPr>
          <w:spacing w:val="59"/>
        </w:rPr>
        <w:t>  </w:t>
      </w:r>
      <w:r>
        <w:rPr/>
        <w:t>cords.</w:t>
      </w:r>
      <w:r>
        <w:rPr>
          <w:spacing w:val="59"/>
        </w:rPr>
        <w:t>  </w:t>
      </w:r>
      <w:r>
        <w:rPr/>
        <w:t>This</w:t>
      </w:r>
      <w:r>
        <w:rPr>
          <w:spacing w:val="59"/>
        </w:rPr>
        <w:t>  </w:t>
      </w:r>
      <w:r>
        <w:rPr/>
        <w:t>includes the</w:t>
      </w:r>
      <w:r>
        <w:rPr>
          <w:spacing w:val="-1"/>
        </w:rPr>
        <w:t> </w:t>
      </w:r>
      <w:hyperlink r:id="rId19">
        <w:r>
          <w:rPr/>
          <w:t>nose,</w:t>
        </w:r>
      </w:hyperlink>
      <w:r>
        <w:rPr>
          <w:spacing w:val="-1"/>
        </w:rPr>
        <w:t> </w:t>
      </w:r>
      <w:hyperlink r:id="rId20">
        <w:r>
          <w:rPr/>
          <w:t>sinuses,</w:t>
        </w:r>
      </w:hyperlink>
      <w:r>
        <w:rPr>
          <w:spacing w:val="-1"/>
        </w:rPr>
        <w:t> </w:t>
      </w:r>
      <w:hyperlink r:id="rId21">
        <w:r>
          <w:rPr/>
          <w:t>pharynx,</w:t>
        </w:r>
      </w:hyperlink>
      <w:r>
        <w:rPr/>
        <w:t> and</w:t>
      </w:r>
      <w:r>
        <w:rPr>
          <w:spacing w:val="-1"/>
        </w:rPr>
        <w:t> </w:t>
      </w:r>
      <w:hyperlink r:id="rId22">
        <w:r>
          <w:rPr/>
          <w:t>larynx</w:t>
        </w:r>
      </w:hyperlink>
      <w:r>
        <w:rPr/>
        <w:t> (Sabyasachi, 2008). Whereas, the lower respiratory tract consists of the trachea (wind pipe), </w:t>
      </w:r>
      <w:hyperlink r:id="rId23">
        <w:r>
          <w:rPr/>
          <w:t>bronchial tubes,</w:t>
        </w:r>
      </w:hyperlink>
      <w:r>
        <w:rPr/>
        <w:t> the </w:t>
      </w:r>
      <w:hyperlink r:id="rId24">
        <w:r>
          <w:rPr/>
          <w:t>bronchioles</w:t>
        </w:r>
      </w:hyperlink>
      <w:r>
        <w:rPr/>
        <w:t>, and the </w:t>
      </w:r>
      <w:hyperlink r:id="rId25">
        <w:r>
          <w:rPr/>
          <w:t>lungs</w:t>
        </w:r>
      </w:hyperlink>
      <w:r>
        <w:rPr/>
        <w:t> (Venkat, 2013). Infections involving this tract are referred to as respiratory tract infections (Eccles </w:t>
      </w:r>
      <w:r>
        <w:rPr>
          <w:i/>
        </w:rPr>
        <w:t>et al</w:t>
      </w:r>
      <w:r>
        <w:rPr/>
        <w:t>., 2007). Several parts of the respiratory tract may be affected by the infection giving rise to several conditions including pharyngitis, tonsillitis, and resulting to a “sore throat”, nasopharyngitis, otitis media, sinusitis, epiglottitis, bronchitis, pneumonia, etc. Infection</w:t>
      </w:r>
      <w:r>
        <w:rPr>
          <w:spacing w:val="-4"/>
        </w:rPr>
        <w:t> </w:t>
      </w:r>
      <w:r>
        <w:rPr/>
        <w:t>of</w:t>
      </w:r>
      <w:r>
        <w:rPr>
          <w:spacing w:val="-1"/>
        </w:rPr>
        <w:t> </w:t>
      </w:r>
      <w:r>
        <w:rPr/>
        <w:t>the</w:t>
      </w:r>
      <w:r>
        <w:rPr>
          <w:spacing w:val="-1"/>
        </w:rPr>
        <w:t> </w:t>
      </w:r>
      <w:r>
        <w:rPr/>
        <w:t>respiratory</w:t>
      </w:r>
      <w:r>
        <w:rPr>
          <w:spacing w:val="-3"/>
        </w:rPr>
        <w:t> </w:t>
      </w:r>
      <w:r>
        <w:rPr/>
        <w:t>tract</w:t>
      </w:r>
      <w:r>
        <w:rPr>
          <w:spacing w:val="-1"/>
        </w:rPr>
        <w:t> </w:t>
      </w:r>
      <w:r>
        <w:rPr/>
        <w:t>is</w:t>
      </w:r>
      <w:r>
        <w:rPr>
          <w:spacing w:val="-4"/>
        </w:rPr>
        <w:t> </w:t>
      </w:r>
      <w:r>
        <w:rPr/>
        <w:t>one</w:t>
      </w:r>
      <w:r>
        <w:rPr>
          <w:spacing w:val="-1"/>
        </w:rPr>
        <w:t> </w:t>
      </w:r>
      <w:r>
        <w:rPr/>
        <w:t>of</w:t>
      </w:r>
      <w:r>
        <w:rPr>
          <w:spacing w:val="-3"/>
        </w:rPr>
        <w:t> </w:t>
      </w:r>
      <w:r>
        <w:rPr/>
        <w:t>the most common</w:t>
      </w:r>
      <w:r>
        <w:rPr>
          <w:spacing w:val="-2"/>
        </w:rPr>
        <w:t> </w:t>
      </w:r>
      <w:r>
        <w:rPr/>
        <w:t>illness in</w:t>
      </w:r>
      <w:r>
        <w:rPr>
          <w:spacing w:val="-3"/>
        </w:rPr>
        <w:t> </w:t>
      </w:r>
      <w:r>
        <w:rPr/>
        <w:t>the</w:t>
      </w:r>
      <w:r>
        <w:rPr>
          <w:spacing w:val="-1"/>
        </w:rPr>
        <w:t> </w:t>
      </w:r>
      <w:r>
        <w:rPr/>
        <w:t>general</w:t>
      </w:r>
      <w:r>
        <w:rPr>
          <w:spacing w:val="-1"/>
        </w:rPr>
        <w:t> </w:t>
      </w:r>
      <w:r>
        <w:rPr/>
        <w:t>population and results in significant morbidity, which may account for missed days of work and school,</w:t>
      </w:r>
    </w:p>
    <w:p>
      <w:pPr>
        <w:pStyle w:val="BodyText"/>
        <w:spacing w:before="1"/>
        <w:ind w:left="1100"/>
        <w:jc w:val="both"/>
      </w:pPr>
      <w:r>
        <w:rPr/>
        <w:t>it</w:t>
      </w:r>
      <w:r>
        <w:rPr>
          <w:spacing w:val="-3"/>
        </w:rPr>
        <w:t> </w:t>
      </w:r>
      <w:r>
        <w:rPr/>
        <w:t>also</w:t>
      </w:r>
      <w:r>
        <w:rPr>
          <w:spacing w:val="-5"/>
        </w:rPr>
        <w:t> </w:t>
      </w:r>
      <w:r>
        <w:rPr/>
        <w:t>contribute</w:t>
      </w:r>
      <w:r>
        <w:rPr>
          <w:spacing w:val="-5"/>
        </w:rPr>
        <w:t> </w:t>
      </w:r>
      <w:r>
        <w:rPr/>
        <w:t>to</w:t>
      </w:r>
      <w:r>
        <w:rPr>
          <w:spacing w:val="-3"/>
        </w:rPr>
        <w:t> </w:t>
      </w:r>
      <w:r>
        <w:rPr>
          <w:spacing w:val="-2"/>
        </w:rPr>
        <w:t>mortality.</w:t>
      </w:r>
    </w:p>
    <w:p>
      <w:pPr>
        <w:spacing w:after="0"/>
        <w:jc w:val="both"/>
        <w:sectPr>
          <w:pgSz w:w="11910" w:h="16840"/>
          <w:pgMar w:header="0" w:footer="1055" w:top="1420" w:bottom="1240" w:left="1060" w:right="460"/>
        </w:sectPr>
      </w:pPr>
    </w:p>
    <w:p>
      <w:pPr>
        <w:spacing w:line="480" w:lineRule="auto" w:before="38"/>
        <w:ind w:left="1100" w:right="972" w:firstLine="720"/>
        <w:jc w:val="both"/>
        <w:rPr>
          <w:sz w:val="22"/>
        </w:rPr>
      </w:pPr>
      <w:r>
        <w:rPr>
          <w:sz w:val="22"/>
        </w:rPr>
        <w:t>The respiratory tract infections range from pneumonia (</w:t>
      </w:r>
      <w:r>
        <w:rPr>
          <w:i/>
          <w:sz w:val="22"/>
        </w:rPr>
        <w:t>caused by Klebsiella pneumoniae</w:t>
      </w:r>
      <w:r>
        <w:rPr>
          <w:sz w:val="22"/>
        </w:rPr>
        <w:t>, </w:t>
      </w:r>
      <w:r>
        <w:rPr>
          <w:i/>
          <w:sz w:val="22"/>
        </w:rPr>
        <w:t>Haemophilus influenzae</w:t>
      </w:r>
      <w:r>
        <w:rPr>
          <w:sz w:val="22"/>
        </w:rPr>
        <w:t>, </w:t>
      </w:r>
      <w:r>
        <w:rPr>
          <w:i/>
          <w:sz w:val="22"/>
        </w:rPr>
        <w:t>Streptococcus pneumoniae</w:t>
      </w:r>
      <w:r>
        <w:rPr>
          <w:sz w:val="22"/>
        </w:rPr>
        <w:t>), ear infection-(otitis media), conjunctivitis, epiglottis (caused by </w:t>
      </w:r>
      <w:r>
        <w:rPr>
          <w:i/>
          <w:sz w:val="22"/>
        </w:rPr>
        <w:t>Haemophilus influenza </w:t>
      </w:r>
      <w:r>
        <w:rPr>
          <w:sz w:val="22"/>
        </w:rPr>
        <w:t>and </w:t>
      </w:r>
      <w:r>
        <w:rPr>
          <w:i/>
          <w:sz w:val="22"/>
        </w:rPr>
        <w:t>Pseudomonas aeruginosa</w:t>
      </w:r>
      <w:r>
        <w:rPr>
          <w:sz w:val="22"/>
        </w:rPr>
        <w:t>), tonsillitis, pharyngitis, laryngitis, sinusitis, and common cold (caused by </w:t>
      </w:r>
      <w:r>
        <w:rPr>
          <w:i/>
          <w:sz w:val="22"/>
        </w:rPr>
        <w:t>Staphylococcus aureus</w:t>
      </w:r>
      <w:r>
        <w:rPr>
          <w:sz w:val="22"/>
        </w:rPr>
        <w:t>, </w:t>
      </w:r>
      <w:r>
        <w:rPr>
          <w:i/>
          <w:sz w:val="22"/>
        </w:rPr>
        <w:t>Streptococcus pyogene</w:t>
      </w:r>
      <w:r>
        <w:rPr>
          <w:sz w:val="22"/>
        </w:rPr>
        <w:t>, </w:t>
      </w:r>
      <w:r>
        <w:rPr>
          <w:i/>
          <w:sz w:val="22"/>
        </w:rPr>
        <w:t>Haemophilus influenzae</w:t>
      </w:r>
      <w:r>
        <w:rPr>
          <w:sz w:val="22"/>
        </w:rPr>
        <w:t>, and/or </w:t>
      </w:r>
      <w:r>
        <w:rPr>
          <w:i/>
          <w:sz w:val="22"/>
        </w:rPr>
        <w:t>Pseudomonas aeruginosa</w:t>
      </w:r>
      <w:r>
        <w:rPr>
          <w:sz w:val="22"/>
        </w:rPr>
        <w:t>) which account for number of death in patients especially the immune-compromised,</w:t>
      </w:r>
      <w:r>
        <w:rPr>
          <w:spacing w:val="-2"/>
          <w:sz w:val="22"/>
        </w:rPr>
        <w:t> </w:t>
      </w:r>
      <w:r>
        <w:rPr>
          <w:sz w:val="22"/>
        </w:rPr>
        <w:t>despite</w:t>
      </w:r>
      <w:r>
        <w:rPr>
          <w:spacing w:val="-2"/>
          <w:sz w:val="22"/>
        </w:rPr>
        <w:t> </w:t>
      </w:r>
      <w:r>
        <w:rPr>
          <w:sz w:val="22"/>
        </w:rPr>
        <w:t>improvement</w:t>
      </w:r>
      <w:r>
        <w:rPr>
          <w:spacing w:val="-2"/>
          <w:sz w:val="22"/>
        </w:rPr>
        <w:t> </w:t>
      </w:r>
      <w:r>
        <w:rPr>
          <w:sz w:val="22"/>
        </w:rPr>
        <w:t>in</w:t>
      </w:r>
      <w:r>
        <w:rPr>
          <w:spacing w:val="-2"/>
          <w:sz w:val="22"/>
        </w:rPr>
        <w:t> </w:t>
      </w:r>
      <w:r>
        <w:rPr>
          <w:sz w:val="22"/>
        </w:rPr>
        <w:t>antimicrobial</w:t>
      </w:r>
      <w:r>
        <w:rPr>
          <w:spacing w:val="-3"/>
          <w:sz w:val="22"/>
        </w:rPr>
        <w:t> </w:t>
      </w:r>
      <w:r>
        <w:rPr>
          <w:sz w:val="22"/>
        </w:rPr>
        <w:t>therapy</w:t>
      </w:r>
      <w:r>
        <w:rPr>
          <w:spacing w:val="-2"/>
          <w:sz w:val="22"/>
        </w:rPr>
        <w:t> </w:t>
      </w:r>
      <w:r>
        <w:rPr>
          <w:sz w:val="22"/>
        </w:rPr>
        <w:t>(Stephen</w:t>
      </w:r>
      <w:r>
        <w:rPr>
          <w:spacing w:val="-1"/>
          <w:sz w:val="22"/>
        </w:rPr>
        <w:t> </w:t>
      </w:r>
      <w:r>
        <w:rPr>
          <w:i/>
          <w:sz w:val="22"/>
        </w:rPr>
        <w:t>et</w:t>
      </w:r>
      <w:r>
        <w:rPr>
          <w:i/>
          <w:spacing w:val="-2"/>
          <w:sz w:val="22"/>
        </w:rPr>
        <w:t> </w:t>
      </w:r>
      <w:r>
        <w:rPr>
          <w:i/>
          <w:sz w:val="22"/>
        </w:rPr>
        <w:t>al.,</w:t>
      </w:r>
      <w:r>
        <w:rPr>
          <w:i/>
          <w:spacing w:val="-1"/>
          <w:sz w:val="22"/>
        </w:rPr>
        <w:t> </w:t>
      </w:r>
      <w:r>
        <w:rPr>
          <w:sz w:val="22"/>
        </w:rPr>
        <w:t>2004</w:t>
      </w:r>
      <w:r>
        <w:rPr>
          <w:i/>
          <w:sz w:val="22"/>
        </w:rPr>
        <w:t>)</w:t>
      </w:r>
      <w:r>
        <w:rPr>
          <w:sz w:val="22"/>
        </w:rPr>
        <w:t>. Up to 15% of acute pharyngitis cases may be caused by bacteria, commonly </w:t>
      </w:r>
      <w:r>
        <w:rPr>
          <w:i/>
          <w:sz w:val="22"/>
        </w:rPr>
        <w:t>group A Streptococcus </w:t>
      </w:r>
      <w:r>
        <w:rPr>
          <w:sz w:val="22"/>
        </w:rPr>
        <w:t>in </w:t>
      </w:r>
      <w:r>
        <w:rPr>
          <w:i/>
          <w:sz w:val="22"/>
        </w:rPr>
        <w:t>Streptococcal pharyngitis </w:t>
      </w:r>
      <w:r>
        <w:rPr>
          <w:sz w:val="22"/>
        </w:rPr>
        <w:t>(Strept-Throat) (Jeremy </w:t>
      </w:r>
      <w:r>
        <w:rPr>
          <w:i/>
          <w:sz w:val="22"/>
        </w:rPr>
        <w:t>et al., </w:t>
      </w:r>
      <w:r>
        <w:rPr>
          <w:sz w:val="22"/>
        </w:rPr>
        <w:t>2006).</w:t>
      </w:r>
    </w:p>
    <w:p>
      <w:pPr>
        <w:pStyle w:val="BodyText"/>
        <w:rPr>
          <w:sz w:val="20"/>
        </w:rPr>
      </w:pPr>
    </w:p>
    <w:p>
      <w:pPr>
        <w:pStyle w:val="BodyText"/>
        <w:rPr>
          <w:sz w:val="20"/>
        </w:rPr>
      </w:pPr>
    </w:p>
    <w:p>
      <w:pPr>
        <w:pStyle w:val="BodyText"/>
        <w:spacing w:before="4"/>
        <w:rPr>
          <w:sz w:val="20"/>
        </w:rPr>
      </w:pPr>
      <w:r>
        <w:rPr/>
        <w:drawing>
          <wp:anchor distT="0" distB="0" distL="0" distR="0" allowOverlap="1" layoutInCell="1" locked="0" behindDoc="1" simplePos="0" relativeHeight="487587840">
            <wp:simplePos x="0" y="0"/>
            <wp:positionH relativeFrom="page">
              <wp:posOffset>1082039</wp:posOffset>
            </wp:positionH>
            <wp:positionV relativeFrom="paragraph">
              <wp:posOffset>173343</wp:posOffset>
            </wp:positionV>
            <wp:extent cx="4654954" cy="2562987"/>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26" cstate="print"/>
                    <a:stretch>
                      <a:fillRect/>
                    </a:stretch>
                  </pic:blipFill>
                  <pic:spPr>
                    <a:xfrm>
                      <a:off x="0" y="0"/>
                      <a:ext cx="4654954" cy="2562987"/>
                    </a:xfrm>
                    <a:prstGeom prst="rect">
                      <a:avLst/>
                    </a:prstGeom>
                  </pic:spPr>
                </pic:pic>
              </a:graphicData>
            </a:graphic>
          </wp:anchor>
        </w:drawing>
      </w:r>
    </w:p>
    <w:p>
      <w:pPr>
        <w:pStyle w:val="BodyText"/>
        <w:spacing w:before="120"/>
      </w:pPr>
    </w:p>
    <w:p>
      <w:pPr>
        <w:pStyle w:val="Heading3"/>
        <w:ind w:left="2541"/>
      </w:pPr>
      <w:r>
        <w:rPr/>
        <w:t>Figure</w:t>
      </w:r>
      <w:r>
        <w:rPr>
          <w:spacing w:val="-7"/>
        </w:rPr>
        <w:t> </w:t>
      </w:r>
      <w:r>
        <w:rPr/>
        <w:t>1.1:</w:t>
      </w:r>
      <w:r>
        <w:rPr>
          <w:spacing w:val="-4"/>
        </w:rPr>
        <w:t> </w:t>
      </w:r>
      <w:r>
        <w:rPr/>
        <w:t>The</w:t>
      </w:r>
      <w:r>
        <w:rPr>
          <w:spacing w:val="-7"/>
        </w:rPr>
        <w:t> </w:t>
      </w:r>
      <w:r>
        <w:rPr/>
        <w:t>Respiratory</w:t>
      </w:r>
      <w:r>
        <w:rPr>
          <w:spacing w:val="-5"/>
        </w:rPr>
        <w:t> </w:t>
      </w:r>
      <w:r>
        <w:rPr/>
        <w:t>Tract</w:t>
      </w:r>
      <w:r>
        <w:rPr>
          <w:spacing w:val="-5"/>
        </w:rPr>
        <w:t> </w:t>
      </w:r>
      <w:r>
        <w:rPr/>
        <w:t>(Jalanpalma,</w:t>
      </w:r>
      <w:r>
        <w:rPr>
          <w:spacing w:val="-3"/>
        </w:rPr>
        <w:t> </w:t>
      </w:r>
      <w:r>
        <w:rPr>
          <w:spacing w:val="-2"/>
        </w:rPr>
        <w:t>2010).</w:t>
      </w:r>
    </w:p>
    <w:p>
      <w:pPr>
        <w:pStyle w:val="BodyText"/>
        <w:rPr>
          <w:b/>
        </w:rPr>
      </w:pPr>
    </w:p>
    <w:p>
      <w:pPr>
        <w:pStyle w:val="BodyText"/>
        <w:spacing w:before="212"/>
        <w:rPr>
          <w:b/>
        </w:rPr>
      </w:pPr>
    </w:p>
    <w:p>
      <w:pPr>
        <w:tabs>
          <w:tab w:pos="3260" w:val="left" w:leader="none"/>
        </w:tabs>
        <w:spacing w:before="0"/>
        <w:ind w:left="380" w:right="0" w:firstLine="0"/>
        <w:jc w:val="left"/>
        <w:rPr>
          <w:b/>
          <w:sz w:val="22"/>
        </w:rPr>
      </w:pPr>
      <w:r>
        <w:rPr>
          <w:b/>
          <w:spacing w:val="-5"/>
          <w:sz w:val="22"/>
        </w:rPr>
        <w:t>1.2</w:t>
      </w:r>
      <w:r>
        <w:rPr>
          <w:b/>
          <w:sz w:val="22"/>
        </w:rPr>
        <w:tab/>
        <w:t>Statement</w:t>
      </w:r>
      <w:r>
        <w:rPr>
          <w:b/>
          <w:spacing w:val="-7"/>
          <w:sz w:val="22"/>
        </w:rPr>
        <w:t> </w:t>
      </w:r>
      <w:r>
        <w:rPr>
          <w:b/>
          <w:sz w:val="22"/>
        </w:rPr>
        <w:t>of</w:t>
      </w:r>
      <w:r>
        <w:rPr>
          <w:b/>
          <w:spacing w:val="-4"/>
          <w:sz w:val="22"/>
        </w:rPr>
        <w:t> </w:t>
      </w:r>
      <w:r>
        <w:rPr>
          <w:b/>
          <w:sz w:val="22"/>
        </w:rPr>
        <w:t>Research</w:t>
      </w:r>
      <w:r>
        <w:rPr>
          <w:b/>
          <w:spacing w:val="-4"/>
          <w:sz w:val="22"/>
        </w:rPr>
        <w:t> </w:t>
      </w:r>
      <w:r>
        <w:rPr>
          <w:b/>
          <w:spacing w:val="-2"/>
          <w:sz w:val="22"/>
        </w:rPr>
        <w:t>Problem</w:t>
      </w:r>
    </w:p>
    <w:p>
      <w:pPr>
        <w:pStyle w:val="BodyText"/>
        <w:spacing w:before="62"/>
        <w:rPr>
          <w:b/>
        </w:rPr>
      </w:pPr>
    </w:p>
    <w:p>
      <w:pPr>
        <w:pStyle w:val="BodyText"/>
        <w:spacing w:line="482" w:lineRule="auto" w:before="1"/>
        <w:ind w:left="1100" w:right="975"/>
      </w:pPr>
      <w:r>
        <w:rPr/>
        <w:t>Respiratory</w:t>
      </w:r>
      <w:r>
        <w:rPr>
          <w:spacing w:val="-1"/>
        </w:rPr>
        <w:t> </w:t>
      </w:r>
      <w:r>
        <w:rPr/>
        <w:t>tract</w:t>
      </w:r>
      <w:r>
        <w:rPr>
          <w:spacing w:val="-1"/>
        </w:rPr>
        <w:t> </w:t>
      </w:r>
      <w:r>
        <w:rPr/>
        <w:t>infection</w:t>
      </w:r>
      <w:r>
        <w:rPr>
          <w:spacing w:val="-3"/>
        </w:rPr>
        <w:t> </w:t>
      </w:r>
      <w:r>
        <w:rPr/>
        <w:t>is</w:t>
      </w:r>
      <w:r>
        <w:rPr>
          <w:spacing w:val="-2"/>
        </w:rPr>
        <w:t> </w:t>
      </w:r>
      <w:r>
        <w:rPr/>
        <w:t>the most</w:t>
      </w:r>
      <w:r>
        <w:rPr>
          <w:spacing w:val="-1"/>
        </w:rPr>
        <w:t> </w:t>
      </w:r>
      <w:r>
        <w:rPr/>
        <w:t>common</w:t>
      </w:r>
      <w:r>
        <w:rPr>
          <w:spacing w:val="-3"/>
        </w:rPr>
        <w:t> </w:t>
      </w:r>
      <w:r>
        <w:rPr/>
        <w:t>infectious</w:t>
      </w:r>
      <w:r>
        <w:rPr>
          <w:spacing w:val="-2"/>
        </w:rPr>
        <w:t> </w:t>
      </w:r>
      <w:r>
        <w:rPr/>
        <w:t>illness</w:t>
      </w:r>
      <w:r>
        <w:rPr>
          <w:spacing w:val="-1"/>
        </w:rPr>
        <w:t> </w:t>
      </w:r>
      <w:r>
        <w:rPr/>
        <w:t>in</w:t>
      </w:r>
      <w:r>
        <w:rPr>
          <w:spacing w:val="-4"/>
        </w:rPr>
        <w:t> </w:t>
      </w:r>
      <w:r>
        <w:rPr/>
        <w:t>the</w:t>
      </w:r>
      <w:r>
        <w:rPr>
          <w:spacing w:val="-2"/>
        </w:rPr>
        <w:t> </w:t>
      </w:r>
      <w:r>
        <w:rPr/>
        <w:t>general</w:t>
      </w:r>
      <w:r>
        <w:rPr>
          <w:spacing w:val="-2"/>
        </w:rPr>
        <w:t> </w:t>
      </w:r>
      <w:r>
        <w:rPr/>
        <w:t>population.</w:t>
      </w:r>
      <w:r>
        <w:rPr>
          <w:spacing w:val="-2"/>
        </w:rPr>
        <w:t> </w:t>
      </w:r>
      <w:r>
        <w:rPr/>
        <w:t>It is the leading reasons for people missing work, meeting, school, etc.</w:t>
      </w:r>
    </w:p>
    <w:p>
      <w:pPr>
        <w:pStyle w:val="BodyText"/>
        <w:spacing w:line="482" w:lineRule="auto" w:before="194"/>
        <w:ind w:left="1100" w:right="975"/>
      </w:pPr>
      <w:r>
        <w:rPr/>
        <w:t>Solutions</w:t>
      </w:r>
      <w:r>
        <w:rPr>
          <w:spacing w:val="-1"/>
        </w:rPr>
        <w:t> </w:t>
      </w:r>
      <w:r>
        <w:rPr/>
        <w:t>has</w:t>
      </w:r>
      <w:r>
        <w:rPr>
          <w:spacing w:val="-1"/>
        </w:rPr>
        <w:t> </w:t>
      </w:r>
      <w:r>
        <w:rPr/>
        <w:t>been</w:t>
      </w:r>
      <w:r>
        <w:rPr>
          <w:spacing w:val="-1"/>
        </w:rPr>
        <w:t> </w:t>
      </w:r>
      <w:r>
        <w:rPr/>
        <w:t>found</w:t>
      </w:r>
      <w:r>
        <w:rPr>
          <w:spacing w:val="-2"/>
        </w:rPr>
        <w:t> </w:t>
      </w:r>
      <w:r>
        <w:rPr/>
        <w:t>for</w:t>
      </w:r>
      <w:r>
        <w:rPr>
          <w:spacing w:val="-1"/>
        </w:rPr>
        <w:t> </w:t>
      </w:r>
      <w:r>
        <w:rPr/>
        <w:t>many infectious</w:t>
      </w:r>
      <w:r>
        <w:rPr>
          <w:spacing w:val="-1"/>
        </w:rPr>
        <w:t> </w:t>
      </w:r>
      <w:r>
        <w:rPr/>
        <w:t>illness,</w:t>
      </w:r>
      <w:r>
        <w:rPr>
          <w:spacing w:val="-3"/>
        </w:rPr>
        <w:t> </w:t>
      </w:r>
      <w:r>
        <w:rPr/>
        <w:t>but</w:t>
      </w:r>
      <w:r>
        <w:rPr>
          <w:spacing w:val="-1"/>
        </w:rPr>
        <w:t> </w:t>
      </w:r>
      <w:r>
        <w:rPr/>
        <w:t>common</w:t>
      </w:r>
      <w:r>
        <w:rPr>
          <w:spacing w:val="-2"/>
        </w:rPr>
        <w:t> </w:t>
      </w:r>
      <w:r>
        <w:rPr/>
        <w:t>cold</w:t>
      </w:r>
      <w:r>
        <w:rPr>
          <w:spacing w:val="-3"/>
        </w:rPr>
        <w:t> </w:t>
      </w:r>
      <w:r>
        <w:rPr/>
        <w:t>and</w:t>
      </w:r>
      <w:r>
        <w:rPr>
          <w:spacing w:val="-3"/>
        </w:rPr>
        <w:t> </w:t>
      </w:r>
      <w:r>
        <w:rPr/>
        <w:t>other</w:t>
      </w:r>
      <w:r>
        <w:rPr>
          <w:spacing w:val="-1"/>
        </w:rPr>
        <w:t> </w:t>
      </w:r>
      <w:r>
        <w:rPr/>
        <w:t>respiratory tract infections has been (and is still) a problem to man.</w:t>
      </w:r>
    </w:p>
    <w:p>
      <w:pPr>
        <w:spacing w:after="0" w:line="482" w:lineRule="auto"/>
        <w:sectPr>
          <w:pgSz w:w="11910" w:h="16840"/>
          <w:pgMar w:header="0" w:footer="1055" w:top="1380" w:bottom="1240" w:left="1060" w:right="460"/>
        </w:sectPr>
      </w:pPr>
    </w:p>
    <w:p>
      <w:pPr>
        <w:pStyle w:val="BodyText"/>
        <w:spacing w:line="482" w:lineRule="auto" w:before="38"/>
        <w:ind w:left="1100" w:right="972"/>
        <w:jc w:val="both"/>
      </w:pPr>
      <w:r>
        <w:rPr/>
        <w:t>Antimicrobial resistance is a natural phenomenon which started since the introduction of antibiotics. However it becomes a threat to the general population when it is abused, mis- handled, misuse, or due to over-use of the available antibiotics.</w:t>
      </w:r>
    </w:p>
    <w:p>
      <w:pPr>
        <w:pStyle w:val="BodyText"/>
        <w:spacing w:line="480" w:lineRule="auto" w:before="193"/>
        <w:ind w:left="1100" w:right="978"/>
        <w:jc w:val="both"/>
      </w:pPr>
      <w:r>
        <w:rPr/>
        <w:t>The use of honey and lemon by mankind as food and medicine has a long history. Even primitive men knew the importance as food and medicine. However, their knowledge of the efficacy of these natural products is not vast.</w:t>
      </w:r>
    </w:p>
    <w:p>
      <w:pPr>
        <w:tabs>
          <w:tab w:pos="3980" w:val="left" w:leader="none"/>
        </w:tabs>
        <w:spacing w:before="202"/>
        <w:ind w:left="380" w:right="0" w:firstLine="0"/>
        <w:jc w:val="both"/>
        <w:rPr>
          <w:b/>
          <w:sz w:val="22"/>
        </w:rPr>
      </w:pPr>
      <w:r>
        <w:rPr>
          <w:b/>
          <w:spacing w:val="-5"/>
          <w:sz w:val="22"/>
        </w:rPr>
        <w:t>1.3</w:t>
      </w:r>
      <w:r>
        <w:rPr>
          <w:b/>
          <w:sz w:val="22"/>
        </w:rPr>
        <w:tab/>
      </w:r>
      <w:r>
        <w:rPr>
          <w:b/>
          <w:spacing w:val="-2"/>
          <w:sz w:val="22"/>
        </w:rPr>
        <w:t>Justification</w:t>
      </w:r>
    </w:p>
    <w:p>
      <w:pPr>
        <w:pStyle w:val="BodyText"/>
        <w:spacing w:before="141"/>
        <w:rPr>
          <w:b/>
        </w:rPr>
      </w:pPr>
    </w:p>
    <w:p>
      <w:pPr>
        <w:spacing w:line="480" w:lineRule="auto" w:before="0"/>
        <w:ind w:left="1100" w:right="980" w:firstLine="0"/>
        <w:jc w:val="both"/>
        <w:rPr>
          <w:rFonts w:ascii="Times New Roman"/>
          <w:sz w:val="24"/>
        </w:rPr>
      </w:pPr>
      <w:r>
        <w:rPr>
          <w:rFonts w:ascii="Times New Roman"/>
          <w:sz w:val="24"/>
        </w:rPr>
        <w:t>Considering the few groups of antibiotics in use, and having no additional group(s)</w:t>
      </w:r>
      <w:r>
        <w:rPr>
          <w:rFonts w:ascii="Times New Roman"/>
          <w:spacing w:val="40"/>
          <w:sz w:val="24"/>
        </w:rPr>
        <w:t> </w:t>
      </w:r>
      <w:r>
        <w:rPr>
          <w:rFonts w:ascii="Times New Roman"/>
          <w:sz w:val="24"/>
        </w:rPr>
        <w:t>for the past 20 years (with only modifications of the ones in use). Therefore, it is necessary to look for alternative remedy for RTIs. There is also need for research (investigations) to be conducted in this area and developing more measures before resistance will be developed against virtually all the existing groups of antibiotics.</w:t>
      </w:r>
    </w:p>
    <w:p>
      <w:pPr>
        <w:pStyle w:val="BodyText"/>
        <w:spacing w:before="3"/>
        <w:rPr>
          <w:rFonts w:ascii="Times New Roman"/>
          <w:sz w:val="24"/>
        </w:rPr>
      </w:pPr>
    </w:p>
    <w:p>
      <w:pPr>
        <w:spacing w:line="480" w:lineRule="auto" w:before="0"/>
        <w:ind w:left="1100" w:right="978" w:firstLine="0"/>
        <w:jc w:val="both"/>
        <w:rPr>
          <w:rFonts w:ascii="Times New Roman"/>
          <w:sz w:val="24"/>
        </w:rPr>
      </w:pPr>
      <w:r>
        <w:rPr>
          <w:rFonts w:ascii="Times New Roman"/>
          <w:sz w:val="24"/>
        </w:rPr>
        <w:t>Until recently, </w:t>
      </w:r>
      <w:hyperlink r:id="rId27">
        <w:r>
          <w:rPr>
            <w:rFonts w:ascii="Times New Roman"/>
            <w:sz w:val="24"/>
          </w:rPr>
          <w:t>Research and Development</w:t>
        </w:r>
      </w:hyperlink>
      <w:r>
        <w:rPr>
          <w:rFonts w:ascii="Times New Roman"/>
          <w:sz w:val="24"/>
        </w:rPr>
        <w:t> (R&amp;D) efforts have provided new drugs in time to treat bacteria that became resistant to older antibiotics. The supply of new replacement antimicrobial agents has slowed dramatically</w:t>
      </w:r>
      <w:r>
        <w:rPr>
          <w:rFonts w:ascii="Times New Roman"/>
          <w:spacing w:val="-1"/>
          <w:sz w:val="24"/>
        </w:rPr>
        <w:t> </w:t>
      </w:r>
      <w:r>
        <w:rPr>
          <w:rFonts w:ascii="Times New Roman"/>
          <w:sz w:val="24"/>
        </w:rPr>
        <w:t>and we face the prospect of a future where we have far fewer options in the treatment of infectious disease</w:t>
      </w:r>
      <w:r>
        <w:rPr>
          <w:rFonts w:ascii="Times New Roman"/>
          <w:spacing w:val="40"/>
          <w:sz w:val="24"/>
        </w:rPr>
        <w:t> </w:t>
      </w:r>
      <w:r>
        <w:rPr>
          <w:rFonts w:ascii="Times New Roman"/>
          <w:sz w:val="24"/>
        </w:rPr>
        <w:t>(Walsh, 2013). The potential crisis at hand is the result of a marked decrease in industry R&amp;D, and the increasing prevalence of resistant bacteria. Infectious disease physicians are alarmed by the prospect that effective antibiotics may not be available to treat seriously ill patients in the near future (Walsh, 2013). Poor financial investment in antibiotic research has exacerbated the situation (Walsh, 2013).</w:t>
      </w:r>
    </w:p>
    <w:p>
      <w:pPr>
        <w:pStyle w:val="BodyText"/>
        <w:spacing w:before="4"/>
        <w:rPr>
          <w:rFonts w:ascii="Times New Roman"/>
          <w:sz w:val="24"/>
        </w:rPr>
      </w:pPr>
    </w:p>
    <w:p>
      <w:pPr>
        <w:spacing w:line="480" w:lineRule="auto" w:before="0"/>
        <w:ind w:left="1100" w:right="976" w:firstLine="0"/>
        <w:jc w:val="both"/>
        <w:rPr>
          <w:rFonts w:ascii="Times New Roman"/>
          <w:sz w:val="24"/>
        </w:rPr>
      </w:pPr>
      <w:r>
        <w:rPr>
          <w:rFonts w:ascii="Times New Roman"/>
          <w:sz w:val="24"/>
        </w:rPr>
        <w:t>There are a lot of natural products in our environment (fruits, leaves, roots, stem</w:t>
      </w:r>
      <w:r>
        <w:rPr>
          <w:rFonts w:ascii="Times New Roman"/>
          <w:spacing w:val="40"/>
          <w:sz w:val="24"/>
        </w:rPr>
        <w:t> </w:t>
      </w:r>
      <w:r>
        <w:rPr>
          <w:rFonts w:ascii="Times New Roman"/>
          <w:sz w:val="24"/>
        </w:rPr>
        <w:t>barks,</w:t>
      </w:r>
      <w:r>
        <w:rPr>
          <w:rFonts w:ascii="Times New Roman"/>
          <w:spacing w:val="76"/>
          <w:sz w:val="24"/>
        </w:rPr>
        <w:t> </w:t>
      </w:r>
      <w:r>
        <w:rPr>
          <w:rFonts w:ascii="Times New Roman"/>
          <w:sz w:val="24"/>
        </w:rPr>
        <w:t>etc.)</w:t>
      </w:r>
      <w:r>
        <w:rPr>
          <w:rFonts w:ascii="Times New Roman"/>
          <w:spacing w:val="78"/>
          <w:sz w:val="24"/>
        </w:rPr>
        <w:t> </w:t>
      </w:r>
      <w:r>
        <w:rPr>
          <w:rFonts w:ascii="Times New Roman"/>
          <w:sz w:val="24"/>
        </w:rPr>
        <w:t>which</w:t>
      </w:r>
      <w:r>
        <w:rPr>
          <w:rFonts w:ascii="Times New Roman"/>
          <w:spacing w:val="51"/>
          <w:w w:val="150"/>
          <w:sz w:val="24"/>
        </w:rPr>
        <w:t> </w:t>
      </w:r>
      <w:r>
        <w:rPr>
          <w:rFonts w:ascii="Times New Roman"/>
          <w:sz w:val="24"/>
        </w:rPr>
        <w:t>we</w:t>
      </w:r>
      <w:r>
        <w:rPr>
          <w:rFonts w:ascii="Times New Roman"/>
          <w:spacing w:val="79"/>
          <w:sz w:val="24"/>
        </w:rPr>
        <w:t> </w:t>
      </w:r>
      <w:r>
        <w:rPr>
          <w:rFonts w:ascii="Times New Roman"/>
          <w:sz w:val="24"/>
        </w:rPr>
        <w:t>can</w:t>
      </w:r>
      <w:r>
        <w:rPr>
          <w:rFonts w:ascii="Times New Roman"/>
          <w:spacing w:val="78"/>
          <w:sz w:val="24"/>
        </w:rPr>
        <w:t> </w:t>
      </w:r>
      <w:r>
        <w:rPr>
          <w:rFonts w:ascii="Times New Roman"/>
          <w:sz w:val="24"/>
        </w:rPr>
        <w:t>explore</w:t>
      </w:r>
      <w:r>
        <w:rPr>
          <w:rFonts w:ascii="Times New Roman"/>
          <w:spacing w:val="77"/>
          <w:sz w:val="24"/>
        </w:rPr>
        <w:t> </w:t>
      </w:r>
      <w:r>
        <w:rPr>
          <w:rFonts w:ascii="Times New Roman"/>
          <w:sz w:val="24"/>
        </w:rPr>
        <w:t>to</w:t>
      </w:r>
      <w:r>
        <w:rPr>
          <w:rFonts w:ascii="Times New Roman"/>
          <w:spacing w:val="79"/>
          <w:sz w:val="24"/>
        </w:rPr>
        <w:t> </w:t>
      </w:r>
      <w:r>
        <w:rPr>
          <w:rFonts w:ascii="Times New Roman"/>
          <w:sz w:val="24"/>
        </w:rPr>
        <w:t>combat</w:t>
      </w:r>
      <w:r>
        <w:rPr>
          <w:rFonts w:ascii="Times New Roman"/>
          <w:spacing w:val="79"/>
          <w:sz w:val="24"/>
        </w:rPr>
        <w:t> </w:t>
      </w:r>
      <w:r>
        <w:rPr>
          <w:rFonts w:ascii="Times New Roman"/>
          <w:sz w:val="24"/>
        </w:rPr>
        <w:t>many</w:t>
      </w:r>
      <w:r>
        <w:rPr>
          <w:rFonts w:ascii="Times New Roman"/>
          <w:spacing w:val="76"/>
          <w:sz w:val="24"/>
        </w:rPr>
        <w:t> </w:t>
      </w:r>
      <w:r>
        <w:rPr>
          <w:rFonts w:ascii="Times New Roman"/>
          <w:sz w:val="24"/>
        </w:rPr>
        <w:t>emerging</w:t>
      </w:r>
      <w:r>
        <w:rPr>
          <w:rFonts w:ascii="Times New Roman"/>
          <w:spacing w:val="78"/>
          <w:sz w:val="24"/>
        </w:rPr>
        <w:t> </w:t>
      </w:r>
      <w:r>
        <w:rPr>
          <w:rFonts w:ascii="Times New Roman"/>
          <w:sz w:val="24"/>
        </w:rPr>
        <w:t>and</w:t>
      </w:r>
      <w:r>
        <w:rPr>
          <w:rFonts w:ascii="Times New Roman"/>
          <w:spacing w:val="78"/>
          <w:sz w:val="24"/>
        </w:rPr>
        <w:t> </w:t>
      </w:r>
      <w:r>
        <w:rPr>
          <w:rFonts w:ascii="Times New Roman"/>
          <w:sz w:val="24"/>
        </w:rPr>
        <w:t>re-</w:t>
      </w:r>
      <w:r>
        <w:rPr>
          <w:rFonts w:ascii="Times New Roman"/>
          <w:spacing w:val="-2"/>
          <w:sz w:val="24"/>
        </w:rPr>
        <w:t>emerging</w:t>
      </w:r>
    </w:p>
    <w:p>
      <w:pPr>
        <w:spacing w:after="0" w:line="480" w:lineRule="auto"/>
        <w:jc w:val="both"/>
        <w:rPr>
          <w:rFonts w:ascii="Times New Roman"/>
          <w:sz w:val="24"/>
        </w:rPr>
        <w:sectPr>
          <w:pgSz w:w="11910" w:h="16840"/>
          <w:pgMar w:header="0" w:footer="1055" w:top="1380" w:bottom="1240" w:left="1060" w:right="460"/>
        </w:sectPr>
      </w:pPr>
    </w:p>
    <w:p>
      <w:pPr>
        <w:spacing w:line="480" w:lineRule="auto" w:before="73"/>
        <w:ind w:left="1100" w:right="979" w:firstLine="0"/>
        <w:jc w:val="both"/>
        <w:rPr>
          <w:rFonts w:ascii="Times New Roman"/>
          <w:sz w:val="24"/>
        </w:rPr>
      </w:pPr>
      <w:r>
        <w:rPr>
          <w:rFonts w:ascii="Times New Roman"/>
          <w:sz w:val="24"/>
        </w:rPr>
        <w:t>infectious diseases; of which we would not know if they are not tried/tested. For instance, recent research has shown that a modified peptide found in honeybees was found to be effective against 37 species of bacteria (Chemical and Engineering News, 2012). This therefore makes honey a promising antibacterial agent.</w:t>
      </w:r>
    </w:p>
    <w:p>
      <w:pPr>
        <w:pStyle w:val="BodyText"/>
        <w:spacing w:before="13"/>
        <w:rPr>
          <w:rFonts w:ascii="Times New Roman"/>
          <w:sz w:val="24"/>
        </w:rPr>
      </w:pPr>
    </w:p>
    <w:p>
      <w:pPr>
        <w:pStyle w:val="Heading3"/>
        <w:tabs>
          <w:tab w:pos="3980" w:val="left" w:leader="none"/>
        </w:tabs>
        <w:ind w:left="380"/>
      </w:pPr>
      <w:r>
        <w:rPr>
          <w:spacing w:val="-5"/>
        </w:rPr>
        <w:t>1.4</w:t>
      </w:r>
      <w:r>
        <w:rPr/>
        <w:tab/>
        <w:t>Aim</w:t>
      </w:r>
      <w:r>
        <w:rPr>
          <w:spacing w:val="-3"/>
        </w:rPr>
        <w:t> </w:t>
      </w:r>
      <w:r>
        <w:rPr/>
        <w:t>of</w:t>
      </w:r>
      <w:r>
        <w:rPr>
          <w:spacing w:val="-1"/>
        </w:rPr>
        <w:t> </w:t>
      </w:r>
      <w:r>
        <w:rPr/>
        <w:t>the</w:t>
      </w:r>
      <w:r>
        <w:rPr>
          <w:spacing w:val="-2"/>
        </w:rPr>
        <w:t> Study</w:t>
      </w:r>
    </w:p>
    <w:p>
      <w:pPr>
        <w:pStyle w:val="BodyText"/>
        <w:spacing w:before="63"/>
        <w:rPr>
          <w:b/>
        </w:rPr>
      </w:pPr>
    </w:p>
    <w:p>
      <w:pPr>
        <w:pStyle w:val="BodyText"/>
        <w:spacing w:line="482" w:lineRule="auto"/>
        <w:ind w:left="1100" w:right="973"/>
        <w:jc w:val="both"/>
      </w:pPr>
      <w:r>
        <w:rPr/>
        <w:t>To</w:t>
      </w:r>
      <w:r>
        <w:rPr>
          <w:spacing w:val="-1"/>
        </w:rPr>
        <w:t> </w:t>
      </w:r>
      <w:r>
        <w:rPr/>
        <w:t>evaluate</w:t>
      </w:r>
      <w:r>
        <w:rPr>
          <w:spacing w:val="-1"/>
        </w:rPr>
        <w:t> </w:t>
      </w:r>
      <w:r>
        <w:rPr/>
        <w:t>the</w:t>
      </w:r>
      <w:r>
        <w:rPr>
          <w:spacing w:val="-1"/>
        </w:rPr>
        <w:t> </w:t>
      </w:r>
      <w:r>
        <w:rPr/>
        <w:t>antibacterial</w:t>
      </w:r>
      <w:r>
        <w:rPr>
          <w:spacing w:val="-2"/>
        </w:rPr>
        <w:t> </w:t>
      </w:r>
      <w:r>
        <w:rPr/>
        <w:t>activities</w:t>
      </w:r>
      <w:r>
        <w:rPr>
          <w:spacing w:val="-3"/>
        </w:rPr>
        <w:t> </w:t>
      </w:r>
      <w:r>
        <w:rPr/>
        <w:t>of</w:t>
      </w:r>
      <w:r>
        <w:rPr>
          <w:spacing w:val="-2"/>
        </w:rPr>
        <w:t> </w:t>
      </w:r>
      <w:r>
        <w:rPr/>
        <w:t>lemon</w:t>
      </w:r>
      <w:r>
        <w:rPr>
          <w:spacing w:val="-2"/>
        </w:rPr>
        <w:t> </w:t>
      </w:r>
      <w:r>
        <w:rPr/>
        <w:t>juice</w:t>
      </w:r>
      <w:r>
        <w:rPr>
          <w:spacing w:val="-1"/>
        </w:rPr>
        <w:t> </w:t>
      </w:r>
      <w:r>
        <w:rPr/>
        <w:t>and/or</w:t>
      </w:r>
      <w:r>
        <w:rPr>
          <w:spacing w:val="-2"/>
        </w:rPr>
        <w:t> </w:t>
      </w:r>
      <w:r>
        <w:rPr/>
        <w:t>honey</w:t>
      </w:r>
      <w:r>
        <w:rPr>
          <w:spacing w:val="-3"/>
        </w:rPr>
        <w:t> </w:t>
      </w:r>
      <w:r>
        <w:rPr/>
        <w:t>on</w:t>
      </w:r>
      <w:r>
        <w:rPr>
          <w:spacing w:val="-1"/>
        </w:rPr>
        <w:t> </w:t>
      </w:r>
      <w:r>
        <w:rPr/>
        <w:t>some</w:t>
      </w:r>
      <w:r>
        <w:rPr>
          <w:spacing w:val="-1"/>
        </w:rPr>
        <w:t> </w:t>
      </w:r>
      <w:r>
        <w:rPr/>
        <w:t>bacteria</w:t>
      </w:r>
      <w:r>
        <w:rPr>
          <w:spacing w:val="-2"/>
        </w:rPr>
        <w:t> </w:t>
      </w:r>
      <w:r>
        <w:rPr/>
        <w:t>species identified as responsible for Respiratory Tract Infections.</w:t>
      </w:r>
    </w:p>
    <w:p>
      <w:pPr>
        <w:pStyle w:val="Heading3"/>
        <w:tabs>
          <w:tab w:pos="3980" w:val="left" w:leader="none"/>
        </w:tabs>
        <w:spacing w:before="198"/>
        <w:ind w:left="380"/>
      </w:pPr>
      <w:r>
        <w:rPr>
          <w:spacing w:val="-5"/>
        </w:rPr>
        <w:t>1.5</w:t>
      </w:r>
      <w:r>
        <w:rPr/>
        <w:tab/>
        <w:t>Specific</w:t>
      </w:r>
      <w:r>
        <w:rPr>
          <w:spacing w:val="-4"/>
        </w:rPr>
        <w:t> </w:t>
      </w:r>
      <w:r>
        <w:rPr>
          <w:spacing w:val="-2"/>
        </w:rPr>
        <w:t>Objectives</w:t>
      </w:r>
    </w:p>
    <w:p>
      <w:pPr>
        <w:pStyle w:val="BodyText"/>
        <w:spacing w:before="65"/>
        <w:rPr>
          <w:b/>
        </w:rPr>
      </w:pPr>
    </w:p>
    <w:p>
      <w:pPr>
        <w:pStyle w:val="BodyText"/>
        <w:spacing w:line="657" w:lineRule="auto"/>
        <w:ind w:left="1100" w:right="1407"/>
        <w:jc w:val="both"/>
      </w:pPr>
      <w:r>
        <w:rPr/>
        <w:t>Isolation</w:t>
      </w:r>
      <w:r>
        <w:rPr>
          <w:spacing w:val="-3"/>
        </w:rPr>
        <w:t> </w:t>
      </w:r>
      <w:r>
        <w:rPr/>
        <w:t>and</w:t>
      </w:r>
      <w:r>
        <w:rPr>
          <w:spacing w:val="-4"/>
        </w:rPr>
        <w:t> </w:t>
      </w:r>
      <w:r>
        <w:rPr/>
        <w:t>identification</w:t>
      </w:r>
      <w:r>
        <w:rPr>
          <w:spacing w:val="-5"/>
        </w:rPr>
        <w:t> </w:t>
      </w:r>
      <w:r>
        <w:rPr/>
        <w:t>of</w:t>
      </w:r>
      <w:r>
        <w:rPr>
          <w:spacing w:val="-2"/>
        </w:rPr>
        <w:t> </w:t>
      </w:r>
      <w:r>
        <w:rPr/>
        <w:t>some</w:t>
      </w:r>
      <w:r>
        <w:rPr>
          <w:spacing w:val="-2"/>
        </w:rPr>
        <w:t> </w:t>
      </w:r>
      <w:r>
        <w:rPr/>
        <w:t>bacteria</w:t>
      </w:r>
      <w:r>
        <w:rPr>
          <w:spacing w:val="-3"/>
        </w:rPr>
        <w:t> </w:t>
      </w:r>
      <w:r>
        <w:rPr/>
        <w:t>associated</w:t>
      </w:r>
      <w:r>
        <w:rPr>
          <w:spacing w:val="-3"/>
        </w:rPr>
        <w:t> </w:t>
      </w:r>
      <w:r>
        <w:rPr/>
        <w:t>with</w:t>
      </w:r>
      <w:r>
        <w:rPr>
          <w:spacing w:val="-2"/>
        </w:rPr>
        <w:t> </w:t>
      </w:r>
      <w:r>
        <w:rPr/>
        <w:t>respiratory</w:t>
      </w:r>
      <w:r>
        <w:rPr>
          <w:spacing w:val="-4"/>
        </w:rPr>
        <w:t> </w:t>
      </w:r>
      <w:r>
        <w:rPr/>
        <w:t>tract</w:t>
      </w:r>
      <w:r>
        <w:rPr>
          <w:spacing w:val="-2"/>
        </w:rPr>
        <w:t> </w:t>
      </w:r>
      <w:r>
        <w:rPr/>
        <w:t>infections. Preparation of purified extracts of honey and lemon juice.</w:t>
      </w:r>
    </w:p>
    <w:p>
      <w:pPr>
        <w:pStyle w:val="BodyText"/>
        <w:spacing w:line="482" w:lineRule="auto"/>
        <w:ind w:left="1100" w:right="975"/>
        <w:jc w:val="both"/>
      </w:pPr>
      <w:r>
        <w:rPr/>
        <w:t>Determination</w:t>
      </w:r>
      <w:r>
        <w:rPr>
          <w:spacing w:val="-3"/>
        </w:rPr>
        <w:t> </w:t>
      </w:r>
      <w:r>
        <w:rPr/>
        <w:t>of</w:t>
      </w:r>
      <w:r>
        <w:rPr>
          <w:spacing w:val="-1"/>
        </w:rPr>
        <w:t> </w:t>
      </w:r>
      <w:r>
        <w:rPr/>
        <w:t>the antibacterial activities</w:t>
      </w:r>
      <w:r>
        <w:rPr>
          <w:spacing w:val="-2"/>
        </w:rPr>
        <w:t> </w:t>
      </w:r>
      <w:r>
        <w:rPr/>
        <w:t>of honey,</w:t>
      </w:r>
      <w:r>
        <w:rPr>
          <w:spacing w:val="-3"/>
        </w:rPr>
        <w:t> </w:t>
      </w:r>
      <w:r>
        <w:rPr/>
        <w:t>lemon</w:t>
      </w:r>
      <w:r>
        <w:rPr>
          <w:spacing w:val="-1"/>
        </w:rPr>
        <w:t> </w:t>
      </w:r>
      <w:r>
        <w:rPr/>
        <w:t>juice and</w:t>
      </w:r>
      <w:r>
        <w:rPr>
          <w:spacing w:val="-1"/>
        </w:rPr>
        <w:t> </w:t>
      </w:r>
      <w:r>
        <w:rPr/>
        <w:t>honey/lemon</w:t>
      </w:r>
      <w:r>
        <w:rPr>
          <w:spacing w:val="-3"/>
        </w:rPr>
        <w:t> </w:t>
      </w:r>
      <w:r>
        <w:rPr/>
        <w:t>mixture at varied concentrations on the bacteria isolated by agar diffusion and broth dilution </w:t>
      </w:r>
      <w:r>
        <w:rPr>
          <w:spacing w:val="-2"/>
        </w:rPr>
        <w:t>techniques.</w:t>
      </w:r>
    </w:p>
    <w:p>
      <w:pPr>
        <w:pStyle w:val="BodyText"/>
        <w:spacing w:line="482" w:lineRule="auto" w:before="193"/>
        <w:ind w:left="1100" w:right="974"/>
        <w:jc w:val="both"/>
      </w:pPr>
      <w:r>
        <w:rPr/>
        <w:t>Determination of the susceptibility pattern of the bacteria isolated to some reference </w:t>
      </w:r>
      <w:r>
        <w:rPr>
          <w:spacing w:val="-2"/>
        </w:rPr>
        <w:t>antibiotics.</w:t>
      </w:r>
    </w:p>
    <w:p>
      <w:pPr>
        <w:pStyle w:val="BodyText"/>
        <w:spacing w:before="197"/>
        <w:ind w:left="1100"/>
        <w:jc w:val="both"/>
      </w:pPr>
      <w:r>
        <w:rPr/>
        <w:t>Evaluation</w:t>
      </w:r>
      <w:r>
        <w:rPr>
          <w:spacing w:val="-4"/>
        </w:rPr>
        <w:t> </w:t>
      </w:r>
      <w:r>
        <w:rPr/>
        <w:t>of</w:t>
      </w:r>
      <w:r>
        <w:rPr>
          <w:spacing w:val="-2"/>
        </w:rPr>
        <w:t> </w:t>
      </w:r>
      <w:r>
        <w:rPr/>
        <w:t>the</w:t>
      </w:r>
      <w:r>
        <w:rPr>
          <w:spacing w:val="-4"/>
        </w:rPr>
        <w:t> </w:t>
      </w:r>
      <w:r>
        <w:rPr/>
        <w:t>rate</w:t>
      </w:r>
      <w:r>
        <w:rPr>
          <w:spacing w:val="-4"/>
        </w:rPr>
        <w:t> </w:t>
      </w:r>
      <w:r>
        <w:rPr/>
        <w:t>of</w:t>
      </w:r>
      <w:r>
        <w:rPr>
          <w:spacing w:val="-5"/>
        </w:rPr>
        <w:t> </w:t>
      </w:r>
      <w:r>
        <w:rPr/>
        <w:t>kill</w:t>
      </w:r>
      <w:r>
        <w:rPr>
          <w:spacing w:val="-2"/>
        </w:rPr>
        <w:t> </w:t>
      </w:r>
      <w:r>
        <w:rPr/>
        <w:t>of</w:t>
      </w:r>
      <w:r>
        <w:rPr>
          <w:spacing w:val="-2"/>
        </w:rPr>
        <w:t> </w:t>
      </w:r>
      <w:r>
        <w:rPr/>
        <w:t>the</w:t>
      </w:r>
      <w:r>
        <w:rPr>
          <w:spacing w:val="-2"/>
        </w:rPr>
        <w:t> </w:t>
      </w:r>
      <w:r>
        <w:rPr/>
        <w:t>bacteria</w:t>
      </w:r>
      <w:r>
        <w:rPr>
          <w:spacing w:val="-1"/>
        </w:rPr>
        <w:t> </w:t>
      </w:r>
      <w:r>
        <w:rPr/>
        <w:t>isolated</w:t>
      </w:r>
      <w:r>
        <w:rPr>
          <w:spacing w:val="-2"/>
        </w:rPr>
        <w:t> </w:t>
      </w:r>
      <w:r>
        <w:rPr/>
        <w:t>by</w:t>
      </w:r>
      <w:r>
        <w:rPr>
          <w:spacing w:val="-4"/>
        </w:rPr>
        <w:t> </w:t>
      </w:r>
      <w:r>
        <w:rPr/>
        <w:t>honey</w:t>
      </w:r>
      <w:r>
        <w:rPr>
          <w:spacing w:val="-3"/>
        </w:rPr>
        <w:t> </w:t>
      </w:r>
      <w:r>
        <w:rPr/>
        <w:t>and</w:t>
      </w:r>
      <w:r>
        <w:rPr>
          <w:spacing w:val="-4"/>
        </w:rPr>
        <w:t> </w:t>
      </w:r>
      <w:r>
        <w:rPr/>
        <w:t>lemon</w:t>
      </w:r>
      <w:r>
        <w:rPr>
          <w:spacing w:val="-2"/>
        </w:rPr>
        <w:t> juice.</w:t>
      </w:r>
    </w:p>
    <w:p>
      <w:pPr>
        <w:pStyle w:val="BodyText"/>
        <w:spacing w:before="200"/>
      </w:pPr>
    </w:p>
    <w:p>
      <w:pPr>
        <w:tabs>
          <w:tab w:pos="3980" w:val="left" w:leader="none"/>
        </w:tabs>
        <w:spacing w:before="0"/>
        <w:ind w:left="380" w:right="0" w:firstLine="0"/>
        <w:jc w:val="left"/>
        <w:rPr>
          <w:b/>
          <w:sz w:val="22"/>
        </w:rPr>
      </w:pPr>
      <w:r>
        <w:rPr>
          <w:b/>
          <w:spacing w:val="-5"/>
          <w:sz w:val="22"/>
        </w:rPr>
        <w:t>1.6</w:t>
      </w:r>
      <w:r>
        <w:rPr>
          <w:b/>
          <w:sz w:val="22"/>
        </w:rPr>
        <w:tab/>
        <w:t>Research</w:t>
      </w:r>
      <w:r>
        <w:rPr>
          <w:b/>
          <w:spacing w:val="-6"/>
          <w:sz w:val="22"/>
        </w:rPr>
        <w:t> </w:t>
      </w:r>
      <w:r>
        <w:rPr>
          <w:b/>
          <w:spacing w:val="-2"/>
          <w:sz w:val="22"/>
        </w:rPr>
        <w:t>Hypothesis</w:t>
      </w:r>
    </w:p>
    <w:p>
      <w:pPr>
        <w:pStyle w:val="BodyText"/>
        <w:spacing w:before="65"/>
        <w:rPr>
          <w:b/>
        </w:rPr>
      </w:pPr>
    </w:p>
    <w:p>
      <w:pPr>
        <w:pStyle w:val="Heading2"/>
        <w:ind w:left="1100"/>
      </w:pPr>
      <w:r>
        <w:rPr>
          <w:spacing w:val="-5"/>
        </w:rPr>
        <w:t>H</w:t>
      </w:r>
      <w:r>
        <w:rPr>
          <w:spacing w:val="-5"/>
          <w:vertAlign w:val="subscript"/>
        </w:rPr>
        <w:t>0</w:t>
      </w:r>
      <w:r>
        <w:rPr>
          <w:spacing w:val="-5"/>
          <w:vertAlign w:val="baseline"/>
        </w:rPr>
        <w:t>:</w:t>
      </w:r>
    </w:p>
    <w:p>
      <w:pPr>
        <w:pStyle w:val="BodyText"/>
        <w:spacing w:before="197"/>
        <w:rPr>
          <w:b/>
        </w:rPr>
      </w:pPr>
    </w:p>
    <w:p>
      <w:pPr>
        <w:pStyle w:val="BodyText"/>
        <w:spacing w:line="482" w:lineRule="auto" w:before="1"/>
        <w:ind w:left="1820" w:right="975"/>
      </w:pPr>
      <w:r>
        <w:rPr/>
        <w:t>Honey</w:t>
      </w:r>
      <w:r>
        <w:rPr>
          <w:spacing w:val="38"/>
        </w:rPr>
        <w:t> </w:t>
      </w:r>
      <w:r>
        <w:rPr/>
        <w:t>does</w:t>
      </w:r>
      <w:r>
        <w:rPr>
          <w:spacing w:val="37"/>
        </w:rPr>
        <w:t> </w:t>
      </w:r>
      <w:r>
        <w:rPr/>
        <w:t>not</w:t>
      </w:r>
      <w:r>
        <w:rPr>
          <w:spacing w:val="37"/>
        </w:rPr>
        <w:t> </w:t>
      </w:r>
      <w:r>
        <w:rPr/>
        <w:t>have</w:t>
      </w:r>
      <w:r>
        <w:rPr>
          <w:spacing w:val="38"/>
        </w:rPr>
        <w:t> </w:t>
      </w:r>
      <w:r>
        <w:rPr/>
        <w:t>antibacterial</w:t>
      </w:r>
      <w:r>
        <w:rPr>
          <w:spacing w:val="37"/>
        </w:rPr>
        <w:t> </w:t>
      </w:r>
      <w:r>
        <w:rPr/>
        <w:t>activity</w:t>
      </w:r>
      <w:r>
        <w:rPr>
          <w:spacing w:val="38"/>
        </w:rPr>
        <w:t> </w:t>
      </w:r>
      <w:r>
        <w:rPr/>
        <w:t>against</w:t>
      </w:r>
      <w:r>
        <w:rPr>
          <w:spacing w:val="37"/>
        </w:rPr>
        <w:t> </w:t>
      </w:r>
      <w:r>
        <w:rPr/>
        <w:t>isolates</w:t>
      </w:r>
      <w:r>
        <w:rPr>
          <w:spacing w:val="37"/>
        </w:rPr>
        <w:t> </w:t>
      </w:r>
      <w:r>
        <w:rPr/>
        <w:t>from</w:t>
      </w:r>
      <w:r>
        <w:rPr>
          <w:spacing w:val="38"/>
        </w:rPr>
        <w:t> </w:t>
      </w:r>
      <w:r>
        <w:rPr/>
        <w:t>respiratory</w:t>
      </w:r>
      <w:r>
        <w:rPr>
          <w:spacing w:val="38"/>
        </w:rPr>
        <w:t> </w:t>
      </w:r>
      <w:r>
        <w:rPr/>
        <w:t>tract </w:t>
      </w:r>
      <w:r>
        <w:rPr>
          <w:spacing w:val="-2"/>
        </w:rPr>
        <w:t>infections.</w:t>
      </w:r>
    </w:p>
    <w:p>
      <w:pPr>
        <w:pStyle w:val="BodyText"/>
        <w:spacing w:line="482" w:lineRule="auto" w:before="194"/>
        <w:ind w:left="1820" w:right="975"/>
      </w:pPr>
      <w:r>
        <w:rPr/>
        <w:t>Lemon</w:t>
      </w:r>
      <w:r>
        <w:rPr>
          <w:spacing w:val="35"/>
        </w:rPr>
        <w:t> </w:t>
      </w:r>
      <w:r>
        <w:rPr/>
        <w:t>juice</w:t>
      </w:r>
      <w:r>
        <w:rPr>
          <w:spacing w:val="35"/>
        </w:rPr>
        <w:t> </w:t>
      </w:r>
      <w:r>
        <w:rPr/>
        <w:t>does</w:t>
      </w:r>
      <w:r>
        <w:rPr>
          <w:spacing w:val="35"/>
        </w:rPr>
        <w:t> </w:t>
      </w:r>
      <w:r>
        <w:rPr/>
        <w:t>not</w:t>
      </w:r>
      <w:r>
        <w:rPr>
          <w:spacing w:val="35"/>
        </w:rPr>
        <w:t> </w:t>
      </w:r>
      <w:r>
        <w:rPr/>
        <w:t>have</w:t>
      </w:r>
      <w:r>
        <w:rPr>
          <w:spacing w:val="35"/>
        </w:rPr>
        <w:t> </w:t>
      </w:r>
      <w:r>
        <w:rPr/>
        <w:t>antibacterial</w:t>
      </w:r>
      <w:r>
        <w:rPr>
          <w:spacing w:val="34"/>
        </w:rPr>
        <w:t> </w:t>
      </w:r>
      <w:r>
        <w:rPr/>
        <w:t>activity</w:t>
      </w:r>
      <w:r>
        <w:rPr>
          <w:spacing w:val="35"/>
        </w:rPr>
        <w:t> </w:t>
      </w:r>
      <w:r>
        <w:rPr/>
        <w:t>against</w:t>
      </w:r>
      <w:r>
        <w:rPr>
          <w:spacing w:val="35"/>
        </w:rPr>
        <w:t> </w:t>
      </w:r>
      <w:r>
        <w:rPr/>
        <w:t>isolates</w:t>
      </w:r>
      <w:r>
        <w:rPr>
          <w:spacing w:val="35"/>
        </w:rPr>
        <w:t> </w:t>
      </w:r>
      <w:r>
        <w:rPr/>
        <w:t>from</w:t>
      </w:r>
      <w:r>
        <w:rPr>
          <w:spacing w:val="35"/>
        </w:rPr>
        <w:t> </w:t>
      </w:r>
      <w:r>
        <w:rPr/>
        <w:t>respiratory tract infections.</w:t>
      </w:r>
    </w:p>
    <w:p>
      <w:pPr>
        <w:spacing w:after="0" w:line="482" w:lineRule="auto"/>
        <w:sectPr>
          <w:pgSz w:w="11910" w:h="16840"/>
          <w:pgMar w:header="0" w:footer="1055" w:top="1340" w:bottom="1240" w:left="1060" w:right="460"/>
        </w:sectPr>
      </w:pPr>
    </w:p>
    <w:p>
      <w:pPr>
        <w:pStyle w:val="BodyText"/>
        <w:spacing w:line="482" w:lineRule="auto" w:before="38"/>
        <w:ind w:left="1820" w:right="975"/>
      </w:pPr>
      <w:r>
        <w:rPr/>
        <w:t>Honey and lemon juice when used in combination do not produce synergistic effect against bacteria isolates associated with Respiratory Tract Infections (RTIs).</w:t>
      </w:r>
    </w:p>
    <w:p>
      <w:pPr>
        <w:pStyle w:val="Heading2"/>
        <w:spacing w:before="198"/>
        <w:ind w:left="1100"/>
      </w:pPr>
      <w:r>
        <w:rPr>
          <w:spacing w:val="-5"/>
        </w:rPr>
        <w:t>H</w:t>
      </w:r>
      <w:r>
        <w:rPr>
          <w:spacing w:val="-5"/>
          <w:vertAlign w:val="subscript"/>
        </w:rPr>
        <w:t>1</w:t>
      </w:r>
      <w:r>
        <w:rPr>
          <w:spacing w:val="-5"/>
          <w:vertAlign w:val="baseline"/>
        </w:rPr>
        <w:t>:</w:t>
      </w:r>
    </w:p>
    <w:p>
      <w:pPr>
        <w:pStyle w:val="BodyText"/>
        <w:spacing w:before="65"/>
        <w:rPr>
          <w:b/>
        </w:rPr>
      </w:pPr>
    </w:p>
    <w:p>
      <w:pPr>
        <w:pStyle w:val="BodyText"/>
        <w:ind w:left="1820"/>
      </w:pPr>
      <w:r>
        <w:rPr/>
        <w:t>Honey</w:t>
      </w:r>
      <w:r>
        <w:rPr>
          <w:spacing w:val="-8"/>
        </w:rPr>
        <w:t> </w:t>
      </w:r>
      <w:r>
        <w:rPr/>
        <w:t>has</w:t>
      </w:r>
      <w:r>
        <w:rPr>
          <w:spacing w:val="-4"/>
        </w:rPr>
        <w:t> </w:t>
      </w:r>
      <w:r>
        <w:rPr/>
        <w:t>antibacterial</w:t>
      </w:r>
      <w:r>
        <w:rPr>
          <w:spacing w:val="-4"/>
        </w:rPr>
        <w:t> </w:t>
      </w:r>
      <w:r>
        <w:rPr/>
        <w:t>activity</w:t>
      </w:r>
      <w:r>
        <w:rPr>
          <w:spacing w:val="-7"/>
        </w:rPr>
        <w:t> </w:t>
      </w:r>
      <w:r>
        <w:rPr/>
        <w:t>against</w:t>
      </w:r>
      <w:r>
        <w:rPr>
          <w:spacing w:val="-3"/>
        </w:rPr>
        <w:t> </w:t>
      </w:r>
      <w:r>
        <w:rPr/>
        <w:t>isolates</w:t>
      </w:r>
      <w:r>
        <w:rPr>
          <w:spacing w:val="-3"/>
        </w:rPr>
        <w:t> </w:t>
      </w:r>
      <w:r>
        <w:rPr/>
        <w:t>from</w:t>
      </w:r>
      <w:r>
        <w:rPr>
          <w:spacing w:val="-4"/>
        </w:rPr>
        <w:t> </w:t>
      </w:r>
      <w:r>
        <w:rPr/>
        <w:t>respiratory</w:t>
      </w:r>
      <w:r>
        <w:rPr>
          <w:spacing w:val="-6"/>
        </w:rPr>
        <w:t> </w:t>
      </w:r>
      <w:r>
        <w:rPr/>
        <w:t>tract</w:t>
      </w:r>
      <w:r>
        <w:rPr>
          <w:spacing w:val="-3"/>
        </w:rPr>
        <w:t> </w:t>
      </w:r>
      <w:r>
        <w:rPr>
          <w:spacing w:val="-2"/>
        </w:rPr>
        <w:t>infections.</w:t>
      </w:r>
    </w:p>
    <w:p>
      <w:pPr>
        <w:pStyle w:val="BodyText"/>
        <w:spacing w:before="200"/>
      </w:pPr>
    </w:p>
    <w:p>
      <w:pPr>
        <w:pStyle w:val="BodyText"/>
        <w:ind w:left="1820"/>
      </w:pPr>
      <w:r>
        <w:rPr/>
        <w:t>Lemon</w:t>
      </w:r>
      <w:r>
        <w:rPr>
          <w:spacing w:val="-7"/>
        </w:rPr>
        <w:t> </w:t>
      </w:r>
      <w:r>
        <w:rPr/>
        <w:t>has</w:t>
      </w:r>
      <w:r>
        <w:rPr>
          <w:spacing w:val="-7"/>
        </w:rPr>
        <w:t> </w:t>
      </w:r>
      <w:r>
        <w:rPr/>
        <w:t>antibacterial</w:t>
      </w:r>
      <w:r>
        <w:rPr>
          <w:spacing w:val="-5"/>
        </w:rPr>
        <w:t> </w:t>
      </w:r>
      <w:r>
        <w:rPr/>
        <w:t>activity</w:t>
      </w:r>
      <w:r>
        <w:rPr>
          <w:spacing w:val="-4"/>
        </w:rPr>
        <w:t> </w:t>
      </w:r>
      <w:r>
        <w:rPr/>
        <w:t>against</w:t>
      </w:r>
      <w:r>
        <w:rPr>
          <w:spacing w:val="-3"/>
        </w:rPr>
        <w:t> </w:t>
      </w:r>
      <w:r>
        <w:rPr/>
        <w:t>isolates</w:t>
      </w:r>
      <w:r>
        <w:rPr>
          <w:spacing w:val="-4"/>
        </w:rPr>
        <w:t> </w:t>
      </w:r>
      <w:r>
        <w:rPr/>
        <w:t>from</w:t>
      </w:r>
      <w:r>
        <w:rPr>
          <w:spacing w:val="-5"/>
        </w:rPr>
        <w:t> </w:t>
      </w:r>
      <w:r>
        <w:rPr/>
        <w:t>respiratory</w:t>
      </w:r>
      <w:r>
        <w:rPr>
          <w:spacing w:val="-5"/>
        </w:rPr>
        <w:t> </w:t>
      </w:r>
      <w:r>
        <w:rPr/>
        <w:t>tract</w:t>
      </w:r>
      <w:r>
        <w:rPr>
          <w:spacing w:val="-3"/>
        </w:rPr>
        <w:t> </w:t>
      </w:r>
      <w:r>
        <w:rPr>
          <w:spacing w:val="-2"/>
        </w:rPr>
        <w:t>infections.</w:t>
      </w:r>
    </w:p>
    <w:p>
      <w:pPr>
        <w:pStyle w:val="BodyText"/>
        <w:spacing w:before="198"/>
      </w:pPr>
    </w:p>
    <w:p>
      <w:pPr>
        <w:pStyle w:val="BodyText"/>
        <w:spacing w:line="482" w:lineRule="auto"/>
        <w:ind w:left="1820" w:right="976"/>
        <w:jc w:val="both"/>
      </w:pPr>
      <w:r>
        <w:rPr/>
        <w:t>Honey and lemon juice when used in combination produce synergistic effect against bacteria isolates associated with Respiratory Tract Infections (RTIs).</w:t>
      </w:r>
    </w:p>
    <w:p>
      <w:pPr>
        <w:pStyle w:val="Heading3"/>
        <w:tabs>
          <w:tab w:pos="4701" w:val="left" w:leader="none"/>
        </w:tabs>
        <w:spacing w:before="197"/>
        <w:ind w:left="380"/>
      </w:pPr>
      <w:r>
        <w:rPr>
          <w:spacing w:val="-5"/>
        </w:rPr>
        <w:t>1.7</w:t>
      </w:r>
      <w:r>
        <w:rPr/>
        <w:tab/>
      </w:r>
      <w:r>
        <w:rPr>
          <w:spacing w:val="-2"/>
        </w:rPr>
        <w:t>Constraints</w:t>
      </w:r>
    </w:p>
    <w:p>
      <w:pPr>
        <w:pStyle w:val="BodyText"/>
        <w:spacing w:before="65"/>
        <w:rPr>
          <w:b/>
        </w:rPr>
      </w:pPr>
    </w:p>
    <w:p>
      <w:pPr>
        <w:pStyle w:val="BodyText"/>
        <w:ind w:left="1820"/>
      </w:pPr>
      <w:r>
        <w:rPr/>
        <w:t>Infrastructural</w:t>
      </w:r>
      <w:r>
        <w:rPr>
          <w:spacing w:val="-8"/>
        </w:rPr>
        <w:t> </w:t>
      </w:r>
      <w:r>
        <w:rPr/>
        <w:t>conditions</w:t>
      </w:r>
      <w:r>
        <w:rPr>
          <w:spacing w:val="-8"/>
        </w:rPr>
        <w:t> </w:t>
      </w:r>
      <w:r>
        <w:rPr/>
        <w:t>such</w:t>
      </w:r>
      <w:r>
        <w:rPr>
          <w:spacing w:val="-5"/>
        </w:rPr>
        <w:t> </w:t>
      </w:r>
      <w:r>
        <w:rPr/>
        <w:t>as</w:t>
      </w:r>
      <w:r>
        <w:rPr>
          <w:spacing w:val="-5"/>
        </w:rPr>
        <w:t> </w:t>
      </w:r>
      <w:r>
        <w:rPr/>
        <w:t>electricity</w:t>
      </w:r>
      <w:r>
        <w:rPr>
          <w:spacing w:val="-6"/>
        </w:rPr>
        <w:t> </w:t>
      </w:r>
      <w:r>
        <w:rPr/>
        <w:t>supply,</w:t>
      </w:r>
      <w:r>
        <w:rPr>
          <w:spacing w:val="-6"/>
        </w:rPr>
        <w:t> </w:t>
      </w:r>
      <w:r>
        <w:rPr>
          <w:spacing w:val="-2"/>
        </w:rPr>
        <w:t>instruments/equipment.</w:t>
      </w:r>
    </w:p>
    <w:p>
      <w:pPr>
        <w:pStyle w:val="BodyText"/>
        <w:spacing w:before="200"/>
      </w:pPr>
    </w:p>
    <w:p>
      <w:pPr>
        <w:pStyle w:val="BodyText"/>
        <w:spacing w:line="480" w:lineRule="auto"/>
        <w:ind w:left="1820" w:right="979"/>
        <w:jc w:val="both"/>
      </w:pPr>
      <w:r>
        <w:rPr/>
        <w:t>The number of isolates that were obtained from the samples over the period of the </w:t>
      </w:r>
      <w:r>
        <w:rPr>
          <w:spacing w:val="-2"/>
        </w:rPr>
        <w:t>study.</w:t>
      </w:r>
    </w:p>
    <w:p>
      <w:pPr>
        <w:pStyle w:val="Heading3"/>
        <w:tabs>
          <w:tab w:pos="4701" w:val="left" w:leader="none"/>
        </w:tabs>
        <w:spacing w:before="203"/>
        <w:ind w:left="380"/>
      </w:pPr>
      <w:r>
        <w:rPr>
          <w:spacing w:val="-5"/>
        </w:rPr>
        <w:t>1.8</w:t>
      </w:r>
      <w:r>
        <w:rPr/>
        <w:tab/>
      </w:r>
      <w:r>
        <w:rPr>
          <w:spacing w:val="-2"/>
        </w:rPr>
        <w:t>Limitation</w:t>
      </w:r>
    </w:p>
    <w:p>
      <w:pPr>
        <w:pStyle w:val="BodyText"/>
        <w:spacing w:before="197"/>
        <w:rPr>
          <w:b/>
        </w:rPr>
      </w:pPr>
    </w:p>
    <w:p>
      <w:pPr>
        <w:pStyle w:val="BodyText"/>
        <w:spacing w:line="480" w:lineRule="auto"/>
        <w:ind w:left="1820" w:right="975"/>
        <w:jc w:val="both"/>
      </w:pPr>
      <w:r>
        <w:rPr/>
        <w:t>It is an in-vitro study: Antibacterial activity of honey and/or lemon juice was tested on bacterial isolates of RTI (and compared with some reference/conventional </w:t>
      </w:r>
      <w:r>
        <w:rPr>
          <w:spacing w:val="-2"/>
        </w:rPr>
        <w:t>antibiotics).</w:t>
      </w:r>
    </w:p>
    <w:p>
      <w:pPr>
        <w:pStyle w:val="Heading2"/>
        <w:spacing w:before="201"/>
        <w:ind w:left="842"/>
        <w:jc w:val="center"/>
      </w:pPr>
      <w:r>
        <w:rPr/>
        <w:t>CHAPTER</w:t>
      </w:r>
      <w:r>
        <w:rPr>
          <w:spacing w:val="-7"/>
        </w:rPr>
        <w:t> </w:t>
      </w:r>
      <w:r>
        <w:rPr>
          <w:spacing w:val="-5"/>
        </w:rPr>
        <w:t>TWO</w:t>
      </w:r>
    </w:p>
    <w:p>
      <w:pPr>
        <w:pStyle w:val="BodyText"/>
        <w:spacing w:before="68"/>
        <w:rPr>
          <w:b/>
        </w:rPr>
      </w:pPr>
    </w:p>
    <w:p>
      <w:pPr>
        <w:pStyle w:val="ListParagraph"/>
        <w:numPr>
          <w:ilvl w:val="1"/>
          <w:numId w:val="1"/>
        </w:numPr>
        <w:tabs>
          <w:tab w:pos="4132" w:val="left" w:leader="none"/>
        </w:tabs>
        <w:spacing w:line="240" w:lineRule="auto" w:before="0" w:after="0"/>
        <w:ind w:left="4132" w:right="0" w:hanging="3752"/>
        <w:jc w:val="left"/>
        <w:rPr>
          <w:b/>
          <w:sz w:val="22"/>
        </w:rPr>
      </w:pPr>
      <w:r>
        <w:rPr>
          <w:b/>
          <w:sz w:val="22"/>
        </w:rPr>
        <w:t>LITERATURE</w:t>
      </w:r>
      <w:r>
        <w:rPr>
          <w:b/>
          <w:spacing w:val="-10"/>
          <w:sz w:val="22"/>
        </w:rPr>
        <w:t> </w:t>
      </w:r>
      <w:r>
        <w:rPr>
          <w:b/>
          <w:spacing w:val="-2"/>
          <w:sz w:val="22"/>
        </w:rPr>
        <w:t>REVIEW</w:t>
      </w:r>
    </w:p>
    <w:p>
      <w:pPr>
        <w:pStyle w:val="BodyText"/>
        <w:spacing w:before="65"/>
        <w:rPr>
          <w:b/>
        </w:rPr>
      </w:pPr>
    </w:p>
    <w:p>
      <w:pPr>
        <w:pStyle w:val="Heading3"/>
        <w:numPr>
          <w:ilvl w:val="1"/>
          <w:numId w:val="1"/>
        </w:numPr>
        <w:tabs>
          <w:tab w:pos="5051" w:val="left" w:leader="none"/>
        </w:tabs>
        <w:spacing w:line="240" w:lineRule="auto" w:before="0" w:after="0"/>
        <w:ind w:left="5051" w:right="0" w:hanging="4671"/>
        <w:jc w:val="left"/>
      </w:pPr>
      <w:r>
        <w:rPr>
          <w:spacing w:val="-2"/>
        </w:rPr>
        <w:t>Honey</w:t>
      </w:r>
    </w:p>
    <w:p>
      <w:pPr>
        <w:pStyle w:val="BodyText"/>
        <w:spacing w:before="66"/>
        <w:rPr>
          <w:b/>
        </w:rPr>
      </w:pPr>
    </w:p>
    <w:p>
      <w:pPr>
        <w:pStyle w:val="ListParagraph"/>
        <w:numPr>
          <w:ilvl w:val="2"/>
          <w:numId w:val="1"/>
        </w:numPr>
        <w:tabs>
          <w:tab w:pos="1100" w:val="left" w:leader="none"/>
        </w:tabs>
        <w:spacing w:line="240" w:lineRule="auto" w:before="0" w:after="0"/>
        <w:ind w:left="1100" w:right="0" w:hanging="720"/>
        <w:jc w:val="left"/>
        <w:rPr>
          <w:b/>
          <w:sz w:val="22"/>
        </w:rPr>
      </w:pPr>
      <w:r>
        <w:rPr>
          <w:b/>
          <w:sz w:val="22"/>
        </w:rPr>
        <w:t>Origin</w:t>
      </w:r>
      <w:r>
        <w:rPr>
          <w:b/>
          <w:spacing w:val="-2"/>
          <w:sz w:val="22"/>
        </w:rPr>
        <w:t> </w:t>
      </w:r>
      <w:r>
        <w:rPr>
          <w:b/>
          <w:sz w:val="22"/>
        </w:rPr>
        <w:t>of</w:t>
      </w:r>
      <w:r>
        <w:rPr>
          <w:b/>
          <w:spacing w:val="-1"/>
          <w:sz w:val="22"/>
        </w:rPr>
        <w:t> </w:t>
      </w:r>
      <w:r>
        <w:rPr>
          <w:b/>
          <w:spacing w:val="-2"/>
          <w:sz w:val="22"/>
        </w:rPr>
        <w:t>Honey</w:t>
      </w:r>
    </w:p>
    <w:p>
      <w:pPr>
        <w:pStyle w:val="BodyText"/>
        <w:spacing w:before="62"/>
        <w:rPr>
          <w:b/>
        </w:rPr>
      </w:pPr>
    </w:p>
    <w:p>
      <w:pPr>
        <w:pStyle w:val="BodyText"/>
        <w:spacing w:line="480" w:lineRule="auto" w:before="1"/>
        <w:ind w:left="1100" w:right="974" w:firstLine="720"/>
        <w:jc w:val="both"/>
      </w:pPr>
      <w:r>
        <w:rPr/>
        <w:t>Honey collection is an ancient activity. Crane (1983) reported that, honey collection began for at least 10,000 years ago. She depicts this with a cave painting in Valencia, Spain. The</w:t>
      </w:r>
      <w:r>
        <w:rPr>
          <w:spacing w:val="21"/>
        </w:rPr>
        <w:t> </w:t>
      </w:r>
      <w:r>
        <w:rPr/>
        <w:t>painting</w:t>
      </w:r>
      <w:r>
        <w:rPr>
          <w:spacing w:val="21"/>
        </w:rPr>
        <w:t> </w:t>
      </w:r>
      <w:r>
        <w:rPr/>
        <w:t>is</w:t>
      </w:r>
      <w:r>
        <w:rPr>
          <w:spacing w:val="20"/>
        </w:rPr>
        <w:t> </w:t>
      </w:r>
      <w:r>
        <w:rPr/>
        <w:t>a</w:t>
      </w:r>
      <w:r>
        <w:rPr>
          <w:spacing w:val="20"/>
        </w:rPr>
        <w:t> </w:t>
      </w:r>
      <w:r>
        <w:rPr/>
        <w:t>Mesolithic</w:t>
      </w:r>
      <w:r>
        <w:rPr>
          <w:spacing w:val="22"/>
        </w:rPr>
        <w:t> </w:t>
      </w:r>
      <w:r>
        <w:rPr/>
        <w:t>rock</w:t>
      </w:r>
      <w:r>
        <w:rPr>
          <w:spacing w:val="20"/>
        </w:rPr>
        <w:t> </w:t>
      </w:r>
      <w:r>
        <w:rPr/>
        <w:t>showing</w:t>
      </w:r>
      <w:r>
        <w:rPr>
          <w:spacing w:val="20"/>
        </w:rPr>
        <w:t> </w:t>
      </w:r>
      <w:r>
        <w:rPr/>
        <w:t>two</w:t>
      </w:r>
      <w:r>
        <w:rPr>
          <w:spacing w:val="23"/>
        </w:rPr>
        <w:t> </w:t>
      </w:r>
      <w:r>
        <w:rPr/>
        <w:t>female</w:t>
      </w:r>
      <w:r>
        <w:rPr>
          <w:spacing w:val="22"/>
        </w:rPr>
        <w:t> </w:t>
      </w:r>
      <w:r>
        <w:rPr/>
        <w:t>honey-hunters</w:t>
      </w:r>
      <w:r>
        <w:rPr>
          <w:spacing w:val="20"/>
        </w:rPr>
        <w:t> </w:t>
      </w:r>
      <w:r>
        <w:rPr/>
        <w:t>collecting</w:t>
      </w:r>
      <w:r>
        <w:rPr>
          <w:spacing w:val="21"/>
        </w:rPr>
        <w:t> </w:t>
      </w:r>
      <w:r>
        <w:rPr/>
        <w:t>honey</w:t>
      </w:r>
      <w:r>
        <w:rPr>
          <w:spacing w:val="22"/>
        </w:rPr>
        <w:t> </w:t>
      </w:r>
      <w:r>
        <w:rPr>
          <w:spacing w:val="-5"/>
        </w:rPr>
        <w:t>and</w:t>
      </w:r>
    </w:p>
    <w:p>
      <w:pPr>
        <w:spacing w:after="0" w:line="480" w:lineRule="auto"/>
        <w:jc w:val="both"/>
        <w:sectPr>
          <w:pgSz w:w="11910" w:h="16840"/>
          <w:pgMar w:header="0" w:footer="1055" w:top="1380" w:bottom="1240" w:left="1060" w:right="460"/>
        </w:sectPr>
      </w:pPr>
    </w:p>
    <w:p>
      <w:pPr>
        <w:pStyle w:val="BodyText"/>
        <w:spacing w:line="480" w:lineRule="auto" w:before="38"/>
        <w:ind w:left="1100" w:right="973"/>
        <w:jc w:val="both"/>
      </w:pPr>
      <w:r>
        <w:rPr/>
        <w:t>honeycomb from a wild bee nest. The two women are depicted in the nude, carrying basket and using a long wobbly ladder to reach the wild nest. Ancient Egyptians appreciated the value of honey and even went as far as domesticating bees and building apiaries. </w:t>
      </w:r>
      <w:hyperlink r:id="rId28">
        <w:r>
          <w:rPr/>
          <w:t>Mexico</w:t>
        </w:r>
      </w:hyperlink>
      <w:r>
        <w:rPr/>
        <w:t> is also an important producer of honey, providing more than 4% of the world's supply. Much</w:t>
      </w:r>
      <w:r>
        <w:rPr>
          <w:spacing w:val="80"/>
        </w:rPr>
        <w:t> </w:t>
      </w:r>
      <w:r>
        <w:rPr/>
        <w:t>of this (about one-third) comes from the </w:t>
      </w:r>
      <w:hyperlink r:id="rId29">
        <w:r>
          <w:rPr/>
          <w:t>Yucatán Peninsula.</w:t>
        </w:r>
      </w:hyperlink>
      <w:r>
        <w:rPr/>
        <w:t> Honey production began there when</w:t>
      </w:r>
      <w:r>
        <w:rPr>
          <w:spacing w:val="-1"/>
        </w:rPr>
        <w:t> </w:t>
      </w:r>
      <w:r>
        <w:rPr/>
        <w:t>the</w:t>
      </w:r>
      <w:r>
        <w:rPr>
          <w:spacing w:val="-1"/>
        </w:rPr>
        <w:t> </w:t>
      </w:r>
      <w:r>
        <w:rPr>
          <w:i/>
        </w:rPr>
        <w:t>Apis</w:t>
      </w:r>
      <w:r>
        <w:rPr>
          <w:i/>
          <w:spacing w:val="-3"/>
        </w:rPr>
        <w:t> </w:t>
      </w:r>
      <w:r>
        <w:rPr>
          <w:i/>
        </w:rPr>
        <w:t>mellifera </w:t>
      </w:r>
      <w:r>
        <w:rPr/>
        <w:t>and</w:t>
      </w:r>
      <w:r>
        <w:rPr>
          <w:spacing w:val="-2"/>
        </w:rPr>
        <w:t> </w:t>
      </w:r>
      <w:r>
        <w:rPr/>
        <w:t>the </w:t>
      </w:r>
      <w:r>
        <w:rPr>
          <w:i/>
        </w:rPr>
        <w:t>A.</w:t>
      </w:r>
      <w:r>
        <w:rPr>
          <w:i/>
          <w:spacing w:val="-3"/>
        </w:rPr>
        <w:t> </w:t>
      </w:r>
      <w:r>
        <w:rPr>
          <w:i/>
        </w:rPr>
        <w:t>mellifera</w:t>
      </w:r>
      <w:r>
        <w:rPr>
          <w:i/>
          <w:spacing w:val="-2"/>
        </w:rPr>
        <w:t> </w:t>
      </w:r>
      <w:r>
        <w:rPr>
          <w:i/>
        </w:rPr>
        <w:t>ligustica</w:t>
      </w:r>
      <w:r>
        <w:rPr>
          <w:i/>
          <w:spacing w:val="-3"/>
        </w:rPr>
        <w:t> </w:t>
      </w:r>
      <w:r>
        <w:rPr/>
        <w:t>were</w:t>
      </w:r>
      <w:r>
        <w:rPr>
          <w:spacing w:val="-1"/>
        </w:rPr>
        <w:t> </w:t>
      </w:r>
      <w:r>
        <w:rPr/>
        <w:t>introduced</w:t>
      </w:r>
      <w:r>
        <w:rPr>
          <w:spacing w:val="-3"/>
        </w:rPr>
        <w:t> </w:t>
      </w:r>
      <w:r>
        <w:rPr/>
        <w:t>there</w:t>
      </w:r>
      <w:r>
        <w:rPr>
          <w:spacing w:val="-3"/>
        </w:rPr>
        <w:t> </w:t>
      </w:r>
      <w:r>
        <w:rPr/>
        <w:t>early</w:t>
      </w:r>
      <w:r>
        <w:rPr>
          <w:spacing w:val="-1"/>
        </w:rPr>
        <w:t> </w:t>
      </w:r>
      <w:r>
        <w:rPr/>
        <w:t>in</w:t>
      </w:r>
      <w:r>
        <w:rPr>
          <w:spacing w:val="-1"/>
        </w:rPr>
        <w:t> </w:t>
      </w:r>
      <w:r>
        <w:rPr/>
        <w:t>the</w:t>
      </w:r>
      <w:r>
        <w:rPr>
          <w:spacing w:val="-3"/>
        </w:rPr>
        <w:t> </w:t>
      </w:r>
      <w:r>
        <w:rPr/>
        <w:t>20th century (</w:t>
      </w:r>
      <w:hyperlink r:id="rId30">
        <w:r>
          <w:rPr/>
          <w:t>Food and Agriculture Organization of the United Nations</w:t>
        </w:r>
      </w:hyperlink>
      <w:r>
        <w:rPr/>
        <w:t>, 2008). Most of Mexico's Yucatán producers are small, family operations that use original traditional techniques, moving hives to take advantage of the various tropical and subtropical flowers (Lavin and Mariely, 2008).</w:t>
      </w:r>
    </w:p>
    <w:p>
      <w:pPr>
        <w:pStyle w:val="ListParagraph"/>
        <w:numPr>
          <w:ilvl w:val="2"/>
          <w:numId w:val="1"/>
        </w:numPr>
        <w:tabs>
          <w:tab w:pos="1096" w:val="left" w:leader="none"/>
        </w:tabs>
        <w:spacing w:line="240" w:lineRule="auto" w:before="203" w:after="0"/>
        <w:ind w:left="1096" w:right="0" w:hanging="716"/>
        <w:jc w:val="both"/>
        <w:rPr>
          <w:b/>
          <w:sz w:val="22"/>
        </w:rPr>
      </w:pPr>
      <w:r>
        <w:rPr>
          <w:b/>
          <w:sz w:val="22"/>
        </w:rPr>
        <w:t>Properties</w:t>
      </w:r>
      <w:r>
        <w:rPr>
          <w:b/>
          <w:spacing w:val="-6"/>
          <w:sz w:val="22"/>
        </w:rPr>
        <w:t> </w:t>
      </w:r>
      <w:r>
        <w:rPr>
          <w:b/>
          <w:sz w:val="22"/>
        </w:rPr>
        <w:t>of</w:t>
      </w:r>
      <w:r>
        <w:rPr>
          <w:b/>
          <w:spacing w:val="-3"/>
          <w:sz w:val="22"/>
        </w:rPr>
        <w:t> </w:t>
      </w:r>
      <w:r>
        <w:rPr>
          <w:b/>
          <w:spacing w:val="-2"/>
          <w:sz w:val="22"/>
        </w:rPr>
        <w:t>Honey</w:t>
      </w:r>
    </w:p>
    <w:p>
      <w:pPr>
        <w:pStyle w:val="BodyText"/>
        <w:spacing w:before="139"/>
        <w:rPr>
          <w:b/>
        </w:rPr>
      </w:pPr>
    </w:p>
    <w:p>
      <w:pPr>
        <w:spacing w:line="480" w:lineRule="auto" w:before="0"/>
        <w:ind w:left="1100" w:right="973" w:firstLine="720"/>
        <w:jc w:val="both"/>
        <w:rPr>
          <w:rFonts w:ascii="Times New Roman"/>
          <w:sz w:val="24"/>
        </w:rPr>
      </w:pPr>
      <w:r>
        <w:rPr>
          <w:rFonts w:ascii="Times New Roman"/>
          <w:sz w:val="24"/>
        </w:rPr>
        <w:t>The</w:t>
      </w:r>
      <w:r>
        <w:rPr>
          <w:rFonts w:ascii="Times New Roman"/>
          <w:spacing w:val="-2"/>
          <w:sz w:val="24"/>
        </w:rPr>
        <w:t> </w:t>
      </w:r>
      <w:r>
        <w:rPr>
          <w:rFonts w:ascii="Times New Roman"/>
          <w:sz w:val="24"/>
        </w:rPr>
        <w:t>physical properties</w:t>
      </w:r>
      <w:r>
        <w:rPr>
          <w:rFonts w:ascii="Times New Roman"/>
          <w:spacing w:val="-1"/>
          <w:sz w:val="24"/>
        </w:rPr>
        <w:t> </w:t>
      </w:r>
      <w:r>
        <w:rPr>
          <w:rFonts w:ascii="Times New Roman"/>
          <w:sz w:val="24"/>
        </w:rPr>
        <w:t>of</w:t>
      </w:r>
      <w:r>
        <w:rPr>
          <w:rFonts w:ascii="Times New Roman"/>
          <w:spacing w:val="-1"/>
          <w:sz w:val="24"/>
        </w:rPr>
        <w:t> </w:t>
      </w:r>
      <w:r>
        <w:rPr>
          <w:rFonts w:ascii="Times New Roman"/>
          <w:sz w:val="24"/>
        </w:rPr>
        <w:t>honey</w:t>
      </w:r>
      <w:r>
        <w:rPr>
          <w:rFonts w:ascii="Times New Roman"/>
          <w:spacing w:val="-5"/>
          <w:sz w:val="24"/>
        </w:rPr>
        <w:t> </w:t>
      </w:r>
      <w:r>
        <w:rPr>
          <w:rFonts w:ascii="Times New Roman"/>
          <w:sz w:val="24"/>
        </w:rPr>
        <w:t>vary, depending</w:t>
      </w:r>
      <w:r>
        <w:rPr>
          <w:rFonts w:ascii="Times New Roman"/>
          <w:spacing w:val="-3"/>
          <w:sz w:val="24"/>
        </w:rPr>
        <w:t> </w:t>
      </w:r>
      <w:r>
        <w:rPr>
          <w:rFonts w:ascii="Times New Roman"/>
          <w:sz w:val="24"/>
        </w:rPr>
        <w:t>on water</w:t>
      </w:r>
      <w:r>
        <w:rPr>
          <w:rFonts w:ascii="Times New Roman"/>
          <w:spacing w:val="-2"/>
          <w:sz w:val="24"/>
        </w:rPr>
        <w:t> </w:t>
      </w:r>
      <w:r>
        <w:rPr>
          <w:rFonts w:ascii="Times New Roman"/>
          <w:sz w:val="24"/>
        </w:rPr>
        <w:t>content, the</w:t>
      </w:r>
      <w:r>
        <w:rPr>
          <w:rFonts w:ascii="Times New Roman"/>
          <w:spacing w:val="-1"/>
          <w:sz w:val="24"/>
        </w:rPr>
        <w:t> </w:t>
      </w:r>
      <w:r>
        <w:rPr>
          <w:rFonts w:ascii="Times New Roman"/>
          <w:sz w:val="24"/>
        </w:rPr>
        <w:t>type</w:t>
      </w:r>
      <w:r>
        <w:rPr>
          <w:rFonts w:ascii="Times New Roman"/>
          <w:spacing w:val="-1"/>
          <w:sz w:val="24"/>
        </w:rPr>
        <w:t> </w:t>
      </w:r>
      <w:r>
        <w:rPr>
          <w:rFonts w:ascii="Times New Roman"/>
          <w:sz w:val="24"/>
        </w:rPr>
        <w:t>of flora used to produce it (pasturage), temperature, and the proportion of the specific sugars it contains. Fresh honey is a </w:t>
      </w:r>
      <w:hyperlink r:id="rId31">
        <w:r>
          <w:rPr>
            <w:rFonts w:ascii="Times New Roman"/>
            <w:sz w:val="24"/>
          </w:rPr>
          <w:t>supersaturated</w:t>
        </w:r>
      </w:hyperlink>
      <w:r>
        <w:rPr>
          <w:rFonts w:ascii="Times New Roman"/>
          <w:sz w:val="24"/>
        </w:rPr>
        <w:t> liquid, containing more sugar than the water can typically</w:t>
      </w:r>
      <w:r>
        <w:rPr>
          <w:rFonts w:ascii="Times New Roman"/>
          <w:spacing w:val="-3"/>
          <w:sz w:val="24"/>
        </w:rPr>
        <w:t> </w:t>
      </w:r>
      <w:r>
        <w:rPr>
          <w:rFonts w:ascii="Times New Roman"/>
          <w:sz w:val="24"/>
        </w:rPr>
        <w:t>dissolve at ambient temperatures. At room temperature, honey is a </w:t>
      </w:r>
      <w:hyperlink r:id="rId32">
        <w:r>
          <w:rPr>
            <w:rFonts w:ascii="Times New Roman"/>
            <w:sz w:val="24"/>
          </w:rPr>
          <w:t>super-cooled</w:t>
        </w:r>
      </w:hyperlink>
      <w:r>
        <w:rPr>
          <w:rFonts w:ascii="Times New Roman"/>
          <w:sz w:val="24"/>
        </w:rPr>
        <w:t> liquid, in which the </w:t>
      </w:r>
      <w:hyperlink r:id="rId33">
        <w:r>
          <w:rPr>
            <w:rFonts w:ascii="Times New Roman"/>
            <w:sz w:val="24"/>
          </w:rPr>
          <w:t>glucose</w:t>
        </w:r>
      </w:hyperlink>
      <w:r>
        <w:rPr>
          <w:rFonts w:ascii="Times New Roman"/>
          <w:sz w:val="24"/>
        </w:rPr>
        <w:t> will precipitate into solid granules. This forms a semisolid solution of </w:t>
      </w:r>
      <w:hyperlink r:id="rId34">
        <w:r>
          <w:rPr>
            <w:rFonts w:ascii="Times New Roman"/>
            <w:sz w:val="24"/>
          </w:rPr>
          <w:t>precipitated</w:t>
        </w:r>
      </w:hyperlink>
      <w:r>
        <w:rPr>
          <w:rFonts w:ascii="Times New Roman"/>
          <w:sz w:val="24"/>
        </w:rPr>
        <w:t> glucose </w:t>
      </w:r>
      <w:hyperlink r:id="rId35">
        <w:r>
          <w:rPr>
            <w:rFonts w:ascii="Times New Roman"/>
            <w:sz w:val="24"/>
          </w:rPr>
          <w:t>crystals</w:t>
        </w:r>
      </w:hyperlink>
      <w:r>
        <w:rPr>
          <w:rFonts w:ascii="Times New Roman"/>
          <w:sz w:val="24"/>
        </w:rPr>
        <w:t> in a solution of </w:t>
      </w:r>
      <w:hyperlink r:id="rId36">
        <w:r>
          <w:rPr>
            <w:rFonts w:ascii="Times New Roman"/>
            <w:sz w:val="24"/>
          </w:rPr>
          <w:t>fructose</w:t>
        </w:r>
      </w:hyperlink>
      <w:r>
        <w:rPr>
          <w:rFonts w:ascii="Times New Roman"/>
          <w:spacing w:val="40"/>
          <w:sz w:val="24"/>
        </w:rPr>
        <w:t> </w:t>
      </w:r>
      <w:r>
        <w:rPr>
          <w:rFonts w:ascii="Times New Roman"/>
          <w:sz w:val="24"/>
        </w:rPr>
        <w:t>and other ingredients. Ripe honey, as removed from the hive by a </w:t>
      </w:r>
      <w:hyperlink r:id="rId37">
        <w:r>
          <w:rPr>
            <w:rFonts w:ascii="Times New Roman"/>
            <w:sz w:val="24"/>
          </w:rPr>
          <w:t>beekeeper</w:t>
        </w:r>
      </w:hyperlink>
      <w:r>
        <w:rPr>
          <w:rFonts w:ascii="Times New Roman"/>
          <w:sz w:val="24"/>
        </w:rPr>
        <w:t>, has a long shelf life, and will not ferment if properly sealed (National Honey Board, 2010).</w:t>
      </w:r>
    </w:p>
    <w:p>
      <w:pPr>
        <w:pStyle w:val="BodyText"/>
        <w:spacing w:before="4"/>
        <w:rPr>
          <w:rFonts w:ascii="Times New Roman"/>
          <w:sz w:val="24"/>
        </w:rPr>
      </w:pPr>
    </w:p>
    <w:p>
      <w:pPr>
        <w:spacing w:line="480" w:lineRule="auto" w:before="0"/>
        <w:ind w:left="1100" w:right="975" w:firstLine="720"/>
        <w:jc w:val="both"/>
        <w:rPr>
          <w:rFonts w:ascii="Times New Roman" w:hAnsi="Times New Roman"/>
          <w:sz w:val="24"/>
        </w:rPr>
      </w:pPr>
      <w:r>
        <w:rPr>
          <w:rFonts w:ascii="Times New Roman" w:hAnsi="Times New Roman"/>
          <w:sz w:val="24"/>
        </w:rPr>
        <w:t>The melting point of crystallized honey is between 40 and 50 °C, depending</w:t>
      </w:r>
      <w:r>
        <w:rPr>
          <w:rFonts w:ascii="Times New Roman" w:hAnsi="Times New Roman"/>
          <w:spacing w:val="40"/>
          <w:sz w:val="24"/>
        </w:rPr>
        <w:t> </w:t>
      </w:r>
      <w:r>
        <w:rPr>
          <w:rFonts w:ascii="Times New Roman" w:hAnsi="Times New Roman"/>
          <w:sz w:val="24"/>
        </w:rPr>
        <w:t>on its composition (Root &amp; Root, 2005). Below 5 °C, the honey will not crystallize and, thus, the original texture and flavor can be preserved indefinitely (Tomasik, 2004). As the temperatures become colder, the viscosity of honey increases. Like</w:t>
      </w:r>
      <w:r>
        <w:rPr>
          <w:rFonts w:ascii="Times New Roman" w:hAnsi="Times New Roman"/>
          <w:spacing w:val="40"/>
          <w:sz w:val="24"/>
        </w:rPr>
        <w:t> </w:t>
      </w:r>
      <w:r>
        <w:rPr>
          <w:rFonts w:ascii="Times New Roman" w:hAnsi="Times New Roman"/>
          <w:sz w:val="24"/>
        </w:rPr>
        <w:t>most</w:t>
      </w:r>
      <w:r>
        <w:rPr>
          <w:rFonts w:ascii="Times New Roman" w:hAnsi="Times New Roman"/>
          <w:spacing w:val="61"/>
          <w:sz w:val="24"/>
        </w:rPr>
        <w:t> </w:t>
      </w:r>
      <w:hyperlink r:id="rId38">
        <w:r>
          <w:rPr>
            <w:rFonts w:ascii="Times New Roman" w:hAnsi="Times New Roman"/>
            <w:sz w:val="24"/>
          </w:rPr>
          <w:t>viscous</w:t>
        </w:r>
        <w:r>
          <w:rPr>
            <w:rFonts w:ascii="Times New Roman" w:hAnsi="Times New Roman"/>
            <w:spacing w:val="59"/>
            <w:sz w:val="24"/>
          </w:rPr>
          <w:t> </w:t>
        </w:r>
        <w:r>
          <w:rPr>
            <w:rFonts w:ascii="Times New Roman" w:hAnsi="Times New Roman"/>
            <w:sz w:val="24"/>
          </w:rPr>
          <w:t>liquids</w:t>
        </w:r>
      </w:hyperlink>
      <w:r>
        <w:rPr>
          <w:rFonts w:ascii="Times New Roman" w:hAnsi="Times New Roman"/>
          <w:sz w:val="24"/>
        </w:rPr>
        <w:t>,</w:t>
      </w:r>
      <w:r>
        <w:rPr>
          <w:rFonts w:ascii="Times New Roman" w:hAnsi="Times New Roman"/>
          <w:spacing w:val="59"/>
          <w:sz w:val="24"/>
        </w:rPr>
        <w:t> </w:t>
      </w:r>
      <w:r>
        <w:rPr>
          <w:rFonts w:ascii="Times New Roman" w:hAnsi="Times New Roman"/>
          <w:sz w:val="24"/>
        </w:rPr>
        <w:t>the</w:t>
      </w:r>
      <w:r>
        <w:rPr>
          <w:rFonts w:ascii="Times New Roman" w:hAnsi="Times New Roman"/>
          <w:spacing w:val="58"/>
          <w:sz w:val="24"/>
        </w:rPr>
        <w:t> </w:t>
      </w:r>
      <w:r>
        <w:rPr>
          <w:rFonts w:ascii="Times New Roman" w:hAnsi="Times New Roman"/>
          <w:sz w:val="24"/>
        </w:rPr>
        <w:t>honey</w:t>
      </w:r>
      <w:r>
        <w:rPr>
          <w:rFonts w:ascii="Times New Roman" w:hAnsi="Times New Roman"/>
          <w:spacing w:val="57"/>
          <w:sz w:val="24"/>
        </w:rPr>
        <w:t> </w:t>
      </w:r>
      <w:r>
        <w:rPr>
          <w:rFonts w:ascii="Times New Roman" w:hAnsi="Times New Roman"/>
          <w:sz w:val="24"/>
        </w:rPr>
        <w:t>will</w:t>
      </w:r>
      <w:r>
        <w:rPr>
          <w:rFonts w:ascii="Times New Roman" w:hAnsi="Times New Roman"/>
          <w:spacing w:val="60"/>
          <w:sz w:val="24"/>
        </w:rPr>
        <w:t> </w:t>
      </w:r>
      <w:r>
        <w:rPr>
          <w:rFonts w:ascii="Times New Roman" w:hAnsi="Times New Roman"/>
          <w:sz w:val="24"/>
        </w:rPr>
        <w:t>become</w:t>
      </w:r>
      <w:r>
        <w:rPr>
          <w:rFonts w:ascii="Times New Roman" w:hAnsi="Times New Roman"/>
          <w:spacing w:val="59"/>
          <w:sz w:val="24"/>
        </w:rPr>
        <w:t> </w:t>
      </w:r>
      <w:r>
        <w:rPr>
          <w:rFonts w:ascii="Times New Roman" w:hAnsi="Times New Roman"/>
          <w:sz w:val="24"/>
        </w:rPr>
        <w:t>thick</w:t>
      </w:r>
      <w:r>
        <w:rPr>
          <w:rFonts w:ascii="Times New Roman" w:hAnsi="Times New Roman"/>
          <w:spacing w:val="59"/>
          <w:sz w:val="24"/>
        </w:rPr>
        <w:t> </w:t>
      </w:r>
      <w:r>
        <w:rPr>
          <w:rFonts w:ascii="Times New Roman" w:hAnsi="Times New Roman"/>
          <w:sz w:val="24"/>
        </w:rPr>
        <w:t>and</w:t>
      </w:r>
      <w:r>
        <w:rPr>
          <w:rFonts w:ascii="Times New Roman" w:hAnsi="Times New Roman"/>
          <w:spacing w:val="59"/>
          <w:sz w:val="24"/>
        </w:rPr>
        <w:t> </w:t>
      </w:r>
      <w:r>
        <w:rPr>
          <w:rFonts w:ascii="Times New Roman" w:hAnsi="Times New Roman"/>
          <w:sz w:val="24"/>
        </w:rPr>
        <w:t>sluggish</w:t>
      </w:r>
      <w:r>
        <w:rPr>
          <w:rFonts w:ascii="Times New Roman" w:hAnsi="Times New Roman"/>
          <w:spacing w:val="60"/>
          <w:sz w:val="24"/>
        </w:rPr>
        <w:t> </w:t>
      </w:r>
      <w:r>
        <w:rPr>
          <w:rFonts w:ascii="Times New Roman" w:hAnsi="Times New Roman"/>
          <w:sz w:val="24"/>
        </w:rPr>
        <w:t>with</w:t>
      </w:r>
      <w:r>
        <w:rPr>
          <w:rFonts w:ascii="Times New Roman" w:hAnsi="Times New Roman"/>
          <w:spacing w:val="62"/>
          <w:sz w:val="24"/>
        </w:rPr>
        <w:t> </w:t>
      </w:r>
      <w:r>
        <w:rPr>
          <w:rFonts w:ascii="Times New Roman" w:hAnsi="Times New Roman"/>
          <w:spacing w:val="-2"/>
          <w:sz w:val="24"/>
        </w:rPr>
        <w:t>decreasing</w:t>
      </w:r>
    </w:p>
    <w:p>
      <w:pPr>
        <w:spacing w:after="0" w:line="480" w:lineRule="auto"/>
        <w:jc w:val="both"/>
        <w:rPr>
          <w:rFonts w:ascii="Times New Roman" w:hAnsi="Times New Roman"/>
          <w:sz w:val="24"/>
        </w:rPr>
        <w:sectPr>
          <w:pgSz w:w="11910" w:h="16840"/>
          <w:pgMar w:header="0" w:footer="1055" w:top="1380" w:bottom="1240" w:left="1060" w:right="460"/>
        </w:sectPr>
      </w:pPr>
    </w:p>
    <w:p>
      <w:pPr>
        <w:spacing w:line="480" w:lineRule="auto" w:before="73"/>
        <w:ind w:left="1100" w:right="974" w:firstLine="0"/>
        <w:jc w:val="both"/>
        <w:rPr>
          <w:rFonts w:ascii="Times New Roman" w:hAnsi="Times New Roman"/>
          <w:sz w:val="24"/>
        </w:rPr>
      </w:pPr>
      <w:r>
        <w:rPr>
          <w:rFonts w:ascii="Times New Roman" w:hAnsi="Times New Roman"/>
          <w:sz w:val="24"/>
        </w:rPr>
        <w:t>temperature. At −20 °C, honey may appear or even feel solid, but it will continue to flow at very slow rates. Honey has a </w:t>
      </w:r>
      <w:hyperlink r:id="rId39">
        <w:r>
          <w:rPr>
            <w:rFonts w:ascii="Times New Roman" w:hAnsi="Times New Roman"/>
            <w:sz w:val="24"/>
          </w:rPr>
          <w:t>glass transition</w:t>
        </w:r>
      </w:hyperlink>
      <w:r>
        <w:rPr>
          <w:rFonts w:ascii="Times New Roman" w:hAnsi="Times New Roman"/>
          <w:sz w:val="24"/>
        </w:rPr>
        <w:t> between -42 and -51 °C. Below this temperature, honey enters a </w:t>
      </w:r>
      <w:hyperlink r:id="rId40">
        <w:r>
          <w:rPr>
            <w:rFonts w:ascii="Times New Roman" w:hAnsi="Times New Roman"/>
            <w:sz w:val="24"/>
          </w:rPr>
          <w:t>glassy</w:t>
        </w:r>
      </w:hyperlink>
      <w:r>
        <w:rPr>
          <w:rFonts w:ascii="Times New Roman" w:hAnsi="Times New Roman"/>
          <w:sz w:val="24"/>
        </w:rPr>
        <w:t> state and will become an </w:t>
      </w:r>
      <w:hyperlink r:id="rId41">
        <w:r>
          <w:rPr>
            <w:rFonts w:ascii="Times New Roman" w:hAnsi="Times New Roman"/>
            <w:sz w:val="24"/>
          </w:rPr>
          <w:t>amorphous solid</w:t>
        </w:r>
      </w:hyperlink>
      <w:r>
        <w:rPr>
          <w:rFonts w:ascii="Times New Roman" w:hAnsi="Times New Roman"/>
          <w:sz w:val="24"/>
        </w:rPr>
        <w:t> (noncrystalline) (Kantor </w:t>
      </w:r>
      <w:r>
        <w:rPr>
          <w:rFonts w:ascii="Times New Roman" w:hAnsi="Times New Roman"/>
          <w:i/>
          <w:sz w:val="24"/>
        </w:rPr>
        <w:t>et al., </w:t>
      </w:r>
      <w:r>
        <w:rPr>
          <w:rFonts w:ascii="Times New Roman" w:hAnsi="Times New Roman"/>
          <w:sz w:val="24"/>
        </w:rPr>
        <w:t>1999; Vidal and Israeloff, 2000).</w:t>
      </w:r>
    </w:p>
    <w:p>
      <w:pPr>
        <w:pStyle w:val="BodyText"/>
        <w:spacing w:before="5"/>
        <w:rPr>
          <w:rFonts w:ascii="Times New Roman"/>
          <w:sz w:val="24"/>
        </w:rPr>
      </w:pPr>
    </w:p>
    <w:p>
      <w:pPr>
        <w:spacing w:line="480" w:lineRule="auto" w:before="1"/>
        <w:ind w:left="1100" w:right="975" w:firstLine="720"/>
        <w:jc w:val="both"/>
        <w:rPr>
          <w:rFonts w:ascii="Times New Roman"/>
          <w:sz w:val="24"/>
        </w:rPr>
      </w:pPr>
      <w:r>
        <w:rPr>
          <w:rFonts w:ascii="Times New Roman"/>
          <w:sz w:val="24"/>
        </w:rPr>
        <w:t>Honey has the ability to absorb moisture directly from the air, a phenomenon called </w:t>
      </w:r>
      <w:hyperlink r:id="rId42">
        <w:r>
          <w:rPr>
            <w:rFonts w:ascii="Times New Roman"/>
            <w:sz w:val="24"/>
          </w:rPr>
          <w:t>hygroscopy.</w:t>
        </w:r>
      </w:hyperlink>
      <w:r>
        <w:rPr>
          <w:rFonts w:ascii="Times New Roman"/>
          <w:sz w:val="24"/>
        </w:rPr>
        <w:t> The amount of water the honey will absorb is dependent on the relative humidity of the air. This hygroscopic nature requires that honey be stored in sealed containers to prevent </w:t>
      </w:r>
      <w:hyperlink r:id="rId43">
        <w:r>
          <w:rPr>
            <w:rFonts w:ascii="Times New Roman"/>
            <w:sz w:val="24"/>
          </w:rPr>
          <w:t>fermentation</w:t>
        </w:r>
      </w:hyperlink>
      <w:r>
        <w:rPr>
          <w:rFonts w:ascii="Times New Roman"/>
          <w:sz w:val="24"/>
        </w:rPr>
        <w:t>, which usually begins if the moisture</w:t>
      </w:r>
      <w:r>
        <w:rPr>
          <w:rFonts w:ascii="Times New Roman"/>
          <w:spacing w:val="40"/>
          <w:sz w:val="24"/>
        </w:rPr>
        <w:t> </w:t>
      </w:r>
      <w:r>
        <w:rPr>
          <w:rFonts w:ascii="Times New Roman"/>
          <w:sz w:val="24"/>
        </w:rPr>
        <w:t>content rises above 25 %. Honey will tend to absorb more water in this manner than the individual sugars would allow on their own, which may be due to other</w:t>
      </w:r>
      <w:r>
        <w:rPr>
          <w:rFonts w:ascii="Times New Roman"/>
          <w:spacing w:val="40"/>
          <w:sz w:val="24"/>
        </w:rPr>
        <w:t> </w:t>
      </w:r>
      <w:r>
        <w:rPr>
          <w:rFonts w:ascii="Times New Roman"/>
          <w:sz w:val="24"/>
        </w:rPr>
        <w:t>ingredients it contains (Root &amp; Root, 2005).</w:t>
      </w:r>
    </w:p>
    <w:p>
      <w:pPr>
        <w:pStyle w:val="BodyText"/>
        <w:spacing w:before="3"/>
        <w:rPr>
          <w:rFonts w:ascii="Times New Roman"/>
          <w:sz w:val="24"/>
        </w:rPr>
      </w:pPr>
    </w:p>
    <w:p>
      <w:pPr>
        <w:spacing w:line="480" w:lineRule="auto" w:before="0"/>
        <w:ind w:left="1100" w:right="973" w:firstLine="720"/>
        <w:jc w:val="both"/>
        <w:rPr>
          <w:rFonts w:ascii="Times New Roman" w:hAnsi="Times New Roman"/>
          <w:sz w:val="24"/>
        </w:rPr>
      </w:pPr>
      <w:r>
        <w:rPr>
          <w:rFonts w:ascii="Times New Roman" w:hAnsi="Times New Roman"/>
          <w:sz w:val="24"/>
        </w:rPr>
        <w:t>Like all sugar compounds, honey will </w:t>
      </w:r>
      <w:hyperlink r:id="rId44">
        <w:r>
          <w:rPr>
            <w:rFonts w:ascii="Times New Roman" w:hAnsi="Times New Roman"/>
            <w:sz w:val="24"/>
          </w:rPr>
          <w:t>caramelize</w:t>
        </w:r>
      </w:hyperlink>
      <w:r>
        <w:rPr>
          <w:rFonts w:ascii="Times New Roman" w:hAnsi="Times New Roman"/>
          <w:sz w:val="24"/>
        </w:rPr>
        <w:t> if heated too much, becoming darker in color and eventually burning. The fructose content of honey makes it to caramelize at lower temperatures than the glucose (Hans-Dieter, 2004). Honey also contains acids, which act as </w:t>
      </w:r>
      <w:hyperlink r:id="rId45">
        <w:r>
          <w:rPr>
            <w:rFonts w:ascii="Times New Roman" w:hAnsi="Times New Roman"/>
            <w:sz w:val="24"/>
          </w:rPr>
          <w:t>catalysts</w:t>
        </w:r>
      </w:hyperlink>
      <w:r>
        <w:rPr>
          <w:rFonts w:ascii="Times New Roman" w:hAnsi="Times New Roman"/>
          <w:sz w:val="24"/>
        </w:rPr>
        <w:t>, decreasing the caramelization temperature even more (Zdzislaw, 2007). Of these acids, the amino acids, which</w:t>
      </w:r>
      <w:r>
        <w:rPr>
          <w:rFonts w:ascii="Times New Roman" w:hAnsi="Times New Roman"/>
          <w:spacing w:val="80"/>
          <w:sz w:val="24"/>
        </w:rPr>
        <w:t> </w:t>
      </w:r>
      <w:r>
        <w:rPr>
          <w:rFonts w:ascii="Times New Roman" w:hAnsi="Times New Roman"/>
          <w:sz w:val="24"/>
        </w:rPr>
        <w:t>occur in very small amounts, play an important role in the darkening of honey. The temperature at which caramelization begins varies, depending</w:t>
      </w:r>
      <w:r>
        <w:rPr>
          <w:rFonts w:ascii="Times New Roman" w:hAnsi="Times New Roman"/>
          <w:spacing w:val="-1"/>
          <w:sz w:val="24"/>
        </w:rPr>
        <w:t> </w:t>
      </w:r>
      <w:r>
        <w:rPr>
          <w:rFonts w:ascii="Times New Roman" w:hAnsi="Times New Roman"/>
          <w:sz w:val="24"/>
        </w:rPr>
        <w:t>on the composition, but is typically</w:t>
      </w:r>
      <w:r>
        <w:rPr>
          <w:rFonts w:ascii="Times New Roman" w:hAnsi="Times New Roman"/>
          <w:spacing w:val="-4"/>
          <w:sz w:val="24"/>
        </w:rPr>
        <w:t> </w:t>
      </w:r>
      <w:r>
        <w:rPr>
          <w:rFonts w:ascii="Times New Roman" w:hAnsi="Times New Roman"/>
          <w:sz w:val="24"/>
        </w:rPr>
        <w:t>between 70 °C and 110 °C. The average </w:t>
      </w:r>
      <w:hyperlink r:id="rId46">
        <w:r>
          <w:rPr>
            <w:rFonts w:ascii="Times New Roman" w:hAnsi="Times New Roman"/>
            <w:sz w:val="24"/>
          </w:rPr>
          <w:t>pH</w:t>
        </w:r>
      </w:hyperlink>
      <w:r>
        <w:rPr>
          <w:rFonts w:ascii="Times New Roman" w:hAnsi="Times New Roman"/>
          <w:sz w:val="24"/>
        </w:rPr>
        <w:t> of honey</w:t>
      </w:r>
      <w:r>
        <w:rPr>
          <w:rFonts w:ascii="Times New Roman" w:hAnsi="Times New Roman"/>
          <w:spacing w:val="-2"/>
          <w:sz w:val="24"/>
        </w:rPr>
        <w:t> </w:t>
      </w:r>
      <w:r>
        <w:rPr>
          <w:rFonts w:ascii="Times New Roman" w:hAnsi="Times New Roman"/>
          <w:sz w:val="24"/>
        </w:rPr>
        <w:t>is 3.9, but can range from 3.4 to 6.1. Honey contains many kinds of </w:t>
      </w:r>
      <w:hyperlink r:id="rId47">
        <w:r>
          <w:rPr>
            <w:rFonts w:ascii="Times New Roman" w:hAnsi="Times New Roman"/>
            <w:sz w:val="24"/>
          </w:rPr>
          <w:t>acids</w:t>
        </w:r>
      </w:hyperlink>
      <w:r>
        <w:rPr>
          <w:rFonts w:ascii="Times New Roman" w:hAnsi="Times New Roman"/>
          <w:sz w:val="24"/>
        </w:rPr>
        <w:t>, both </w:t>
      </w:r>
      <w:hyperlink r:id="rId48">
        <w:r>
          <w:rPr>
            <w:rFonts w:ascii="Times New Roman" w:hAnsi="Times New Roman"/>
            <w:sz w:val="24"/>
          </w:rPr>
          <w:t>organic</w:t>
        </w:r>
      </w:hyperlink>
      <w:r>
        <w:rPr>
          <w:rFonts w:ascii="Times New Roman" w:hAnsi="Times New Roman"/>
          <w:sz w:val="24"/>
        </w:rPr>
        <w:t> and </w:t>
      </w:r>
      <w:hyperlink r:id="rId49">
        <w:r>
          <w:rPr>
            <w:rFonts w:ascii="Times New Roman" w:hAnsi="Times New Roman"/>
            <w:sz w:val="24"/>
          </w:rPr>
          <w:t>amino</w:t>
        </w:r>
      </w:hyperlink>
      <w:r>
        <w:rPr>
          <w:rFonts w:ascii="Times New Roman" w:hAnsi="Times New Roman"/>
          <w:sz w:val="24"/>
        </w:rPr>
        <w:t>, depending on the type of honey. These acids may be </w:t>
      </w:r>
      <w:hyperlink r:id="rId50">
        <w:r>
          <w:rPr>
            <w:rFonts w:ascii="Times New Roman" w:hAnsi="Times New Roman"/>
            <w:sz w:val="24"/>
          </w:rPr>
          <w:t>aromatic</w:t>
        </w:r>
      </w:hyperlink>
      <w:r>
        <w:rPr>
          <w:rFonts w:ascii="Times New Roman" w:hAnsi="Times New Roman"/>
          <w:sz w:val="24"/>
        </w:rPr>
        <w:t> or </w:t>
      </w:r>
      <w:hyperlink r:id="rId51">
        <w:r>
          <w:rPr>
            <w:rFonts w:ascii="Times New Roman" w:hAnsi="Times New Roman"/>
            <w:sz w:val="24"/>
          </w:rPr>
          <w:t>aliphatic</w:t>
        </w:r>
      </w:hyperlink>
      <w:r>
        <w:rPr>
          <w:rFonts w:ascii="Times New Roman" w:hAnsi="Times New Roman"/>
          <w:sz w:val="24"/>
        </w:rPr>
        <w:t>. The aliphatic acids contribute greatly</w:t>
      </w:r>
      <w:r>
        <w:rPr>
          <w:rFonts w:ascii="Times New Roman" w:hAnsi="Times New Roman"/>
          <w:spacing w:val="-2"/>
          <w:sz w:val="24"/>
        </w:rPr>
        <w:t> </w:t>
      </w:r>
      <w:r>
        <w:rPr>
          <w:rFonts w:ascii="Times New Roman" w:hAnsi="Times New Roman"/>
          <w:sz w:val="24"/>
        </w:rPr>
        <w:t>to the flavor of honey by</w:t>
      </w:r>
      <w:r>
        <w:rPr>
          <w:rFonts w:ascii="Times New Roman" w:hAnsi="Times New Roman"/>
          <w:spacing w:val="-2"/>
          <w:sz w:val="24"/>
        </w:rPr>
        <w:t> </w:t>
      </w:r>
      <w:r>
        <w:rPr>
          <w:rFonts w:ascii="Times New Roman" w:hAnsi="Times New Roman"/>
          <w:sz w:val="24"/>
        </w:rPr>
        <w:t>interacting with the flavors of other ingredients. </w:t>
      </w:r>
      <w:hyperlink r:id="rId52">
        <w:r>
          <w:rPr>
            <w:rFonts w:ascii="Times New Roman" w:hAnsi="Times New Roman"/>
            <w:sz w:val="24"/>
          </w:rPr>
          <w:t>Gluconic acid</w:t>
        </w:r>
      </w:hyperlink>
      <w:r>
        <w:rPr>
          <w:rFonts w:ascii="Times New Roman" w:hAnsi="Times New Roman"/>
          <w:sz w:val="24"/>
        </w:rPr>
        <w:t>, for instance, is a flavor enhancer. The aromatic acids,</w:t>
      </w:r>
      <w:r>
        <w:rPr>
          <w:rFonts w:ascii="Times New Roman" w:hAnsi="Times New Roman"/>
          <w:spacing w:val="33"/>
          <w:sz w:val="24"/>
        </w:rPr>
        <w:t> </w:t>
      </w:r>
      <w:r>
        <w:rPr>
          <w:rFonts w:ascii="Times New Roman" w:hAnsi="Times New Roman"/>
          <w:sz w:val="24"/>
        </w:rPr>
        <w:t>such</w:t>
      </w:r>
      <w:r>
        <w:rPr>
          <w:rFonts w:ascii="Times New Roman" w:hAnsi="Times New Roman"/>
          <w:spacing w:val="35"/>
          <w:sz w:val="24"/>
        </w:rPr>
        <w:t> </w:t>
      </w:r>
      <w:r>
        <w:rPr>
          <w:rFonts w:ascii="Times New Roman" w:hAnsi="Times New Roman"/>
          <w:sz w:val="24"/>
        </w:rPr>
        <w:t>as</w:t>
      </w:r>
      <w:r>
        <w:rPr>
          <w:rFonts w:ascii="Times New Roman" w:hAnsi="Times New Roman"/>
          <w:spacing w:val="36"/>
          <w:sz w:val="24"/>
        </w:rPr>
        <w:t> </w:t>
      </w:r>
      <w:hyperlink r:id="rId53">
        <w:r>
          <w:rPr>
            <w:rFonts w:ascii="Times New Roman" w:hAnsi="Times New Roman"/>
            <w:sz w:val="24"/>
          </w:rPr>
          <w:t>malic</w:t>
        </w:r>
        <w:r>
          <w:rPr>
            <w:rFonts w:ascii="Times New Roman" w:hAnsi="Times New Roman"/>
            <w:spacing w:val="34"/>
            <w:sz w:val="24"/>
          </w:rPr>
          <w:t> </w:t>
        </w:r>
        <w:r>
          <w:rPr>
            <w:rFonts w:ascii="Times New Roman" w:hAnsi="Times New Roman"/>
            <w:sz w:val="24"/>
          </w:rPr>
          <w:t>acid</w:t>
        </w:r>
      </w:hyperlink>
      <w:r>
        <w:rPr>
          <w:rFonts w:ascii="Times New Roman" w:hAnsi="Times New Roman"/>
          <w:sz w:val="24"/>
        </w:rPr>
        <w:t>,</w:t>
      </w:r>
      <w:r>
        <w:rPr>
          <w:rFonts w:ascii="Times New Roman" w:hAnsi="Times New Roman"/>
          <w:spacing w:val="35"/>
          <w:sz w:val="24"/>
        </w:rPr>
        <w:t> </w:t>
      </w:r>
      <w:r>
        <w:rPr>
          <w:rFonts w:ascii="Times New Roman" w:hAnsi="Times New Roman"/>
          <w:sz w:val="24"/>
        </w:rPr>
        <w:t>come</w:t>
      </w:r>
      <w:r>
        <w:rPr>
          <w:rFonts w:ascii="Times New Roman" w:hAnsi="Times New Roman"/>
          <w:spacing w:val="34"/>
          <w:sz w:val="24"/>
        </w:rPr>
        <w:t> </w:t>
      </w:r>
      <w:r>
        <w:rPr>
          <w:rFonts w:ascii="Times New Roman" w:hAnsi="Times New Roman"/>
          <w:sz w:val="24"/>
        </w:rPr>
        <w:t>mostly</w:t>
      </w:r>
      <w:r>
        <w:rPr>
          <w:rFonts w:ascii="Times New Roman" w:hAnsi="Times New Roman"/>
          <w:spacing w:val="28"/>
          <w:sz w:val="24"/>
        </w:rPr>
        <w:t> </w:t>
      </w:r>
      <w:r>
        <w:rPr>
          <w:rFonts w:ascii="Times New Roman" w:hAnsi="Times New Roman"/>
          <w:sz w:val="24"/>
        </w:rPr>
        <w:t>from</w:t>
      </w:r>
      <w:r>
        <w:rPr>
          <w:rFonts w:ascii="Times New Roman" w:hAnsi="Times New Roman"/>
          <w:spacing w:val="36"/>
          <w:sz w:val="24"/>
        </w:rPr>
        <w:t> </w:t>
      </w:r>
      <w:r>
        <w:rPr>
          <w:rFonts w:ascii="Times New Roman" w:hAnsi="Times New Roman"/>
          <w:sz w:val="24"/>
        </w:rPr>
        <w:t>the</w:t>
      </w:r>
      <w:r>
        <w:rPr>
          <w:rFonts w:ascii="Times New Roman" w:hAnsi="Times New Roman"/>
          <w:spacing w:val="34"/>
          <w:sz w:val="24"/>
        </w:rPr>
        <w:t> </w:t>
      </w:r>
      <w:r>
        <w:rPr>
          <w:rFonts w:ascii="Times New Roman" w:hAnsi="Times New Roman"/>
          <w:sz w:val="24"/>
        </w:rPr>
        <w:t>flowers,</w:t>
      </w:r>
      <w:r>
        <w:rPr>
          <w:rFonts w:ascii="Times New Roman" w:hAnsi="Times New Roman"/>
          <w:spacing w:val="35"/>
          <w:sz w:val="24"/>
        </w:rPr>
        <w:t> </w:t>
      </w:r>
      <w:r>
        <w:rPr>
          <w:rFonts w:ascii="Times New Roman" w:hAnsi="Times New Roman"/>
          <w:sz w:val="24"/>
        </w:rPr>
        <w:t>adding</w:t>
      </w:r>
      <w:r>
        <w:rPr>
          <w:rFonts w:ascii="Times New Roman" w:hAnsi="Times New Roman"/>
          <w:spacing w:val="32"/>
          <w:sz w:val="24"/>
        </w:rPr>
        <w:t> </w:t>
      </w:r>
      <w:r>
        <w:rPr>
          <w:rFonts w:ascii="Times New Roman" w:hAnsi="Times New Roman"/>
          <w:sz w:val="24"/>
        </w:rPr>
        <w:t>to</w:t>
      </w:r>
      <w:r>
        <w:rPr>
          <w:rFonts w:ascii="Times New Roman" w:hAnsi="Times New Roman"/>
          <w:spacing w:val="36"/>
          <w:sz w:val="24"/>
        </w:rPr>
        <w:t> </w:t>
      </w:r>
      <w:r>
        <w:rPr>
          <w:rFonts w:ascii="Times New Roman" w:hAnsi="Times New Roman"/>
          <w:sz w:val="24"/>
        </w:rPr>
        <w:t>the</w:t>
      </w:r>
      <w:r>
        <w:rPr>
          <w:rFonts w:ascii="Times New Roman" w:hAnsi="Times New Roman"/>
          <w:spacing w:val="34"/>
          <w:sz w:val="24"/>
        </w:rPr>
        <w:t> </w:t>
      </w:r>
      <w:r>
        <w:rPr>
          <w:rFonts w:ascii="Times New Roman" w:hAnsi="Times New Roman"/>
          <w:sz w:val="24"/>
        </w:rPr>
        <w:t>aroma</w:t>
      </w:r>
      <w:r>
        <w:rPr>
          <w:rFonts w:ascii="Times New Roman" w:hAnsi="Times New Roman"/>
          <w:spacing w:val="34"/>
          <w:sz w:val="24"/>
        </w:rPr>
        <w:t> </w:t>
      </w:r>
      <w:r>
        <w:rPr>
          <w:rFonts w:ascii="Times New Roman" w:hAnsi="Times New Roman"/>
          <w:spacing w:val="-5"/>
          <w:sz w:val="24"/>
        </w:rPr>
        <w:t>and</w:t>
      </w:r>
    </w:p>
    <w:p>
      <w:pPr>
        <w:spacing w:after="0" w:line="480" w:lineRule="auto"/>
        <w:jc w:val="both"/>
        <w:rPr>
          <w:rFonts w:ascii="Times New Roman" w:hAnsi="Times New Roman"/>
          <w:sz w:val="24"/>
        </w:rPr>
        <w:sectPr>
          <w:pgSz w:w="11910" w:h="16840"/>
          <w:pgMar w:header="0" w:footer="1055" w:top="1340" w:bottom="1240" w:left="1060" w:right="460"/>
        </w:sectPr>
      </w:pPr>
    </w:p>
    <w:p>
      <w:pPr>
        <w:spacing w:line="480" w:lineRule="auto" w:before="73"/>
        <w:ind w:left="1100" w:right="976" w:firstLine="0"/>
        <w:jc w:val="both"/>
        <w:rPr>
          <w:rFonts w:ascii="Times New Roman" w:hAnsi="Times New Roman"/>
          <w:sz w:val="24"/>
        </w:rPr>
      </w:pPr>
      <w:r>
        <w:rPr>
          <w:rFonts w:ascii="Times New Roman" w:hAnsi="Times New Roman"/>
          <w:sz w:val="24"/>
        </w:rPr>
        <w:t>taste of the honey. Organic acids comprise most of the acids in honey, accounting for 0.17–1.17 %. Gluconic acid being present in the highest proportion. Other organic acids are minor, consisting of </w:t>
      </w:r>
      <w:hyperlink r:id="rId54">
        <w:r>
          <w:rPr>
            <w:rFonts w:ascii="Times New Roman" w:hAnsi="Times New Roman"/>
            <w:sz w:val="24"/>
          </w:rPr>
          <w:t>formic,</w:t>
        </w:r>
      </w:hyperlink>
      <w:r>
        <w:rPr>
          <w:rFonts w:ascii="Times New Roman" w:hAnsi="Times New Roman"/>
          <w:sz w:val="24"/>
        </w:rPr>
        <w:t> </w:t>
      </w:r>
      <w:hyperlink r:id="rId55">
        <w:r>
          <w:rPr>
            <w:rFonts w:ascii="Times New Roman" w:hAnsi="Times New Roman"/>
            <w:sz w:val="24"/>
          </w:rPr>
          <w:t>acetic</w:t>
        </w:r>
      </w:hyperlink>
      <w:r>
        <w:rPr>
          <w:rFonts w:ascii="Times New Roman" w:hAnsi="Times New Roman"/>
          <w:sz w:val="24"/>
        </w:rPr>
        <w:t>, </w:t>
      </w:r>
      <w:hyperlink r:id="rId56">
        <w:r>
          <w:rPr>
            <w:rFonts w:ascii="Times New Roman" w:hAnsi="Times New Roman"/>
            <w:sz w:val="24"/>
          </w:rPr>
          <w:t>butyric</w:t>
        </w:r>
      </w:hyperlink>
      <w:r>
        <w:rPr>
          <w:rFonts w:ascii="Times New Roman" w:hAnsi="Times New Roman"/>
          <w:sz w:val="24"/>
        </w:rPr>
        <w:t>, </w:t>
      </w:r>
      <w:hyperlink r:id="rId57">
        <w:r>
          <w:rPr>
            <w:rFonts w:ascii="Times New Roman" w:hAnsi="Times New Roman"/>
            <w:sz w:val="24"/>
          </w:rPr>
          <w:t>citric</w:t>
        </w:r>
      </w:hyperlink>
      <w:r>
        <w:rPr>
          <w:rFonts w:ascii="Times New Roman" w:hAnsi="Times New Roman"/>
          <w:sz w:val="24"/>
        </w:rPr>
        <w:t>, </w:t>
      </w:r>
      <w:hyperlink r:id="rId58">
        <w:r>
          <w:rPr>
            <w:rFonts w:ascii="Times New Roman" w:hAnsi="Times New Roman"/>
            <w:sz w:val="24"/>
          </w:rPr>
          <w:t>lactic</w:t>
        </w:r>
      </w:hyperlink>
      <w:r>
        <w:rPr>
          <w:rFonts w:ascii="Times New Roman" w:hAnsi="Times New Roman"/>
          <w:sz w:val="24"/>
        </w:rPr>
        <w:t>, malic, </w:t>
      </w:r>
      <w:hyperlink r:id="rId59">
        <w:r>
          <w:rPr>
            <w:rFonts w:ascii="Times New Roman" w:hAnsi="Times New Roman"/>
            <w:sz w:val="24"/>
          </w:rPr>
          <w:t>pyroglutamic,</w:t>
        </w:r>
      </w:hyperlink>
      <w:r>
        <w:rPr>
          <w:rFonts w:ascii="Times New Roman" w:hAnsi="Times New Roman"/>
          <w:sz w:val="24"/>
        </w:rPr>
        <w:t> </w:t>
      </w:r>
      <w:hyperlink r:id="rId60">
        <w:r>
          <w:rPr>
            <w:rFonts w:ascii="Times New Roman" w:hAnsi="Times New Roman"/>
            <w:sz w:val="24"/>
          </w:rPr>
          <w:t>propionic,</w:t>
        </w:r>
      </w:hyperlink>
      <w:r>
        <w:rPr>
          <w:rFonts w:ascii="Times New Roman" w:hAnsi="Times New Roman"/>
          <w:sz w:val="24"/>
        </w:rPr>
        <w:t> </w:t>
      </w:r>
      <w:hyperlink r:id="rId61">
        <w:r>
          <w:rPr>
            <w:rFonts w:ascii="Times New Roman" w:hAnsi="Times New Roman"/>
            <w:sz w:val="24"/>
          </w:rPr>
          <w:t>valeric,</w:t>
        </w:r>
      </w:hyperlink>
      <w:r>
        <w:rPr>
          <w:rFonts w:ascii="Times New Roman" w:hAnsi="Times New Roman"/>
          <w:sz w:val="24"/>
        </w:rPr>
        <w:t> </w:t>
      </w:r>
      <w:hyperlink r:id="rId62">
        <w:r>
          <w:rPr>
            <w:rFonts w:ascii="Times New Roman" w:hAnsi="Times New Roman"/>
            <w:sz w:val="24"/>
          </w:rPr>
          <w:t>capronic,</w:t>
        </w:r>
      </w:hyperlink>
      <w:r>
        <w:rPr>
          <w:rFonts w:ascii="Times New Roman" w:hAnsi="Times New Roman"/>
          <w:sz w:val="24"/>
        </w:rPr>
        <w:t> </w:t>
      </w:r>
      <w:hyperlink r:id="rId63">
        <w:r>
          <w:rPr>
            <w:rFonts w:ascii="Times New Roman" w:hAnsi="Times New Roman"/>
            <w:sz w:val="24"/>
          </w:rPr>
          <w:t>palmitic</w:t>
        </w:r>
      </w:hyperlink>
      <w:r>
        <w:rPr>
          <w:rFonts w:ascii="Times New Roman" w:hAnsi="Times New Roman"/>
          <w:sz w:val="24"/>
        </w:rPr>
        <w:t>, and </w:t>
      </w:r>
      <w:hyperlink r:id="rId64">
        <w:r>
          <w:rPr>
            <w:rFonts w:ascii="Times New Roman" w:hAnsi="Times New Roman"/>
            <w:sz w:val="24"/>
          </w:rPr>
          <w:t>succinic</w:t>
        </w:r>
      </w:hyperlink>
      <w:r>
        <w:rPr>
          <w:rFonts w:ascii="Times New Roman" w:hAnsi="Times New Roman"/>
          <w:sz w:val="24"/>
        </w:rPr>
        <w:t>, among</w:t>
      </w:r>
      <w:r>
        <w:rPr>
          <w:rFonts w:ascii="Times New Roman" w:hAnsi="Times New Roman"/>
          <w:spacing w:val="-2"/>
          <w:sz w:val="24"/>
        </w:rPr>
        <w:t> </w:t>
      </w:r>
      <w:r>
        <w:rPr>
          <w:rFonts w:ascii="Times New Roman" w:hAnsi="Times New Roman"/>
          <w:sz w:val="24"/>
        </w:rPr>
        <w:t>many</w:t>
      </w:r>
      <w:r>
        <w:rPr>
          <w:rFonts w:ascii="Times New Roman" w:hAnsi="Times New Roman"/>
          <w:spacing w:val="-5"/>
          <w:sz w:val="24"/>
        </w:rPr>
        <w:t> </w:t>
      </w:r>
      <w:r>
        <w:rPr>
          <w:rFonts w:ascii="Times New Roman" w:hAnsi="Times New Roman"/>
          <w:sz w:val="24"/>
        </w:rPr>
        <w:t>others (Alistair </w:t>
      </w:r>
      <w:r>
        <w:rPr>
          <w:rFonts w:ascii="Times New Roman" w:hAnsi="Times New Roman"/>
          <w:i/>
          <w:sz w:val="24"/>
        </w:rPr>
        <w:t>et al</w:t>
      </w:r>
      <w:r>
        <w:rPr>
          <w:rFonts w:ascii="Times New Roman" w:hAnsi="Times New Roman"/>
          <w:sz w:val="24"/>
        </w:rPr>
        <w:t>., 1995).</w:t>
      </w:r>
    </w:p>
    <w:p>
      <w:pPr>
        <w:pStyle w:val="BodyText"/>
        <w:spacing w:before="13"/>
        <w:rPr>
          <w:rFonts w:ascii="Times New Roman"/>
          <w:sz w:val="24"/>
        </w:rPr>
      </w:pPr>
    </w:p>
    <w:p>
      <w:pPr>
        <w:pStyle w:val="ListParagraph"/>
        <w:numPr>
          <w:ilvl w:val="3"/>
          <w:numId w:val="1"/>
        </w:numPr>
        <w:tabs>
          <w:tab w:pos="1098" w:val="left" w:leader="none"/>
        </w:tabs>
        <w:spacing w:line="240" w:lineRule="auto" w:before="0" w:after="0"/>
        <w:ind w:left="1098" w:right="0" w:hanging="718"/>
        <w:jc w:val="left"/>
        <w:rPr>
          <w:i/>
          <w:sz w:val="22"/>
        </w:rPr>
      </w:pPr>
      <w:r>
        <w:rPr>
          <w:i/>
          <w:sz w:val="22"/>
        </w:rPr>
        <w:t>Antibacterial</w:t>
      </w:r>
      <w:r>
        <w:rPr>
          <w:i/>
          <w:spacing w:val="-8"/>
          <w:sz w:val="22"/>
        </w:rPr>
        <w:t> </w:t>
      </w:r>
      <w:r>
        <w:rPr>
          <w:i/>
          <w:sz w:val="22"/>
        </w:rPr>
        <w:t>Properties</w:t>
      </w:r>
      <w:r>
        <w:rPr>
          <w:i/>
          <w:spacing w:val="-10"/>
          <w:sz w:val="22"/>
        </w:rPr>
        <w:t> </w:t>
      </w:r>
      <w:r>
        <w:rPr>
          <w:i/>
          <w:sz w:val="22"/>
        </w:rPr>
        <w:t>of</w:t>
      </w:r>
      <w:r>
        <w:rPr>
          <w:i/>
          <w:spacing w:val="-9"/>
          <w:sz w:val="22"/>
        </w:rPr>
        <w:t> </w:t>
      </w:r>
      <w:r>
        <w:rPr>
          <w:i/>
          <w:spacing w:val="-2"/>
          <w:sz w:val="22"/>
        </w:rPr>
        <w:t>Honey</w:t>
      </w:r>
    </w:p>
    <w:p>
      <w:pPr>
        <w:pStyle w:val="BodyText"/>
        <w:spacing w:before="63"/>
        <w:rPr>
          <w:i/>
        </w:rPr>
      </w:pPr>
    </w:p>
    <w:p>
      <w:pPr>
        <w:pStyle w:val="BodyText"/>
        <w:spacing w:line="480" w:lineRule="auto" w:before="1"/>
        <w:ind w:left="1100" w:right="974" w:firstLine="720"/>
        <w:jc w:val="both"/>
      </w:pPr>
      <w:r>
        <w:rPr/>
        <w:t>The antibacterial mechanisms known to date are Hydrogen peroxide (</w:t>
      </w:r>
      <w:hyperlink r:id="rId65">
        <w:r>
          <w:rPr/>
          <w:t>H</w:t>
        </w:r>
        <w:r>
          <w:rPr>
            <w:vertAlign w:val="subscript"/>
          </w:rPr>
          <w:t>2</w:t>
        </w:r>
        <w:r>
          <w:rPr>
            <w:vertAlign w:val="baseline"/>
          </w:rPr>
          <w:t>O</w:t>
        </w:r>
        <w:r>
          <w:rPr>
            <w:vertAlign w:val="subscript"/>
          </w:rPr>
          <w:t>2</w:t>
        </w:r>
      </w:hyperlink>
      <w:r>
        <w:rPr>
          <w:vertAlign w:val="baseline"/>
        </w:rPr>
        <w:t>), </w:t>
      </w:r>
      <w:hyperlink r:id="rId66">
        <w:r>
          <w:rPr>
            <w:vertAlign w:val="baseline"/>
          </w:rPr>
          <w:t>methylglyoxal</w:t>
        </w:r>
      </w:hyperlink>
      <w:r>
        <w:rPr>
          <w:vertAlign w:val="baseline"/>
        </w:rPr>
        <w:t> (MGO), </w:t>
      </w:r>
      <w:hyperlink r:id="rId67">
        <w:r>
          <w:rPr>
            <w:vertAlign w:val="baseline"/>
          </w:rPr>
          <w:t>bee defensin-1</w:t>
        </w:r>
      </w:hyperlink>
      <w:r>
        <w:rPr>
          <w:vertAlign w:val="baseline"/>
        </w:rPr>
        <w:t>, the osmotic effect and the pH (Wahdan, 1998; Mandal, 2011).</w:t>
      </w:r>
    </w:p>
    <w:p>
      <w:pPr>
        <w:pStyle w:val="BodyText"/>
        <w:spacing w:line="480" w:lineRule="auto" w:before="239"/>
        <w:ind w:left="1100" w:right="978" w:firstLine="720"/>
        <w:jc w:val="both"/>
      </w:pPr>
      <w:r>
        <w:rPr/>
        <w:t>The antibacterial activity of honey is based partly on its osmotic effects in that the bacteria that cause infections are unable to survive in honey because they become dehydrated. In addition, it was noted that the presence of hydrogen peroxide generated by the enzymatic activity of glucose oxidase in dilute honey contribute to the antibacterial activity. As hydrogen peroxide decomposes, it generates highly reactive free radicals that react and kill bacteria (Mandal, 2011).</w:t>
      </w:r>
    </w:p>
    <w:p>
      <w:pPr>
        <w:pStyle w:val="BodyText"/>
        <w:spacing w:line="480" w:lineRule="auto" w:before="200"/>
        <w:ind w:left="1100" w:right="974" w:firstLine="720"/>
        <w:jc w:val="both"/>
      </w:pPr>
      <w:r>
        <w:rPr/>
        <w:t>Although honey has been used as a medicine since ancient times in many cultures,</w:t>
      </w:r>
      <w:r>
        <w:rPr>
          <w:spacing w:val="80"/>
        </w:rPr>
        <w:t> </w:t>
      </w:r>
      <w:r>
        <w:rPr/>
        <w:t>in</w:t>
      </w:r>
      <w:r>
        <w:rPr>
          <w:spacing w:val="-4"/>
        </w:rPr>
        <w:t> </w:t>
      </w:r>
      <w:r>
        <w:rPr/>
        <w:t>its</w:t>
      </w:r>
      <w:r>
        <w:rPr>
          <w:spacing w:val="-1"/>
        </w:rPr>
        <w:t> </w:t>
      </w:r>
      <w:r>
        <w:rPr/>
        <w:t>ancient</w:t>
      </w:r>
      <w:r>
        <w:rPr>
          <w:spacing w:val="-5"/>
        </w:rPr>
        <w:t> </w:t>
      </w:r>
      <w:r>
        <w:rPr/>
        <w:t>usage</w:t>
      </w:r>
      <w:r>
        <w:rPr>
          <w:spacing w:val="-2"/>
        </w:rPr>
        <w:t> </w:t>
      </w:r>
      <w:r>
        <w:rPr/>
        <w:t>there</w:t>
      </w:r>
      <w:r>
        <w:rPr>
          <w:spacing w:val="-4"/>
        </w:rPr>
        <w:t> </w:t>
      </w:r>
      <w:r>
        <w:rPr/>
        <w:t>was</w:t>
      </w:r>
      <w:r>
        <w:rPr>
          <w:spacing w:val="-2"/>
        </w:rPr>
        <w:t> </w:t>
      </w:r>
      <w:r>
        <w:rPr/>
        <w:t>no</w:t>
      </w:r>
      <w:r>
        <w:rPr>
          <w:spacing w:val="-2"/>
        </w:rPr>
        <w:t> </w:t>
      </w:r>
      <w:r>
        <w:rPr/>
        <w:t>recognition</w:t>
      </w:r>
      <w:r>
        <w:rPr>
          <w:spacing w:val="-5"/>
        </w:rPr>
        <w:t> </w:t>
      </w:r>
      <w:r>
        <w:rPr/>
        <w:t>of</w:t>
      </w:r>
      <w:r>
        <w:rPr>
          <w:spacing w:val="-2"/>
        </w:rPr>
        <w:t> </w:t>
      </w:r>
      <w:r>
        <w:rPr/>
        <w:t>its</w:t>
      </w:r>
      <w:r>
        <w:rPr>
          <w:spacing w:val="-2"/>
        </w:rPr>
        <w:t> </w:t>
      </w:r>
      <w:r>
        <w:rPr/>
        <w:t>antibacterial</w:t>
      </w:r>
      <w:r>
        <w:rPr>
          <w:spacing w:val="-2"/>
        </w:rPr>
        <w:t> </w:t>
      </w:r>
      <w:r>
        <w:rPr/>
        <w:t>properties.</w:t>
      </w:r>
      <w:r>
        <w:rPr>
          <w:spacing w:val="-2"/>
        </w:rPr>
        <w:t> </w:t>
      </w:r>
      <w:r>
        <w:rPr/>
        <w:t>It</w:t>
      </w:r>
      <w:r>
        <w:rPr>
          <w:spacing w:val="-4"/>
        </w:rPr>
        <w:t> </w:t>
      </w:r>
      <w:r>
        <w:rPr/>
        <w:t>was</w:t>
      </w:r>
      <w:r>
        <w:rPr>
          <w:spacing w:val="-4"/>
        </w:rPr>
        <w:t> </w:t>
      </w:r>
      <w:r>
        <w:rPr/>
        <w:t>just</w:t>
      </w:r>
      <w:r>
        <w:rPr>
          <w:spacing w:val="-1"/>
        </w:rPr>
        <w:t> </w:t>
      </w:r>
      <w:r>
        <w:rPr/>
        <w:t>known to be an effective remedy. This is not surprising, considering that it is of recent that it has become known that many ailments as a result of infections by microorganisms can be treated with honey. Now it can be recognized that the effectiveness of honey in many of its medical uses is probably due to its antibacterial activity. Key factors to consider with respect to this are:</w:t>
      </w:r>
    </w:p>
    <w:p>
      <w:pPr>
        <w:pStyle w:val="BodyText"/>
        <w:spacing w:line="482" w:lineRule="auto" w:before="201"/>
        <w:ind w:left="1100" w:right="974"/>
        <w:jc w:val="both"/>
      </w:pPr>
      <w:r>
        <w:rPr>
          <w:i/>
        </w:rPr>
        <w:t>Osmotic effect</w:t>
      </w:r>
      <w:r>
        <w:rPr/>
        <w:t>: honey is a saturated solution of sugars, 84% being a mixture of fructose and </w:t>
      </w:r>
      <w:r>
        <w:rPr>
          <w:spacing w:val="-2"/>
        </w:rPr>
        <w:t>glucose.</w:t>
      </w:r>
    </w:p>
    <w:p>
      <w:pPr>
        <w:spacing w:after="0" w:line="482" w:lineRule="auto"/>
        <w:jc w:val="both"/>
        <w:sectPr>
          <w:pgSz w:w="11910" w:h="16840"/>
          <w:pgMar w:header="0" w:footer="1055" w:top="1340" w:bottom="1240" w:left="1060" w:right="460"/>
        </w:sectPr>
      </w:pPr>
    </w:p>
    <w:p>
      <w:pPr>
        <w:pStyle w:val="BodyText"/>
        <w:spacing w:line="482" w:lineRule="auto" w:before="38"/>
        <w:ind w:left="1100" w:right="975"/>
      </w:pPr>
      <w:r>
        <w:rPr>
          <w:i/>
        </w:rPr>
        <w:t>Acidity</w:t>
      </w:r>
      <w:r>
        <w:rPr/>
        <w:t>:</w:t>
      </w:r>
      <w:r>
        <w:rPr>
          <w:spacing w:val="22"/>
        </w:rPr>
        <w:t> </w:t>
      </w:r>
      <w:r>
        <w:rPr/>
        <w:t>honey</w:t>
      </w:r>
      <w:r>
        <w:rPr>
          <w:spacing w:val="22"/>
        </w:rPr>
        <w:t> </w:t>
      </w:r>
      <w:r>
        <w:rPr/>
        <w:t>is</w:t>
      </w:r>
      <w:r>
        <w:rPr>
          <w:spacing w:val="22"/>
        </w:rPr>
        <w:t> </w:t>
      </w:r>
      <w:r>
        <w:rPr/>
        <w:t>characteristically</w:t>
      </w:r>
      <w:r>
        <w:rPr>
          <w:spacing w:val="22"/>
        </w:rPr>
        <w:t> </w:t>
      </w:r>
      <w:r>
        <w:rPr/>
        <w:t>quite</w:t>
      </w:r>
      <w:r>
        <w:rPr>
          <w:spacing w:val="22"/>
        </w:rPr>
        <w:t> </w:t>
      </w:r>
      <w:r>
        <w:rPr/>
        <w:t>acidic,</w:t>
      </w:r>
      <w:r>
        <w:rPr>
          <w:spacing w:val="22"/>
        </w:rPr>
        <w:t> </w:t>
      </w:r>
      <w:r>
        <w:rPr/>
        <w:t>its</w:t>
      </w:r>
      <w:r>
        <w:rPr>
          <w:spacing w:val="22"/>
        </w:rPr>
        <w:t> </w:t>
      </w:r>
      <w:r>
        <w:rPr/>
        <w:t>pH being between</w:t>
      </w:r>
      <w:r>
        <w:rPr>
          <w:spacing w:val="22"/>
        </w:rPr>
        <w:t> </w:t>
      </w:r>
      <w:r>
        <w:rPr/>
        <w:t>3.4</w:t>
      </w:r>
      <w:r>
        <w:rPr>
          <w:spacing w:val="22"/>
        </w:rPr>
        <w:t> </w:t>
      </w:r>
      <w:r>
        <w:rPr/>
        <w:t>and 6.1,</w:t>
      </w:r>
      <w:r>
        <w:rPr>
          <w:spacing w:val="22"/>
        </w:rPr>
        <w:t> </w:t>
      </w:r>
      <w:r>
        <w:rPr/>
        <w:t>which is low enough to be inhibitory to many bacteria.</w:t>
      </w:r>
    </w:p>
    <w:p>
      <w:pPr>
        <w:pStyle w:val="BodyText"/>
        <w:spacing w:line="482" w:lineRule="auto" w:before="195"/>
        <w:ind w:left="1100" w:right="975"/>
      </w:pPr>
      <w:r>
        <w:rPr>
          <w:i/>
        </w:rPr>
        <w:t>Hydrogen</w:t>
      </w:r>
      <w:r>
        <w:rPr>
          <w:i/>
          <w:spacing w:val="22"/>
        </w:rPr>
        <w:t> </w:t>
      </w:r>
      <w:r>
        <w:rPr>
          <w:i/>
        </w:rPr>
        <w:t>peroxide</w:t>
      </w:r>
      <w:r>
        <w:rPr/>
        <w:t>:</w:t>
      </w:r>
      <w:r>
        <w:rPr>
          <w:spacing w:val="23"/>
        </w:rPr>
        <w:t> </w:t>
      </w:r>
      <w:r>
        <w:rPr/>
        <w:t>the</w:t>
      </w:r>
      <w:r>
        <w:rPr>
          <w:spacing w:val="23"/>
        </w:rPr>
        <w:t> </w:t>
      </w:r>
      <w:r>
        <w:rPr/>
        <w:t>major</w:t>
      </w:r>
      <w:r>
        <w:rPr>
          <w:spacing w:val="23"/>
        </w:rPr>
        <w:t> </w:t>
      </w:r>
      <w:r>
        <w:rPr/>
        <w:t>antibacterial</w:t>
      </w:r>
      <w:r>
        <w:rPr>
          <w:spacing w:val="23"/>
        </w:rPr>
        <w:t> </w:t>
      </w:r>
      <w:r>
        <w:rPr/>
        <w:t>activity</w:t>
      </w:r>
      <w:r>
        <w:rPr>
          <w:spacing w:val="23"/>
        </w:rPr>
        <w:t> </w:t>
      </w:r>
      <w:r>
        <w:rPr/>
        <w:t>in</w:t>
      </w:r>
      <w:r>
        <w:rPr>
          <w:spacing w:val="22"/>
        </w:rPr>
        <w:t> </w:t>
      </w:r>
      <w:r>
        <w:rPr/>
        <w:t>honey</w:t>
      </w:r>
      <w:r>
        <w:rPr>
          <w:spacing w:val="23"/>
        </w:rPr>
        <w:t> </w:t>
      </w:r>
      <w:r>
        <w:rPr/>
        <w:t>has</w:t>
      </w:r>
      <w:r>
        <w:rPr>
          <w:spacing w:val="23"/>
        </w:rPr>
        <w:t> </w:t>
      </w:r>
      <w:r>
        <w:rPr/>
        <w:t>been</w:t>
      </w:r>
      <w:r>
        <w:rPr>
          <w:spacing w:val="22"/>
        </w:rPr>
        <w:t> </w:t>
      </w:r>
      <w:r>
        <w:rPr/>
        <w:t>found</w:t>
      </w:r>
      <w:r>
        <w:rPr>
          <w:spacing w:val="22"/>
        </w:rPr>
        <w:t> </w:t>
      </w:r>
      <w:r>
        <w:rPr/>
        <w:t>to</w:t>
      </w:r>
      <w:r>
        <w:rPr>
          <w:spacing w:val="24"/>
        </w:rPr>
        <w:t> </w:t>
      </w:r>
      <w:r>
        <w:rPr/>
        <w:t>be</w:t>
      </w:r>
      <w:r>
        <w:rPr>
          <w:spacing w:val="23"/>
        </w:rPr>
        <w:t> </w:t>
      </w:r>
      <w:r>
        <w:rPr/>
        <w:t>due</w:t>
      </w:r>
      <w:r>
        <w:rPr>
          <w:spacing w:val="23"/>
        </w:rPr>
        <w:t> </w:t>
      </w:r>
      <w:r>
        <w:rPr/>
        <w:t>to hydrogen peroxide produced enzymatically in the honey.</w:t>
      </w:r>
    </w:p>
    <w:p>
      <w:pPr>
        <w:pStyle w:val="BodyText"/>
      </w:pPr>
    </w:p>
    <w:p>
      <w:pPr>
        <w:pStyle w:val="BodyText"/>
      </w:pPr>
    </w:p>
    <w:p>
      <w:pPr>
        <w:pStyle w:val="BodyText"/>
      </w:pPr>
    </w:p>
    <w:p>
      <w:pPr>
        <w:pStyle w:val="BodyText"/>
      </w:pPr>
    </w:p>
    <w:p>
      <w:pPr>
        <w:pStyle w:val="BodyText"/>
      </w:pPr>
    </w:p>
    <w:p>
      <w:pPr>
        <w:pStyle w:val="BodyText"/>
        <w:spacing w:before="99"/>
      </w:pPr>
    </w:p>
    <w:p>
      <w:pPr>
        <w:pStyle w:val="Heading3"/>
        <w:numPr>
          <w:ilvl w:val="2"/>
          <w:numId w:val="1"/>
        </w:numPr>
        <w:tabs>
          <w:tab w:pos="1100" w:val="left" w:leader="none"/>
        </w:tabs>
        <w:spacing w:line="240" w:lineRule="auto" w:before="0" w:after="0"/>
        <w:ind w:left="1100" w:right="0" w:hanging="720"/>
        <w:jc w:val="left"/>
      </w:pPr>
      <w:r>
        <w:rPr/>
        <w:t>Nutritional</w:t>
      </w:r>
      <w:r>
        <w:rPr>
          <w:spacing w:val="-8"/>
        </w:rPr>
        <w:t> </w:t>
      </w:r>
      <w:r>
        <w:rPr/>
        <w:t>Content</w:t>
      </w:r>
      <w:r>
        <w:rPr>
          <w:spacing w:val="-5"/>
        </w:rPr>
        <w:t> </w:t>
      </w:r>
      <w:r>
        <w:rPr/>
        <w:t>of</w:t>
      </w:r>
      <w:r>
        <w:rPr>
          <w:spacing w:val="-5"/>
        </w:rPr>
        <w:t> </w:t>
      </w:r>
      <w:r>
        <w:rPr>
          <w:spacing w:val="-2"/>
        </w:rPr>
        <w:t>Honey</w:t>
      </w:r>
    </w:p>
    <w:p>
      <w:pPr>
        <w:pStyle w:val="BodyText"/>
        <w:spacing w:before="106"/>
        <w:rPr>
          <w:b/>
        </w:rPr>
      </w:pPr>
    </w:p>
    <w:p>
      <w:pPr>
        <w:pStyle w:val="BodyText"/>
        <w:spacing w:line="660" w:lineRule="auto" w:after="43"/>
        <w:ind w:left="1100" w:right="2308"/>
      </w:pPr>
      <w:r>
        <w:rPr/>
        <w:t>Honey</w:t>
      </w:r>
      <w:r>
        <w:rPr>
          <w:spacing w:val="-4"/>
        </w:rPr>
        <w:t> </w:t>
      </w:r>
      <w:r>
        <w:rPr/>
        <w:t>has</w:t>
      </w:r>
      <w:r>
        <w:rPr>
          <w:spacing w:val="-3"/>
        </w:rPr>
        <w:t> </w:t>
      </w:r>
      <w:r>
        <w:rPr/>
        <w:t>been</w:t>
      </w:r>
      <w:r>
        <w:rPr>
          <w:spacing w:val="-6"/>
        </w:rPr>
        <w:t> </w:t>
      </w:r>
      <w:r>
        <w:rPr/>
        <w:t>classified</w:t>
      </w:r>
      <w:r>
        <w:rPr>
          <w:spacing w:val="-3"/>
        </w:rPr>
        <w:t> </w:t>
      </w:r>
      <w:r>
        <w:rPr/>
        <w:t>in</w:t>
      </w:r>
      <w:r>
        <w:rPr>
          <w:spacing w:val="-4"/>
        </w:rPr>
        <w:t> </w:t>
      </w:r>
      <w:r>
        <w:rPr/>
        <w:t>terms</w:t>
      </w:r>
      <w:r>
        <w:rPr>
          <w:spacing w:val="-5"/>
        </w:rPr>
        <w:t> </w:t>
      </w:r>
      <w:r>
        <w:rPr/>
        <w:t>of</w:t>
      </w:r>
      <w:r>
        <w:rPr>
          <w:spacing w:val="-3"/>
        </w:rPr>
        <w:t> </w:t>
      </w:r>
      <w:r>
        <w:rPr/>
        <w:t>nutritional</w:t>
      </w:r>
      <w:r>
        <w:rPr>
          <w:spacing w:val="-6"/>
        </w:rPr>
        <w:t> </w:t>
      </w:r>
      <w:r>
        <w:rPr/>
        <w:t>values</w:t>
      </w:r>
      <w:r>
        <w:rPr>
          <w:spacing w:val="-3"/>
        </w:rPr>
        <w:t> </w:t>
      </w:r>
      <w:r>
        <w:rPr/>
        <w:t>as</w:t>
      </w:r>
      <w:r>
        <w:rPr>
          <w:spacing w:val="-3"/>
        </w:rPr>
        <w:t> </w:t>
      </w:r>
      <w:r>
        <w:rPr/>
        <w:t>shown</w:t>
      </w:r>
      <w:r>
        <w:rPr>
          <w:spacing w:val="-3"/>
        </w:rPr>
        <w:t> </w:t>
      </w:r>
      <w:r>
        <w:rPr/>
        <w:t>below: Honey Nutritional Value for 100g (3.5 oz)</w:t>
      </w:r>
    </w:p>
    <w:tbl>
      <w:tblPr>
        <w:tblW w:w="0" w:type="auto"/>
        <w:jc w:val="left"/>
        <w:tblInd w:w="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24"/>
        <w:gridCol w:w="3039"/>
      </w:tblGrid>
      <w:tr>
        <w:trPr>
          <w:trHeight w:val="411" w:hRule="atLeast"/>
        </w:trPr>
        <w:tc>
          <w:tcPr>
            <w:tcW w:w="3224" w:type="dxa"/>
          </w:tcPr>
          <w:p>
            <w:pPr>
              <w:pStyle w:val="TableParagraph"/>
              <w:spacing w:line="225" w:lineRule="exact"/>
              <w:ind w:left="50"/>
              <w:rPr>
                <w:sz w:val="22"/>
              </w:rPr>
            </w:pPr>
            <w:r>
              <w:rPr>
                <w:spacing w:val="-2"/>
                <w:sz w:val="22"/>
              </w:rPr>
              <w:t>Energy</w:t>
            </w:r>
          </w:p>
        </w:tc>
        <w:tc>
          <w:tcPr>
            <w:tcW w:w="3039" w:type="dxa"/>
          </w:tcPr>
          <w:p>
            <w:pPr>
              <w:pStyle w:val="TableParagraph"/>
              <w:spacing w:line="225" w:lineRule="exact"/>
              <w:ind w:left="1147"/>
              <w:rPr>
                <w:sz w:val="22"/>
              </w:rPr>
            </w:pPr>
            <w:r>
              <w:rPr>
                <w:sz w:val="22"/>
              </w:rPr>
              <w:t>1,272kj</w:t>
            </w:r>
            <w:r>
              <w:rPr>
                <w:spacing w:val="-5"/>
                <w:sz w:val="22"/>
              </w:rPr>
              <w:t> </w:t>
            </w:r>
            <w:r>
              <w:rPr>
                <w:spacing w:val="-2"/>
                <w:sz w:val="22"/>
              </w:rPr>
              <w:t>(308kcal)</w:t>
            </w:r>
          </w:p>
        </w:tc>
      </w:tr>
      <w:tr>
        <w:trPr>
          <w:trHeight w:val="602" w:hRule="atLeast"/>
        </w:trPr>
        <w:tc>
          <w:tcPr>
            <w:tcW w:w="3224" w:type="dxa"/>
          </w:tcPr>
          <w:p>
            <w:pPr>
              <w:pStyle w:val="TableParagraph"/>
              <w:spacing w:before="147"/>
              <w:ind w:left="50"/>
              <w:rPr>
                <w:sz w:val="22"/>
              </w:rPr>
            </w:pPr>
            <w:r>
              <w:rPr>
                <w:spacing w:val="-2"/>
                <w:sz w:val="22"/>
              </w:rPr>
              <w:t>Carbohydrate</w:t>
            </w:r>
          </w:p>
        </w:tc>
        <w:tc>
          <w:tcPr>
            <w:tcW w:w="3039" w:type="dxa"/>
          </w:tcPr>
          <w:p>
            <w:pPr>
              <w:pStyle w:val="TableParagraph"/>
              <w:spacing w:before="147"/>
              <w:ind w:left="1867"/>
              <w:rPr>
                <w:sz w:val="22"/>
              </w:rPr>
            </w:pPr>
            <w:r>
              <w:rPr>
                <w:spacing w:val="-2"/>
                <w:sz w:val="22"/>
              </w:rPr>
              <w:t>82.4g</w:t>
            </w:r>
          </w:p>
        </w:tc>
      </w:tr>
      <w:tr>
        <w:trPr>
          <w:trHeight w:val="602" w:hRule="atLeast"/>
        </w:trPr>
        <w:tc>
          <w:tcPr>
            <w:tcW w:w="3224" w:type="dxa"/>
          </w:tcPr>
          <w:p>
            <w:pPr>
              <w:pStyle w:val="TableParagraph"/>
              <w:spacing w:before="147"/>
              <w:ind w:left="770"/>
              <w:rPr>
                <w:sz w:val="22"/>
              </w:rPr>
            </w:pPr>
            <w:r>
              <w:rPr>
                <w:spacing w:val="-2"/>
                <w:sz w:val="22"/>
              </w:rPr>
              <w:t>[-Sugars</w:t>
            </w:r>
          </w:p>
        </w:tc>
        <w:tc>
          <w:tcPr>
            <w:tcW w:w="3039" w:type="dxa"/>
          </w:tcPr>
          <w:p>
            <w:pPr>
              <w:pStyle w:val="TableParagraph"/>
              <w:spacing w:before="147"/>
              <w:ind w:left="1867"/>
              <w:rPr>
                <w:sz w:val="22"/>
              </w:rPr>
            </w:pPr>
            <w:r>
              <w:rPr>
                <w:spacing w:val="-2"/>
                <w:sz w:val="22"/>
              </w:rPr>
              <w:t>82.12g]</w:t>
            </w:r>
          </w:p>
        </w:tc>
      </w:tr>
      <w:tr>
        <w:trPr>
          <w:trHeight w:val="603" w:hRule="atLeast"/>
        </w:trPr>
        <w:tc>
          <w:tcPr>
            <w:tcW w:w="3224" w:type="dxa"/>
          </w:tcPr>
          <w:p>
            <w:pPr>
              <w:pStyle w:val="TableParagraph"/>
              <w:spacing w:before="147"/>
              <w:ind w:left="770"/>
              <w:rPr>
                <w:sz w:val="22"/>
              </w:rPr>
            </w:pPr>
            <w:r>
              <w:rPr>
                <w:sz w:val="22"/>
              </w:rPr>
              <w:t>[-Dietary</w:t>
            </w:r>
            <w:r>
              <w:rPr>
                <w:spacing w:val="-5"/>
                <w:sz w:val="22"/>
              </w:rPr>
              <w:t> </w:t>
            </w:r>
            <w:r>
              <w:rPr>
                <w:spacing w:val="-2"/>
                <w:sz w:val="22"/>
              </w:rPr>
              <w:t>fiber</w:t>
            </w:r>
          </w:p>
        </w:tc>
        <w:tc>
          <w:tcPr>
            <w:tcW w:w="3039" w:type="dxa"/>
          </w:tcPr>
          <w:p>
            <w:pPr>
              <w:pStyle w:val="TableParagraph"/>
              <w:spacing w:before="147"/>
              <w:ind w:left="1147"/>
              <w:rPr>
                <w:sz w:val="22"/>
              </w:rPr>
            </w:pPr>
            <w:r>
              <w:rPr>
                <w:spacing w:val="-2"/>
                <w:sz w:val="22"/>
              </w:rPr>
              <w:t>0.20g]</w:t>
            </w:r>
          </w:p>
        </w:tc>
      </w:tr>
      <w:tr>
        <w:trPr>
          <w:trHeight w:val="603" w:hRule="atLeast"/>
        </w:trPr>
        <w:tc>
          <w:tcPr>
            <w:tcW w:w="3224" w:type="dxa"/>
          </w:tcPr>
          <w:p>
            <w:pPr>
              <w:pStyle w:val="TableParagraph"/>
              <w:spacing w:before="148"/>
              <w:ind w:left="50"/>
              <w:rPr>
                <w:sz w:val="22"/>
              </w:rPr>
            </w:pPr>
            <w:r>
              <w:rPr>
                <w:spacing w:val="-5"/>
                <w:sz w:val="22"/>
              </w:rPr>
              <w:t>Fat</w:t>
            </w:r>
          </w:p>
        </w:tc>
        <w:tc>
          <w:tcPr>
            <w:tcW w:w="3039" w:type="dxa"/>
          </w:tcPr>
          <w:p>
            <w:pPr>
              <w:pStyle w:val="TableParagraph"/>
              <w:spacing w:before="148"/>
              <w:ind w:left="1867"/>
              <w:rPr>
                <w:sz w:val="22"/>
              </w:rPr>
            </w:pPr>
            <w:r>
              <w:rPr>
                <w:spacing w:val="-2"/>
                <w:sz w:val="22"/>
              </w:rPr>
              <w:t>0.00g</w:t>
            </w:r>
          </w:p>
        </w:tc>
      </w:tr>
      <w:tr>
        <w:trPr>
          <w:trHeight w:val="602" w:hRule="atLeast"/>
        </w:trPr>
        <w:tc>
          <w:tcPr>
            <w:tcW w:w="3224" w:type="dxa"/>
          </w:tcPr>
          <w:p>
            <w:pPr>
              <w:pStyle w:val="TableParagraph"/>
              <w:spacing w:before="147"/>
              <w:ind w:left="50"/>
              <w:rPr>
                <w:sz w:val="22"/>
              </w:rPr>
            </w:pPr>
            <w:r>
              <w:rPr>
                <w:spacing w:val="-2"/>
                <w:sz w:val="22"/>
              </w:rPr>
              <w:t>Protein</w:t>
            </w:r>
          </w:p>
        </w:tc>
        <w:tc>
          <w:tcPr>
            <w:tcW w:w="3039" w:type="dxa"/>
          </w:tcPr>
          <w:p>
            <w:pPr>
              <w:pStyle w:val="TableParagraph"/>
              <w:spacing w:before="147"/>
              <w:ind w:left="1147"/>
              <w:rPr>
                <w:sz w:val="22"/>
              </w:rPr>
            </w:pPr>
            <w:r>
              <w:rPr>
                <w:spacing w:val="-2"/>
                <w:sz w:val="22"/>
              </w:rPr>
              <w:t>0.30g</w:t>
            </w:r>
          </w:p>
        </w:tc>
      </w:tr>
      <w:tr>
        <w:trPr>
          <w:trHeight w:val="602" w:hRule="atLeast"/>
        </w:trPr>
        <w:tc>
          <w:tcPr>
            <w:tcW w:w="3224" w:type="dxa"/>
          </w:tcPr>
          <w:p>
            <w:pPr>
              <w:pStyle w:val="TableParagraph"/>
              <w:spacing w:before="147"/>
              <w:ind w:left="50"/>
              <w:rPr>
                <w:sz w:val="22"/>
              </w:rPr>
            </w:pPr>
            <w:r>
              <w:rPr>
                <w:spacing w:val="-2"/>
                <w:sz w:val="22"/>
              </w:rPr>
              <w:t>Water</w:t>
            </w:r>
          </w:p>
        </w:tc>
        <w:tc>
          <w:tcPr>
            <w:tcW w:w="3039" w:type="dxa"/>
          </w:tcPr>
          <w:p>
            <w:pPr>
              <w:pStyle w:val="TableParagraph"/>
              <w:spacing w:before="147"/>
              <w:ind w:left="1867"/>
              <w:rPr>
                <w:sz w:val="22"/>
              </w:rPr>
            </w:pPr>
            <w:r>
              <w:rPr>
                <w:spacing w:val="-2"/>
                <w:sz w:val="22"/>
              </w:rPr>
              <w:t>17.1g</w:t>
            </w:r>
          </w:p>
        </w:tc>
      </w:tr>
      <w:tr>
        <w:trPr>
          <w:trHeight w:val="602" w:hRule="atLeast"/>
        </w:trPr>
        <w:tc>
          <w:tcPr>
            <w:tcW w:w="3224" w:type="dxa"/>
          </w:tcPr>
          <w:p>
            <w:pPr>
              <w:pStyle w:val="TableParagraph"/>
              <w:spacing w:before="147"/>
              <w:ind w:left="50"/>
              <w:rPr>
                <w:sz w:val="22"/>
              </w:rPr>
            </w:pPr>
            <w:r>
              <w:rPr>
                <w:sz w:val="22"/>
              </w:rPr>
              <w:t>Riboflavin</w:t>
            </w:r>
            <w:r>
              <w:rPr>
                <w:spacing w:val="-8"/>
                <w:sz w:val="22"/>
              </w:rPr>
              <w:t> </w:t>
            </w:r>
            <w:r>
              <w:rPr>
                <w:sz w:val="22"/>
              </w:rPr>
              <w:t>(vitamin</w:t>
            </w:r>
            <w:r>
              <w:rPr>
                <w:spacing w:val="-8"/>
                <w:sz w:val="22"/>
              </w:rPr>
              <w:t> </w:t>
            </w:r>
            <w:r>
              <w:rPr>
                <w:spacing w:val="-5"/>
                <w:sz w:val="22"/>
              </w:rPr>
              <w:t>B2)</w:t>
            </w:r>
          </w:p>
        </w:tc>
        <w:tc>
          <w:tcPr>
            <w:tcW w:w="3039" w:type="dxa"/>
          </w:tcPr>
          <w:p>
            <w:pPr>
              <w:pStyle w:val="TableParagraph"/>
              <w:spacing w:before="147"/>
              <w:ind w:left="1147"/>
              <w:rPr>
                <w:sz w:val="22"/>
              </w:rPr>
            </w:pPr>
            <w:r>
              <w:rPr>
                <w:sz w:val="22"/>
              </w:rPr>
              <w:t>0.04mg</w:t>
            </w:r>
            <w:r>
              <w:rPr>
                <w:spacing w:val="-7"/>
                <w:sz w:val="22"/>
              </w:rPr>
              <w:t> </w:t>
            </w:r>
            <w:r>
              <w:rPr>
                <w:spacing w:val="-4"/>
                <w:sz w:val="22"/>
              </w:rPr>
              <w:t>(3%)</w:t>
            </w:r>
          </w:p>
        </w:tc>
      </w:tr>
      <w:tr>
        <w:trPr>
          <w:trHeight w:val="602" w:hRule="atLeast"/>
        </w:trPr>
        <w:tc>
          <w:tcPr>
            <w:tcW w:w="3224" w:type="dxa"/>
          </w:tcPr>
          <w:p>
            <w:pPr>
              <w:pStyle w:val="TableParagraph"/>
              <w:spacing w:before="147"/>
              <w:ind w:left="50"/>
              <w:rPr>
                <w:sz w:val="22"/>
              </w:rPr>
            </w:pPr>
            <w:r>
              <w:rPr>
                <w:sz w:val="22"/>
              </w:rPr>
              <w:t>Niacin</w:t>
            </w:r>
            <w:r>
              <w:rPr>
                <w:spacing w:val="-5"/>
                <w:sz w:val="22"/>
              </w:rPr>
              <w:t> </w:t>
            </w:r>
            <w:r>
              <w:rPr>
                <w:sz w:val="22"/>
              </w:rPr>
              <w:t>(vitamin</w:t>
            </w:r>
            <w:r>
              <w:rPr>
                <w:spacing w:val="-4"/>
                <w:sz w:val="22"/>
              </w:rPr>
              <w:t> </w:t>
            </w:r>
            <w:r>
              <w:rPr>
                <w:spacing w:val="-5"/>
                <w:sz w:val="22"/>
              </w:rPr>
              <w:t>B3)</w:t>
            </w:r>
          </w:p>
        </w:tc>
        <w:tc>
          <w:tcPr>
            <w:tcW w:w="3039" w:type="dxa"/>
          </w:tcPr>
          <w:p>
            <w:pPr>
              <w:pStyle w:val="TableParagraph"/>
              <w:spacing w:before="147"/>
              <w:ind w:right="48"/>
              <w:jc w:val="right"/>
              <w:rPr>
                <w:sz w:val="22"/>
              </w:rPr>
            </w:pPr>
            <w:r>
              <w:rPr>
                <w:sz w:val="22"/>
              </w:rPr>
              <w:t>0.12mg</w:t>
            </w:r>
            <w:r>
              <w:rPr>
                <w:spacing w:val="-7"/>
                <w:sz w:val="22"/>
              </w:rPr>
              <w:t> </w:t>
            </w:r>
            <w:r>
              <w:rPr>
                <w:spacing w:val="-4"/>
                <w:sz w:val="22"/>
              </w:rPr>
              <w:t>(1%)</w:t>
            </w:r>
          </w:p>
        </w:tc>
      </w:tr>
      <w:tr>
        <w:trPr>
          <w:trHeight w:val="603" w:hRule="atLeast"/>
        </w:trPr>
        <w:tc>
          <w:tcPr>
            <w:tcW w:w="3224" w:type="dxa"/>
          </w:tcPr>
          <w:p>
            <w:pPr>
              <w:pStyle w:val="TableParagraph"/>
              <w:spacing w:before="147"/>
              <w:ind w:left="50"/>
              <w:rPr>
                <w:sz w:val="22"/>
              </w:rPr>
            </w:pPr>
            <w:r>
              <w:rPr>
                <w:sz w:val="22"/>
              </w:rPr>
              <w:t>Panthothenic</w:t>
            </w:r>
            <w:r>
              <w:rPr>
                <w:spacing w:val="-8"/>
                <w:sz w:val="22"/>
              </w:rPr>
              <w:t> </w:t>
            </w:r>
            <w:r>
              <w:rPr>
                <w:sz w:val="22"/>
              </w:rPr>
              <w:t>acid</w:t>
            </w:r>
            <w:r>
              <w:rPr>
                <w:spacing w:val="-8"/>
                <w:sz w:val="22"/>
              </w:rPr>
              <w:t> </w:t>
            </w:r>
            <w:r>
              <w:rPr>
                <w:spacing w:val="-4"/>
                <w:sz w:val="22"/>
              </w:rPr>
              <w:t>(B5)</w:t>
            </w:r>
          </w:p>
        </w:tc>
        <w:tc>
          <w:tcPr>
            <w:tcW w:w="3039" w:type="dxa"/>
          </w:tcPr>
          <w:p>
            <w:pPr>
              <w:pStyle w:val="TableParagraph"/>
              <w:spacing w:before="147"/>
              <w:ind w:left="1147"/>
              <w:rPr>
                <w:sz w:val="22"/>
              </w:rPr>
            </w:pPr>
            <w:r>
              <w:rPr>
                <w:sz w:val="22"/>
              </w:rPr>
              <w:t>0.07mg</w:t>
            </w:r>
            <w:r>
              <w:rPr>
                <w:spacing w:val="-7"/>
                <w:sz w:val="22"/>
              </w:rPr>
              <w:t> </w:t>
            </w:r>
            <w:r>
              <w:rPr>
                <w:spacing w:val="-4"/>
                <w:sz w:val="22"/>
              </w:rPr>
              <w:t>(1%)</w:t>
            </w:r>
          </w:p>
        </w:tc>
      </w:tr>
      <w:tr>
        <w:trPr>
          <w:trHeight w:val="603" w:hRule="atLeast"/>
        </w:trPr>
        <w:tc>
          <w:tcPr>
            <w:tcW w:w="3224" w:type="dxa"/>
          </w:tcPr>
          <w:p>
            <w:pPr>
              <w:pStyle w:val="TableParagraph"/>
              <w:spacing w:before="148"/>
              <w:ind w:left="50"/>
              <w:rPr>
                <w:sz w:val="22"/>
              </w:rPr>
            </w:pPr>
            <w:r>
              <w:rPr>
                <w:sz w:val="22"/>
              </w:rPr>
              <w:t>Vitamin</w:t>
            </w:r>
            <w:r>
              <w:rPr>
                <w:spacing w:val="-3"/>
                <w:sz w:val="22"/>
              </w:rPr>
              <w:t> </w:t>
            </w:r>
            <w:r>
              <w:rPr>
                <w:spacing w:val="-5"/>
                <w:sz w:val="22"/>
              </w:rPr>
              <w:t>B6</w:t>
            </w:r>
          </w:p>
        </w:tc>
        <w:tc>
          <w:tcPr>
            <w:tcW w:w="3039" w:type="dxa"/>
          </w:tcPr>
          <w:p>
            <w:pPr>
              <w:pStyle w:val="TableParagraph"/>
              <w:spacing w:before="148"/>
              <w:ind w:right="48"/>
              <w:jc w:val="right"/>
              <w:rPr>
                <w:sz w:val="22"/>
              </w:rPr>
            </w:pPr>
            <w:r>
              <w:rPr>
                <w:sz w:val="22"/>
              </w:rPr>
              <w:t>0.02mg</w:t>
            </w:r>
            <w:r>
              <w:rPr>
                <w:spacing w:val="-7"/>
                <w:sz w:val="22"/>
              </w:rPr>
              <w:t> </w:t>
            </w:r>
            <w:r>
              <w:rPr>
                <w:spacing w:val="-4"/>
                <w:sz w:val="22"/>
              </w:rPr>
              <w:t>(2%)</w:t>
            </w:r>
          </w:p>
        </w:tc>
      </w:tr>
      <w:tr>
        <w:trPr>
          <w:trHeight w:val="602" w:hRule="atLeast"/>
        </w:trPr>
        <w:tc>
          <w:tcPr>
            <w:tcW w:w="3224" w:type="dxa"/>
          </w:tcPr>
          <w:p>
            <w:pPr>
              <w:pStyle w:val="TableParagraph"/>
              <w:spacing w:before="147"/>
              <w:ind w:left="50"/>
              <w:rPr>
                <w:sz w:val="22"/>
              </w:rPr>
            </w:pPr>
            <w:r>
              <w:rPr>
                <w:sz w:val="22"/>
              </w:rPr>
              <w:t>Folate</w:t>
            </w:r>
            <w:r>
              <w:rPr>
                <w:spacing w:val="-5"/>
                <w:sz w:val="22"/>
              </w:rPr>
              <w:t> </w:t>
            </w:r>
            <w:r>
              <w:rPr>
                <w:sz w:val="22"/>
              </w:rPr>
              <w:t>(vitamin</w:t>
            </w:r>
            <w:r>
              <w:rPr>
                <w:spacing w:val="-6"/>
                <w:sz w:val="22"/>
              </w:rPr>
              <w:t> </w:t>
            </w:r>
            <w:r>
              <w:rPr>
                <w:spacing w:val="-5"/>
                <w:sz w:val="22"/>
              </w:rPr>
              <w:t>B9)</w:t>
            </w:r>
          </w:p>
        </w:tc>
        <w:tc>
          <w:tcPr>
            <w:tcW w:w="3039" w:type="dxa"/>
          </w:tcPr>
          <w:p>
            <w:pPr>
              <w:pStyle w:val="TableParagraph"/>
              <w:spacing w:before="147"/>
              <w:ind w:right="48"/>
              <w:jc w:val="right"/>
              <w:rPr>
                <w:sz w:val="22"/>
              </w:rPr>
            </w:pPr>
            <w:r>
              <w:rPr>
                <w:sz w:val="22"/>
              </w:rPr>
              <w:t>2.00mg</w:t>
            </w:r>
            <w:r>
              <w:rPr>
                <w:spacing w:val="-7"/>
                <w:sz w:val="22"/>
              </w:rPr>
              <w:t> </w:t>
            </w:r>
            <w:r>
              <w:rPr>
                <w:spacing w:val="-4"/>
                <w:sz w:val="22"/>
              </w:rPr>
              <w:t>(1%)</w:t>
            </w:r>
          </w:p>
        </w:tc>
      </w:tr>
      <w:tr>
        <w:trPr>
          <w:trHeight w:val="411" w:hRule="atLeast"/>
        </w:trPr>
        <w:tc>
          <w:tcPr>
            <w:tcW w:w="3224" w:type="dxa"/>
          </w:tcPr>
          <w:p>
            <w:pPr>
              <w:pStyle w:val="TableParagraph"/>
              <w:spacing w:line="245" w:lineRule="exact" w:before="147"/>
              <w:ind w:left="50"/>
              <w:rPr>
                <w:sz w:val="22"/>
              </w:rPr>
            </w:pPr>
            <w:r>
              <w:rPr>
                <w:sz w:val="22"/>
              </w:rPr>
              <w:t>Vitamin</w:t>
            </w:r>
            <w:r>
              <w:rPr>
                <w:spacing w:val="-3"/>
                <w:sz w:val="22"/>
              </w:rPr>
              <w:t> </w:t>
            </w:r>
            <w:r>
              <w:rPr>
                <w:spacing w:val="-10"/>
                <w:sz w:val="22"/>
              </w:rPr>
              <w:t>C</w:t>
            </w:r>
          </w:p>
        </w:tc>
        <w:tc>
          <w:tcPr>
            <w:tcW w:w="3039" w:type="dxa"/>
          </w:tcPr>
          <w:p>
            <w:pPr>
              <w:pStyle w:val="TableParagraph"/>
              <w:spacing w:line="245" w:lineRule="exact" w:before="147"/>
              <w:ind w:right="48"/>
              <w:jc w:val="right"/>
              <w:rPr>
                <w:sz w:val="22"/>
              </w:rPr>
            </w:pPr>
            <w:r>
              <w:rPr>
                <w:sz w:val="22"/>
              </w:rPr>
              <w:t>0.50mg</w:t>
            </w:r>
            <w:r>
              <w:rPr>
                <w:spacing w:val="-7"/>
                <w:sz w:val="22"/>
              </w:rPr>
              <w:t> </w:t>
            </w:r>
            <w:r>
              <w:rPr>
                <w:spacing w:val="-4"/>
                <w:sz w:val="22"/>
              </w:rPr>
              <w:t>(1%)</w:t>
            </w:r>
          </w:p>
        </w:tc>
      </w:tr>
    </w:tbl>
    <w:p>
      <w:pPr>
        <w:spacing w:after="0" w:line="245" w:lineRule="exact"/>
        <w:jc w:val="right"/>
        <w:rPr>
          <w:sz w:val="22"/>
        </w:rPr>
        <w:sectPr>
          <w:pgSz w:w="11910" w:h="16840"/>
          <w:pgMar w:header="0" w:footer="1055" w:top="1380" w:bottom="1240" w:left="1060" w:right="460"/>
        </w:sectPr>
      </w:pPr>
    </w:p>
    <w:p>
      <w:pPr>
        <w:pStyle w:val="BodyText"/>
        <w:rPr>
          <w:sz w:val="2"/>
        </w:rPr>
      </w:pPr>
    </w:p>
    <w:tbl>
      <w:tblPr>
        <w:tblW w:w="0" w:type="auto"/>
        <w:jc w:val="left"/>
        <w:tblInd w:w="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99"/>
        <w:gridCol w:w="3163"/>
      </w:tblGrid>
      <w:tr>
        <w:trPr>
          <w:trHeight w:val="411" w:hRule="atLeast"/>
        </w:trPr>
        <w:tc>
          <w:tcPr>
            <w:tcW w:w="3099" w:type="dxa"/>
          </w:tcPr>
          <w:p>
            <w:pPr>
              <w:pStyle w:val="TableParagraph"/>
              <w:spacing w:line="225" w:lineRule="exact"/>
              <w:ind w:left="50"/>
              <w:rPr>
                <w:sz w:val="22"/>
              </w:rPr>
            </w:pPr>
            <w:r>
              <w:rPr>
                <w:spacing w:val="-2"/>
                <w:sz w:val="22"/>
              </w:rPr>
              <w:t>Calcium</w:t>
            </w:r>
          </w:p>
        </w:tc>
        <w:tc>
          <w:tcPr>
            <w:tcW w:w="3163" w:type="dxa"/>
          </w:tcPr>
          <w:p>
            <w:pPr>
              <w:pStyle w:val="TableParagraph"/>
              <w:spacing w:line="225" w:lineRule="exact"/>
              <w:ind w:right="47"/>
              <w:jc w:val="right"/>
              <w:rPr>
                <w:sz w:val="22"/>
              </w:rPr>
            </w:pPr>
            <w:r>
              <w:rPr>
                <w:sz w:val="22"/>
              </w:rPr>
              <w:t>6.00mg</w:t>
            </w:r>
            <w:r>
              <w:rPr>
                <w:spacing w:val="-7"/>
                <w:sz w:val="22"/>
              </w:rPr>
              <w:t> </w:t>
            </w:r>
            <w:r>
              <w:rPr>
                <w:spacing w:val="-4"/>
                <w:sz w:val="22"/>
              </w:rPr>
              <w:t>(1%)</w:t>
            </w:r>
          </w:p>
        </w:tc>
      </w:tr>
      <w:tr>
        <w:trPr>
          <w:trHeight w:val="602" w:hRule="atLeast"/>
        </w:trPr>
        <w:tc>
          <w:tcPr>
            <w:tcW w:w="3099" w:type="dxa"/>
          </w:tcPr>
          <w:p>
            <w:pPr>
              <w:pStyle w:val="TableParagraph"/>
              <w:spacing w:before="147"/>
              <w:ind w:left="50"/>
              <w:rPr>
                <w:sz w:val="22"/>
              </w:rPr>
            </w:pPr>
            <w:r>
              <w:rPr>
                <w:spacing w:val="-4"/>
                <w:sz w:val="22"/>
              </w:rPr>
              <w:t>Iron</w:t>
            </w:r>
          </w:p>
        </w:tc>
        <w:tc>
          <w:tcPr>
            <w:tcW w:w="3163" w:type="dxa"/>
          </w:tcPr>
          <w:p>
            <w:pPr>
              <w:pStyle w:val="TableParagraph"/>
              <w:spacing w:before="147"/>
              <w:ind w:right="47"/>
              <w:jc w:val="right"/>
              <w:rPr>
                <w:sz w:val="22"/>
              </w:rPr>
            </w:pPr>
            <w:r>
              <w:rPr>
                <w:sz w:val="22"/>
              </w:rPr>
              <w:t>0.42mg</w:t>
            </w:r>
            <w:r>
              <w:rPr>
                <w:spacing w:val="-7"/>
                <w:sz w:val="22"/>
              </w:rPr>
              <w:t> </w:t>
            </w:r>
            <w:r>
              <w:rPr>
                <w:spacing w:val="-4"/>
                <w:sz w:val="22"/>
              </w:rPr>
              <w:t>(3%)</w:t>
            </w:r>
          </w:p>
        </w:tc>
      </w:tr>
      <w:tr>
        <w:trPr>
          <w:trHeight w:val="603" w:hRule="atLeast"/>
        </w:trPr>
        <w:tc>
          <w:tcPr>
            <w:tcW w:w="3099" w:type="dxa"/>
          </w:tcPr>
          <w:p>
            <w:pPr>
              <w:pStyle w:val="TableParagraph"/>
              <w:spacing w:before="147"/>
              <w:ind w:left="50"/>
              <w:rPr>
                <w:sz w:val="22"/>
              </w:rPr>
            </w:pPr>
            <w:r>
              <w:rPr>
                <w:spacing w:val="-2"/>
                <w:sz w:val="22"/>
              </w:rPr>
              <w:t>Magnesium</w:t>
            </w:r>
          </w:p>
        </w:tc>
        <w:tc>
          <w:tcPr>
            <w:tcW w:w="3163" w:type="dxa"/>
          </w:tcPr>
          <w:p>
            <w:pPr>
              <w:pStyle w:val="TableParagraph"/>
              <w:spacing w:before="147"/>
              <w:ind w:right="47"/>
              <w:jc w:val="right"/>
              <w:rPr>
                <w:sz w:val="22"/>
              </w:rPr>
            </w:pPr>
            <w:r>
              <w:rPr>
                <w:sz w:val="22"/>
              </w:rPr>
              <w:t>2.00mg</w:t>
            </w:r>
            <w:r>
              <w:rPr>
                <w:spacing w:val="-7"/>
                <w:sz w:val="22"/>
              </w:rPr>
              <w:t> </w:t>
            </w:r>
            <w:r>
              <w:rPr>
                <w:spacing w:val="-4"/>
                <w:sz w:val="22"/>
              </w:rPr>
              <w:t>(1%)</w:t>
            </w:r>
          </w:p>
        </w:tc>
      </w:tr>
      <w:tr>
        <w:trPr>
          <w:trHeight w:val="603" w:hRule="atLeast"/>
        </w:trPr>
        <w:tc>
          <w:tcPr>
            <w:tcW w:w="3099" w:type="dxa"/>
          </w:tcPr>
          <w:p>
            <w:pPr>
              <w:pStyle w:val="TableParagraph"/>
              <w:spacing w:before="148"/>
              <w:ind w:left="50"/>
              <w:rPr>
                <w:sz w:val="22"/>
              </w:rPr>
            </w:pPr>
            <w:r>
              <w:rPr>
                <w:spacing w:val="-2"/>
                <w:sz w:val="22"/>
              </w:rPr>
              <w:t>Phosphorus</w:t>
            </w:r>
          </w:p>
        </w:tc>
        <w:tc>
          <w:tcPr>
            <w:tcW w:w="3163" w:type="dxa"/>
          </w:tcPr>
          <w:p>
            <w:pPr>
              <w:pStyle w:val="TableParagraph"/>
              <w:spacing w:before="148"/>
              <w:ind w:right="47"/>
              <w:jc w:val="right"/>
              <w:rPr>
                <w:sz w:val="22"/>
              </w:rPr>
            </w:pPr>
            <w:r>
              <w:rPr>
                <w:sz w:val="22"/>
              </w:rPr>
              <w:t>4.00mg</w:t>
            </w:r>
            <w:r>
              <w:rPr>
                <w:spacing w:val="-7"/>
                <w:sz w:val="22"/>
              </w:rPr>
              <w:t> </w:t>
            </w:r>
            <w:r>
              <w:rPr>
                <w:spacing w:val="-4"/>
                <w:sz w:val="22"/>
              </w:rPr>
              <w:t>(1%)</w:t>
            </w:r>
          </w:p>
        </w:tc>
      </w:tr>
      <w:tr>
        <w:trPr>
          <w:trHeight w:val="602" w:hRule="atLeast"/>
        </w:trPr>
        <w:tc>
          <w:tcPr>
            <w:tcW w:w="3099" w:type="dxa"/>
          </w:tcPr>
          <w:p>
            <w:pPr>
              <w:pStyle w:val="TableParagraph"/>
              <w:spacing w:before="147"/>
              <w:ind w:left="50"/>
              <w:rPr>
                <w:sz w:val="22"/>
              </w:rPr>
            </w:pPr>
            <w:r>
              <w:rPr>
                <w:spacing w:val="-2"/>
                <w:sz w:val="22"/>
              </w:rPr>
              <w:t>Potassium</w:t>
            </w:r>
          </w:p>
        </w:tc>
        <w:tc>
          <w:tcPr>
            <w:tcW w:w="3163" w:type="dxa"/>
          </w:tcPr>
          <w:p>
            <w:pPr>
              <w:pStyle w:val="TableParagraph"/>
              <w:spacing w:before="147"/>
              <w:ind w:right="47"/>
              <w:jc w:val="right"/>
              <w:rPr>
                <w:sz w:val="22"/>
              </w:rPr>
            </w:pPr>
            <w:r>
              <w:rPr>
                <w:sz w:val="22"/>
              </w:rPr>
              <w:t>52.0mg</w:t>
            </w:r>
            <w:r>
              <w:rPr>
                <w:spacing w:val="-7"/>
                <w:sz w:val="22"/>
              </w:rPr>
              <w:t> </w:t>
            </w:r>
            <w:r>
              <w:rPr>
                <w:spacing w:val="-4"/>
                <w:sz w:val="22"/>
              </w:rPr>
              <w:t>(1%)</w:t>
            </w:r>
          </w:p>
        </w:tc>
      </w:tr>
      <w:tr>
        <w:trPr>
          <w:trHeight w:val="602" w:hRule="atLeast"/>
        </w:trPr>
        <w:tc>
          <w:tcPr>
            <w:tcW w:w="3099" w:type="dxa"/>
          </w:tcPr>
          <w:p>
            <w:pPr>
              <w:pStyle w:val="TableParagraph"/>
              <w:spacing w:before="147"/>
              <w:ind w:left="50"/>
              <w:rPr>
                <w:sz w:val="22"/>
              </w:rPr>
            </w:pPr>
            <w:r>
              <w:rPr>
                <w:spacing w:val="-2"/>
                <w:sz w:val="22"/>
              </w:rPr>
              <w:t>Sodium</w:t>
            </w:r>
          </w:p>
        </w:tc>
        <w:tc>
          <w:tcPr>
            <w:tcW w:w="3163" w:type="dxa"/>
          </w:tcPr>
          <w:p>
            <w:pPr>
              <w:pStyle w:val="TableParagraph"/>
              <w:spacing w:before="147"/>
              <w:ind w:right="47"/>
              <w:jc w:val="right"/>
              <w:rPr>
                <w:sz w:val="22"/>
              </w:rPr>
            </w:pPr>
            <w:r>
              <w:rPr>
                <w:sz w:val="22"/>
              </w:rPr>
              <w:t>4.00mg</w:t>
            </w:r>
            <w:r>
              <w:rPr>
                <w:spacing w:val="-7"/>
                <w:sz w:val="22"/>
              </w:rPr>
              <w:t> </w:t>
            </w:r>
            <w:r>
              <w:rPr>
                <w:spacing w:val="-4"/>
                <w:sz w:val="22"/>
              </w:rPr>
              <w:t>(0%)</w:t>
            </w:r>
          </w:p>
        </w:tc>
      </w:tr>
      <w:tr>
        <w:trPr>
          <w:trHeight w:val="411" w:hRule="atLeast"/>
        </w:trPr>
        <w:tc>
          <w:tcPr>
            <w:tcW w:w="3099" w:type="dxa"/>
          </w:tcPr>
          <w:p>
            <w:pPr>
              <w:pStyle w:val="TableParagraph"/>
              <w:spacing w:line="245" w:lineRule="exact" w:before="147"/>
              <w:ind w:left="50"/>
              <w:rPr>
                <w:sz w:val="22"/>
              </w:rPr>
            </w:pPr>
            <w:r>
              <w:rPr>
                <w:spacing w:val="-4"/>
                <w:sz w:val="22"/>
              </w:rPr>
              <w:t>Zinc</w:t>
            </w:r>
          </w:p>
        </w:tc>
        <w:tc>
          <w:tcPr>
            <w:tcW w:w="3163" w:type="dxa"/>
          </w:tcPr>
          <w:p>
            <w:pPr>
              <w:pStyle w:val="TableParagraph"/>
              <w:spacing w:line="245" w:lineRule="exact" w:before="147"/>
              <w:ind w:right="47"/>
              <w:jc w:val="right"/>
              <w:rPr>
                <w:sz w:val="22"/>
              </w:rPr>
            </w:pPr>
            <w:r>
              <w:rPr>
                <w:sz w:val="22"/>
              </w:rPr>
              <w:t>0.22mg</w:t>
            </w:r>
            <w:r>
              <w:rPr>
                <w:spacing w:val="-7"/>
                <w:sz w:val="22"/>
              </w:rPr>
              <w:t> </w:t>
            </w:r>
            <w:r>
              <w:rPr>
                <w:spacing w:val="-4"/>
                <w:sz w:val="22"/>
              </w:rPr>
              <w:t>(2%)</w:t>
            </w:r>
          </w:p>
        </w:tc>
      </w:tr>
    </w:tbl>
    <w:p>
      <w:pPr>
        <w:pStyle w:val="BodyText"/>
        <w:spacing w:before="74"/>
      </w:pPr>
    </w:p>
    <w:p>
      <w:pPr>
        <w:pStyle w:val="BodyText"/>
        <w:spacing w:line="537" w:lineRule="auto"/>
        <w:ind w:left="1100" w:right="2922"/>
      </w:pPr>
      <w:r>
        <w:rPr/>
        <w:t>Shown</w:t>
      </w:r>
      <w:r>
        <w:rPr>
          <w:spacing w:val="-3"/>
        </w:rPr>
        <w:t> </w:t>
      </w:r>
      <w:r>
        <w:rPr/>
        <w:t>is</w:t>
      </w:r>
      <w:r>
        <w:rPr>
          <w:spacing w:val="-3"/>
        </w:rPr>
        <w:t> </w:t>
      </w:r>
      <w:r>
        <w:rPr/>
        <w:t>for</w:t>
      </w:r>
      <w:r>
        <w:rPr>
          <w:spacing w:val="-5"/>
        </w:rPr>
        <w:t> </w:t>
      </w:r>
      <w:r>
        <w:rPr/>
        <w:t>100g,</w:t>
      </w:r>
      <w:r>
        <w:rPr>
          <w:spacing w:val="-3"/>
        </w:rPr>
        <w:t> </w:t>
      </w:r>
      <w:r>
        <w:rPr/>
        <w:t>roughly</w:t>
      </w:r>
      <w:r>
        <w:rPr>
          <w:spacing w:val="-5"/>
        </w:rPr>
        <w:t> </w:t>
      </w:r>
      <w:r>
        <w:rPr/>
        <w:t>5</w:t>
      </w:r>
      <w:r>
        <w:rPr>
          <w:spacing w:val="-3"/>
        </w:rPr>
        <w:t> </w:t>
      </w:r>
      <w:r>
        <w:rPr/>
        <w:t>table</w:t>
      </w:r>
      <w:r>
        <w:rPr>
          <w:spacing w:val="-4"/>
        </w:rPr>
        <w:t> </w:t>
      </w:r>
      <w:r>
        <w:rPr/>
        <w:t>spoon</w:t>
      </w:r>
      <w:r>
        <w:rPr>
          <w:spacing w:val="-3"/>
        </w:rPr>
        <w:t> </w:t>
      </w:r>
      <w:r>
        <w:rPr/>
        <w:t>full.</w:t>
      </w:r>
      <w:r>
        <w:rPr>
          <w:spacing w:val="-5"/>
        </w:rPr>
        <w:t> </w:t>
      </w:r>
      <w:r>
        <w:rPr/>
        <w:t>Percentages</w:t>
      </w:r>
      <w:r>
        <w:rPr>
          <w:spacing w:val="-2"/>
        </w:rPr>
        <w:t> </w:t>
      </w:r>
      <w:r>
        <w:rPr/>
        <w:t>are</w:t>
      </w:r>
      <w:r>
        <w:rPr>
          <w:spacing w:val="-3"/>
        </w:rPr>
        <w:t> </w:t>
      </w:r>
      <w:r>
        <w:rPr/>
        <w:t>relative to US recommendations for adults.</w:t>
      </w:r>
    </w:p>
    <w:p>
      <w:pPr>
        <w:pStyle w:val="BodyText"/>
        <w:spacing w:before="4"/>
        <w:ind w:left="1100"/>
      </w:pPr>
      <w:r>
        <w:rPr/>
        <w:t>Source:</w:t>
      </w:r>
      <w:r>
        <w:rPr>
          <w:spacing w:val="-4"/>
        </w:rPr>
        <w:t> </w:t>
      </w:r>
      <w:r>
        <w:rPr/>
        <w:t>USDA</w:t>
      </w:r>
      <w:r>
        <w:rPr>
          <w:spacing w:val="-5"/>
        </w:rPr>
        <w:t> </w:t>
      </w:r>
      <w:r>
        <w:rPr>
          <w:spacing w:val="-2"/>
        </w:rPr>
        <w:t>(2012).</w:t>
      </w:r>
    </w:p>
    <w:p>
      <w:pPr>
        <w:pStyle w:val="BodyText"/>
        <w:spacing w:before="65"/>
      </w:pPr>
    </w:p>
    <w:p>
      <w:pPr>
        <w:pStyle w:val="Heading3"/>
        <w:numPr>
          <w:ilvl w:val="2"/>
          <w:numId w:val="1"/>
        </w:numPr>
        <w:tabs>
          <w:tab w:pos="1100" w:val="left" w:leader="none"/>
        </w:tabs>
        <w:spacing w:line="240" w:lineRule="auto" w:before="0" w:after="0"/>
        <w:ind w:left="1100" w:right="0" w:hanging="720"/>
        <w:jc w:val="left"/>
      </w:pPr>
      <w:r>
        <w:rPr/>
        <w:t>Uses</w:t>
      </w:r>
      <w:r>
        <w:rPr>
          <w:spacing w:val="-2"/>
        </w:rPr>
        <w:t> </w:t>
      </w:r>
      <w:r>
        <w:rPr/>
        <w:t>of</w:t>
      </w:r>
      <w:r>
        <w:rPr>
          <w:spacing w:val="-1"/>
        </w:rPr>
        <w:t> </w:t>
      </w:r>
      <w:r>
        <w:rPr>
          <w:spacing w:val="-4"/>
        </w:rPr>
        <w:t>Honey</w:t>
      </w:r>
    </w:p>
    <w:p>
      <w:pPr>
        <w:pStyle w:val="BodyText"/>
        <w:spacing w:before="65"/>
        <w:rPr>
          <w:b/>
        </w:rPr>
      </w:pPr>
    </w:p>
    <w:p>
      <w:pPr>
        <w:pStyle w:val="ListParagraph"/>
        <w:numPr>
          <w:ilvl w:val="3"/>
          <w:numId w:val="1"/>
        </w:numPr>
        <w:tabs>
          <w:tab w:pos="1098" w:val="left" w:leader="none"/>
        </w:tabs>
        <w:spacing w:line="240" w:lineRule="auto" w:before="1" w:after="0"/>
        <w:ind w:left="1098" w:right="0" w:hanging="718"/>
        <w:jc w:val="left"/>
        <w:rPr>
          <w:i/>
          <w:sz w:val="22"/>
        </w:rPr>
      </w:pPr>
      <w:r>
        <w:rPr>
          <w:i/>
          <w:sz w:val="22"/>
        </w:rPr>
        <w:t>Medicinal</w:t>
      </w:r>
      <w:r>
        <w:rPr>
          <w:i/>
          <w:spacing w:val="-5"/>
          <w:sz w:val="22"/>
        </w:rPr>
        <w:t> </w:t>
      </w:r>
      <w:r>
        <w:rPr>
          <w:i/>
          <w:sz w:val="22"/>
        </w:rPr>
        <w:t>Uses</w:t>
      </w:r>
      <w:r>
        <w:rPr>
          <w:i/>
          <w:spacing w:val="-1"/>
          <w:sz w:val="22"/>
        </w:rPr>
        <w:t> </w:t>
      </w:r>
      <w:r>
        <w:rPr>
          <w:i/>
          <w:sz w:val="22"/>
        </w:rPr>
        <w:t>of</w:t>
      </w:r>
      <w:r>
        <w:rPr>
          <w:i/>
          <w:spacing w:val="-2"/>
          <w:sz w:val="22"/>
        </w:rPr>
        <w:t> Honey</w:t>
      </w:r>
    </w:p>
    <w:p>
      <w:pPr>
        <w:pStyle w:val="BodyText"/>
        <w:spacing w:before="103"/>
        <w:rPr>
          <w:i/>
        </w:rPr>
      </w:pPr>
    </w:p>
    <w:p>
      <w:pPr>
        <w:pStyle w:val="BodyText"/>
        <w:spacing w:line="480" w:lineRule="auto" w:before="1"/>
        <w:ind w:left="1100" w:right="979"/>
        <w:jc w:val="both"/>
      </w:pPr>
      <w:r>
        <w:rPr/>
        <w:t>Scientists and doctors are rediscovering the effectiveness of honey as a wound treatment. Clinical observations and experimental studies have established that honey has effective antibacterial and anti-inflammatory properties. It painlessly removes pus, scabs and dead tissues from wounds and stimulates new tissue growth (Molan, 1992).</w:t>
      </w:r>
    </w:p>
    <w:p>
      <w:pPr>
        <w:pStyle w:val="BodyText"/>
        <w:spacing w:line="482" w:lineRule="auto" w:before="198"/>
        <w:ind w:left="1100" w:right="979"/>
        <w:jc w:val="both"/>
      </w:pPr>
      <w:r>
        <w:rPr/>
        <w:t>Historically, honey has been used by humans to treat a variety of ailments, from gastric disturbances</w:t>
      </w:r>
      <w:r>
        <w:rPr>
          <w:spacing w:val="-2"/>
        </w:rPr>
        <w:t> </w:t>
      </w:r>
      <w:r>
        <w:rPr/>
        <w:t>to</w:t>
      </w:r>
      <w:r>
        <w:rPr>
          <w:spacing w:val="-1"/>
        </w:rPr>
        <w:t> </w:t>
      </w:r>
      <w:r>
        <w:rPr/>
        <w:t>ulcers,</w:t>
      </w:r>
      <w:r>
        <w:rPr>
          <w:spacing w:val="-2"/>
        </w:rPr>
        <w:t> </w:t>
      </w:r>
      <w:r>
        <w:rPr/>
        <w:t>wounds</w:t>
      </w:r>
      <w:r>
        <w:rPr>
          <w:spacing w:val="-2"/>
        </w:rPr>
        <w:t> </w:t>
      </w:r>
      <w:r>
        <w:rPr/>
        <w:t>and</w:t>
      </w:r>
      <w:r>
        <w:rPr>
          <w:spacing w:val="-1"/>
        </w:rPr>
        <w:t> </w:t>
      </w:r>
      <w:r>
        <w:rPr/>
        <w:t>burns,</w:t>
      </w:r>
      <w:r>
        <w:rPr>
          <w:spacing w:val="-2"/>
        </w:rPr>
        <w:t> </w:t>
      </w:r>
      <w:r>
        <w:rPr/>
        <w:t>through</w:t>
      </w:r>
      <w:r>
        <w:rPr>
          <w:spacing w:val="-3"/>
        </w:rPr>
        <w:t> </w:t>
      </w:r>
      <w:r>
        <w:rPr/>
        <w:t>ingestion</w:t>
      </w:r>
      <w:r>
        <w:rPr>
          <w:spacing w:val="-3"/>
        </w:rPr>
        <w:t> </w:t>
      </w:r>
      <w:r>
        <w:rPr/>
        <w:t>or</w:t>
      </w:r>
      <w:r>
        <w:rPr>
          <w:spacing w:val="-2"/>
        </w:rPr>
        <w:t> </w:t>
      </w:r>
      <w:r>
        <w:rPr/>
        <w:t>topical</w:t>
      </w:r>
      <w:r>
        <w:rPr>
          <w:spacing w:val="-3"/>
        </w:rPr>
        <w:t> </w:t>
      </w:r>
      <w:r>
        <w:rPr/>
        <w:t>application</w:t>
      </w:r>
      <w:r>
        <w:rPr>
          <w:spacing w:val="-3"/>
        </w:rPr>
        <w:t> </w:t>
      </w:r>
      <w:r>
        <w:rPr/>
        <w:t>(Drgrotte, 2012). Traditional use of honey has included honey mixed with lemon for the treatment of sore throats, common cold, and catarrh essentially as soothing relieve.</w:t>
      </w:r>
    </w:p>
    <w:p>
      <w:pPr>
        <w:pStyle w:val="BodyText"/>
        <w:spacing w:line="480" w:lineRule="auto" w:before="191"/>
        <w:ind w:left="1100" w:right="970"/>
        <w:jc w:val="both"/>
      </w:pPr>
      <w:r>
        <w:rPr/>
        <w:t>In a study in New Zealand, Manuka honey was shown to be effective against </w:t>
      </w:r>
      <w:r>
        <w:rPr>
          <w:i/>
        </w:rPr>
        <w:t>Helicobacter pylori </w:t>
      </w:r>
      <w:r>
        <w:rPr/>
        <w:t>(Al Somai </w:t>
      </w:r>
      <w:r>
        <w:rPr>
          <w:i/>
        </w:rPr>
        <w:t>et al</w:t>
      </w:r>
      <w:r>
        <w:rPr/>
        <w:t>., 1994). The presence of potassium, sodium, calcium, and magnesium means that honey is capable of neutralizing acid in the body and thus maintaining the acid- alkaline balance (McCarthy, 1995). Honey can be used as preservative.</w:t>
      </w:r>
    </w:p>
    <w:p>
      <w:pPr>
        <w:spacing w:after="0" w:line="480" w:lineRule="auto"/>
        <w:jc w:val="both"/>
        <w:sectPr>
          <w:pgSz w:w="11910" w:h="16840"/>
          <w:pgMar w:header="0" w:footer="1055" w:top="1440" w:bottom="1240" w:left="1060" w:right="460"/>
        </w:sectPr>
      </w:pPr>
    </w:p>
    <w:p>
      <w:pPr>
        <w:pStyle w:val="ListParagraph"/>
        <w:numPr>
          <w:ilvl w:val="3"/>
          <w:numId w:val="1"/>
        </w:numPr>
        <w:tabs>
          <w:tab w:pos="1098" w:val="left" w:leader="none"/>
        </w:tabs>
        <w:spacing w:line="240" w:lineRule="auto" w:before="38" w:after="0"/>
        <w:ind w:left="1098" w:right="0" w:hanging="718"/>
        <w:jc w:val="left"/>
        <w:rPr>
          <w:i/>
          <w:sz w:val="22"/>
        </w:rPr>
      </w:pPr>
      <w:r>
        <w:rPr>
          <w:i/>
          <w:sz w:val="22"/>
        </w:rPr>
        <w:t>Other</w:t>
      </w:r>
      <w:r>
        <w:rPr>
          <w:i/>
          <w:spacing w:val="-2"/>
          <w:sz w:val="22"/>
        </w:rPr>
        <w:t> </w:t>
      </w:r>
      <w:r>
        <w:rPr>
          <w:i/>
          <w:sz w:val="22"/>
        </w:rPr>
        <w:t>Uses</w:t>
      </w:r>
      <w:r>
        <w:rPr>
          <w:i/>
          <w:spacing w:val="-5"/>
          <w:sz w:val="22"/>
        </w:rPr>
        <w:t> </w:t>
      </w:r>
      <w:r>
        <w:rPr>
          <w:i/>
          <w:sz w:val="22"/>
        </w:rPr>
        <w:t>of</w:t>
      </w:r>
      <w:r>
        <w:rPr>
          <w:i/>
          <w:spacing w:val="-2"/>
          <w:sz w:val="22"/>
        </w:rPr>
        <w:t> Honey</w:t>
      </w:r>
    </w:p>
    <w:p>
      <w:pPr>
        <w:pStyle w:val="BodyText"/>
        <w:spacing w:before="66"/>
        <w:rPr>
          <w:i/>
        </w:rPr>
      </w:pPr>
    </w:p>
    <w:p>
      <w:pPr>
        <w:pStyle w:val="BodyText"/>
        <w:spacing w:line="482" w:lineRule="auto"/>
        <w:ind w:left="1100" w:right="974"/>
        <w:jc w:val="both"/>
      </w:pPr>
      <w:r>
        <w:rPr>
          <w:i/>
        </w:rPr>
        <w:t>Sweetener</w:t>
      </w:r>
      <w:r>
        <w:rPr/>
        <w:t>: Honey is slightly sweeter than sugar, so less can be used to achieve the same sweetness intensity. It is used as sweetener in some commercial beverages.</w:t>
      </w:r>
    </w:p>
    <w:p>
      <w:pPr>
        <w:pStyle w:val="BodyText"/>
        <w:spacing w:line="482" w:lineRule="auto" w:before="195"/>
        <w:ind w:left="1100" w:right="973"/>
        <w:jc w:val="both"/>
      </w:pPr>
      <w:r>
        <w:rPr>
          <w:i/>
        </w:rPr>
        <w:t>Flavor</w:t>
      </w:r>
      <w:r>
        <w:rPr/>
        <w:t>: Honey does not only impart a unique flavor to any dish, but it also balances and enhances the flavor profiles of other ingredients used in a recipe. It is used in </w:t>
      </w:r>
      <w:hyperlink r:id="rId68">
        <w:r>
          <w:rPr/>
          <w:t>cooking</w:t>
        </w:r>
      </w:hyperlink>
      <w:r>
        <w:rPr/>
        <w:t>, baking, as a spread on </w:t>
      </w:r>
      <w:hyperlink r:id="rId69">
        <w:r>
          <w:rPr/>
          <w:t>bread,</w:t>
        </w:r>
      </w:hyperlink>
      <w:r>
        <w:rPr/>
        <w:t> and as an addition to various beverages, such as </w:t>
      </w:r>
      <w:hyperlink r:id="rId70">
        <w:r>
          <w:rPr/>
          <w:t>tea.</w:t>
        </w:r>
      </w:hyperlink>
    </w:p>
    <w:p>
      <w:pPr>
        <w:pStyle w:val="BodyText"/>
        <w:spacing w:before="1"/>
      </w:pPr>
    </w:p>
    <w:p>
      <w:pPr>
        <w:spacing w:line="477" w:lineRule="auto" w:before="0"/>
        <w:ind w:left="1100" w:right="983" w:firstLine="0"/>
        <w:jc w:val="both"/>
        <w:rPr>
          <w:rFonts w:ascii="Times New Roman"/>
          <w:sz w:val="24"/>
        </w:rPr>
      </w:pPr>
      <w:r>
        <w:rPr>
          <w:rFonts w:ascii="Times New Roman"/>
          <w:i/>
          <w:sz w:val="24"/>
        </w:rPr>
        <w:t>Humectant</w:t>
      </w:r>
      <w:r>
        <w:rPr>
          <w:rFonts w:ascii="Times New Roman"/>
          <w:sz w:val="24"/>
        </w:rPr>
        <w:t>: Honey provides and retains moisture to a variety of dishes and can even extend the shelf life of baked foods.</w:t>
      </w:r>
    </w:p>
    <w:p>
      <w:pPr>
        <w:pStyle w:val="BodyText"/>
        <w:spacing w:before="8"/>
        <w:rPr>
          <w:rFonts w:ascii="Times New Roman"/>
          <w:sz w:val="24"/>
        </w:rPr>
      </w:pPr>
    </w:p>
    <w:p>
      <w:pPr>
        <w:spacing w:line="480" w:lineRule="auto" w:before="0"/>
        <w:ind w:left="1100" w:right="979" w:firstLine="0"/>
        <w:jc w:val="both"/>
        <w:rPr>
          <w:rFonts w:ascii="Times New Roman"/>
          <w:sz w:val="24"/>
        </w:rPr>
      </w:pPr>
      <w:r>
        <w:rPr>
          <w:rFonts w:ascii="Times New Roman"/>
          <w:i/>
          <w:sz w:val="24"/>
        </w:rPr>
        <w:t>Energy Booster</w:t>
      </w:r>
      <w:r>
        <w:rPr>
          <w:rFonts w:ascii="Times New Roman"/>
          <w:sz w:val="24"/>
        </w:rPr>
        <w:t>: honey is a great natural source of carbohydrates which provide strength and energy to our bodies, honey is known for its effectiveness in instantly boosting the performance, endurance and reduces muscle fatigue of athletes. Its </w:t>
      </w:r>
      <w:hyperlink r:id="rId71">
        <w:r>
          <w:rPr>
            <w:rFonts w:ascii="Times New Roman"/>
            <w:sz w:val="24"/>
          </w:rPr>
          <w:t>natural sugars</w:t>
        </w:r>
      </w:hyperlink>
      <w:r>
        <w:rPr>
          <w:rFonts w:ascii="Times New Roman"/>
          <w:sz w:val="24"/>
        </w:rPr>
        <w:t> play an important role in preventing fatigue during exercise. The glucose in honey is absorbed by the body quickly and gives an immediate energy boost, while the fructose is absorbed more slowly providing sustained energy.</w:t>
      </w:r>
    </w:p>
    <w:p>
      <w:pPr>
        <w:pStyle w:val="BodyText"/>
        <w:spacing w:before="10"/>
        <w:rPr>
          <w:rFonts w:ascii="Times New Roman"/>
          <w:sz w:val="24"/>
        </w:rPr>
      </w:pPr>
    </w:p>
    <w:p>
      <w:pPr>
        <w:pStyle w:val="Heading3"/>
        <w:numPr>
          <w:ilvl w:val="1"/>
          <w:numId w:val="1"/>
        </w:numPr>
        <w:tabs>
          <w:tab w:pos="4701" w:val="left" w:leader="none"/>
        </w:tabs>
        <w:spacing w:line="240" w:lineRule="auto" w:before="1" w:after="0"/>
        <w:ind w:left="4701" w:right="0" w:hanging="4321"/>
        <w:jc w:val="left"/>
      </w:pPr>
      <w:r>
        <w:rPr>
          <w:spacing w:val="-2"/>
        </w:rPr>
        <w:t>Lemon</w:t>
      </w:r>
    </w:p>
    <w:p>
      <w:pPr>
        <w:pStyle w:val="BodyText"/>
        <w:spacing w:before="67"/>
        <w:rPr>
          <w:b/>
        </w:rPr>
      </w:pPr>
    </w:p>
    <w:p>
      <w:pPr>
        <w:pStyle w:val="ListParagraph"/>
        <w:numPr>
          <w:ilvl w:val="2"/>
          <w:numId w:val="1"/>
        </w:numPr>
        <w:tabs>
          <w:tab w:pos="1100" w:val="left" w:leader="none"/>
        </w:tabs>
        <w:spacing w:line="240" w:lineRule="auto" w:before="0" w:after="0"/>
        <w:ind w:left="1100" w:right="0" w:hanging="720"/>
        <w:jc w:val="left"/>
        <w:rPr>
          <w:b/>
          <w:sz w:val="22"/>
        </w:rPr>
      </w:pPr>
      <w:r>
        <w:rPr>
          <w:b/>
          <w:sz w:val="22"/>
        </w:rPr>
        <w:t>Origin</w:t>
      </w:r>
      <w:r>
        <w:rPr>
          <w:b/>
          <w:spacing w:val="-2"/>
          <w:sz w:val="22"/>
        </w:rPr>
        <w:t> </w:t>
      </w:r>
      <w:r>
        <w:rPr>
          <w:b/>
          <w:sz w:val="22"/>
        </w:rPr>
        <w:t>of</w:t>
      </w:r>
      <w:r>
        <w:rPr>
          <w:b/>
          <w:spacing w:val="-1"/>
          <w:sz w:val="22"/>
        </w:rPr>
        <w:t> </w:t>
      </w:r>
      <w:r>
        <w:rPr>
          <w:b/>
          <w:spacing w:val="-4"/>
          <w:sz w:val="22"/>
        </w:rPr>
        <w:t>Lemon</w:t>
      </w:r>
    </w:p>
    <w:p>
      <w:pPr>
        <w:pStyle w:val="BodyText"/>
        <w:spacing w:before="63"/>
        <w:rPr>
          <w:b/>
        </w:rPr>
      </w:pPr>
    </w:p>
    <w:p>
      <w:pPr>
        <w:pStyle w:val="BodyText"/>
        <w:spacing w:line="480" w:lineRule="auto"/>
        <w:ind w:left="1100" w:right="975" w:firstLine="720"/>
        <w:jc w:val="both"/>
      </w:pPr>
      <w:r>
        <w:rPr/>
        <w:t>The first substantial lemon</w:t>
      </w:r>
      <w:r>
        <w:rPr>
          <w:spacing w:val="-2"/>
        </w:rPr>
        <w:t> </w:t>
      </w:r>
      <w:r>
        <w:rPr/>
        <w:t>cultivation in Europe began in Genoa in the</w:t>
      </w:r>
      <w:r>
        <w:rPr>
          <w:spacing w:val="-1"/>
        </w:rPr>
        <w:t> </w:t>
      </w:r>
      <w:r>
        <w:rPr/>
        <w:t>middle</w:t>
      </w:r>
      <w:r>
        <w:rPr>
          <w:spacing w:val="-1"/>
        </w:rPr>
        <w:t> </w:t>
      </w:r>
      <w:r>
        <w:rPr/>
        <w:t>of</w:t>
      </w:r>
      <w:r>
        <w:rPr>
          <w:spacing w:val="-1"/>
        </w:rPr>
        <w:t> </w:t>
      </w:r>
      <w:r>
        <w:rPr/>
        <w:t>the 15</w:t>
      </w:r>
      <w:r>
        <w:rPr>
          <w:vertAlign w:val="superscript"/>
        </w:rPr>
        <w:t>th</w:t>
      </w:r>
      <w:r>
        <w:rPr>
          <w:vertAlign w:val="baseline"/>
        </w:rPr>
        <w:t> Century. It was later introduced to the Americas in 1493 when Christopher Columbus brought lemon seeds to Hispariola along his voyages (NPCS, 2012). Spanish conquest throughout the then New World helped spread lemon seeds. Most of the Western World’s entire supply</w:t>
      </w:r>
      <w:r>
        <w:rPr>
          <w:spacing w:val="-1"/>
          <w:vertAlign w:val="baseline"/>
        </w:rPr>
        <w:t> </w:t>
      </w:r>
      <w:r>
        <w:rPr>
          <w:vertAlign w:val="baseline"/>
        </w:rPr>
        <w:t>of good quality lemon is grown in Italy and California. Indeed, these two places contribute the most to the world’s supply of lemons (Williams, 2012).</w:t>
      </w:r>
    </w:p>
    <w:p>
      <w:pPr>
        <w:spacing w:after="0" w:line="480" w:lineRule="auto"/>
        <w:jc w:val="both"/>
        <w:sectPr>
          <w:pgSz w:w="11910" w:h="16840"/>
          <w:pgMar w:header="0" w:footer="1055" w:top="1380" w:bottom="1240" w:left="1060" w:right="460"/>
        </w:sectPr>
      </w:pPr>
    </w:p>
    <w:p>
      <w:pPr>
        <w:pStyle w:val="BodyText"/>
        <w:spacing w:line="480" w:lineRule="auto" w:before="38"/>
        <w:ind w:left="1100" w:right="977" w:firstLine="720"/>
        <w:jc w:val="both"/>
      </w:pPr>
      <w:r>
        <w:rPr/>
        <w:t>From Europe, lemon was introduced to Persia (because then they were not widely cultivated) and then to Iraq, and Egypt around AD 700. The lemon was first recorded in literature in a 10</w:t>
      </w:r>
      <w:r>
        <w:rPr>
          <w:vertAlign w:val="superscript"/>
        </w:rPr>
        <w:t>th</w:t>
      </w:r>
      <w:r>
        <w:rPr>
          <w:vertAlign w:val="baseline"/>
        </w:rPr>
        <w:t> Century Arabic treatise on farming, and was also used as an ornamental plant in many Islamic gardens. It was distributed widely throughout the Arab world and the Mediterranean region between AD 1000 and AD 1150. The genetic origin of the lemon however was reported to be hybrid between sour orange and Citron (Gulsen, 2001).</w:t>
      </w:r>
    </w:p>
    <w:p>
      <w:pPr>
        <w:pStyle w:val="Heading3"/>
        <w:numPr>
          <w:ilvl w:val="2"/>
          <w:numId w:val="1"/>
        </w:numPr>
        <w:tabs>
          <w:tab w:pos="1096" w:val="left" w:leader="none"/>
        </w:tabs>
        <w:spacing w:line="240" w:lineRule="auto" w:before="203" w:after="0"/>
        <w:ind w:left="1096" w:right="0" w:hanging="716"/>
        <w:jc w:val="both"/>
      </w:pPr>
      <w:r>
        <w:rPr/>
        <w:t>Varieties</w:t>
      </w:r>
      <w:r>
        <w:rPr>
          <w:spacing w:val="-5"/>
        </w:rPr>
        <w:t> </w:t>
      </w:r>
      <w:r>
        <w:rPr/>
        <w:t>of</w:t>
      </w:r>
      <w:r>
        <w:rPr>
          <w:spacing w:val="-2"/>
        </w:rPr>
        <w:t> Lemon</w:t>
      </w:r>
    </w:p>
    <w:p>
      <w:pPr>
        <w:pStyle w:val="BodyText"/>
        <w:spacing w:before="65"/>
        <w:rPr>
          <w:b/>
        </w:rPr>
      </w:pPr>
    </w:p>
    <w:p>
      <w:pPr>
        <w:pStyle w:val="BodyText"/>
        <w:spacing w:before="1"/>
        <w:ind w:left="1100"/>
        <w:jc w:val="both"/>
      </w:pPr>
      <w:r>
        <w:rPr/>
        <w:t>There</w:t>
      </w:r>
      <w:r>
        <w:rPr>
          <w:spacing w:val="-6"/>
        </w:rPr>
        <w:t> </w:t>
      </w:r>
      <w:r>
        <w:rPr/>
        <w:t>are</w:t>
      </w:r>
      <w:r>
        <w:rPr>
          <w:spacing w:val="-3"/>
        </w:rPr>
        <w:t> </w:t>
      </w:r>
      <w:r>
        <w:rPr/>
        <w:t>different</w:t>
      </w:r>
      <w:r>
        <w:rPr>
          <w:spacing w:val="-5"/>
        </w:rPr>
        <w:t> </w:t>
      </w:r>
      <w:r>
        <w:rPr/>
        <w:t>varieties</w:t>
      </w:r>
      <w:r>
        <w:rPr>
          <w:spacing w:val="-3"/>
        </w:rPr>
        <w:t> </w:t>
      </w:r>
      <w:r>
        <w:rPr/>
        <w:t>of</w:t>
      </w:r>
      <w:r>
        <w:rPr>
          <w:spacing w:val="-3"/>
        </w:rPr>
        <w:t> </w:t>
      </w:r>
      <w:r>
        <w:rPr/>
        <w:t>lemon.</w:t>
      </w:r>
      <w:r>
        <w:rPr>
          <w:spacing w:val="-3"/>
        </w:rPr>
        <w:t> </w:t>
      </w:r>
      <w:r>
        <w:rPr/>
        <w:t>This</w:t>
      </w:r>
      <w:r>
        <w:rPr>
          <w:spacing w:val="-6"/>
        </w:rPr>
        <w:t> </w:t>
      </w:r>
      <w:r>
        <w:rPr>
          <w:spacing w:val="-2"/>
        </w:rPr>
        <w:t>includes:</w:t>
      </w:r>
    </w:p>
    <w:p>
      <w:pPr>
        <w:pStyle w:val="BodyText"/>
        <w:spacing w:before="192"/>
      </w:pPr>
    </w:p>
    <w:p>
      <w:pPr>
        <w:spacing w:line="482" w:lineRule="auto" w:before="0"/>
        <w:ind w:left="1100" w:right="978" w:firstLine="0"/>
        <w:jc w:val="both"/>
        <w:rPr>
          <w:rFonts w:ascii="Times New Roman"/>
          <w:sz w:val="24"/>
        </w:rPr>
      </w:pPr>
      <w:r>
        <w:rPr>
          <w:rFonts w:ascii="Times New Roman"/>
          <w:i/>
          <w:sz w:val="24"/>
        </w:rPr>
        <w:t>The Bonnie Brae</w:t>
      </w:r>
      <w:r>
        <w:rPr>
          <w:rFonts w:ascii="Times New Roman"/>
          <w:sz w:val="24"/>
        </w:rPr>
        <w:t>: is oblong, smooth, thin skinned and seedless; mostly grown in </w:t>
      </w:r>
      <w:hyperlink r:id="rId72">
        <w:r>
          <w:rPr>
            <w:rFonts w:ascii="Times New Roman"/>
            <w:sz w:val="24"/>
          </w:rPr>
          <w:t>San</w:t>
        </w:r>
      </w:hyperlink>
      <w:r>
        <w:rPr>
          <w:rFonts w:ascii="Times New Roman"/>
          <w:sz w:val="24"/>
        </w:rPr>
        <w:t> </w:t>
      </w:r>
      <w:hyperlink r:id="rId72">
        <w:r>
          <w:rPr>
            <w:rFonts w:ascii="Times New Roman"/>
            <w:sz w:val="24"/>
          </w:rPr>
          <w:t>Diego County</w:t>
        </w:r>
      </w:hyperlink>
      <w:r>
        <w:rPr>
          <w:rFonts w:ascii="Times New Roman"/>
          <w:sz w:val="24"/>
        </w:rPr>
        <w:t> (Carque, 2006).</w:t>
      </w:r>
    </w:p>
    <w:p>
      <w:pPr>
        <w:pStyle w:val="BodyText"/>
        <w:spacing w:before="7"/>
        <w:rPr>
          <w:rFonts w:ascii="Times New Roman"/>
          <w:sz w:val="24"/>
        </w:rPr>
      </w:pPr>
    </w:p>
    <w:p>
      <w:pPr>
        <w:pStyle w:val="BodyText"/>
        <w:spacing w:line="480" w:lineRule="auto"/>
        <w:ind w:left="1100" w:right="972"/>
        <w:jc w:val="both"/>
      </w:pPr>
      <w:r>
        <w:rPr>
          <w:i/>
        </w:rPr>
        <w:t>The Bush lemon tree</w:t>
      </w:r>
      <w:r>
        <w:rPr/>
        <w:t>: a naturalized lemon, grows wild in subtropical Australia. The Bush Lemon Tree (also known as the Rough Lemon Tree), is a comparatively more thorny character. Its lemons have a tarter, more unique flavor than those of the Meyer variety, and they are typically thicker skinned and seed-filled. It is very hardy, and has a thick skin with a true lemon flavor; the zest</w:t>
      </w:r>
      <w:r>
        <w:rPr>
          <w:spacing w:val="-1"/>
        </w:rPr>
        <w:t> </w:t>
      </w:r>
      <w:r>
        <w:rPr/>
        <w:t>is good for cooking. It grows to about 4m in a sunny position. The Rough Lemon Tree’s strong, fruitful nature allows it to sprout new plants easily (Williams, </w:t>
      </w:r>
      <w:r>
        <w:rPr>
          <w:spacing w:val="-2"/>
        </w:rPr>
        <w:t>2012).</w:t>
      </w:r>
    </w:p>
    <w:p>
      <w:pPr>
        <w:pStyle w:val="BodyText"/>
        <w:spacing w:before="9"/>
      </w:pPr>
    </w:p>
    <w:p>
      <w:pPr>
        <w:pStyle w:val="BodyText"/>
        <w:spacing w:line="480" w:lineRule="auto"/>
        <w:ind w:left="1100" w:right="974"/>
        <w:jc w:val="both"/>
      </w:pPr>
      <w:r>
        <w:rPr>
          <w:i/>
        </w:rPr>
        <w:t>The Eureka</w:t>
      </w:r>
      <w:r>
        <w:rPr/>
        <w:t>: grows year-round and abundantly. This is the common supermarket lemon. Eurekas are a variety of </w:t>
      </w:r>
      <w:r>
        <w:rPr>
          <w:i/>
        </w:rPr>
        <w:t>Citrus limon </w:t>
      </w:r>
      <w:r>
        <w:rPr/>
        <w:t>that was developed in California in 1958. Thomas A Garey, a prominent Los Angeles nurseryman gave the tree the name Garey Eureka (NPCS, 2012).</w:t>
      </w:r>
      <w:r>
        <w:rPr>
          <w:spacing w:val="-4"/>
        </w:rPr>
        <w:t> </w:t>
      </w:r>
      <w:r>
        <w:rPr/>
        <w:t>They are known for their hardy nature and large production. Generally speaking the Eureka lemon trees grow to around 5 m (16ft) tall, which makes it one of the larger lemon trees.</w:t>
      </w:r>
      <w:r>
        <w:rPr>
          <w:spacing w:val="80"/>
        </w:rPr>
        <w:t> </w:t>
      </w:r>
      <w:r>
        <w:rPr/>
        <w:t>One advantage of using a Eureka lemon tree is that they grow quite quickly.</w:t>
      </w:r>
      <w:r>
        <w:rPr>
          <w:spacing w:val="80"/>
        </w:rPr>
        <w:t> </w:t>
      </w:r>
      <w:r>
        <w:rPr/>
        <w:t>They tend</w:t>
      </w:r>
      <w:r>
        <w:rPr>
          <w:spacing w:val="17"/>
        </w:rPr>
        <w:t> </w:t>
      </w:r>
      <w:r>
        <w:rPr/>
        <w:t>to</w:t>
      </w:r>
      <w:r>
        <w:rPr>
          <w:spacing w:val="20"/>
        </w:rPr>
        <w:t> </w:t>
      </w:r>
      <w:r>
        <w:rPr/>
        <w:t>be</w:t>
      </w:r>
      <w:r>
        <w:rPr>
          <w:spacing w:val="19"/>
        </w:rPr>
        <w:t> </w:t>
      </w:r>
      <w:r>
        <w:rPr/>
        <w:t>a</w:t>
      </w:r>
      <w:r>
        <w:rPr>
          <w:spacing w:val="18"/>
        </w:rPr>
        <w:t> </w:t>
      </w:r>
      <w:r>
        <w:rPr/>
        <w:t>larger</w:t>
      </w:r>
      <w:r>
        <w:rPr>
          <w:spacing w:val="18"/>
        </w:rPr>
        <w:t> </w:t>
      </w:r>
      <w:r>
        <w:rPr/>
        <w:t>tree</w:t>
      </w:r>
      <w:r>
        <w:rPr>
          <w:spacing w:val="19"/>
        </w:rPr>
        <w:t> </w:t>
      </w:r>
      <w:r>
        <w:rPr/>
        <w:t>than</w:t>
      </w:r>
      <w:r>
        <w:rPr>
          <w:spacing w:val="17"/>
        </w:rPr>
        <w:t> </w:t>
      </w:r>
      <w:r>
        <w:rPr/>
        <w:t>Meyer</w:t>
      </w:r>
      <w:r>
        <w:rPr>
          <w:spacing w:val="18"/>
        </w:rPr>
        <w:t> </w:t>
      </w:r>
      <w:r>
        <w:rPr/>
        <w:t>lemons,</w:t>
      </w:r>
      <w:r>
        <w:rPr>
          <w:spacing w:val="18"/>
        </w:rPr>
        <w:t> </w:t>
      </w:r>
      <w:r>
        <w:rPr/>
        <w:t>however</w:t>
      </w:r>
      <w:r>
        <w:rPr>
          <w:spacing w:val="18"/>
        </w:rPr>
        <w:t> </w:t>
      </w:r>
      <w:r>
        <w:rPr/>
        <w:t>there</w:t>
      </w:r>
      <w:r>
        <w:rPr>
          <w:spacing w:val="19"/>
        </w:rPr>
        <w:t> </w:t>
      </w:r>
      <w:r>
        <w:rPr/>
        <w:t>are</w:t>
      </w:r>
      <w:r>
        <w:rPr>
          <w:spacing w:val="18"/>
        </w:rPr>
        <w:t> </w:t>
      </w:r>
      <w:r>
        <w:rPr/>
        <w:t>many</w:t>
      </w:r>
      <w:r>
        <w:rPr>
          <w:spacing w:val="19"/>
        </w:rPr>
        <w:t> </w:t>
      </w:r>
      <w:r>
        <w:rPr/>
        <w:t>new</w:t>
      </w:r>
      <w:r>
        <w:rPr>
          <w:spacing w:val="19"/>
        </w:rPr>
        <w:t> </w:t>
      </w:r>
      <w:r>
        <w:rPr/>
        <w:t>dwarf</w:t>
      </w:r>
      <w:r>
        <w:rPr>
          <w:spacing w:val="18"/>
        </w:rPr>
        <w:t> </w:t>
      </w:r>
      <w:r>
        <w:rPr/>
        <w:t>varieties</w:t>
      </w:r>
    </w:p>
    <w:p>
      <w:pPr>
        <w:spacing w:after="0" w:line="480" w:lineRule="auto"/>
        <w:jc w:val="both"/>
        <w:sectPr>
          <w:pgSz w:w="11910" w:h="16840"/>
          <w:pgMar w:header="0" w:footer="1055" w:top="1380" w:bottom="1240" w:left="1060" w:right="460"/>
        </w:sectPr>
      </w:pPr>
    </w:p>
    <w:p>
      <w:pPr>
        <w:pStyle w:val="BodyText"/>
        <w:spacing w:line="480" w:lineRule="auto" w:before="38"/>
        <w:ind w:left="1100" w:right="974"/>
        <w:jc w:val="both"/>
      </w:pPr>
      <w:r>
        <w:rPr/>
        <w:t>available which only grow to around 2 m tall. Like most citrus, Eureka lemons prefer Temperate, Warm temperate, Mediterranean (cool temperate, with less production) climates.</w:t>
      </w:r>
      <w:r>
        <w:rPr>
          <w:spacing w:val="80"/>
        </w:rPr>
        <w:t> </w:t>
      </w:r>
      <w:r>
        <w:rPr/>
        <w:t>Eureka lemons prefer mild winters and warm summers and avoid areas with</w:t>
      </w:r>
      <w:r>
        <w:rPr>
          <w:spacing w:val="40"/>
        </w:rPr>
        <w:t> </w:t>
      </w:r>
      <w:r>
        <w:rPr/>
        <w:t>heavy frosts (as it burns the new growth). They are actually a very hardy tree and can withstand dry periods, however, during very dry times, trees will stress and drop fruit. The Eureka Tree steadily produces lemon clusters during the spring and summer months, and these medium-skinned lemons are often nicknamed “common supermarket lemons” for their marketability (Williams, 2012).</w:t>
      </w:r>
    </w:p>
    <w:p>
      <w:pPr>
        <w:pStyle w:val="BodyText"/>
        <w:spacing w:before="12"/>
      </w:pPr>
    </w:p>
    <w:p>
      <w:pPr>
        <w:pStyle w:val="BodyText"/>
        <w:spacing w:line="480" w:lineRule="auto" w:before="1"/>
        <w:ind w:left="1100" w:right="972"/>
        <w:jc w:val="both"/>
      </w:pPr>
      <w:r>
        <w:rPr>
          <w:i/>
        </w:rPr>
        <w:t>The Femminello St. Teresa, or Sorrento</w:t>
      </w:r>
      <w:r>
        <w:rPr/>
        <w:t>: This is native to </w:t>
      </w:r>
      <w:hyperlink r:id="rId73">
        <w:r>
          <w:rPr/>
          <w:t>Italy</w:t>
        </w:r>
      </w:hyperlink>
      <w:r>
        <w:rPr/>
        <w:t> (Los Angeles times, 2011). This fruit's zest is high in lemon</w:t>
      </w:r>
      <w:r>
        <w:rPr>
          <w:spacing w:val="-2"/>
        </w:rPr>
        <w:t> </w:t>
      </w:r>
      <w:r>
        <w:rPr/>
        <w:t>oils. It is the</w:t>
      </w:r>
      <w:r>
        <w:rPr>
          <w:spacing w:val="-1"/>
        </w:rPr>
        <w:t> </w:t>
      </w:r>
      <w:r>
        <w:rPr/>
        <w:t>variety traditionally used in the</w:t>
      </w:r>
      <w:r>
        <w:rPr>
          <w:spacing w:val="-1"/>
        </w:rPr>
        <w:t> </w:t>
      </w:r>
      <w:r>
        <w:rPr/>
        <w:t>making of </w:t>
      </w:r>
      <w:hyperlink r:id="rId74">
        <w:r>
          <w:rPr/>
          <w:t>limoncello</w:t>
        </w:r>
      </w:hyperlink>
      <w:r>
        <w:rPr/>
        <w:t> (Los Angeles times, 2011).</w:t>
      </w:r>
    </w:p>
    <w:p>
      <w:pPr>
        <w:pStyle w:val="BodyText"/>
        <w:spacing w:before="11"/>
      </w:pPr>
    </w:p>
    <w:p>
      <w:pPr>
        <w:pStyle w:val="BodyText"/>
        <w:spacing w:line="480" w:lineRule="auto"/>
        <w:ind w:left="1100" w:right="972"/>
        <w:jc w:val="both"/>
      </w:pPr>
      <w:r>
        <w:rPr>
          <w:i/>
        </w:rPr>
        <w:t>The Lisbon</w:t>
      </w:r>
      <w:r>
        <w:rPr/>
        <w:t>: The Lisbon Tree is notable for its lemons of comparatively higher juice and</w:t>
      </w:r>
      <w:r>
        <w:rPr>
          <w:spacing w:val="40"/>
        </w:rPr>
        <w:t> </w:t>
      </w:r>
      <w:r>
        <w:rPr/>
        <w:t>acidity levels. These trees are particularly thorny, especially when young, and also extremely productive. The Lisbon Tree bares many similarities to the Eureka Tree in appearance and productive nature, though unlike the Eureka lemon (which originated in California), the Lisbon Tree originated in Portugal and was brought to the United States by way of Massachusetts. In addition, a lemon from the Lisbon tree can be expected to be more seed- filled than its Eureka counterpart (Williams, 2012).</w:t>
      </w:r>
    </w:p>
    <w:p>
      <w:pPr>
        <w:pStyle w:val="BodyText"/>
        <w:spacing w:before="12"/>
      </w:pPr>
    </w:p>
    <w:p>
      <w:pPr>
        <w:pStyle w:val="BodyText"/>
        <w:spacing w:line="480" w:lineRule="auto"/>
        <w:ind w:left="1100" w:right="972"/>
        <w:jc w:val="both"/>
      </w:pPr>
      <w:r>
        <w:rPr>
          <w:i/>
        </w:rPr>
        <w:t>The </w:t>
      </w:r>
      <w:hyperlink r:id="rId75">
        <w:r>
          <w:rPr>
            <w:i/>
          </w:rPr>
          <w:t>Meyer lemon</w:t>
        </w:r>
      </w:hyperlink>
      <w:r>
        <w:rPr/>
        <w:t>: This variety is a cross between a lemon and possibly an orange or a mandarin, and was named after Frank N. Meyer, who first discovered it in 1908 (NPCS,</w:t>
      </w:r>
      <w:r>
        <w:rPr>
          <w:spacing w:val="40"/>
        </w:rPr>
        <w:t> </w:t>
      </w:r>
      <w:r>
        <w:rPr/>
        <w:t>2012). Meyer Trees are a popular choice amongst those in the market for a visually</w:t>
      </w:r>
      <w:r>
        <w:rPr>
          <w:spacing w:val="40"/>
        </w:rPr>
        <w:t> </w:t>
      </w:r>
      <w:r>
        <w:rPr/>
        <w:t>appealing evergreen to use as decoration indoors or outdoors. Its leaves are</w:t>
      </w:r>
      <w:r>
        <w:rPr>
          <w:spacing w:val="40"/>
        </w:rPr>
        <w:t> </w:t>
      </w:r>
      <w:r>
        <w:rPr/>
        <w:t>characteristically lush and glossy, and decidedly the most aromatic of any lemon tree. The trunk of a Meyer lemon tree is nearly thorn-free. The fruit of a Meyer Tree is less acidic and</w:t>
      </w:r>
    </w:p>
    <w:p>
      <w:pPr>
        <w:spacing w:after="0" w:line="480" w:lineRule="auto"/>
        <w:jc w:val="both"/>
        <w:sectPr>
          <w:pgSz w:w="11910" w:h="16840"/>
          <w:pgMar w:header="0" w:footer="1055" w:top="1380" w:bottom="1240" w:left="1060" w:right="460"/>
        </w:sectPr>
      </w:pPr>
    </w:p>
    <w:p>
      <w:pPr>
        <w:pStyle w:val="BodyText"/>
        <w:spacing w:line="480" w:lineRule="auto" w:before="38"/>
        <w:ind w:left="1100" w:right="970"/>
        <w:jc w:val="both"/>
      </w:pPr>
      <w:r>
        <w:rPr/>
        <w:t>less tart than regular lemons; in fact, Meyer lemons are typically used as lemon substitutes</w:t>
      </w:r>
      <w:r>
        <w:rPr>
          <w:spacing w:val="40"/>
        </w:rPr>
        <w:t> </w:t>
      </w:r>
      <w:r>
        <w:rPr/>
        <w:t>in the market-place. Meyer lemons have a much thinner rind, and often mature to a yellow- orange color. Therefore, the lemons of a Meyer Tree are physically similar to oranges in shape, size, color of peel and pulp. Meyer lemons are slightly more frost-tolerant than other lemons (Williams, 2012).</w:t>
      </w:r>
    </w:p>
    <w:p>
      <w:pPr>
        <w:pStyle w:val="BodyText"/>
        <w:spacing w:before="13"/>
      </w:pPr>
    </w:p>
    <w:p>
      <w:pPr>
        <w:pStyle w:val="BodyText"/>
        <w:spacing w:line="480" w:lineRule="auto"/>
        <w:ind w:left="1100" w:right="973"/>
        <w:jc w:val="both"/>
      </w:pPr>
      <w:r>
        <w:rPr>
          <w:i/>
        </w:rPr>
        <w:t>The </w:t>
      </w:r>
      <w:hyperlink r:id="rId76">
        <w:r>
          <w:rPr>
            <w:i/>
          </w:rPr>
          <w:t>Ponderosa lemon</w:t>
        </w:r>
      </w:hyperlink>
      <w:r>
        <w:rPr/>
        <w:t>: This variety is more cold-sensitive than true lemons; the fruits are thick-skinned, seed-filled, yellow (which are actually a cross between a citron and a lemon) and very large (NPCS, 2012). The Ponderosa Tree is unique because of its extremely thorny trunk. The Ponderosa Tree is infamously tricky to cultivate fruit from, as its cold-sensitive nature restricts it to grow only in consistently warm climates (Williams, 2012).</w:t>
      </w:r>
    </w:p>
    <w:p>
      <w:pPr>
        <w:pStyle w:val="BodyText"/>
        <w:spacing w:before="10"/>
      </w:pPr>
    </w:p>
    <w:p>
      <w:pPr>
        <w:pStyle w:val="BodyText"/>
        <w:spacing w:line="480" w:lineRule="auto"/>
        <w:ind w:left="1100" w:right="972"/>
        <w:jc w:val="both"/>
      </w:pPr>
      <w:r>
        <w:rPr>
          <w:i/>
        </w:rPr>
        <w:t>The Villafranca</w:t>
      </w:r>
      <w:r>
        <w:rPr/>
        <w:t>: as its name would suggest, hails from Sicily; it spread across Europe before finally arriving in the United States. The tree is characterized by its thick leaves and abundance of thorns, which tend to diminish as the tree ages. The Villafranca is a less popular tree for growing marketable lemons, though it has managed to find popularity in Israel (Williams, 2012).</w:t>
      </w:r>
    </w:p>
    <w:p>
      <w:pPr>
        <w:pStyle w:val="BodyText"/>
        <w:spacing w:before="15"/>
      </w:pPr>
    </w:p>
    <w:p>
      <w:pPr>
        <w:pStyle w:val="Heading3"/>
        <w:numPr>
          <w:ilvl w:val="2"/>
          <w:numId w:val="1"/>
        </w:numPr>
        <w:tabs>
          <w:tab w:pos="1100" w:val="left" w:leader="none"/>
        </w:tabs>
        <w:spacing w:line="240" w:lineRule="auto" w:before="1" w:after="0"/>
        <w:ind w:left="1100" w:right="0" w:hanging="720"/>
        <w:jc w:val="left"/>
      </w:pPr>
      <w:r>
        <w:rPr/>
        <w:t>Properties</w:t>
      </w:r>
      <w:r>
        <w:rPr>
          <w:spacing w:val="-6"/>
        </w:rPr>
        <w:t> </w:t>
      </w:r>
      <w:r>
        <w:rPr/>
        <w:t>of</w:t>
      </w:r>
      <w:r>
        <w:rPr>
          <w:spacing w:val="-3"/>
        </w:rPr>
        <w:t> </w:t>
      </w:r>
      <w:r>
        <w:rPr>
          <w:spacing w:val="-2"/>
        </w:rPr>
        <w:t>Lemon</w:t>
      </w:r>
    </w:p>
    <w:p>
      <w:pPr>
        <w:pStyle w:val="BodyText"/>
        <w:spacing w:before="62"/>
        <w:rPr>
          <w:b/>
        </w:rPr>
      </w:pPr>
    </w:p>
    <w:p>
      <w:pPr>
        <w:pStyle w:val="BodyText"/>
        <w:spacing w:line="482" w:lineRule="auto"/>
        <w:ind w:left="1100" w:right="979" w:firstLine="720"/>
        <w:jc w:val="both"/>
      </w:pPr>
      <w:r>
        <w:rPr/>
        <w:t>Lemon is propagated from stored seeds in the spring time. Plants grow optimally on well drained soils with good exposure to incumbent sunlight. The lemon is both a small evergreen tree, and the trees oval yellow fruit (when ripe) (NPCS, 2012).</w:t>
      </w:r>
    </w:p>
    <w:p>
      <w:pPr>
        <w:pStyle w:val="BodyText"/>
        <w:spacing w:line="480" w:lineRule="auto" w:before="194"/>
        <w:ind w:left="1100" w:right="979" w:firstLine="720"/>
        <w:jc w:val="both"/>
      </w:pPr>
      <w:r>
        <w:rPr/>
        <w:t>Commercially speaking, Eureka variety is prolific plant</w:t>
      </w:r>
      <w:r>
        <w:rPr>
          <w:spacing w:val="-2"/>
        </w:rPr>
        <w:t> </w:t>
      </w:r>
      <w:r>
        <w:rPr/>
        <w:t>and gives a high yield. It starts bearing fruits early from late spring to the end of summer in a given year. The other preferred lemon variety called the Lisbon bears a single large crop in a year; this is borne either in the spring or in the winter months. Lemon trees of good quality have been known to</w:t>
      </w:r>
      <w:r>
        <w:rPr>
          <w:spacing w:val="14"/>
        </w:rPr>
        <w:t> </w:t>
      </w:r>
      <w:r>
        <w:rPr/>
        <w:t>bear</w:t>
      </w:r>
      <w:r>
        <w:rPr>
          <w:spacing w:val="13"/>
        </w:rPr>
        <w:t> </w:t>
      </w:r>
      <w:r>
        <w:rPr/>
        <w:t>upward of</w:t>
      </w:r>
      <w:r>
        <w:rPr>
          <w:spacing w:val="13"/>
        </w:rPr>
        <w:t> </w:t>
      </w:r>
      <w:r>
        <w:rPr/>
        <w:t>three</w:t>
      </w:r>
      <w:r>
        <w:rPr>
          <w:spacing w:val="14"/>
        </w:rPr>
        <w:t> </w:t>
      </w:r>
      <w:r>
        <w:rPr/>
        <w:t>thousand lemons</w:t>
      </w:r>
      <w:r>
        <w:rPr>
          <w:spacing w:val="13"/>
        </w:rPr>
        <w:t> </w:t>
      </w:r>
      <w:r>
        <w:rPr/>
        <w:t>in a</w:t>
      </w:r>
      <w:r>
        <w:rPr>
          <w:spacing w:val="13"/>
        </w:rPr>
        <w:t> </w:t>
      </w:r>
      <w:r>
        <w:rPr/>
        <w:t>single</w:t>
      </w:r>
      <w:r>
        <w:rPr>
          <w:spacing w:val="14"/>
        </w:rPr>
        <w:t> </w:t>
      </w:r>
      <w:r>
        <w:rPr/>
        <w:t>year.</w:t>
      </w:r>
      <w:r>
        <w:rPr>
          <w:spacing w:val="13"/>
        </w:rPr>
        <w:t> </w:t>
      </w:r>
      <w:r>
        <w:rPr/>
        <w:t>One reason for</w:t>
      </w:r>
      <w:r>
        <w:rPr>
          <w:spacing w:val="13"/>
        </w:rPr>
        <w:t> </w:t>
      </w:r>
      <w:r>
        <w:rPr/>
        <w:t>the high yield of</w:t>
      </w:r>
    </w:p>
    <w:p>
      <w:pPr>
        <w:spacing w:after="0" w:line="480" w:lineRule="auto"/>
        <w:jc w:val="both"/>
        <w:sectPr>
          <w:pgSz w:w="11910" w:h="16840"/>
          <w:pgMar w:header="0" w:footer="1055" w:top="1380" w:bottom="1240" w:left="1060" w:right="460"/>
        </w:sectPr>
      </w:pPr>
    </w:p>
    <w:p>
      <w:pPr>
        <w:pStyle w:val="BodyText"/>
        <w:spacing w:line="482" w:lineRule="auto" w:before="38"/>
        <w:ind w:left="1100" w:right="980"/>
        <w:jc w:val="both"/>
      </w:pPr>
      <w:r>
        <w:rPr/>
        <w:t>lemon is that lemon trees tend to bloom and ripen their fruits every month of the year. The period from January to May is the time when the highest numbers of fruits are borne on the plants (Herbs, 2000).</w:t>
      </w:r>
    </w:p>
    <w:p>
      <w:pPr>
        <w:pStyle w:val="BodyText"/>
        <w:spacing w:line="480" w:lineRule="auto" w:before="193"/>
        <w:ind w:left="1100" w:right="975" w:firstLine="720"/>
        <w:jc w:val="both"/>
      </w:pPr>
      <w:r>
        <w:rPr/>
        <w:t>Lemon juice contains high levels of Vitamin C. On average, lemon fruits contain</w:t>
      </w:r>
      <w:r>
        <w:rPr>
          <w:spacing w:val="40"/>
        </w:rPr>
        <w:t> </w:t>
      </w:r>
      <w:r>
        <w:rPr/>
        <w:t>about twice as much Vitamin C as oranges. Physicians first discovered these characteristics</w:t>
      </w:r>
      <w:r>
        <w:rPr>
          <w:spacing w:val="40"/>
        </w:rPr>
        <w:t> </w:t>
      </w:r>
      <w:r>
        <w:rPr/>
        <w:t>of lemons in the Seventh Century, when they found that consuming lemon juice everyday prevents outbreaks of scurvy. However, the high levels of Vitamin C in lemon juice are lost if the juice is left exposed to the air for a long period of time (Jeremy, 2009; Andrew, 2010).</w:t>
      </w:r>
    </w:p>
    <w:p>
      <w:pPr>
        <w:pStyle w:val="BodyText"/>
        <w:spacing w:line="480" w:lineRule="auto" w:before="200"/>
        <w:ind w:left="1100" w:right="975" w:firstLine="720"/>
        <w:jc w:val="both"/>
      </w:pPr>
      <w:r>
        <w:rPr/>
        <w:t>To get the best ripeness and juice from lemons, one should choose lemons having a deep yellow-color. Ideally, lemons must feel firm when pressed, but not hard or soft. Fruits that have been bruised must be avoided as </w:t>
      </w:r>
      <w:r>
        <w:rPr>
          <w:i/>
        </w:rPr>
        <w:t>mould </w:t>
      </w:r>
      <w:r>
        <w:rPr/>
        <w:t>tends to affect lemon fruits that have</w:t>
      </w:r>
      <w:r>
        <w:rPr>
          <w:spacing w:val="40"/>
        </w:rPr>
        <w:t> </w:t>
      </w:r>
      <w:r>
        <w:rPr/>
        <w:t>been mechanically injured in some way. Also, lemons left unrefrigerated for long periods of time are susceptible to </w:t>
      </w:r>
      <w:r>
        <w:rPr>
          <w:i/>
        </w:rPr>
        <w:t>mould</w:t>
      </w:r>
      <w:r>
        <w:rPr/>
        <w:t>. Shriveled or hard skinned fruits must also be avoided, especially those that are too soft or spongy when held. Such lemons may be dried inside or old, or they could be mechanically injured or be rotten in the core.</w:t>
      </w:r>
    </w:p>
    <w:p>
      <w:pPr>
        <w:pStyle w:val="BodyText"/>
        <w:spacing w:line="480" w:lineRule="auto" w:before="201"/>
        <w:ind w:left="1100" w:right="974" w:firstLine="720"/>
        <w:jc w:val="both"/>
      </w:pPr>
      <w:r>
        <w:rPr/>
        <w:t>The average lemon contains approximately 3 tablespoons of juice. Allowing lemons to come to room temperature before squeezing (or heating briefly in microwave) makes the juice easier to extract. Citric acid makes up about five to six percent of the juice and tissues of lemons (and limes). At this percentage with its low pH, it breaks down the cell membrane of bacteria, similar to the effects of heating. This means that foods to which lemon and lime juice are added do not need to be heated as much to obtain the same antibacterial effects (Sherman and Billing, 1999).</w:t>
      </w:r>
    </w:p>
    <w:p>
      <w:pPr>
        <w:pStyle w:val="Heading3"/>
        <w:numPr>
          <w:ilvl w:val="2"/>
          <w:numId w:val="1"/>
        </w:numPr>
        <w:tabs>
          <w:tab w:pos="1096" w:val="left" w:leader="none"/>
        </w:tabs>
        <w:spacing w:line="240" w:lineRule="auto" w:before="203" w:after="0"/>
        <w:ind w:left="1096" w:right="0" w:hanging="716"/>
        <w:jc w:val="both"/>
      </w:pPr>
      <w:r>
        <w:rPr/>
        <w:t>Nutritional</w:t>
      </w:r>
      <w:r>
        <w:rPr>
          <w:spacing w:val="-8"/>
        </w:rPr>
        <w:t> </w:t>
      </w:r>
      <w:r>
        <w:rPr/>
        <w:t>Content</w:t>
      </w:r>
      <w:r>
        <w:rPr>
          <w:spacing w:val="-5"/>
        </w:rPr>
        <w:t> </w:t>
      </w:r>
      <w:r>
        <w:rPr/>
        <w:t>of</w:t>
      </w:r>
      <w:r>
        <w:rPr>
          <w:spacing w:val="-5"/>
        </w:rPr>
        <w:t> </w:t>
      </w:r>
      <w:r>
        <w:rPr>
          <w:spacing w:val="-2"/>
        </w:rPr>
        <w:t>Lemon</w:t>
      </w:r>
    </w:p>
    <w:p>
      <w:pPr>
        <w:pStyle w:val="BodyText"/>
        <w:spacing w:before="65"/>
        <w:rPr>
          <w:b/>
        </w:rPr>
      </w:pPr>
    </w:p>
    <w:p>
      <w:pPr>
        <w:pStyle w:val="BodyText"/>
        <w:ind w:left="1100"/>
        <w:jc w:val="both"/>
      </w:pPr>
      <w:r>
        <w:rPr/>
        <w:t>Lemon</w:t>
      </w:r>
      <w:r>
        <w:rPr>
          <w:spacing w:val="-7"/>
        </w:rPr>
        <w:t> </w:t>
      </w:r>
      <w:r>
        <w:rPr/>
        <w:t>has</w:t>
      </w:r>
      <w:r>
        <w:rPr>
          <w:spacing w:val="-6"/>
        </w:rPr>
        <w:t> </w:t>
      </w:r>
      <w:r>
        <w:rPr/>
        <w:t>been</w:t>
      </w:r>
      <w:r>
        <w:rPr>
          <w:spacing w:val="-6"/>
        </w:rPr>
        <w:t> </w:t>
      </w:r>
      <w:r>
        <w:rPr/>
        <w:t>classified</w:t>
      </w:r>
      <w:r>
        <w:rPr>
          <w:spacing w:val="-4"/>
        </w:rPr>
        <w:t> </w:t>
      </w:r>
      <w:r>
        <w:rPr/>
        <w:t>in</w:t>
      </w:r>
      <w:r>
        <w:rPr>
          <w:spacing w:val="-4"/>
        </w:rPr>
        <w:t> </w:t>
      </w:r>
      <w:r>
        <w:rPr/>
        <w:t>terms</w:t>
      </w:r>
      <w:r>
        <w:rPr>
          <w:spacing w:val="-5"/>
        </w:rPr>
        <w:t> </w:t>
      </w:r>
      <w:r>
        <w:rPr/>
        <w:t>of</w:t>
      </w:r>
      <w:r>
        <w:rPr>
          <w:spacing w:val="-4"/>
        </w:rPr>
        <w:t> </w:t>
      </w:r>
      <w:r>
        <w:rPr/>
        <w:t>nutritional</w:t>
      </w:r>
      <w:r>
        <w:rPr>
          <w:spacing w:val="-6"/>
        </w:rPr>
        <w:t> </w:t>
      </w:r>
      <w:r>
        <w:rPr/>
        <w:t>values</w:t>
      </w:r>
      <w:r>
        <w:rPr>
          <w:spacing w:val="-3"/>
        </w:rPr>
        <w:t> </w:t>
      </w:r>
      <w:r>
        <w:rPr/>
        <w:t>as</w:t>
      </w:r>
      <w:r>
        <w:rPr>
          <w:spacing w:val="-3"/>
        </w:rPr>
        <w:t> </w:t>
      </w:r>
      <w:r>
        <w:rPr/>
        <w:t>shown</w:t>
      </w:r>
      <w:r>
        <w:rPr>
          <w:spacing w:val="-3"/>
        </w:rPr>
        <w:t> </w:t>
      </w:r>
      <w:r>
        <w:rPr>
          <w:spacing w:val="-2"/>
        </w:rPr>
        <w:t>below:</w:t>
      </w:r>
    </w:p>
    <w:p>
      <w:pPr>
        <w:spacing w:after="0"/>
        <w:jc w:val="both"/>
        <w:sectPr>
          <w:pgSz w:w="11910" w:h="16840"/>
          <w:pgMar w:header="0" w:footer="1055" w:top="1380" w:bottom="1240" w:left="1060" w:right="460"/>
        </w:sectPr>
      </w:pPr>
    </w:p>
    <w:p>
      <w:pPr>
        <w:pStyle w:val="BodyText"/>
        <w:spacing w:before="41"/>
        <w:ind w:left="1100"/>
      </w:pPr>
      <w:r>
        <w:rPr/>
        <w:t>Lemon</w:t>
      </w:r>
      <w:r>
        <w:rPr>
          <w:spacing w:val="-7"/>
        </w:rPr>
        <w:t> </w:t>
      </w:r>
      <w:r>
        <w:rPr/>
        <w:t>(raw,</w:t>
      </w:r>
      <w:r>
        <w:rPr>
          <w:spacing w:val="-6"/>
        </w:rPr>
        <w:t> </w:t>
      </w:r>
      <w:r>
        <w:rPr/>
        <w:t>without</w:t>
      </w:r>
      <w:r>
        <w:rPr>
          <w:spacing w:val="-5"/>
        </w:rPr>
        <w:t> </w:t>
      </w:r>
      <w:r>
        <w:rPr/>
        <w:t>peel)-Nutritional</w:t>
      </w:r>
      <w:r>
        <w:rPr>
          <w:spacing w:val="-6"/>
        </w:rPr>
        <w:t> </w:t>
      </w:r>
      <w:r>
        <w:rPr/>
        <w:t>value</w:t>
      </w:r>
      <w:r>
        <w:rPr>
          <w:spacing w:val="-5"/>
        </w:rPr>
        <w:t> </w:t>
      </w:r>
      <w:r>
        <w:rPr/>
        <w:t>per</w:t>
      </w:r>
      <w:r>
        <w:rPr>
          <w:spacing w:val="-6"/>
        </w:rPr>
        <w:t> </w:t>
      </w:r>
      <w:r>
        <w:rPr/>
        <w:t>100g</w:t>
      </w:r>
      <w:r>
        <w:rPr>
          <w:spacing w:val="-6"/>
        </w:rPr>
        <w:t> </w:t>
      </w:r>
      <w:r>
        <w:rPr>
          <w:spacing w:val="-2"/>
        </w:rPr>
        <w:t>(3.5oz):</w:t>
      </w:r>
    </w:p>
    <w:p>
      <w:pPr>
        <w:pStyle w:val="BodyText"/>
        <w:rPr>
          <w:sz w:val="20"/>
        </w:rPr>
      </w:pPr>
    </w:p>
    <w:p>
      <w:pPr>
        <w:pStyle w:val="BodyText"/>
        <w:spacing w:before="24"/>
        <w:rPr>
          <w:sz w:val="20"/>
        </w:rPr>
      </w:pPr>
    </w:p>
    <w:tbl>
      <w:tblPr>
        <w:tblW w:w="0" w:type="auto"/>
        <w:jc w:val="left"/>
        <w:tblInd w:w="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67"/>
        <w:gridCol w:w="3218"/>
      </w:tblGrid>
      <w:tr>
        <w:trPr>
          <w:trHeight w:val="411" w:hRule="atLeast"/>
        </w:trPr>
        <w:tc>
          <w:tcPr>
            <w:tcW w:w="3167" w:type="dxa"/>
          </w:tcPr>
          <w:p>
            <w:pPr>
              <w:pStyle w:val="TableParagraph"/>
              <w:spacing w:line="225" w:lineRule="exact"/>
              <w:ind w:left="50"/>
              <w:rPr>
                <w:sz w:val="22"/>
              </w:rPr>
            </w:pPr>
            <w:r>
              <w:rPr>
                <w:spacing w:val="-2"/>
                <w:sz w:val="22"/>
              </w:rPr>
              <w:t>Energy</w:t>
            </w:r>
          </w:p>
        </w:tc>
        <w:tc>
          <w:tcPr>
            <w:tcW w:w="3218" w:type="dxa"/>
          </w:tcPr>
          <w:p>
            <w:pPr>
              <w:pStyle w:val="TableParagraph"/>
              <w:spacing w:line="225" w:lineRule="exact"/>
              <w:ind w:right="48"/>
              <w:jc w:val="right"/>
              <w:rPr>
                <w:sz w:val="22"/>
              </w:rPr>
            </w:pPr>
            <w:r>
              <w:rPr>
                <w:sz w:val="22"/>
              </w:rPr>
              <w:t>121kj</w:t>
            </w:r>
            <w:r>
              <w:rPr>
                <w:spacing w:val="-5"/>
                <w:sz w:val="22"/>
              </w:rPr>
              <w:t> </w:t>
            </w:r>
            <w:r>
              <w:rPr>
                <w:spacing w:val="-2"/>
                <w:sz w:val="22"/>
              </w:rPr>
              <w:t>(29kcal)</w:t>
            </w:r>
          </w:p>
        </w:tc>
      </w:tr>
      <w:tr>
        <w:trPr>
          <w:trHeight w:val="602" w:hRule="atLeast"/>
        </w:trPr>
        <w:tc>
          <w:tcPr>
            <w:tcW w:w="3167" w:type="dxa"/>
          </w:tcPr>
          <w:p>
            <w:pPr>
              <w:pStyle w:val="TableParagraph"/>
              <w:spacing w:before="147"/>
              <w:ind w:left="50"/>
              <w:rPr>
                <w:sz w:val="22"/>
              </w:rPr>
            </w:pPr>
            <w:r>
              <w:rPr>
                <w:spacing w:val="-2"/>
                <w:sz w:val="22"/>
              </w:rPr>
              <w:t>Carbohydrates</w:t>
            </w:r>
          </w:p>
        </w:tc>
        <w:tc>
          <w:tcPr>
            <w:tcW w:w="3218" w:type="dxa"/>
          </w:tcPr>
          <w:p>
            <w:pPr>
              <w:pStyle w:val="TableParagraph"/>
              <w:spacing w:before="147"/>
              <w:ind w:left="1923"/>
              <w:rPr>
                <w:sz w:val="22"/>
              </w:rPr>
            </w:pPr>
            <w:r>
              <w:rPr>
                <w:spacing w:val="-2"/>
                <w:sz w:val="22"/>
              </w:rPr>
              <w:t>9.32g</w:t>
            </w:r>
          </w:p>
        </w:tc>
      </w:tr>
      <w:tr>
        <w:trPr>
          <w:trHeight w:val="603" w:hRule="atLeast"/>
        </w:trPr>
        <w:tc>
          <w:tcPr>
            <w:tcW w:w="3167" w:type="dxa"/>
          </w:tcPr>
          <w:p>
            <w:pPr>
              <w:pStyle w:val="TableParagraph"/>
              <w:spacing w:before="147"/>
              <w:ind w:left="770"/>
              <w:rPr>
                <w:sz w:val="22"/>
              </w:rPr>
            </w:pPr>
            <w:r>
              <w:rPr>
                <w:spacing w:val="-2"/>
                <w:sz w:val="22"/>
              </w:rPr>
              <w:t>-Sugars</w:t>
            </w:r>
          </w:p>
        </w:tc>
        <w:tc>
          <w:tcPr>
            <w:tcW w:w="3218" w:type="dxa"/>
          </w:tcPr>
          <w:p>
            <w:pPr>
              <w:pStyle w:val="TableParagraph"/>
              <w:spacing w:before="147"/>
              <w:ind w:left="1203"/>
              <w:rPr>
                <w:sz w:val="22"/>
              </w:rPr>
            </w:pPr>
            <w:r>
              <w:rPr>
                <w:spacing w:val="-2"/>
                <w:sz w:val="22"/>
              </w:rPr>
              <w:t>2.50g</w:t>
            </w:r>
          </w:p>
        </w:tc>
      </w:tr>
      <w:tr>
        <w:trPr>
          <w:trHeight w:val="603" w:hRule="atLeast"/>
        </w:trPr>
        <w:tc>
          <w:tcPr>
            <w:tcW w:w="3167" w:type="dxa"/>
          </w:tcPr>
          <w:p>
            <w:pPr>
              <w:pStyle w:val="TableParagraph"/>
              <w:spacing w:before="148"/>
              <w:ind w:left="770"/>
              <w:rPr>
                <w:sz w:val="22"/>
              </w:rPr>
            </w:pPr>
            <w:r>
              <w:rPr>
                <w:sz w:val="22"/>
              </w:rPr>
              <w:t>-Dietary</w:t>
            </w:r>
            <w:r>
              <w:rPr>
                <w:spacing w:val="-4"/>
                <w:sz w:val="22"/>
              </w:rPr>
              <w:t> </w:t>
            </w:r>
            <w:r>
              <w:rPr>
                <w:spacing w:val="-2"/>
                <w:sz w:val="22"/>
              </w:rPr>
              <w:t>fiber</w:t>
            </w:r>
          </w:p>
        </w:tc>
        <w:tc>
          <w:tcPr>
            <w:tcW w:w="3218" w:type="dxa"/>
          </w:tcPr>
          <w:p>
            <w:pPr>
              <w:pStyle w:val="TableParagraph"/>
              <w:spacing w:before="148"/>
              <w:ind w:left="1923"/>
              <w:rPr>
                <w:sz w:val="22"/>
              </w:rPr>
            </w:pPr>
            <w:r>
              <w:rPr>
                <w:spacing w:val="-2"/>
                <w:sz w:val="22"/>
              </w:rPr>
              <w:t>2.80g</w:t>
            </w:r>
          </w:p>
        </w:tc>
      </w:tr>
      <w:tr>
        <w:trPr>
          <w:trHeight w:val="602" w:hRule="atLeast"/>
        </w:trPr>
        <w:tc>
          <w:tcPr>
            <w:tcW w:w="3167" w:type="dxa"/>
          </w:tcPr>
          <w:p>
            <w:pPr>
              <w:pStyle w:val="TableParagraph"/>
              <w:spacing w:before="147"/>
              <w:ind w:left="50"/>
              <w:rPr>
                <w:sz w:val="22"/>
              </w:rPr>
            </w:pPr>
            <w:r>
              <w:rPr>
                <w:spacing w:val="-5"/>
                <w:sz w:val="22"/>
              </w:rPr>
              <w:t>Fat</w:t>
            </w:r>
          </w:p>
        </w:tc>
        <w:tc>
          <w:tcPr>
            <w:tcW w:w="3218" w:type="dxa"/>
          </w:tcPr>
          <w:p>
            <w:pPr>
              <w:pStyle w:val="TableParagraph"/>
              <w:spacing w:before="147"/>
              <w:ind w:left="1923"/>
              <w:rPr>
                <w:sz w:val="22"/>
              </w:rPr>
            </w:pPr>
            <w:r>
              <w:rPr>
                <w:spacing w:val="-2"/>
                <w:sz w:val="22"/>
              </w:rPr>
              <w:t>0.30g</w:t>
            </w:r>
          </w:p>
        </w:tc>
      </w:tr>
      <w:tr>
        <w:trPr>
          <w:trHeight w:val="602" w:hRule="atLeast"/>
        </w:trPr>
        <w:tc>
          <w:tcPr>
            <w:tcW w:w="3167" w:type="dxa"/>
          </w:tcPr>
          <w:p>
            <w:pPr>
              <w:pStyle w:val="TableParagraph"/>
              <w:spacing w:before="147"/>
              <w:ind w:left="50"/>
              <w:rPr>
                <w:sz w:val="22"/>
              </w:rPr>
            </w:pPr>
            <w:r>
              <w:rPr>
                <w:spacing w:val="-2"/>
                <w:sz w:val="22"/>
              </w:rPr>
              <w:t>Protein</w:t>
            </w:r>
          </w:p>
        </w:tc>
        <w:tc>
          <w:tcPr>
            <w:tcW w:w="3218" w:type="dxa"/>
          </w:tcPr>
          <w:p>
            <w:pPr>
              <w:pStyle w:val="TableParagraph"/>
              <w:spacing w:before="147"/>
              <w:ind w:left="1923"/>
              <w:rPr>
                <w:sz w:val="22"/>
              </w:rPr>
            </w:pPr>
            <w:r>
              <w:rPr>
                <w:spacing w:val="-2"/>
                <w:sz w:val="22"/>
              </w:rPr>
              <w:t>1.10g</w:t>
            </w:r>
          </w:p>
        </w:tc>
      </w:tr>
      <w:tr>
        <w:trPr>
          <w:trHeight w:val="602" w:hRule="atLeast"/>
        </w:trPr>
        <w:tc>
          <w:tcPr>
            <w:tcW w:w="3167" w:type="dxa"/>
          </w:tcPr>
          <w:p>
            <w:pPr>
              <w:pStyle w:val="TableParagraph"/>
              <w:spacing w:before="147"/>
              <w:ind w:left="50"/>
              <w:rPr>
                <w:sz w:val="22"/>
              </w:rPr>
            </w:pPr>
            <w:r>
              <w:rPr>
                <w:sz w:val="22"/>
              </w:rPr>
              <w:t>Thiamine</w:t>
            </w:r>
            <w:r>
              <w:rPr>
                <w:spacing w:val="-6"/>
                <w:sz w:val="22"/>
              </w:rPr>
              <w:t> </w:t>
            </w:r>
            <w:r>
              <w:rPr>
                <w:sz w:val="22"/>
              </w:rPr>
              <w:t>(Vit.</w:t>
            </w:r>
            <w:r>
              <w:rPr>
                <w:spacing w:val="-4"/>
                <w:sz w:val="22"/>
              </w:rPr>
              <w:t> </w:t>
            </w:r>
            <w:r>
              <w:rPr>
                <w:spacing w:val="-5"/>
                <w:sz w:val="22"/>
              </w:rPr>
              <w:t>B1)</w:t>
            </w:r>
          </w:p>
        </w:tc>
        <w:tc>
          <w:tcPr>
            <w:tcW w:w="3218" w:type="dxa"/>
          </w:tcPr>
          <w:p>
            <w:pPr>
              <w:pStyle w:val="TableParagraph"/>
              <w:spacing w:before="147"/>
              <w:ind w:right="170"/>
              <w:jc w:val="right"/>
              <w:rPr>
                <w:sz w:val="22"/>
              </w:rPr>
            </w:pPr>
            <w:r>
              <w:rPr>
                <w:sz w:val="22"/>
              </w:rPr>
              <w:t>0.04mg</w:t>
            </w:r>
            <w:r>
              <w:rPr>
                <w:spacing w:val="-7"/>
                <w:sz w:val="22"/>
              </w:rPr>
              <w:t> </w:t>
            </w:r>
            <w:r>
              <w:rPr>
                <w:spacing w:val="-4"/>
                <w:sz w:val="22"/>
              </w:rPr>
              <w:t>(3%)</w:t>
            </w:r>
          </w:p>
        </w:tc>
      </w:tr>
      <w:tr>
        <w:trPr>
          <w:trHeight w:val="603" w:hRule="atLeast"/>
        </w:trPr>
        <w:tc>
          <w:tcPr>
            <w:tcW w:w="3167" w:type="dxa"/>
          </w:tcPr>
          <w:p>
            <w:pPr>
              <w:pStyle w:val="TableParagraph"/>
              <w:spacing w:before="147"/>
              <w:ind w:left="50"/>
              <w:rPr>
                <w:sz w:val="22"/>
              </w:rPr>
            </w:pPr>
            <w:r>
              <w:rPr>
                <w:sz w:val="22"/>
              </w:rPr>
              <w:t>Riboflavin</w:t>
            </w:r>
            <w:r>
              <w:rPr>
                <w:spacing w:val="-9"/>
                <w:sz w:val="22"/>
              </w:rPr>
              <w:t> </w:t>
            </w:r>
            <w:r>
              <w:rPr>
                <w:sz w:val="22"/>
              </w:rPr>
              <w:t>(Vit.</w:t>
            </w:r>
            <w:r>
              <w:rPr>
                <w:spacing w:val="-4"/>
                <w:sz w:val="22"/>
              </w:rPr>
              <w:t> </w:t>
            </w:r>
            <w:r>
              <w:rPr>
                <w:spacing w:val="-5"/>
                <w:sz w:val="22"/>
              </w:rPr>
              <w:t>B2)</w:t>
            </w:r>
          </w:p>
        </w:tc>
        <w:tc>
          <w:tcPr>
            <w:tcW w:w="3218" w:type="dxa"/>
          </w:tcPr>
          <w:p>
            <w:pPr>
              <w:pStyle w:val="TableParagraph"/>
              <w:spacing w:before="147"/>
              <w:ind w:right="170"/>
              <w:jc w:val="right"/>
              <w:rPr>
                <w:sz w:val="22"/>
              </w:rPr>
            </w:pPr>
            <w:r>
              <w:rPr>
                <w:sz w:val="22"/>
              </w:rPr>
              <w:t>0.02mg</w:t>
            </w:r>
            <w:r>
              <w:rPr>
                <w:spacing w:val="-7"/>
                <w:sz w:val="22"/>
              </w:rPr>
              <w:t> </w:t>
            </w:r>
            <w:r>
              <w:rPr>
                <w:spacing w:val="-4"/>
                <w:sz w:val="22"/>
              </w:rPr>
              <w:t>(1%)</w:t>
            </w:r>
          </w:p>
        </w:tc>
      </w:tr>
      <w:tr>
        <w:trPr>
          <w:trHeight w:val="603" w:hRule="atLeast"/>
        </w:trPr>
        <w:tc>
          <w:tcPr>
            <w:tcW w:w="3167" w:type="dxa"/>
          </w:tcPr>
          <w:p>
            <w:pPr>
              <w:pStyle w:val="TableParagraph"/>
              <w:spacing w:before="148"/>
              <w:ind w:left="50"/>
              <w:rPr>
                <w:sz w:val="22"/>
              </w:rPr>
            </w:pPr>
            <w:r>
              <w:rPr>
                <w:sz w:val="22"/>
              </w:rPr>
              <w:t>Niacin</w:t>
            </w:r>
            <w:r>
              <w:rPr>
                <w:spacing w:val="-3"/>
                <w:sz w:val="22"/>
              </w:rPr>
              <w:t> </w:t>
            </w:r>
            <w:r>
              <w:rPr>
                <w:sz w:val="22"/>
              </w:rPr>
              <w:t>(Vit.</w:t>
            </w:r>
            <w:r>
              <w:rPr>
                <w:spacing w:val="-2"/>
                <w:sz w:val="22"/>
              </w:rPr>
              <w:t> </w:t>
            </w:r>
            <w:r>
              <w:rPr>
                <w:spacing w:val="-5"/>
                <w:sz w:val="22"/>
              </w:rPr>
              <w:t>B3)</w:t>
            </w:r>
          </w:p>
        </w:tc>
        <w:tc>
          <w:tcPr>
            <w:tcW w:w="3218" w:type="dxa"/>
          </w:tcPr>
          <w:p>
            <w:pPr>
              <w:pStyle w:val="TableParagraph"/>
              <w:spacing w:before="148"/>
              <w:ind w:left="1203"/>
              <w:rPr>
                <w:sz w:val="22"/>
              </w:rPr>
            </w:pPr>
            <w:r>
              <w:rPr>
                <w:sz w:val="22"/>
              </w:rPr>
              <w:t>0.10mg</w:t>
            </w:r>
            <w:r>
              <w:rPr>
                <w:spacing w:val="-7"/>
                <w:sz w:val="22"/>
              </w:rPr>
              <w:t> </w:t>
            </w:r>
            <w:r>
              <w:rPr>
                <w:spacing w:val="-4"/>
                <w:sz w:val="22"/>
              </w:rPr>
              <w:t>(1%)</w:t>
            </w:r>
          </w:p>
        </w:tc>
      </w:tr>
      <w:tr>
        <w:trPr>
          <w:trHeight w:val="602" w:hRule="atLeast"/>
        </w:trPr>
        <w:tc>
          <w:tcPr>
            <w:tcW w:w="3167" w:type="dxa"/>
          </w:tcPr>
          <w:p>
            <w:pPr>
              <w:pStyle w:val="TableParagraph"/>
              <w:spacing w:before="147"/>
              <w:ind w:left="50"/>
              <w:rPr>
                <w:sz w:val="22"/>
              </w:rPr>
            </w:pPr>
            <w:r>
              <w:rPr>
                <w:sz w:val="22"/>
              </w:rPr>
              <w:t>Pantothenic</w:t>
            </w:r>
            <w:r>
              <w:rPr>
                <w:spacing w:val="-6"/>
                <w:sz w:val="22"/>
              </w:rPr>
              <w:t> </w:t>
            </w:r>
            <w:r>
              <w:rPr>
                <w:sz w:val="22"/>
              </w:rPr>
              <w:t>acid</w:t>
            </w:r>
            <w:r>
              <w:rPr>
                <w:spacing w:val="-5"/>
                <w:sz w:val="22"/>
              </w:rPr>
              <w:t> </w:t>
            </w:r>
            <w:r>
              <w:rPr>
                <w:spacing w:val="-4"/>
                <w:sz w:val="22"/>
              </w:rPr>
              <w:t>(B5)</w:t>
            </w:r>
          </w:p>
        </w:tc>
        <w:tc>
          <w:tcPr>
            <w:tcW w:w="3218" w:type="dxa"/>
          </w:tcPr>
          <w:p>
            <w:pPr>
              <w:pStyle w:val="TableParagraph"/>
              <w:spacing w:before="147"/>
              <w:ind w:right="170"/>
              <w:jc w:val="right"/>
              <w:rPr>
                <w:sz w:val="22"/>
              </w:rPr>
            </w:pPr>
            <w:r>
              <w:rPr>
                <w:sz w:val="22"/>
              </w:rPr>
              <w:t>0.19mg</w:t>
            </w:r>
            <w:r>
              <w:rPr>
                <w:spacing w:val="-7"/>
                <w:sz w:val="22"/>
              </w:rPr>
              <w:t> </w:t>
            </w:r>
            <w:r>
              <w:rPr>
                <w:spacing w:val="-4"/>
                <w:sz w:val="22"/>
              </w:rPr>
              <w:t>(4%)</w:t>
            </w:r>
          </w:p>
        </w:tc>
      </w:tr>
      <w:tr>
        <w:trPr>
          <w:trHeight w:val="602" w:hRule="atLeast"/>
        </w:trPr>
        <w:tc>
          <w:tcPr>
            <w:tcW w:w="3167" w:type="dxa"/>
          </w:tcPr>
          <w:p>
            <w:pPr>
              <w:pStyle w:val="TableParagraph"/>
              <w:spacing w:before="147"/>
              <w:ind w:left="50"/>
              <w:rPr>
                <w:sz w:val="22"/>
              </w:rPr>
            </w:pPr>
            <w:r>
              <w:rPr>
                <w:sz w:val="22"/>
              </w:rPr>
              <w:t>Vitamin</w:t>
            </w:r>
            <w:r>
              <w:rPr>
                <w:spacing w:val="-3"/>
                <w:sz w:val="22"/>
              </w:rPr>
              <w:t> </w:t>
            </w:r>
            <w:r>
              <w:rPr>
                <w:spacing w:val="-5"/>
                <w:sz w:val="22"/>
              </w:rPr>
              <w:t>B6</w:t>
            </w:r>
          </w:p>
        </w:tc>
        <w:tc>
          <w:tcPr>
            <w:tcW w:w="3218" w:type="dxa"/>
          </w:tcPr>
          <w:p>
            <w:pPr>
              <w:pStyle w:val="TableParagraph"/>
              <w:spacing w:before="147"/>
              <w:ind w:right="170"/>
              <w:jc w:val="right"/>
              <w:rPr>
                <w:sz w:val="22"/>
              </w:rPr>
            </w:pPr>
            <w:r>
              <w:rPr>
                <w:sz w:val="22"/>
              </w:rPr>
              <w:t>0.08mg</w:t>
            </w:r>
            <w:r>
              <w:rPr>
                <w:spacing w:val="-7"/>
                <w:sz w:val="22"/>
              </w:rPr>
              <w:t> </w:t>
            </w:r>
            <w:r>
              <w:rPr>
                <w:spacing w:val="-4"/>
                <w:sz w:val="22"/>
              </w:rPr>
              <w:t>(6%)</w:t>
            </w:r>
          </w:p>
        </w:tc>
      </w:tr>
      <w:tr>
        <w:trPr>
          <w:trHeight w:val="602" w:hRule="atLeast"/>
        </w:trPr>
        <w:tc>
          <w:tcPr>
            <w:tcW w:w="3167" w:type="dxa"/>
          </w:tcPr>
          <w:p>
            <w:pPr>
              <w:pStyle w:val="TableParagraph"/>
              <w:spacing w:before="147"/>
              <w:ind w:left="50"/>
              <w:rPr>
                <w:sz w:val="22"/>
              </w:rPr>
            </w:pPr>
            <w:r>
              <w:rPr>
                <w:sz w:val="22"/>
              </w:rPr>
              <w:t>Folate</w:t>
            </w:r>
            <w:r>
              <w:rPr>
                <w:spacing w:val="-4"/>
                <w:sz w:val="22"/>
              </w:rPr>
              <w:t> </w:t>
            </w:r>
            <w:r>
              <w:rPr>
                <w:sz w:val="22"/>
              </w:rPr>
              <w:t>(Vit.</w:t>
            </w:r>
            <w:r>
              <w:rPr>
                <w:spacing w:val="-1"/>
                <w:sz w:val="22"/>
              </w:rPr>
              <w:t> </w:t>
            </w:r>
            <w:r>
              <w:rPr>
                <w:spacing w:val="-5"/>
                <w:sz w:val="22"/>
              </w:rPr>
              <w:t>B9)</w:t>
            </w:r>
          </w:p>
        </w:tc>
        <w:tc>
          <w:tcPr>
            <w:tcW w:w="3218" w:type="dxa"/>
          </w:tcPr>
          <w:p>
            <w:pPr>
              <w:pStyle w:val="TableParagraph"/>
              <w:spacing w:before="147"/>
              <w:ind w:left="1203"/>
              <w:rPr>
                <w:sz w:val="22"/>
              </w:rPr>
            </w:pPr>
            <w:r>
              <w:rPr>
                <w:sz w:val="22"/>
              </w:rPr>
              <w:t>11.0µg</w:t>
            </w:r>
            <w:r>
              <w:rPr>
                <w:spacing w:val="-4"/>
                <w:sz w:val="22"/>
              </w:rPr>
              <w:t> (3%)</w:t>
            </w:r>
          </w:p>
        </w:tc>
      </w:tr>
      <w:tr>
        <w:trPr>
          <w:trHeight w:val="602" w:hRule="atLeast"/>
        </w:trPr>
        <w:tc>
          <w:tcPr>
            <w:tcW w:w="3167" w:type="dxa"/>
          </w:tcPr>
          <w:p>
            <w:pPr>
              <w:pStyle w:val="TableParagraph"/>
              <w:spacing w:before="147"/>
              <w:ind w:left="50"/>
              <w:rPr>
                <w:sz w:val="22"/>
              </w:rPr>
            </w:pPr>
            <w:r>
              <w:rPr>
                <w:sz w:val="22"/>
              </w:rPr>
              <w:t>Vitamin</w:t>
            </w:r>
            <w:r>
              <w:rPr>
                <w:spacing w:val="-3"/>
                <w:sz w:val="22"/>
              </w:rPr>
              <w:t> </w:t>
            </w:r>
            <w:r>
              <w:rPr>
                <w:spacing w:val="-10"/>
                <w:sz w:val="22"/>
              </w:rPr>
              <w:t>C</w:t>
            </w:r>
          </w:p>
        </w:tc>
        <w:tc>
          <w:tcPr>
            <w:tcW w:w="3218" w:type="dxa"/>
          </w:tcPr>
          <w:p>
            <w:pPr>
              <w:pStyle w:val="TableParagraph"/>
              <w:spacing w:before="147"/>
              <w:ind w:right="57"/>
              <w:jc w:val="right"/>
              <w:rPr>
                <w:sz w:val="22"/>
              </w:rPr>
            </w:pPr>
            <w:r>
              <w:rPr>
                <w:sz w:val="22"/>
              </w:rPr>
              <w:t>53.0mg</w:t>
            </w:r>
            <w:r>
              <w:rPr>
                <w:spacing w:val="-5"/>
                <w:sz w:val="22"/>
              </w:rPr>
              <w:t> </w:t>
            </w:r>
            <w:r>
              <w:rPr>
                <w:spacing w:val="-2"/>
                <w:sz w:val="22"/>
              </w:rPr>
              <w:t>(88%)</w:t>
            </w:r>
          </w:p>
        </w:tc>
      </w:tr>
      <w:tr>
        <w:trPr>
          <w:trHeight w:val="603" w:hRule="atLeast"/>
        </w:trPr>
        <w:tc>
          <w:tcPr>
            <w:tcW w:w="3167" w:type="dxa"/>
          </w:tcPr>
          <w:p>
            <w:pPr>
              <w:pStyle w:val="TableParagraph"/>
              <w:spacing w:before="147"/>
              <w:ind w:left="50"/>
              <w:rPr>
                <w:sz w:val="22"/>
              </w:rPr>
            </w:pPr>
            <w:r>
              <w:rPr>
                <w:spacing w:val="-2"/>
                <w:sz w:val="22"/>
              </w:rPr>
              <w:t>Calcium</w:t>
            </w:r>
          </w:p>
        </w:tc>
        <w:tc>
          <w:tcPr>
            <w:tcW w:w="3218" w:type="dxa"/>
          </w:tcPr>
          <w:p>
            <w:pPr>
              <w:pStyle w:val="TableParagraph"/>
              <w:spacing w:before="147"/>
              <w:ind w:left="1203"/>
              <w:rPr>
                <w:sz w:val="22"/>
              </w:rPr>
            </w:pPr>
            <w:r>
              <w:rPr>
                <w:sz w:val="22"/>
              </w:rPr>
              <w:t>26.0mg</w:t>
            </w:r>
            <w:r>
              <w:rPr>
                <w:spacing w:val="-7"/>
                <w:sz w:val="22"/>
              </w:rPr>
              <w:t> </w:t>
            </w:r>
            <w:r>
              <w:rPr>
                <w:spacing w:val="-4"/>
                <w:sz w:val="22"/>
              </w:rPr>
              <w:t>(3%)</w:t>
            </w:r>
          </w:p>
        </w:tc>
      </w:tr>
      <w:tr>
        <w:trPr>
          <w:trHeight w:val="603" w:hRule="atLeast"/>
        </w:trPr>
        <w:tc>
          <w:tcPr>
            <w:tcW w:w="3167" w:type="dxa"/>
          </w:tcPr>
          <w:p>
            <w:pPr>
              <w:pStyle w:val="TableParagraph"/>
              <w:spacing w:before="148"/>
              <w:ind w:left="50"/>
              <w:rPr>
                <w:sz w:val="22"/>
              </w:rPr>
            </w:pPr>
            <w:r>
              <w:rPr>
                <w:spacing w:val="-4"/>
                <w:sz w:val="22"/>
              </w:rPr>
              <w:t>Iron</w:t>
            </w:r>
          </w:p>
        </w:tc>
        <w:tc>
          <w:tcPr>
            <w:tcW w:w="3218" w:type="dxa"/>
          </w:tcPr>
          <w:p>
            <w:pPr>
              <w:pStyle w:val="TableParagraph"/>
              <w:spacing w:before="148"/>
              <w:ind w:right="170"/>
              <w:jc w:val="right"/>
              <w:rPr>
                <w:sz w:val="22"/>
              </w:rPr>
            </w:pPr>
            <w:r>
              <w:rPr>
                <w:sz w:val="22"/>
              </w:rPr>
              <w:t>0.60mg</w:t>
            </w:r>
            <w:r>
              <w:rPr>
                <w:spacing w:val="-7"/>
                <w:sz w:val="22"/>
              </w:rPr>
              <w:t> </w:t>
            </w:r>
            <w:r>
              <w:rPr>
                <w:spacing w:val="-4"/>
                <w:sz w:val="22"/>
              </w:rPr>
              <w:t>(5%)</w:t>
            </w:r>
          </w:p>
        </w:tc>
      </w:tr>
      <w:tr>
        <w:trPr>
          <w:trHeight w:val="602" w:hRule="atLeast"/>
        </w:trPr>
        <w:tc>
          <w:tcPr>
            <w:tcW w:w="3167" w:type="dxa"/>
          </w:tcPr>
          <w:p>
            <w:pPr>
              <w:pStyle w:val="TableParagraph"/>
              <w:spacing w:before="147"/>
              <w:ind w:left="50"/>
              <w:rPr>
                <w:sz w:val="22"/>
              </w:rPr>
            </w:pPr>
            <w:r>
              <w:rPr>
                <w:spacing w:val="-2"/>
                <w:sz w:val="22"/>
              </w:rPr>
              <w:t>Magnesium</w:t>
            </w:r>
          </w:p>
        </w:tc>
        <w:tc>
          <w:tcPr>
            <w:tcW w:w="3218" w:type="dxa"/>
          </w:tcPr>
          <w:p>
            <w:pPr>
              <w:pStyle w:val="TableParagraph"/>
              <w:spacing w:before="147"/>
              <w:ind w:right="170"/>
              <w:jc w:val="right"/>
              <w:rPr>
                <w:sz w:val="22"/>
              </w:rPr>
            </w:pPr>
            <w:r>
              <w:rPr>
                <w:sz w:val="22"/>
              </w:rPr>
              <w:t>8.00mg</w:t>
            </w:r>
            <w:r>
              <w:rPr>
                <w:spacing w:val="-7"/>
                <w:sz w:val="22"/>
              </w:rPr>
              <w:t> </w:t>
            </w:r>
            <w:r>
              <w:rPr>
                <w:spacing w:val="-4"/>
                <w:sz w:val="22"/>
              </w:rPr>
              <w:t>(2%)</w:t>
            </w:r>
          </w:p>
        </w:tc>
      </w:tr>
      <w:tr>
        <w:trPr>
          <w:trHeight w:val="602" w:hRule="atLeast"/>
        </w:trPr>
        <w:tc>
          <w:tcPr>
            <w:tcW w:w="3167" w:type="dxa"/>
          </w:tcPr>
          <w:p>
            <w:pPr>
              <w:pStyle w:val="TableParagraph"/>
              <w:spacing w:before="147"/>
              <w:ind w:left="50"/>
              <w:rPr>
                <w:sz w:val="22"/>
              </w:rPr>
            </w:pPr>
            <w:r>
              <w:rPr>
                <w:spacing w:val="-2"/>
                <w:sz w:val="22"/>
              </w:rPr>
              <w:t>Phosphorus</w:t>
            </w:r>
          </w:p>
        </w:tc>
        <w:tc>
          <w:tcPr>
            <w:tcW w:w="3218" w:type="dxa"/>
          </w:tcPr>
          <w:p>
            <w:pPr>
              <w:pStyle w:val="TableParagraph"/>
              <w:spacing w:before="147"/>
              <w:ind w:right="170"/>
              <w:jc w:val="right"/>
              <w:rPr>
                <w:sz w:val="22"/>
              </w:rPr>
            </w:pPr>
            <w:r>
              <w:rPr>
                <w:sz w:val="22"/>
              </w:rPr>
              <w:t>16.0mg</w:t>
            </w:r>
            <w:r>
              <w:rPr>
                <w:spacing w:val="-7"/>
                <w:sz w:val="22"/>
              </w:rPr>
              <w:t> </w:t>
            </w:r>
            <w:r>
              <w:rPr>
                <w:spacing w:val="-4"/>
                <w:sz w:val="22"/>
              </w:rPr>
              <w:t>(2%)</w:t>
            </w:r>
          </w:p>
        </w:tc>
      </w:tr>
      <w:tr>
        <w:trPr>
          <w:trHeight w:val="602" w:hRule="atLeast"/>
        </w:trPr>
        <w:tc>
          <w:tcPr>
            <w:tcW w:w="3167" w:type="dxa"/>
          </w:tcPr>
          <w:p>
            <w:pPr>
              <w:pStyle w:val="TableParagraph"/>
              <w:spacing w:before="147"/>
              <w:ind w:left="50"/>
              <w:rPr>
                <w:sz w:val="22"/>
              </w:rPr>
            </w:pPr>
            <w:r>
              <w:rPr>
                <w:spacing w:val="-2"/>
                <w:sz w:val="22"/>
              </w:rPr>
              <w:t>Potassium</w:t>
            </w:r>
          </w:p>
        </w:tc>
        <w:tc>
          <w:tcPr>
            <w:tcW w:w="3218" w:type="dxa"/>
          </w:tcPr>
          <w:p>
            <w:pPr>
              <w:pStyle w:val="TableParagraph"/>
              <w:spacing w:before="147"/>
              <w:ind w:right="170"/>
              <w:jc w:val="right"/>
              <w:rPr>
                <w:sz w:val="22"/>
              </w:rPr>
            </w:pPr>
            <w:r>
              <w:rPr>
                <w:sz w:val="22"/>
              </w:rPr>
              <w:t>13.8mg</w:t>
            </w:r>
            <w:r>
              <w:rPr>
                <w:spacing w:val="-7"/>
                <w:sz w:val="22"/>
              </w:rPr>
              <w:t> </w:t>
            </w:r>
            <w:r>
              <w:rPr>
                <w:spacing w:val="-4"/>
                <w:sz w:val="22"/>
              </w:rPr>
              <w:t>(3%)</w:t>
            </w:r>
          </w:p>
        </w:tc>
      </w:tr>
      <w:tr>
        <w:trPr>
          <w:trHeight w:val="411" w:hRule="atLeast"/>
        </w:trPr>
        <w:tc>
          <w:tcPr>
            <w:tcW w:w="3167" w:type="dxa"/>
          </w:tcPr>
          <w:p>
            <w:pPr>
              <w:pStyle w:val="TableParagraph"/>
              <w:spacing w:line="245" w:lineRule="exact" w:before="147"/>
              <w:ind w:left="50"/>
              <w:rPr>
                <w:sz w:val="22"/>
              </w:rPr>
            </w:pPr>
            <w:r>
              <w:rPr>
                <w:spacing w:val="-4"/>
                <w:sz w:val="22"/>
              </w:rPr>
              <w:t>Zinc</w:t>
            </w:r>
          </w:p>
        </w:tc>
        <w:tc>
          <w:tcPr>
            <w:tcW w:w="3218" w:type="dxa"/>
          </w:tcPr>
          <w:p>
            <w:pPr>
              <w:pStyle w:val="TableParagraph"/>
              <w:spacing w:line="245" w:lineRule="exact" w:before="147"/>
              <w:ind w:right="170"/>
              <w:jc w:val="right"/>
              <w:rPr>
                <w:sz w:val="22"/>
              </w:rPr>
            </w:pPr>
            <w:r>
              <w:rPr>
                <w:sz w:val="22"/>
              </w:rPr>
              <w:t>0.06mg</w:t>
            </w:r>
            <w:r>
              <w:rPr>
                <w:spacing w:val="-7"/>
                <w:sz w:val="22"/>
              </w:rPr>
              <w:t> </w:t>
            </w:r>
            <w:r>
              <w:rPr>
                <w:spacing w:val="-4"/>
                <w:sz w:val="22"/>
              </w:rPr>
              <w:t>(1%)</w:t>
            </w:r>
          </w:p>
        </w:tc>
      </w:tr>
    </w:tbl>
    <w:p>
      <w:pPr>
        <w:pStyle w:val="BodyText"/>
        <w:spacing w:before="82"/>
      </w:pPr>
    </w:p>
    <w:p>
      <w:pPr>
        <w:pStyle w:val="BodyText"/>
        <w:ind w:left="1100"/>
      </w:pPr>
      <w:r>
        <w:rPr/>
        <w:t>Percentages</w:t>
      </w:r>
      <w:r>
        <w:rPr>
          <w:spacing w:val="-8"/>
        </w:rPr>
        <w:t> </w:t>
      </w:r>
      <w:r>
        <w:rPr/>
        <w:t>are</w:t>
      </w:r>
      <w:r>
        <w:rPr>
          <w:spacing w:val="-3"/>
        </w:rPr>
        <w:t> </w:t>
      </w:r>
      <w:r>
        <w:rPr/>
        <w:t>relative</w:t>
      </w:r>
      <w:r>
        <w:rPr>
          <w:spacing w:val="-6"/>
        </w:rPr>
        <w:t> </w:t>
      </w:r>
      <w:r>
        <w:rPr/>
        <w:t>to</w:t>
      </w:r>
      <w:r>
        <w:rPr>
          <w:spacing w:val="-5"/>
        </w:rPr>
        <w:t> </w:t>
      </w:r>
      <w:r>
        <w:rPr/>
        <w:t>US</w:t>
      </w:r>
      <w:r>
        <w:rPr>
          <w:spacing w:val="-5"/>
        </w:rPr>
        <w:t> </w:t>
      </w:r>
      <w:r>
        <w:rPr/>
        <w:t>recommendations</w:t>
      </w:r>
      <w:r>
        <w:rPr>
          <w:spacing w:val="-6"/>
        </w:rPr>
        <w:t> </w:t>
      </w:r>
      <w:r>
        <w:rPr/>
        <w:t>for</w:t>
      </w:r>
      <w:r>
        <w:rPr>
          <w:spacing w:val="-6"/>
        </w:rPr>
        <w:t> </w:t>
      </w:r>
      <w:r>
        <w:rPr/>
        <w:t>adults</w:t>
      </w:r>
      <w:r>
        <w:rPr>
          <w:spacing w:val="-4"/>
        </w:rPr>
        <w:t> </w:t>
      </w:r>
      <w:r>
        <w:rPr/>
        <w:t>(NPCS,</w:t>
      </w:r>
      <w:r>
        <w:rPr>
          <w:spacing w:val="-5"/>
        </w:rPr>
        <w:t> </w:t>
      </w:r>
      <w:r>
        <w:rPr>
          <w:spacing w:val="-2"/>
        </w:rPr>
        <w:t>2012)</w:t>
      </w:r>
    </w:p>
    <w:p>
      <w:pPr>
        <w:spacing w:after="0"/>
        <w:sectPr>
          <w:pgSz w:w="11910" w:h="16840"/>
          <w:pgMar w:header="0" w:footer="1055" w:top="1380" w:bottom="1240" w:left="1060" w:right="460"/>
        </w:sectPr>
      </w:pPr>
    </w:p>
    <w:p>
      <w:pPr>
        <w:pStyle w:val="Heading3"/>
        <w:numPr>
          <w:ilvl w:val="2"/>
          <w:numId w:val="1"/>
        </w:numPr>
        <w:tabs>
          <w:tab w:pos="1100" w:val="left" w:leader="none"/>
        </w:tabs>
        <w:spacing w:line="240" w:lineRule="auto" w:before="41" w:after="0"/>
        <w:ind w:left="1100" w:right="0" w:hanging="720"/>
        <w:jc w:val="left"/>
      </w:pPr>
      <w:r>
        <w:rPr/>
        <w:t>Uses</w:t>
      </w:r>
      <w:r>
        <w:rPr>
          <w:spacing w:val="-2"/>
        </w:rPr>
        <w:t> </w:t>
      </w:r>
      <w:r>
        <w:rPr/>
        <w:t>of</w:t>
      </w:r>
      <w:r>
        <w:rPr>
          <w:spacing w:val="-1"/>
        </w:rPr>
        <w:t> </w:t>
      </w:r>
      <w:r>
        <w:rPr>
          <w:spacing w:val="-4"/>
        </w:rPr>
        <w:t>Lemon</w:t>
      </w:r>
    </w:p>
    <w:p>
      <w:pPr>
        <w:pStyle w:val="BodyText"/>
        <w:spacing w:before="65"/>
        <w:rPr>
          <w:b/>
        </w:rPr>
      </w:pPr>
    </w:p>
    <w:p>
      <w:pPr>
        <w:pStyle w:val="ListParagraph"/>
        <w:numPr>
          <w:ilvl w:val="3"/>
          <w:numId w:val="1"/>
        </w:numPr>
        <w:tabs>
          <w:tab w:pos="1095" w:val="left" w:leader="none"/>
        </w:tabs>
        <w:spacing w:line="240" w:lineRule="auto" w:before="0" w:after="0"/>
        <w:ind w:left="1095" w:right="0" w:hanging="715"/>
        <w:jc w:val="left"/>
        <w:rPr>
          <w:i/>
          <w:sz w:val="22"/>
        </w:rPr>
      </w:pPr>
      <w:r>
        <w:rPr>
          <w:i/>
          <w:sz w:val="22"/>
        </w:rPr>
        <w:t>Medicinal</w:t>
      </w:r>
      <w:r>
        <w:rPr>
          <w:i/>
          <w:spacing w:val="-4"/>
          <w:sz w:val="22"/>
        </w:rPr>
        <w:t> uses</w:t>
      </w:r>
    </w:p>
    <w:p>
      <w:pPr>
        <w:pStyle w:val="BodyText"/>
        <w:spacing w:before="63"/>
        <w:rPr>
          <w:i/>
        </w:rPr>
      </w:pPr>
    </w:p>
    <w:p>
      <w:pPr>
        <w:pStyle w:val="BodyText"/>
        <w:spacing w:line="482" w:lineRule="auto"/>
        <w:ind w:left="1100" w:right="981" w:firstLine="720"/>
        <w:jc w:val="both"/>
      </w:pPr>
      <w:r>
        <w:rPr/>
        <w:t>Lemon was mainly used as ornament and medicine. In 1747, James Lind’s experiments on Seamen suffering from Scurvy involved adding Vitamin C to their diets with lemon juice (Andrew, 2010; NPCS, 2012).</w:t>
      </w:r>
    </w:p>
    <w:p>
      <w:pPr>
        <w:spacing w:line="480" w:lineRule="auto" w:before="188"/>
        <w:ind w:left="1100" w:right="978" w:firstLine="720"/>
        <w:jc w:val="both"/>
        <w:rPr>
          <w:rFonts w:ascii="Times New Roman"/>
          <w:sz w:val="24"/>
        </w:rPr>
      </w:pPr>
      <w:r>
        <w:rPr>
          <w:rFonts w:ascii="Times New Roman"/>
          <w:sz w:val="24"/>
        </w:rPr>
        <w:t>Lemon is an important medicinal plant of the family Rutaceae. It is cultivated mainly for its alkaloids, which are having anticancer activities and the antibacterial potential in crude extracts of different parts (viz</w:t>
      </w:r>
      <w:r>
        <w:rPr>
          <w:rFonts w:ascii="Times New Roman"/>
          <w:i/>
          <w:sz w:val="24"/>
        </w:rPr>
        <w:t>., </w:t>
      </w:r>
      <w:r>
        <w:rPr>
          <w:rFonts w:ascii="Times New Roman"/>
          <w:sz w:val="24"/>
        </w:rPr>
        <w:t>leaves, stem, root and flower) of Lemon against clinically significant bacterial strains has been reported (Kawaii </w:t>
      </w:r>
      <w:r>
        <w:rPr>
          <w:rFonts w:ascii="Times New Roman"/>
          <w:i/>
          <w:sz w:val="24"/>
        </w:rPr>
        <w:t>et al</w:t>
      </w:r>
      <w:r>
        <w:rPr>
          <w:rFonts w:ascii="Times New Roman"/>
          <w:sz w:val="24"/>
        </w:rPr>
        <w:t>., </w:t>
      </w:r>
      <w:r>
        <w:rPr>
          <w:rFonts w:ascii="Times New Roman"/>
          <w:spacing w:val="-2"/>
          <w:sz w:val="24"/>
        </w:rPr>
        <w:t>2000).</w:t>
      </w:r>
    </w:p>
    <w:p>
      <w:pPr>
        <w:spacing w:line="480" w:lineRule="auto" w:before="1"/>
        <w:ind w:left="1100" w:right="972" w:firstLine="720"/>
        <w:jc w:val="both"/>
        <w:rPr>
          <w:rFonts w:ascii="Times New Roman"/>
          <w:sz w:val="24"/>
        </w:rPr>
      </w:pPr>
      <w:r>
        <w:rPr>
          <w:rFonts w:ascii="Times New Roman"/>
          <w:sz w:val="24"/>
        </w:rPr>
        <w:t>Citrus flavonoids have a large spectrum of biological activity including antibacterial, antifungal, antidiabetic, anticancer and antiviral activities (Burt, 2004). Flavonoids are generally</w:t>
      </w:r>
      <w:r>
        <w:rPr>
          <w:rFonts w:ascii="Times New Roman"/>
          <w:spacing w:val="-3"/>
          <w:sz w:val="24"/>
        </w:rPr>
        <w:t> </w:t>
      </w:r>
      <w:r>
        <w:rPr>
          <w:rFonts w:ascii="Times New Roman"/>
          <w:sz w:val="24"/>
        </w:rPr>
        <w:t>present in glycosylated forms in plants, and the</w:t>
      </w:r>
      <w:r>
        <w:rPr>
          <w:rFonts w:ascii="Times New Roman"/>
          <w:spacing w:val="-1"/>
          <w:sz w:val="24"/>
        </w:rPr>
        <w:t> </w:t>
      </w:r>
      <w:r>
        <w:rPr>
          <w:rFonts w:ascii="Times New Roman"/>
          <w:sz w:val="24"/>
        </w:rPr>
        <w:t>sugar</w:t>
      </w:r>
      <w:r>
        <w:rPr>
          <w:rFonts w:ascii="Times New Roman"/>
          <w:spacing w:val="-1"/>
          <w:sz w:val="24"/>
        </w:rPr>
        <w:t> </w:t>
      </w:r>
      <w:r>
        <w:rPr>
          <w:rFonts w:ascii="Times New Roman"/>
          <w:sz w:val="24"/>
        </w:rPr>
        <w:t>moiety is an important factor determining their bioavailability.</w:t>
      </w:r>
    </w:p>
    <w:p>
      <w:pPr>
        <w:pStyle w:val="BodyText"/>
        <w:spacing w:line="480" w:lineRule="auto" w:before="204"/>
        <w:ind w:left="1100" w:right="973" w:firstLine="720"/>
        <w:jc w:val="both"/>
      </w:pPr>
      <w:r>
        <w:rPr/>
        <w:t>Lemon is classified as an acidic fruit. The juice of lemons is excellent and effective remedy to treat disorders of the throat and persistent catarrh. Moreover, Vitamin C content of lemon can actively aid in suppressing the onset of cold. Schoffro, (2012) reported that lemons are rich in vitamin C and flavonoids that work in conjunction for a serious punch against infection. Therefore, drinking lemon juice is very good for treating common colds</w:t>
      </w:r>
      <w:r>
        <w:rPr>
          <w:spacing w:val="40"/>
        </w:rPr>
        <w:t> </w:t>
      </w:r>
      <w:r>
        <w:rPr/>
        <w:t>and flu. Lemon juice used as a gargle or oral wash also helps bring relief from sore throats, tonsillitis, and can help alleviate gingivitis, as well as canker sores in a person.</w:t>
      </w:r>
    </w:p>
    <w:p>
      <w:pPr>
        <w:pStyle w:val="BodyText"/>
        <w:spacing w:before="14"/>
      </w:pPr>
    </w:p>
    <w:p>
      <w:pPr>
        <w:pStyle w:val="BodyText"/>
        <w:spacing w:line="480" w:lineRule="auto"/>
        <w:ind w:left="1100" w:right="974" w:firstLine="720"/>
        <w:jc w:val="both"/>
      </w:pPr>
      <w:r>
        <w:rPr/>
        <w:t>The juice isn't the only medicinal part of the lemon. Citrus peel (per unit weight) has considerably higher quantities of medicinal phytochemicals than the juice. The</w:t>
      </w:r>
      <w:r>
        <w:rPr>
          <w:spacing w:val="-2"/>
        </w:rPr>
        <w:t> </w:t>
      </w:r>
      <w:r>
        <w:rPr/>
        <w:t>peel contains higher</w:t>
      </w:r>
      <w:r>
        <w:rPr>
          <w:spacing w:val="13"/>
        </w:rPr>
        <w:t> </w:t>
      </w:r>
      <w:r>
        <w:rPr/>
        <w:t>concentrations</w:t>
      </w:r>
      <w:r>
        <w:rPr>
          <w:spacing w:val="11"/>
        </w:rPr>
        <w:t> </w:t>
      </w:r>
      <w:r>
        <w:rPr/>
        <w:t>of</w:t>
      </w:r>
      <w:r>
        <w:rPr>
          <w:spacing w:val="13"/>
        </w:rPr>
        <w:t> </w:t>
      </w:r>
      <w:r>
        <w:rPr/>
        <w:t>citric</w:t>
      </w:r>
      <w:r>
        <w:rPr>
          <w:spacing w:val="14"/>
        </w:rPr>
        <w:t> </w:t>
      </w:r>
      <w:r>
        <w:rPr/>
        <w:t>acid</w:t>
      </w:r>
      <w:r>
        <w:rPr>
          <w:spacing w:val="11"/>
        </w:rPr>
        <w:t> </w:t>
      </w:r>
      <w:r>
        <w:rPr/>
        <w:t>and</w:t>
      </w:r>
      <w:r>
        <w:rPr>
          <w:spacing w:val="13"/>
        </w:rPr>
        <w:t> </w:t>
      </w:r>
      <w:r>
        <w:rPr/>
        <w:t>active</w:t>
      </w:r>
      <w:r>
        <w:rPr>
          <w:spacing w:val="13"/>
        </w:rPr>
        <w:t> </w:t>
      </w:r>
      <w:r>
        <w:rPr/>
        <w:t>anti-cancer</w:t>
      </w:r>
      <w:r>
        <w:rPr>
          <w:spacing w:val="14"/>
        </w:rPr>
        <w:t> </w:t>
      </w:r>
      <w:r>
        <w:rPr/>
        <w:t>compounds</w:t>
      </w:r>
      <w:r>
        <w:rPr>
          <w:spacing w:val="13"/>
        </w:rPr>
        <w:t> </w:t>
      </w:r>
      <w:r>
        <w:rPr/>
        <w:t>than</w:t>
      </w:r>
      <w:r>
        <w:rPr>
          <w:spacing w:val="12"/>
        </w:rPr>
        <w:t> </w:t>
      </w:r>
      <w:r>
        <w:rPr/>
        <w:t>the</w:t>
      </w:r>
      <w:r>
        <w:rPr>
          <w:spacing w:val="11"/>
        </w:rPr>
        <w:t> </w:t>
      </w:r>
      <w:r>
        <w:rPr/>
        <w:t>juice</w:t>
      </w:r>
      <w:r>
        <w:rPr>
          <w:spacing w:val="14"/>
        </w:rPr>
        <w:t> </w:t>
      </w:r>
      <w:r>
        <w:rPr/>
        <w:t>or</w:t>
      </w:r>
      <w:r>
        <w:rPr>
          <w:spacing w:val="11"/>
        </w:rPr>
        <w:t> </w:t>
      </w:r>
      <w:r>
        <w:rPr>
          <w:spacing w:val="-5"/>
        </w:rPr>
        <w:t>the</w:t>
      </w:r>
    </w:p>
    <w:p>
      <w:pPr>
        <w:spacing w:after="0" w:line="480" w:lineRule="auto"/>
        <w:jc w:val="both"/>
        <w:sectPr>
          <w:pgSz w:w="11910" w:h="16840"/>
          <w:pgMar w:header="0" w:footer="1055" w:top="1380" w:bottom="1240" w:left="1060" w:right="460"/>
        </w:sectPr>
      </w:pPr>
    </w:p>
    <w:p>
      <w:pPr>
        <w:pStyle w:val="BodyText"/>
        <w:spacing w:line="480" w:lineRule="auto" w:before="38"/>
        <w:ind w:left="1100" w:right="973"/>
        <w:jc w:val="both"/>
      </w:pPr>
      <w:r>
        <w:rPr/>
        <w:t>pulp (Hakim and Harris, 2001). They also discovered that the peel showed strong potential for significantly reducing risk of non-melanoma skin cancers. Schoffro, (2012) reported that lemon contain 22 anti-cancer compounds, including limonene—a naturally-occurring oil that slows or halts the growth of cancer tumors in animals.</w:t>
      </w:r>
      <w:r>
        <w:rPr>
          <w:spacing w:val="40"/>
        </w:rPr>
        <w:t> </w:t>
      </w:r>
      <w:r>
        <w:rPr/>
        <w:t>Lemons also contain a substance called flavonol glycosides which stop cell division in cancer cells.</w:t>
      </w:r>
    </w:p>
    <w:p>
      <w:pPr>
        <w:pStyle w:val="BodyText"/>
        <w:spacing w:before="13"/>
      </w:pPr>
    </w:p>
    <w:p>
      <w:pPr>
        <w:pStyle w:val="BodyText"/>
        <w:spacing w:line="480" w:lineRule="auto"/>
        <w:ind w:left="1100" w:right="975" w:firstLine="720"/>
        <w:jc w:val="both"/>
      </w:pPr>
      <w:r>
        <w:rPr/>
        <w:t>Bowel-Cleansing:</w:t>
      </w:r>
      <w:r>
        <w:rPr>
          <w:spacing w:val="40"/>
        </w:rPr>
        <w:t> </w:t>
      </w:r>
      <w:r>
        <w:rPr/>
        <w:t>The bitter taste of lemon gives these fruit the ability to increase peristalsis–a pumping-motion in the bowels–which helps to eliminate waste from the</w:t>
      </w:r>
      <w:r>
        <w:rPr>
          <w:spacing w:val="80"/>
        </w:rPr>
        <w:t> </w:t>
      </w:r>
      <w:r>
        <w:rPr/>
        <w:t>bowels and improve regularity (Schoffro, 2012).</w:t>
      </w:r>
    </w:p>
    <w:p>
      <w:pPr>
        <w:pStyle w:val="BodyText"/>
        <w:spacing w:before="12"/>
      </w:pPr>
    </w:p>
    <w:p>
      <w:pPr>
        <w:pStyle w:val="BodyText"/>
        <w:spacing w:line="480" w:lineRule="auto"/>
        <w:ind w:left="1100" w:right="978" w:firstLine="720"/>
        <w:jc w:val="both"/>
      </w:pPr>
      <w:r>
        <w:rPr/>
        <w:t>Regular</w:t>
      </w:r>
      <w:r>
        <w:rPr>
          <w:spacing w:val="-2"/>
        </w:rPr>
        <w:t> </w:t>
      </w:r>
      <w:r>
        <w:rPr/>
        <w:t>consumption</w:t>
      </w:r>
      <w:r>
        <w:rPr>
          <w:spacing w:val="-2"/>
        </w:rPr>
        <w:t> </w:t>
      </w:r>
      <w:r>
        <w:rPr/>
        <w:t>results in</w:t>
      </w:r>
      <w:r>
        <w:rPr>
          <w:spacing w:val="-3"/>
        </w:rPr>
        <w:t> </w:t>
      </w:r>
      <w:r>
        <w:rPr/>
        <w:t>improved</w:t>
      </w:r>
      <w:r>
        <w:rPr>
          <w:spacing w:val="-1"/>
        </w:rPr>
        <w:t> </w:t>
      </w:r>
      <w:r>
        <w:rPr/>
        <w:t>appetite</w:t>
      </w:r>
      <w:r>
        <w:rPr>
          <w:spacing w:val="-1"/>
        </w:rPr>
        <w:t> </w:t>
      </w:r>
      <w:r>
        <w:rPr/>
        <w:t>which</w:t>
      </w:r>
      <w:r>
        <w:rPr>
          <w:spacing w:val="-2"/>
        </w:rPr>
        <w:t> </w:t>
      </w:r>
      <w:r>
        <w:rPr/>
        <w:t>also eases</w:t>
      </w:r>
      <w:r>
        <w:rPr>
          <w:spacing w:val="-1"/>
        </w:rPr>
        <w:t> </w:t>
      </w:r>
      <w:r>
        <w:rPr/>
        <w:t>the</w:t>
      </w:r>
      <w:r>
        <w:rPr>
          <w:spacing w:val="-1"/>
        </w:rPr>
        <w:t> </w:t>
      </w:r>
      <w:r>
        <w:rPr/>
        <w:t>acidity</w:t>
      </w:r>
      <w:r>
        <w:rPr>
          <w:spacing w:val="-1"/>
        </w:rPr>
        <w:t> </w:t>
      </w:r>
      <w:r>
        <w:rPr/>
        <w:t>in</w:t>
      </w:r>
      <w:r>
        <w:rPr>
          <w:spacing w:val="-1"/>
        </w:rPr>
        <w:t> </w:t>
      </w:r>
      <w:r>
        <w:rPr/>
        <w:t>the stomach, helping a person deal better with ulcers, arthritis, physical symptoms of gout, as well as chronic rheumatism.</w:t>
      </w:r>
    </w:p>
    <w:p>
      <w:pPr>
        <w:pStyle w:val="BodyText"/>
        <w:spacing w:before="11"/>
      </w:pPr>
    </w:p>
    <w:p>
      <w:pPr>
        <w:pStyle w:val="BodyText"/>
        <w:spacing w:line="480" w:lineRule="auto" w:before="1"/>
        <w:ind w:left="1100" w:right="975" w:firstLine="720"/>
        <w:jc w:val="both"/>
      </w:pPr>
      <w:r>
        <w:rPr/>
        <w:t>The use of herbal remedies, including the herb lemon, classified as </w:t>
      </w:r>
      <w:r>
        <w:rPr>
          <w:i/>
        </w:rPr>
        <w:t>Citrus limon</w:t>
      </w:r>
      <w:r>
        <w:rPr/>
        <w:t>, are popular as an alternative to standard Western allopathic medicine for a variety of problems, including nerve tonic, blood cleanser as well as used in the fight against cancer (Prabuseenivasan </w:t>
      </w:r>
      <w:r>
        <w:rPr>
          <w:i/>
        </w:rPr>
        <w:t>et al</w:t>
      </w:r>
      <w:r>
        <w:rPr/>
        <w:t>., 2006).</w:t>
      </w:r>
    </w:p>
    <w:p>
      <w:pPr>
        <w:pStyle w:val="BodyText"/>
      </w:pPr>
    </w:p>
    <w:p>
      <w:pPr>
        <w:pStyle w:val="BodyText"/>
      </w:pPr>
    </w:p>
    <w:p>
      <w:pPr>
        <w:pStyle w:val="BodyText"/>
      </w:pPr>
    </w:p>
    <w:p>
      <w:pPr>
        <w:pStyle w:val="BodyText"/>
      </w:pPr>
    </w:p>
    <w:p>
      <w:pPr>
        <w:pStyle w:val="BodyText"/>
        <w:spacing w:before="145"/>
      </w:pPr>
    </w:p>
    <w:p>
      <w:pPr>
        <w:pStyle w:val="ListParagraph"/>
        <w:numPr>
          <w:ilvl w:val="3"/>
          <w:numId w:val="1"/>
        </w:numPr>
        <w:tabs>
          <w:tab w:pos="1141" w:val="left" w:leader="none"/>
        </w:tabs>
        <w:spacing w:line="240" w:lineRule="auto" w:before="0" w:after="0"/>
        <w:ind w:left="1141" w:right="0" w:hanging="761"/>
        <w:jc w:val="left"/>
        <w:rPr>
          <w:i/>
          <w:sz w:val="22"/>
        </w:rPr>
      </w:pPr>
      <w:r>
        <w:rPr>
          <w:i/>
          <w:sz w:val="22"/>
        </w:rPr>
        <w:t>Other</w:t>
      </w:r>
      <w:r>
        <w:rPr>
          <w:i/>
          <w:spacing w:val="-3"/>
          <w:sz w:val="22"/>
        </w:rPr>
        <w:t> </w:t>
      </w:r>
      <w:r>
        <w:rPr>
          <w:i/>
          <w:sz w:val="22"/>
        </w:rPr>
        <w:t>uses</w:t>
      </w:r>
      <w:r>
        <w:rPr>
          <w:i/>
          <w:spacing w:val="-2"/>
          <w:sz w:val="22"/>
        </w:rPr>
        <w:t> </w:t>
      </w:r>
      <w:r>
        <w:rPr>
          <w:i/>
          <w:sz w:val="22"/>
        </w:rPr>
        <w:t>of</w:t>
      </w:r>
      <w:r>
        <w:rPr>
          <w:i/>
          <w:spacing w:val="-2"/>
          <w:sz w:val="22"/>
        </w:rPr>
        <w:t> lemon</w:t>
      </w:r>
    </w:p>
    <w:p>
      <w:pPr>
        <w:pStyle w:val="BodyText"/>
        <w:spacing w:before="63"/>
        <w:rPr>
          <w:i/>
        </w:rPr>
      </w:pPr>
    </w:p>
    <w:p>
      <w:pPr>
        <w:pStyle w:val="BodyText"/>
        <w:spacing w:line="480" w:lineRule="auto"/>
        <w:ind w:left="1100" w:right="972" w:firstLine="720"/>
        <w:jc w:val="both"/>
      </w:pPr>
      <w:r>
        <w:rPr/>
        <w:t>The distinctive sour taste of lemon makes it a key ingredient in many dishes across the world. The fruit is used for culinary and non-culinary purposes throughout the world- primarily for its juice, though the pulp and rind (zest) are also used, mainly in cooking and baking. It is used in a variety of food recipes such as lemon cakes, lemon chickens, etc.</w:t>
      </w:r>
    </w:p>
    <w:p>
      <w:pPr>
        <w:spacing w:after="0" w:line="480" w:lineRule="auto"/>
        <w:jc w:val="both"/>
        <w:sectPr>
          <w:pgSz w:w="11910" w:h="16840"/>
          <w:pgMar w:header="0" w:footer="1055" w:top="1380" w:bottom="1240" w:left="1060" w:right="460"/>
        </w:sectPr>
      </w:pPr>
    </w:p>
    <w:p>
      <w:pPr>
        <w:pStyle w:val="BodyText"/>
        <w:spacing w:line="482" w:lineRule="auto" w:before="38"/>
        <w:ind w:left="1100" w:right="977" w:firstLine="720"/>
        <w:jc w:val="both"/>
      </w:pPr>
      <w:r>
        <w:rPr/>
        <w:t>Lemon juice is about 5% to 6% (approximately 0.3M) citric acid, which gives lemons</w:t>
      </w:r>
      <w:r>
        <w:rPr>
          <w:spacing w:val="40"/>
        </w:rPr>
        <w:t> </w:t>
      </w:r>
      <w:r>
        <w:rPr/>
        <w:t>a sour taste, and a pH of 2-3. This makes lemon juice an inexpensive, readily available acid for use in educational Science experiments (Rogers, 2011; NPCS, 2012).</w:t>
      </w:r>
    </w:p>
    <w:p>
      <w:pPr>
        <w:pStyle w:val="BodyText"/>
        <w:spacing w:line="482" w:lineRule="auto" w:before="193"/>
        <w:ind w:left="1100" w:right="974" w:firstLine="720"/>
        <w:jc w:val="both"/>
      </w:pPr>
      <w:r>
        <w:rPr/>
        <w:t>Lemon</w:t>
      </w:r>
      <w:r>
        <w:rPr>
          <w:spacing w:val="-3"/>
        </w:rPr>
        <w:t> </w:t>
      </w:r>
      <w:r>
        <w:rPr/>
        <w:t>has</w:t>
      </w:r>
      <w:r>
        <w:rPr>
          <w:spacing w:val="-2"/>
        </w:rPr>
        <w:t> </w:t>
      </w:r>
      <w:r>
        <w:rPr/>
        <w:t>been</w:t>
      </w:r>
      <w:r>
        <w:rPr>
          <w:spacing w:val="-3"/>
        </w:rPr>
        <w:t> </w:t>
      </w:r>
      <w:r>
        <w:rPr/>
        <w:t>used</w:t>
      </w:r>
      <w:r>
        <w:rPr>
          <w:spacing w:val="-2"/>
        </w:rPr>
        <w:t> </w:t>
      </w:r>
      <w:r>
        <w:rPr/>
        <w:t>in</w:t>
      </w:r>
      <w:r>
        <w:rPr>
          <w:spacing w:val="-4"/>
        </w:rPr>
        <w:t> </w:t>
      </w:r>
      <w:r>
        <w:rPr/>
        <w:t>the</w:t>
      </w:r>
      <w:r>
        <w:rPr>
          <w:spacing w:val="-2"/>
        </w:rPr>
        <w:t> </w:t>
      </w:r>
      <w:r>
        <w:rPr/>
        <w:t>preparation</w:t>
      </w:r>
      <w:r>
        <w:rPr>
          <w:spacing w:val="-3"/>
        </w:rPr>
        <w:t> </w:t>
      </w:r>
      <w:r>
        <w:rPr/>
        <w:t>of</w:t>
      </w:r>
      <w:r>
        <w:rPr>
          <w:spacing w:val="-4"/>
        </w:rPr>
        <w:t> </w:t>
      </w:r>
      <w:r>
        <w:rPr/>
        <w:t>many</w:t>
      </w:r>
      <w:r>
        <w:rPr>
          <w:spacing w:val="-2"/>
        </w:rPr>
        <w:t> </w:t>
      </w:r>
      <w:r>
        <w:rPr/>
        <w:t>lemon-flavored</w:t>
      </w:r>
      <w:r>
        <w:rPr>
          <w:spacing w:val="-2"/>
        </w:rPr>
        <w:t> </w:t>
      </w:r>
      <w:r>
        <w:rPr/>
        <w:t>drinks</w:t>
      </w:r>
      <w:r>
        <w:rPr>
          <w:spacing w:val="-2"/>
        </w:rPr>
        <w:t> </w:t>
      </w:r>
      <w:r>
        <w:rPr/>
        <w:t>and</w:t>
      </w:r>
      <w:r>
        <w:rPr>
          <w:spacing w:val="-3"/>
        </w:rPr>
        <w:t> </w:t>
      </w:r>
      <w:r>
        <w:rPr/>
        <w:t>candies, including</w:t>
      </w:r>
      <w:r>
        <w:rPr>
          <w:spacing w:val="-1"/>
        </w:rPr>
        <w:t> </w:t>
      </w:r>
      <w:r>
        <w:rPr/>
        <w:t>lemonade (famous European</w:t>
      </w:r>
      <w:r>
        <w:rPr>
          <w:spacing w:val="-3"/>
        </w:rPr>
        <w:t> </w:t>
      </w:r>
      <w:r>
        <w:rPr/>
        <w:t>recipe), Sherbet lemon,</w:t>
      </w:r>
      <w:r>
        <w:rPr>
          <w:spacing w:val="-3"/>
        </w:rPr>
        <w:t> </w:t>
      </w:r>
      <w:r>
        <w:rPr/>
        <w:t>and</w:t>
      </w:r>
      <w:r>
        <w:rPr>
          <w:spacing w:val="-2"/>
        </w:rPr>
        <w:t> </w:t>
      </w:r>
      <w:r>
        <w:rPr/>
        <w:t>lemon</w:t>
      </w:r>
      <w:r>
        <w:rPr>
          <w:spacing w:val="-1"/>
        </w:rPr>
        <w:t> </w:t>
      </w:r>
      <w:r>
        <w:rPr/>
        <w:t>plus (NPCS,</w:t>
      </w:r>
      <w:r>
        <w:rPr>
          <w:spacing w:val="-3"/>
        </w:rPr>
        <w:t> </w:t>
      </w:r>
      <w:r>
        <w:rPr/>
        <w:t>2012).</w:t>
      </w:r>
    </w:p>
    <w:p>
      <w:pPr>
        <w:pStyle w:val="BodyText"/>
        <w:spacing w:line="480" w:lineRule="auto" w:before="195"/>
        <w:ind w:left="1100" w:right="975" w:firstLine="720"/>
        <w:jc w:val="both"/>
      </w:pPr>
      <w:r>
        <w:rPr/>
        <w:t>Squeezing a little bit of lemon juice on cut fruit and vegetables like apples, pears, avocados and potatoes can keep them from turning brown (i.e. it can be used as preservative) (Rogers, 2011).</w:t>
      </w:r>
    </w:p>
    <w:p>
      <w:pPr>
        <w:pStyle w:val="BodyText"/>
        <w:spacing w:line="482" w:lineRule="auto" w:before="199"/>
        <w:ind w:left="1100" w:right="981" w:firstLine="720"/>
        <w:jc w:val="both"/>
      </w:pPr>
      <w:r>
        <w:rPr/>
        <w:t>It has been used by many as emergency deodorant, odor destroyer and insect deterrent (Rogers, 2011).</w:t>
      </w:r>
    </w:p>
    <w:p>
      <w:pPr>
        <w:pStyle w:val="BodyText"/>
        <w:spacing w:line="482" w:lineRule="auto" w:before="195"/>
        <w:ind w:left="1100" w:right="975" w:firstLine="720"/>
        <w:jc w:val="both"/>
      </w:pPr>
      <w:r>
        <w:rPr/>
        <w:t>Lemon juice may also be used to soften water. The lemon juice in water makes for</w:t>
      </w:r>
      <w:r>
        <w:rPr>
          <w:spacing w:val="40"/>
        </w:rPr>
        <w:t> </w:t>
      </w:r>
      <w:r>
        <w:rPr/>
        <w:t>an excellent rinse. When using it after shampooing, hair-lemon juice is a natural hair color lightener. E.g. it is used in cleaning kitchen utensils and freshening houses; it is also used to brighten one’s laundry, and improve one’s hair, nails and skin (Shine, 2008; Rogers, 2011).</w:t>
      </w:r>
    </w:p>
    <w:p>
      <w:pPr>
        <w:pStyle w:val="BodyText"/>
        <w:spacing w:before="1"/>
      </w:pPr>
    </w:p>
    <w:p>
      <w:pPr>
        <w:pStyle w:val="Heading3"/>
        <w:numPr>
          <w:ilvl w:val="1"/>
          <w:numId w:val="1"/>
        </w:numPr>
        <w:tabs>
          <w:tab w:pos="3260" w:val="left" w:leader="none"/>
        </w:tabs>
        <w:spacing w:line="240" w:lineRule="auto" w:before="0" w:after="0"/>
        <w:ind w:left="3260" w:right="0" w:hanging="2880"/>
        <w:jc w:val="left"/>
      </w:pPr>
      <w:r>
        <w:rPr/>
        <w:t>Respiratory</w:t>
      </w:r>
      <w:r>
        <w:rPr>
          <w:spacing w:val="-9"/>
        </w:rPr>
        <w:t> </w:t>
      </w:r>
      <w:r>
        <w:rPr/>
        <w:t>Tract</w:t>
      </w:r>
      <w:r>
        <w:rPr>
          <w:spacing w:val="-8"/>
        </w:rPr>
        <w:t> </w:t>
      </w:r>
      <w:r>
        <w:rPr>
          <w:spacing w:val="-2"/>
        </w:rPr>
        <w:t>Infections</w:t>
      </w:r>
    </w:p>
    <w:p>
      <w:pPr>
        <w:pStyle w:val="BodyText"/>
        <w:rPr>
          <w:b/>
        </w:rPr>
      </w:pPr>
    </w:p>
    <w:p>
      <w:pPr>
        <w:pStyle w:val="BodyText"/>
        <w:spacing w:before="13"/>
        <w:rPr>
          <w:b/>
        </w:rPr>
      </w:pPr>
    </w:p>
    <w:p>
      <w:pPr>
        <w:pStyle w:val="BodyText"/>
        <w:spacing w:line="480" w:lineRule="auto"/>
        <w:ind w:left="1100" w:right="973" w:firstLine="720"/>
        <w:jc w:val="both"/>
      </w:pPr>
      <w:r>
        <w:rPr/>
        <w:t>Respiratory infectious diseases are mainly caused by viruses or bacteria that often interact with one another. However, since attachment of a pathogen to mucosal surfaces is the first step towards respiratory disease, and viral infection alters the defense of the host epithelium in general (Vareille </w:t>
      </w:r>
      <w:r>
        <w:rPr>
          <w:i/>
        </w:rPr>
        <w:t>et al</w:t>
      </w:r>
      <w:r>
        <w:rPr/>
        <w:t>., 2011), it has been postulated that viral presence may render the epithelium more susceptible to bacterial colonization</w:t>
      </w:r>
      <w:r>
        <w:rPr>
          <w:spacing w:val="-1"/>
        </w:rPr>
        <w:t> </w:t>
      </w:r>
      <w:r>
        <w:rPr/>
        <w:t>(Bogaert </w:t>
      </w:r>
      <w:r>
        <w:rPr>
          <w:i/>
        </w:rPr>
        <w:t>et al</w:t>
      </w:r>
      <w:r>
        <w:rPr/>
        <w:t>., 2004). Studies on mouse have shown that viral predisposition to bacterial attachment not only occurs</w:t>
      </w:r>
      <w:r>
        <w:rPr>
          <w:spacing w:val="40"/>
        </w:rPr>
        <w:t> </w:t>
      </w:r>
      <w:r>
        <w:rPr/>
        <w:t>in</w:t>
      </w:r>
      <w:r>
        <w:rPr>
          <w:spacing w:val="40"/>
        </w:rPr>
        <w:t> </w:t>
      </w:r>
      <w:r>
        <w:rPr/>
        <w:t>case</w:t>
      </w:r>
      <w:r>
        <w:rPr>
          <w:spacing w:val="40"/>
        </w:rPr>
        <w:t> </w:t>
      </w:r>
      <w:r>
        <w:rPr/>
        <w:t>of</w:t>
      </w:r>
      <w:r>
        <w:rPr>
          <w:spacing w:val="40"/>
        </w:rPr>
        <w:t> </w:t>
      </w:r>
      <w:r>
        <w:rPr/>
        <w:t>a</w:t>
      </w:r>
      <w:r>
        <w:rPr>
          <w:spacing w:val="40"/>
        </w:rPr>
        <w:t> </w:t>
      </w:r>
      <w:r>
        <w:rPr/>
        <w:t>simultaneous</w:t>
      </w:r>
      <w:r>
        <w:rPr>
          <w:spacing w:val="40"/>
        </w:rPr>
        <w:t> </w:t>
      </w:r>
      <w:r>
        <w:rPr/>
        <w:t>infection,</w:t>
      </w:r>
      <w:r>
        <w:rPr>
          <w:spacing w:val="40"/>
        </w:rPr>
        <w:t> </w:t>
      </w:r>
      <w:r>
        <w:rPr/>
        <w:t>but</w:t>
      </w:r>
      <w:r>
        <w:rPr>
          <w:spacing w:val="40"/>
        </w:rPr>
        <w:t> </w:t>
      </w:r>
      <w:r>
        <w:rPr/>
        <w:t>also</w:t>
      </w:r>
      <w:r>
        <w:rPr>
          <w:spacing w:val="40"/>
        </w:rPr>
        <w:t> </w:t>
      </w:r>
      <w:r>
        <w:rPr/>
        <w:t>up</w:t>
      </w:r>
      <w:r>
        <w:rPr>
          <w:spacing w:val="40"/>
        </w:rPr>
        <w:t> </w:t>
      </w:r>
      <w:r>
        <w:rPr/>
        <w:t>to</w:t>
      </w:r>
      <w:r>
        <w:rPr>
          <w:spacing w:val="40"/>
        </w:rPr>
        <w:t> </w:t>
      </w:r>
      <w:r>
        <w:rPr/>
        <w:t>a</w:t>
      </w:r>
      <w:r>
        <w:rPr>
          <w:spacing w:val="40"/>
        </w:rPr>
        <w:t> </w:t>
      </w:r>
      <w:r>
        <w:rPr/>
        <w:t>week</w:t>
      </w:r>
      <w:r>
        <w:rPr>
          <w:spacing w:val="40"/>
        </w:rPr>
        <w:t> </w:t>
      </w:r>
      <w:r>
        <w:rPr/>
        <w:t>after</w:t>
      </w:r>
      <w:r>
        <w:rPr>
          <w:spacing w:val="40"/>
        </w:rPr>
        <w:t> </w:t>
      </w:r>
      <w:r>
        <w:rPr/>
        <w:t>initial</w:t>
      </w:r>
      <w:r>
        <w:rPr>
          <w:spacing w:val="40"/>
        </w:rPr>
        <w:t> </w:t>
      </w:r>
      <w:r>
        <w:rPr/>
        <w:t>viral infection (Avadhanula </w:t>
      </w:r>
      <w:r>
        <w:rPr>
          <w:i/>
        </w:rPr>
        <w:t>et al</w:t>
      </w:r>
      <w:r>
        <w:rPr/>
        <w:t>., 2006; Hament </w:t>
      </w:r>
      <w:r>
        <w:rPr>
          <w:i/>
        </w:rPr>
        <w:t>et al</w:t>
      </w:r>
      <w:r>
        <w:rPr/>
        <w:t>., 2005; Stark </w:t>
      </w:r>
      <w:r>
        <w:rPr>
          <w:i/>
        </w:rPr>
        <w:t>et al</w:t>
      </w:r>
      <w:r>
        <w:rPr/>
        <w:t>., 2006).</w:t>
      </w:r>
    </w:p>
    <w:p>
      <w:pPr>
        <w:spacing w:after="0" w:line="480" w:lineRule="auto"/>
        <w:jc w:val="both"/>
        <w:sectPr>
          <w:pgSz w:w="11910" w:h="16840"/>
          <w:pgMar w:header="0" w:footer="1055" w:top="1380" w:bottom="1240" w:left="1060" w:right="460"/>
        </w:sectPr>
      </w:pPr>
    </w:p>
    <w:p>
      <w:pPr>
        <w:pStyle w:val="BodyText"/>
        <w:spacing w:line="480" w:lineRule="auto" w:before="38"/>
        <w:ind w:left="1100" w:right="973" w:firstLine="720"/>
        <w:jc w:val="both"/>
      </w:pPr>
      <w:r>
        <w:rPr/>
        <w:t>The epithelial layer of the respiratory tract mucosa is the first line of defense against a bacterial invader: loss of barrier function could therefore lead to entry of pathogens. Viruses generally replicate intracellularly and can subsequently disarrange cellular processes or kill infected cells through metabolic exhaustion or direct lysis. Induced cell death may in turn lead to denudation of the epithelial layer (Suzuki and Bakaletz, 1994), exposing the basement membrane.</w:t>
      </w:r>
      <w:r>
        <w:rPr>
          <w:spacing w:val="-3"/>
        </w:rPr>
        <w:t> </w:t>
      </w:r>
      <w:r>
        <w:rPr>
          <w:i/>
        </w:rPr>
        <w:t>Streptococcus pneumoniae </w:t>
      </w:r>
      <w:r>
        <w:rPr/>
        <w:t>was found to bind strongly to fibronectin, which</w:t>
      </w:r>
      <w:r>
        <w:rPr>
          <w:spacing w:val="40"/>
        </w:rPr>
        <w:t> </w:t>
      </w:r>
      <w:r>
        <w:rPr/>
        <w:t>is</w:t>
      </w:r>
      <w:r>
        <w:rPr>
          <w:spacing w:val="40"/>
        </w:rPr>
        <w:t> </w:t>
      </w:r>
      <w:r>
        <w:rPr/>
        <w:t>prominently</w:t>
      </w:r>
      <w:r>
        <w:rPr>
          <w:spacing w:val="40"/>
        </w:rPr>
        <w:t> </w:t>
      </w:r>
      <w:r>
        <w:rPr/>
        <w:t>exposed</w:t>
      </w:r>
      <w:r>
        <w:rPr>
          <w:spacing w:val="40"/>
        </w:rPr>
        <w:t> </w:t>
      </w:r>
      <w:r>
        <w:rPr/>
        <w:t>at</w:t>
      </w:r>
      <w:r>
        <w:rPr>
          <w:spacing w:val="40"/>
        </w:rPr>
        <w:t> </w:t>
      </w:r>
      <w:r>
        <w:rPr/>
        <w:t>the</w:t>
      </w:r>
      <w:r>
        <w:rPr>
          <w:spacing w:val="40"/>
        </w:rPr>
        <w:t> </w:t>
      </w:r>
      <w:r>
        <w:rPr/>
        <w:t>basement</w:t>
      </w:r>
      <w:r>
        <w:rPr>
          <w:spacing w:val="40"/>
        </w:rPr>
        <w:t> </w:t>
      </w:r>
      <w:r>
        <w:rPr/>
        <w:t>membrane</w:t>
      </w:r>
      <w:r>
        <w:rPr>
          <w:spacing w:val="40"/>
        </w:rPr>
        <w:t> </w:t>
      </w:r>
      <w:r>
        <w:rPr/>
        <w:t>after</w:t>
      </w:r>
      <w:r>
        <w:rPr>
          <w:spacing w:val="40"/>
        </w:rPr>
        <w:t> </w:t>
      </w:r>
      <w:r>
        <w:rPr/>
        <w:t>denudation</w:t>
      </w:r>
      <w:r>
        <w:rPr>
          <w:spacing w:val="40"/>
        </w:rPr>
        <w:t> </w:t>
      </w:r>
      <w:r>
        <w:rPr/>
        <w:t>of epithelium</w:t>
      </w:r>
      <w:r>
        <w:rPr>
          <w:spacing w:val="-2"/>
        </w:rPr>
        <w:t> </w:t>
      </w:r>
      <w:r>
        <w:rPr/>
        <w:t>(van</w:t>
      </w:r>
      <w:r>
        <w:rPr>
          <w:spacing w:val="80"/>
        </w:rPr>
        <w:t> </w:t>
      </w:r>
      <w:r>
        <w:rPr/>
        <w:t>der</w:t>
      </w:r>
      <w:r>
        <w:rPr>
          <w:spacing w:val="80"/>
        </w:rPr>
        <w:t> </w:t>
      </w:r>
      <w:r>
        <w:rPr/>
        <w:t>Flier</w:t>
      </w:r>
      <w:r>
        <w:rPr>
          <w:spacing w:val="80"/>
        </w:rPr>
        <w:t> </w:t>
      </w:r>
      <w:r>
        <w:rPr>
          <w:i/>
        </w:rPr>
        <w:t>et</w:t>
      </w:r>
      <w:r>
        <w:rPr>
          <w:i/>
          <w:spacing w:val="80"/>
        </w:rPr>
        <w:t> </w:t>
      </w:r>
      <w:r>
        <w:rPr>
          <w:i/>
        </w:rPr>
        <w:t>al</w:t>
      </w:r>
      <w:r>
        <w:rPr/>
        <w:t>.,</w:t>
      </w:r>
      <w:r>
        <w:rPr>
          <w:spacing w:val="80"/>
        </w:rPr>
        <w:t> </w:t>
      </w:r>
      <w:r>
        <w:rPr/>
        <w:t>1995).</w:t>
      </w:r>
      <w:r>
        <w:rPr>
          <w:spacing w:val="80"/>
        </w:rPr>
        <w:t> </w:t>
      </w:r>
      <w:r>
        <w:rPr/>
        <w:t>Similarly, </w:t>
      </w:r>
      <w:r>
        <w:rPr>
          <w:i/>
        </w:rPr>
        <w:t>Staphylococcus</w:t>
      </w:r>
      <w:r>
        <w:rPr>
          <w:i/>
          <w:spacing w:val="80"/>
        </w:rPr>
        <w:t> </w:t>
      </w:r>
      <w:r>
        <w:rPr>
          <w:i/>
        </w:rPr>
        <w:t>aureus </w:t>
      </w:r>
      <w:r>
        <w:rPr/>
        <w:t>(Heilmann, 2011)</w:t>
      </w:r>
      <w:r>
        <w:rPr>
          <w:spacing w:val="-2"/>
        </w:rPr>
        <w:t> </w:t>
      </w:r>
      <w:r>
        <w:rPr/>
        <w:t>and</w:t>
      </w:r>
      <w:r>
        <w:rPr>
          <w:spacing w:val="-2"/>
        </w:rPr>
        <w:t> </w:t>
      </w:r>
      <w:r>
        <w:rPr>
          <w:i/>
        </w:rPr>
        <w:t>Moraxella catarrhalis </w:t>
      </w:r>
      <w:r>
        <w:rPr/>
        <w:t>(Tan </w:t>
      </w:r>
      <w:r>
        <w:rPr>
          <w:i/>
        </w:rPr>
        <w:t>et al</w:t>
      </w:r>
      <w:r>
        <w:rPr/>
        <w:t>., 2005) have been shown to bind to extracellular matrix proteins, suggesting that these species might also benefit from virus-induced damage to epithelium.</w:t>
      </w:r>
    </w:p>
    <w:p>
      <w:pPr>
        <w:pStyle w:val="BodyText"/>
        <w:spacing w:line="480" w:lineRule="auto" w:before="160"/>
        <w:ind w:left="1100" w:right="972" w:firstLine="720"/>
        <w:jc w:val="both"/>
      </w:pPr>
      <w:r>
        <w:rPr/>
        <w:t>However, respiratory viruses may also induce changes in immune function favourable to bacterial invasion: fewer Natural Killer (NK) cells may be recruited into the tissue and their functionality may be suboptimal as a consequence of viral-infection. Virus- induced IFN-α and IFN-β may impair recruitment and functionality of neutrophils (Stark </w:t>
      </w:r>
      <w:r>
        <w:rPr>
          <w:i/>
        </w:rPr>
        <w:t>et</w:t>
      </w:r>
      <w:r>
        <w:rPr>
          <w:i/>
          <w:spacing w:val="40"/>
        </w:rPr>
        <w:t> </w:t>
      </w:r>
      <w:r>
        <w:rPr>
          <w:i/>
        </w:rPr>
        <w:t>al</w:t>
      </w:r>
      <w:r>
        <w:rPr/>
        <w:t>., 2006), and enhanced opoptosis of neutrophils recruited to combat the viral invader, thereby increasing susceptibility to bacterial superinfection. Furthermore, IFN-γ seems to negatively affect the activity of macrophages (Figure 2.0). Viral infected monocytes appear less</w:t>
      </w:r>
      <w:r>
        <w:rPr>
          <w:spacing w:val="-1"/>
        </w:rPr>
        <w:t> </w:t>
      </w:r>
      <w:r>
        <w:rPr/>
        <w:t>effective</w:t>
      </w:r>
      <w:r>
        <w:rPr>
          <w:spacing w:val="-1"/>
        </w:rPr>
        <w:t> </w:t>
      </w:r>
      <w:r>
        <w:rPr/>
        <w:t>in</w:t>
      </w:r>
      <w:r>
        <w:rPr>
          <w:spacing w:val="-3"/>
        </w:rPr>
        <w:t> </w:t>
      </w:r>
      <w:r>
        <w:rPr/>
        <w:t>ingesting</w:t>
      </w:r>
      <w:r>
        <w:rPr>
          <w:spacing w:val="-2"/>
        </w:rPr>
        <w:t> </w:t>
      </w:r>
      <w:r>
        <w:rPr/>
        <w:t>and</w:t>
      </w:r>
      <w:r>
        <w:rPr>
          <w:spacing w:val="-3"/>
        </w:rPr>
        <w:t> </w:t>
      </w:r>
      <w:r>
        <w:rPr/>
        <w:t>killing</w:t>
      </w:r>
      <w:r>
        <w:rPr>
          <w:spacing w:val="-2"/>
        </w:rPr>
        <w:t> </w:t>
      </w:r>
      <w:r>
        <w:rPr/>
        <w:t>bacteria,</w:t>
      </w:r>
      <w:r>
        <w:rPr>
          <w:spacing w:val="-1"/>
        </w:rPr>
        <w:t> </w:t>
      </w:r>
      <w:r>
        <w:rPr/>
        <w:t>predisposing</w:t>
      </w:r>
      <w:r>
        <w:rPr>
          <w:spacing w:val="-2"/>
        </w:rPr>
        <w:t> </w:t>
      </w:r>
      <w:r>
        <w:rPr/>
        <w:t>them</w:t>
      </w:r>
      <w:r>
        <w:rPr>
          <w:spacing w:val="-2"/>
        </w:rPr>
        <w:t> </w:t>
      </w:r>
      <w:r>
        <w:rPr/>
        <w:t>to bacterial</w:t>
      </w:r>
      <w:r>
        <w:rPr>
          <w:spacing w:val="-2"/>
        </w:rPr>
        <w:t> </w:t>
      </w:r>
      <w:r>
        <w:rPr/>
        <w:t>overgrowth</w:t>
      </w:r>
      <w:r>
        <w:rPr>
          <w:spacing w:val="-2"/>
        </w:rPr>
        <w:t> </w:t>
      </w:r>
      <w:r>
        <w:rPr/>
        <w:t>and </w:t>
      </w:r>
      <w:r>
        <w:rPr>
          <w:spacing w:val="-2"/>
        </w:rPr>
        <w:t>invasion.</w:t>
      </w:r>
    </w:p>
    <w:p>
      <w:pPr>
        <w:spacing w:after="0" w:line="480" w:lineRule="auto"/>
        <w:jc w:val="both"/>
        <w:sectPr>
          <w:pgSz w:w="11910" w:h="16840"/>
          <w:pgMar w:header="0" w:footer="1055" w:top="1380" w:bottom="1240" w:left="1060" w:right="460"/>
        </w:sectPr>
      </w:pPr>
    </w:p>
    <w:p>
      <w:pPr>
        <w:pStyle w:val="BodyText"/>
        <w:ind w:left="1130"/>
        <w:rPr>
          <w:sz w:val="20"/>
        </w:rPr>
      </w:pPr>
      <w:r>
        <w:rPr>
          <w:sz w:val="20"/>
        </w:rPr>
        <w:drawing>
          <wp:inline distT="0" distB="0" distL="0" distR="0">
            <wp:extent cx="5390732" cy="4924044"/>
            <wp:effectExtent l="0" t="0" r="0" b="0"/>
            <wp:docPr id="5" name="Image 5"/>
            <wp:cNvGraphicFramePr>
              <a:graphicFrameLocks/>
            </wp:cNvGraphicFramePr>
            <a:graphic>
              <a:graphicData uri="http://schemas.openxmlformats.org/drawingml/2006/picture">
                <pic:pic>
                  <pic:nvPicPr>
                    <pic:cNvPr id="5" name="Image 5"/>
                    <pic:cNvPicPr/>
                  </pic:nvPicPr>
                  <pic:blipFill>
                    <a:blip r:embed="rId77" cstate="print"/>
                    <a:stretch>
                      <a:fillRect/>
                    </a:stretch>
                  </pic:blipFill>
                  <pic:spPr>
                    <a:xfrm>
                      <a:off x="0" y="0"/>
                      <a:ext cx="5390732" cy="4924044"/>
                    </a:xfrm>
                    <a:prstGeom prst="rect">
                      <a:avLst/>
                    </a:prstGeom>
                  </pic:spPr>
                </pic:pic>
              </a:graphicData>
            </a:graphic>
          </wp:inline>
        </w:drawing>
      </w:r>
      <w:r>
        <w:rPr>
          <w:sz w:val="20"/>
        </w:rPr>
      </w:r>
    </w:p>
    <w:p>
      <w:pPr>
        <w:spacing w:before="180"/>
        <w:ind w:left="1100" w:right="0" w:firstLine="0"/>
        <w:jc w:val="left"/>
        <w:rPr>
          <w:sz w:val="22"/>
        </w:rPr>
      </w:pPr>
      <w:r>
        <w:rPr>
          <w:b/>
          <w:sz w:val="22"/>
        </w:rPr>
        <w:t>Figure</w:t>
      </w:r>
      <w:r>
        <w:rPr>
          <w:b/>
          <w:spacing w:val="-9"/>
          <w:sz w:val="22"/>
        </w:rPr>
        <w:t> </w:t>
      </w:r>
      <w:r>
        <w:rPr>
          <w:b/>
          <w:sz w:val="22"/>
        </w:rPr>
        <w:t>2.1:</w:t>
      </w:r>
      <w:r>
        <w:rPr>
          <w:b/>
          <w:spacing w:val="-4"/>
          <w:sz w:val="22"/>
        </w:rPr>
        <w:t> </w:t>
      </w:r>
      <w:r>
        <w:rPr>
          <w:b/>
          <w:sz w:val="22"/>
        </w:rPr>
        <w:t>Viral–bacterial</w:t>
      </w:r>
      <w:r>
        <w:rPr>
          <w:b/>
          <w:spacing w:val="-3"/>
          <w:sz w:val="22"/>
        </w:rPr>
        <w:t> </w:t>
      </w:r>
      <w:r>
        <w:rPr>
          <w:b/>
          <w:sz w:val="22"/>
        </w:rPr>
        <w:t>interactions</w:t>
      </w:r>
      <w:r>
        <w:rPr>
          <w:b/>
          <w:spacing w:val="-4"/>
          <w:sz w:val="22"/>
        </w:rPr>
        <w:t> </w:t>
      </w:r>
      <w:r>
        <w:rPr>
          <w:b/>
          <w:sz w:val="22"/>
        </w:rPr>
        <w:t>(</w:t>
      </w:r>
      <w:r>
        <w:rPr>
          <w:sz w:val="22"/>
        </w:rPr>
        <w:t>Astrid</w:t>
      </w:r>
      <w:r>
        <w:rPr>
          <w:spacing w:val="-6"/>
          <w:sz w:val="22"/>
        </w:rPr>
        <w:t> </w:t>
      </w:r>
      <w:r>
        <w:rPr>
          <w:i/>
          <w:sz w:val="22"/>
        </w:rPr>
        <w:t>et</w:t>
      </w:r>
      <w:r>
        <w:rPr>
          <w:i/>
          <w:spacing w:val="-3"/>
          <w:sz w:val="22"/>
        </w:rPr>
        <w:t> </w:t>
      </w:r>
      <w:r>
        <w:rPr>
          <w:i/>
          <w:sz w:val="22"/>
        </w:rPr>
        <w:t>al</w:t>
      </w:r>
      <w:r>
        <w:rPr>
          <w:sz w:val="22"/>
        </w:rPr>
        <w:t>.,</w:t>
      </w:r>
      <w:r>
        <w:rPr>
          <w:spacing w:val="-6"/>
          <w:sz w:val="22"/>
        </w:rPr>
        <w:t> </w:t>
      </w:r>
      <w:r>
        <w:rPr>
          <w:spacing w:val="-2"/>
          <w:sz w:val="22"/>
        </w:rPr>
        <w:t>2013)</w:t>
      </w:r>
    </w:p>
    <w:p>
      <w:pPr>
        <w:pStyle w:val="BodyText"/>
      </w:pPr>
    </w:p>
    <w:p>
      <w:pPr>
        <w:pStyle w:val="BodyText"/>
        <w:spacing w:before="214"/>
      </w:pPr>
    </w:p>
    <w:p>
      <w:pPr>
        <w:pStyle w:val="BodyText"/>
        <w:spacing w:line="480" w:lineRule="auto"/>
        <w:ind w:left="1100" w:right="974" w:firstLine="720"/>
        <w:jc w:val="both"/>
      </w:pPr>
      <w:r>
        <w:rPr/>
        <w:t>Respiratory tract infection</w:t>
      </w:r>
      <w:r>
        <w:rPr>
          <w:spacing w:val="-4"/>
        </w:rPr>
        <w:t> </w:t>
      </w:r>
      <w:r>
        <w:rPr/>
        <w:t>refers to any </w:t>
      </w:r>
      <w:hyperlink r:id="rId78">
        <w:r>
          <w:rPr/>
          <w:t>infectious diseases</w:t>
        </w:r>
      </w:hyperlink>
      <w:r>
        <w:rPr/>
        <w:t> involving the</w:t>
      </w:r>
      <w:r>
        <w:rPr>
          <w:spacing w:val="-4"/>
        </w:rPr>
        <w:t> </w:t>
      </w:r>
      <w:hyperlink r:id="rId79">
        <w:r>
          <w:rPr/>
          <w:t>respiratory</w:t>
        </w:r>
      </w:hyperlink>
      <w:r>
        <w:rPr/>
        <w:t> </w:t>
      </w:r>
      <w:hyperlink r:id="rId79">
        <w:r>
          <w:rPr/>
          <w:t>tract.</w:t>
        </w:r>
      </w:hyperlink>
      <w:r>
        <w:rPr/>
        <w:t> Infections of the respiratory tract are among the commonest types of infections, and account for much consultation in general practice and a high percentage of acute hospital admissions (Jeremy </w:t>
      </w:r>
      <w:r>
        <w:rPr>
          <w:i/>
        </w:rPr>
        <w:t>et al., </w:t>
      </w:r>
      <w:r>
        <w:rPr/>
        <w:t>2006). It causes at least one-half of all symptomatic illnesses in a community, exacting great tolls that can be measured as morbidity, absenteeism from</w:t>
      </w:r>
      <w:r>
        <w:rPr>
          <w:spacing w:val="40"/>
        </w:rPr>
        <w:t> </w:t>
      </w:r>
      <w:r>
        <w:rPr/>
        <w:t>school and works, health care costs, and overuse of antibiotics leading to the emergence of drug-resistant</w:t>
      </w:r>
      <w:r>
        <w:rPr>
          <w:spacing w:val="-1"/>
        </w:rPr>
        <w:t> </w:t>
      </w:r>
      <w:r>
        <w:rPr/>
        <w:t>bacteria. The most</w:t>
      </w:r>
      <w:r>
        <w:rPr>
          <w:spacing w:val="-2"/>
        </w:rPr>
        <w:t> </w:t>
      </w:r>
      <w:r>
        <w:rPr/>
        <w:t>widespread</w:t>
      </w:r>
      <w:r>
        <w:rPr>
          <w:spacing w:val="-1"/>
        </w:rPr>
        <w:t> </w:t>
      </w:r>
      <w:r>
        <w:rPr/>
        <w:t>respiratory tract infection</w:t>
      </w:r>
      <w:r>
        <w:rPr>
          <w:spacing w:val="-1"/>
        </w:rPr>
        <w:t> </w:t>
      </w:r>
      <w:r>
        <w:rPr/>
        <w:t>is</w:t>
      </w:r>
      <w:r>
        <w:rPr>
          <w:spacing w:val="-3"/>
        </w:rPr>
        <w:t> </w:t>
      </w:r>
      <w:r>
        <w:rPr/>
        <w:t>the </w:t>
      </w:r>
      <w:hyperlink r:id="rId80">
        <w:r>
          <w:rPr/>
          <w:t>common</w:t>
        </w:r>
        <w:r>
          <w:rPr>
            <w:spacing w:val="-1"/>
          </w:rPr>
          <w:t> </w:t>
        </w:r>
        <w:r>
          <w:rPr/>
          <w:t>cold</w:t>
        </w:r>
      </w:hyperlink>
      <w:r>
        <w:rPr/>
        <w:t>. The common cold accounts for up to three-quarters of all illnesses in young infants and up</w:t>
      </w:r>
      <w:r>
        <w:rPr>
          <w:spacing w:val="80"/>
        </w:rPr>
        <w:t> </w:t>
      </w:r>
      <w:r>
        <w:rPr/>
        <w:t>to one-half</w:t>
      </w:r>
      <w:r>
        <w:rPr>
          <w:spacing w:val="-4"/>
        </w:rPr>
        <w:t> </w:t>
      </w:r>
      <w:r>
        <w:rPr/>
        <w:t>of</w:t>
      </w:r>
      <w:r>
        <w:rPr>
          <w:spacing w:val="-1"/>
        </w:rPr>
        <w:t> </w:t>
      </w:r>
      <w:r>
        <w:rPr/>
        <w:t>illness in</w:t>
      </w:r>
      <w:r>
        <w:rPr>
          <w:spacing w:val="-3"/>
        </w:rPr>
        <w:t> </w:t>
      </w:r>
      <w:r>
        <w:rPr/>
        <w:t>adults (Charles,</w:t>
      </w:r>
      <w:r>
        <w:rPr>
          <w:spacing w:val="-1"/>
        </w:rPr>
        <w:t> </w:t>
      </w:r>
      <w:r>
        <w:rPr/>
        <w:t>2011).</w:t>
      </w:r>
      <w:r>
        <w:rPr>
          <w:spacing w:val="-1"/>
        </w:rPr>
        <w:t> </w:t>
      </w:r>
      <w:r>
        <w:rPr/>
        <w:t>The</w:t>
      </w:r>
      <w:r>
        <w:rPr>
          <w:spacing w:val="-1"/>
        </w:rPr>
        <w:t> </w:t>
      </w:r>
      <w:r>
        <w:rPr/>
        <w:t>importance</w:t>
      </w:r>
      <w:r>
        <w:rPr>
          <w:spacing w:val="-1"/>
        </w:rPr>
        <w:t> </w:t>
      </w:r>
      <w:r>
        <w:rPr/>
        <w:t>of</w:t>
      </w:r>
      <w:r>
        <w:rPr>
          <w:spacing w:val="-1"/>
        </w:rPr>
        <w:t> </w:t>
      </w:r>
      <w:r>
        <w:rPr/>
        <w:t>otitis</w:t>
      </w:r>
      <w:r>
        <w:rPr>
          <w:spacing w:val="-1"/>
        </w:rPr>
        <w:t> </w:t>
      </w:r>
      <w:r>
        <w:rPr/>
        <w:t>media</w:t>
      </w:r>
      <w:r>
        <w:rPr>
          <w:spacing w:val="-1"/>
        </w:rPr>
        <w:t> </w:t>
      </w:r>
      <w:r>
        <w:rPr/>
        <w:t>in</w:t>
      </w:r>
      <w:r>
        <w:rPr>
          <w:spacing w:val="-3"/>
        </w:rPr>
        <w:t> </w:t>
      </w:r>
      <w:r>
        <w:rPr/>
        <w:t>primary</w:t>
      </w:r>
      <w:r>
        <w:rPr>
          <w:spacing w:val="-1"/>
        </w:rPr>
        <w:t> </w:t>
      </w:r>
      <w:r>
        <w:rPr/>
        <w:t>care</w:t>
      </w:r>
    </w:p>
    <w:p>
      <w:pPr>
        <w:spacing w:after="0" w:line="480" w:lineRule="auto"/>
        <w:jc w:val="both"/>
        <w:sectPr>
          <w:pgSz w:w="11910" w:h="16840"/>
          <w:pgMar w:header="0" w:footer="1055" w:top="1420" w:bottom="1240" w:left="1060" w:right="460"/>
        </w:sectPr>
      </w:pPr>
    </w:p>
    <w:p>
      <w:pPr>
        <w:pStyle w:val="BodyText"/>
        <w:spacing w:line="480" w:lineRule="auto" w:before="38"/>
        <w:ind w:left="1100" w:right="974"/>
        <w:jc w:val="both"/>
      </w:pPr>
      <w:r>
        <w:rPr/>
        <w:t>also cannot be overemphasized, especially in pediatrics practice; By age 5, between 75% to 95% of children have had at least one episode of otitis media (Charles, 2011). </w:t>
      </w:r>
      <w:r>
        <w:rPr>
          <w:i/>
        </w:rPr>
        <w:t>Pseudomonas aeruginosa </w:t>
      </w:r>
      <w:r>
        <w:rPr/>
        <w:t>and </w:t>
      </w:r>
      <w:r>
        <w:rPr>
          <w:i/>
        </w:rPr>
        <w:t>Staphylococcus aureus </w:t>
      </w:r>
      <w:r>
        <w:rPr/>
        <w:t>are common causes of otitis externa. Group A </w:t>
      </w:r>
      <w:r>
        <w:rPr>
          <w:i/>
        </w:rPr>
        <w:t>Streptococci </w:t>
      </w:r>
      <w:r>
        <w:rPr/>
        <w:t>and various gram-negative rods sometimes cause otitis media, and aerobic bacteria are involved in up to 25% of cases (Charles, 2011).</w:t>
      </w:r>
    </w:p>
    <w:p>
      <w:pPr>
        <w:pStyle w:val="BodyText"/>
        <w:spacing w:before="13"/>
      </w:pPr>
    </w:p>
    <w:p>
      <w:pPr>
        <w:pStyle w:val="BodyText"/>
        <w:spacing w:line="480" w:lineRule="auto"/>
        <w:ind w:left="1100" w:right="978" w:firstLine="720"/>
        <w:jc w:val="both"/>
      </w:pPr>
      <w:r>
        <w:rPr/>
        <w:t>Respiratory tract diseases are diseases that affect the air passages, including the nasal passages, the bronchi and the lungs. They range from acute infections, such as pneumonia and bronchitis, to chronic conditions such as asthma and chronic obstructive pulmonary disease.</w:t>
      </w:r>
    </w:p>
    <w:p>
      <w:pPr>
        <w:pStyle w:val="BodyText"/>
        <w:spacing w:before="10"/>
      </w:pPr>
    </w:p>
    <w:p>
      <w:pPr>
        <w:pStyle w:val="BodyText"/>
        <w:tabs>
          <w:tab w:pos="3054" w:val="left" w:leader="none"/>
          <w:tab w:pos="4538" w:val="left" w:leader="none"/>
          <w:tab w:pos="5332" w:val="left" w:leader="none"/>
          <w:tab w:pos="6242" w:val="left" w:leader="none"/>
          <w:tab w:pos="7384" w:val="left" w:leader="none"/>
          <w:tab w:pos="8980" w:val="left" w:leader="none"/>
        </w:tabs>
        <w:spacing w:line="480" w:lineRule="auto"/>
        <w:ind w:left="1100" w:right="972" w:firstLine="720"/>
        <w:jc w:val="both"/>
      </w:pPr>
      <w:r>
        <w:rPr>
          <w:spacing w:val="-2"/>
        </w:rPr>
        <w:t>Typical</w:t>
      </w:r>
      <w:r>
        <w:rPr/>
        <w:tab/>
      </w:r>
      <w:r>
        <w:rPr>
          <w:spacing w:val="-2"/>
        </w:rPr>
        <w:t>infections</w:t>
      </w:r>
      <w:r>
        <w:rPr/>
        <w:tab/>
      </w:r>
      <w:r>
        <w:rPr>
          <w:spacing w:val="-6"/>
        </w:rPr>
        <w:t>of</w:t>
      </w:r>
      <w:r>
        <w:rPr/>
        <w:tab/>
      </w:r>
      <w:r>
        <w:rPr>
          <w:spacing w:val="-4"/>
        </w:rPr>
        <w:t>the</w:t>
      </w:r>
      <w:r>
        <w:rPr/>
        <w:tab/>
      </w:r>
      <w:r>
        <w:rPr>
          <w:spacing w:val="-2"/>
        </w:rPr>
        <w:t>upper</w:t>
      </w:r>
      <w:r>
        <w:rPr/>
        <w:tab/>
      </w:r>
      <w:r>
        <w:rPr>
          <w:spacing w:val="-2"/>
        </w:rPr>
        <w:t>respiratory</w:t>
      </w:r>
      <w:r>
        <w:rPr/>
        <w:tab/>
      </w:r>
      <w:r>
        <w:rPr>
          <w:spacing w:val="-2"/>
        </w:rPr>
        <w:t>tract </w:t>
      </w:r>
      <w:r>
        <w:rPr/>
        <w:t>include</w:t>
      </w:r>
      <w:r>
        <w:rPr>
          <w:spacing w:val="-2"/>
        </w:rPr>
        <w:t> </w:t>
      </w:r>
      <w:hyperlink r:id="rId81">
        <w:r>
          <w:rPr/>
          <w:t>tonsillitis,</w:t>
        </w:r>
      </w:hyperlink>
      <w:r>
        <w:rPr>
          <w:spacing w:val="-2"/>
        </w:rPr>
        <w:t> </w:t>
      </w:r>
      <w:hyperlink r:id="rId82">
        <w:r>
          <w:rPr/>
          <w:t>pharyngitis,</w:t>
        </w:r>
      </w:hyperlink>
      <w:r>
        <w:rPr>
          <w:spacing w:val="-2"/>
        </w:rPr>
        <w:t> </w:t>
      </w:r>
      <w:hyperlink r:id="rId83">
        <w:r>
          <w:rPr/>
          <w:t>laryngitis,</w:t>
        </w:r>
      </w:hyperlink>
      <w:r>
        <w:rPr>
          <w:spacing w:val="-2"/>
        </w:rPr>
        <w:t> </w:t>
      </w:r>
      <w:hyperlink r:id="rId84">
        <w:r>
          <w:rPr/>
          <w:t>sinusitis</w:t>
        </w:r>
      </w:hyperlink>
      <w:r>
        <w:rPr/>
        <w:t>,</w:t>
      </w:r>
      <w:r>
        <w:rPr>
          <w:spacing w:val="-4"/>
        </w:rPr>
        <w:t> </w:t>
      </w:r>
      <w:hyperlink r:id="rId85">
        <w:r>
          <w:rPr/>
          <w:t>otitis</w:t>
        </w:r>
        <w:r>
          <w:rPr>
            <w:spacing w:val="-2"/>
          </w:rPr>
          <w:t> </w:t>
        </w:r>
        <w:r>
          <w:rPr/>
          <w:t>media</w:t>
        </w:r>
      </w:hyperlink>
      <w:r>
        <w:rPr/>
        <w:t>,</w:t>
      </w:r>
      <w:r>
        <w:rPr>
          <w:spacing w:val="-2"/>
        </w:rPr>
        <w:t> </w:t>
      </w:r>
      <w:r>
        <w:rPr/>
        <w:t>certain</w:t>
      </w:r>
      <w:r>
        <w:rPr>
          <w:spacing w:val="-2"/>
        </w:rPr>
        <w:t> </w:t>
      </w:r>
      <w:r>
        <w:rPr/>
        <w:t>types</w:t>
      </w:r>
      <w:r>
        <w:rPr>
          <w:spacing w:val="-4"/>
        </w:rPr>
        <w:t> </w:t>
      </w:r>
      <w:r>
        <w:rPr/>
        <w:t>of</w:t>
      </w:r>
      <w:r>
        <w:rPr>
          <w:spacing w:val="-2"/>
        </w:rPr>
        <w:t> </w:t>
      </w:r>
      <w:hyperlink r:id="rId86">
        <w:r>
          <w:rPr/>
          <w:t>influenza,</w:t>
        </w:r>
      </w:hyperlink>
      <w:r>
        <w:rPr>
          <w:spacing w:val="-2"/>
        </w:rPr>
        <w:t> </w:t>
      </w:r>
      <w:r>
        <w:rPr/>
        <w:t>and the</w:t>
      </w:r>
      <w:r>
        <w:rPr>
          <w:spacing w:val="-1"/>
        </w:rPr>
        <w:t> </w:t>
      </w:r>
      <w:hyperlink r:id="rId87">
        <w:r>
          <w:rPr/>
          <w:t>common cold</w:t>
        </w:r>
      </w:hyperlink>
      <w:r>
        <w:rPr/>
        <w:t> (Eccles </w:t>
      </w:r>
      <w:r>
        <w:rPr>
          <w:i/>
        </w:rPr>
        <w:t>et al</w:t>
      </w:r>
      <w:r>
        <w:rPr/>
        <w:t>., 2007). Symptoms of upper respiratory tract infections</w:t>
      </w:r>
      <w:r>
        <w:rPr>
          <w:spacing w:val="40"/>
        </w:rPr>
        <w:t> </w:t>
      </w:r>
      <w:r>
        <w:rPr/>
        <w:t>include</w:t>
      </w:r>
      <w:r>
        <w:rPr>
          <w:spacing w:val="-1"/>
        </w:rPr>
        <w:t> </w:t>
      </w:r>
      <w:hyperlink r:id="rId88">
        <w:r>
          <w:rPr/>
          <w:t>cough,</w:t>
        </w:r>
      </w:hyperlink>
      <w:r>
        <w:rPr>
          <w:spacing w:val="-2"/>
        </w:rPr>
        <w:t> </w:t>
      </w:r>
      <w:hyperlink r:id="rId89">
        <w:r>
          <w:rPr/>
          <w:t>sore throat,</w:t>
        </w:r>
      </w:hyperlink>
      <w:r>
        <w:rPr>
          <w:spacing w:val="-3"/>
        </w:rPr>
        <w:t> </w:t>
      </w:r>
      <w:hyperlink r:id="rId90">
        <w:r>
          <w:rPr/>
          <w:t>runny nose</w:t>
        </w:r>
      </w:hyperlink>
      <w:r>
        <w:rPr/>
        <w:t>,</w:t>
      </w:r>
      <w:r>
        <w:rPr>
          <w:spacing w:val="-3"/>
        </w:rPr>
        <w:t> </w:t>
      </w:r>
      <w:hyperlink r:id="rId91">
        <w:r>
          <w:rPr/>
          <w:t>nasal congestion,</w:t>
        </w:r>
      </w:hyperlink>
      <w:r>
        <w:rPr>
          <w:spacing w:val="-2"/>
        </w:rPr>
        <w:t> </w:t>
      </w:r>
      <w:hyperlink r:id="rId92">
        <w:r>
          <w:rPr/>
          <w:t>headache,</w:t>
        </w:r>
      </w:hyperlink>
      <w:r>
        <w:rPr/>
        <w:t> low grade </w:t>
      </w:r>
      <w:hyperlink r:id="rId93">
        <w:r>
          <w:rPr/>
          <w:t>fever</w:t>
        </w:r>
      </w:hyperlink>
      <w:r>
        <w:rPr/>
        <w:t>, facial pressure and </w:t>
      </w:r>
      <w:hyperlink r:id="rId94">
        <w:r>
          <w:rPr/>
          <w:t>sneezing.</w:t>
        </w:r>
      </w:hyperlink>
    </w:p>
    <w:p>
      <w:pPr>
        <w:pStyle w:val="BodyText"/>
        <w:spacing w:before="12"/>
      </w:pPr>
    </w:p>
    <w:p>
      <w:pPr>
        <w:pStyle w:val="BodyText"/>
        <w:spacing w:line="480" w:lineRule="auto" w:before="1"/>
        <w:ind w:left="1100" w:right="975" w:firstLine="720"/>
        <w:jc w:val="both"/>
      </w:pPr>
      <w:r>
        <w:rPr/>
        <w:t>However, lower respiratory tract infections are generally more serious than upper respiratory infections. The lower respiratory tract infections are the leading cause of death among all</w:t>
      </w:r>
      <w:r>
        <w:rPr>
          <w:spacing w:val="-2"/>
        </w:rPr>
        <w:t> </w:t>
      </w:r>
      <w:hyperlink r:id="rId78">
        <w:r>
          <w:rPr/>
          <w:t>infectious diseases</w:t>
        </w:r>
      </w:hyperlink>
      <w:r>
        <w:rPr/>
        <w:t> (Robert </w:t>
      </w:r>
      <w:r>
        <w:rPr>
          <w:i/>
        </w:rPr>
        <w:t>et al</w:t>
      </w:r>
      <w:r>
        <w:rPr/>
        <w:t>., 2004).</w:t>
      </w:r>
      <w:r>
        <w:rPr>
          <w:spacing w:val="-2"/>
        </w:rPr>
        <w:t> </w:t>
      </w:r>
      <w:r>
        <w:rPr/>
        <w:t>The two most common lower respiratory tract infections are </w:t>
      </w:r>
      <w:hyperlink r:id="rId95">
        <w:r>
          <w:rPr/>
          <w:t>bronchitis</w:t>
        </w:r>
      </w:hyperlink>
      <w:r>
        <w:rPr>
          <w:spacing w:val="-2"/>
        </w:rPr>
        <w:t> </w:t>
      </w:r>
      <w:r>
        <w:rPr/>
        <w:t>and</w:t>
      </w:r>
      <w:r>
        <w:rPr>
          <w:spacing w:val="-3"/>
        </w:rPr>
        <w:t> </w:t>
      </w:r>
      <w:hyperlink r:id="rId96">
        <w:r>
          <w:rPr/>
          <w:t>pneumonia.</w:t>
        </w:r>
      </w:hyperlink>
      <w:r>
        <w:rPr>
          <w:spacing w:val="-2"/>
        </w:rPr>
        <w:t> </w:t>
      </w:r>
      <w:hyperlink r:id="rId86">
        <w:r>
          <w:rPr/>
          <w:t>Influenza</w:t>
        </w:r>
      </w:hyperlink>
      <w:r>
        <w:rPr>
          <w:spacing w:val="-2"/>
        </w:rPr>
        <w:t> </w:t>
      </w:r>
      <w:r>
        <w:rPr/>
        <w:t>affects both the upper and lower respiratory tracts, but more dangerous strains such as the highly pernicious </w:t>
      </w:r>
      <w:hyperlink r:id="rId97">
        <w:r>
          <w:rPr/>
          <w:t>H5N1</w:t>
        </w:r>
      </w:hyperlink>
      <w:r>
        <w:rPr/>
        <w:t> tend to bind to receptors deep in the lungs (van Riel </w:t>
      </w:r>
      <w:r>
        <w:rPr>
          <w:i/>
        </w:rPr>
        <w:t>et al</w:t>
      </w:r>
      <w:r>
        <w:rPr/>
        <w:t>., 2006).</w:t>
      </w:r>
    </w:p>
    <w:p>
      <w:pPr>
        <w:pStyle w:val="BodyText"/>
        <w:spacing w:before="13"/>
      </w:pPr>
    </w:p>
    <w:p>
      <w:pPr>
        <w:pStyle w:val="BodyText"/>
        <w:spacing w:line="480" w:lineRule="auto"/>
        <w:ind w:left="1100" w:right="974" w:firstLine="720"/>
        <w:jc w:val="both"/>
      </w:pPr>
      <w:r>
        <w:rPr/>
        <w:t>Cherry </w:t>
      </w:r>
      <w:r>
        <w:rPr>
          <w:i/>
        </w:rPr>
        <w:t>et al., </w:t>
      </w:r>
      <w:r>
        <w:rPr/>
        <w:t>(2008) reported that in United States, RTIs are the most common infectious illness in the general population and the leading reasons for people missing work and school. It is also the leading diagnosis in the office setting.</w:t>
      </w:r>
    </w:p>
    <w:p>
      <w:pPr>
        <w:spacing w:after="0" w:line="480" w:lineRule="auto"/>
        <w:jc w:val="both"/>
        <w:sectPr>
          <w:pgSz w:w="11910" w:h="16840"/>
          <w:pgMar w:header="0" w:footer="1055" w:top="1380" w:bottom="1240" w:left="1060" w:right="460"/>
        </w:sectPr>
      </w:pPr>
    </w:p>
    <w:p>
      <w:pPr>
        <w:pStyle w:val="Heading3"/>
        <w:numPr>
          <w:ilvl w:val="2"/>
          <w:numId w:val="1"/>
        </w:numPr>
        <w:tabs>
          <w:tab w:pos="1100" w:val="left" w:leader="none"/>
        </w:tabs>
        <w:spacing w:line="240" w:lineRule="auto" w:before="41" w:after="0"/>
        <w:ind w:left="1100" w:right="0" w:hanging="720"/>
        <w:jc w:val="left"/>
      </w:pPr>
      <w:r>
        <w:rPr/>
        <w:t>Transmission</w:t>
      </w:r>
      <w:r>
        <w:rPr>
          <w:spacing w:val="-8"/>
        </w:rPr>
        <w:t> </w:t>
      </w:r>
      <w:r>
        <w:rPr/>
        <w:t>of</w:t>
      </w:r>
      <w:r>
        <w:rPr>
          <w:spacing w:val="-5"/>
        </w:rPr>
        <w:t> </w:t>
      </w:r>
      <w:r>
        <w:rPr/>
        <w:t>Respiratory</w:t>
      </w:r>
      <w:r>
        <w:rPr>
          <w:spacing w:val="-5"/>
        </w:rPr>
        <w:t> </w:t>
      </w:r>
      <w:r>
        <w:rPr/>
        <w:t>Tract</w:t>
      </w:r>
      <w:r>
        <w:rPr>
          <w:spacing w:val="-8"/>
        </w:rPr>
        <w:t> </w:t>
      </w:r>
      <w:r>
        <w:rPr>
          <w:spacing w:val="-2"/>
        </w:rPr>
        <w:t>Infections</w:t>
      </w:r>
    </w:p>
    <w:p>
      <w:pPr>
        <w:pStyle w:val="BodyText"/>
        <w:rPr>
          <w:b/>
        </w:rPr>
      </w:pPr>
    </w:p>
    <w:p>
      <w:pPr>
        <w:pStyle w:val="BodyText"/>
        <w:spacing w:before="10"/>
        <w:rPr>
          <w:b/>
        </w:rPr>
      </w:pPr>
    </w:p>
    <w:p>
      <w:pPr>
        <w:pStyle w:val="BodyText"/>
        <w:spacing w:line="480" w:lineRule="auto"/>
        <w:ind w:left="1100" w:right="974" w:firstLine="720"/>
        <w:jc w:val="both"/>
      </w:pPr>
      <w:r>
        <w:rPr/>
        <w:t>Transmission of RTIs is via respiratory droplets or by virus-contaminated hands, which are complicated by bacteria. Infections can also be spread through indirect contact. For example, if you have a cold and you touch your nose or eyes before touching an object</w:t>
      </w:r>
      <w:r>
        <w:rPr>
          <w:spacing w:val="40"/>
        </w:rPr>
        <w:t> </w:t>
      </w:r>
      <w:r>
        <w:rPr/>
        <w:t>or surface, the</w:t>
      </w:r>
      <w:r>
        <w:rPr>
          <w:spacing w:val="-1"/>
        </w:rPr>
        <w:t> </w:t>
      </w:r>
      <w:r>
        <w:rPr/>
        <w:t>virus</w:t>
      </w:r>
      <w:r>
        <w:rPr>
          <w:spacing w:val="-1"/>
        </w:rPr>
        <w:t> </w:t>
      </w:r>
      <w:r>
        <w:rPr/>
        <w:t>may be passed to someone else when they touch that</w:t>
      </w:r>
      <w:r>
        <w:rPr>
          <w:spacing w:val="-1"/>
        </w:rPr>
        <w:t> </w:t>
      </w:r>
      <w:r>
        <w:rPr/>
        <w:t>object or</w:t>
      </w:r>
      <w:r>
        <w:rPr>
          <w:spacing w:val="-1"/>
        </w:rPr>
        <w:t> </w:t>
      </w:r>
      <w:r>
        <w:rPr/>
        <w:t>surface. Upper respiratory tract (nose, throat, sinuses) mucosa inflammation causes increased secretions, rhinorrhea and results in sneezing and coughing, facilitating the spread. Acute respiratory tract infections include rhinitis, pharyngitis/tonsillitis and laryngitis often</w:t>
      </w:r>
      <w:r>
        <w:rPr>
          <w:spacing w:val="80"/>
        </w:rPr>
        <w:t> </w:t>
      </w:r>
      <w:r>
        <w:rPr/>
        <w:t>referred to as a common cold, and their complications: sinusitis, ear infection and bronchitis (Mika </w:t>
      </w:r>
      <w:r>
        <w:rPr>
          <w:i/>
        </w:rPr>
        <w:t>et al</w:t>
      </w:r>
      <w:r>
        <w:rPr/>
        <w:t>., 1998). Symptoms of RTI’s commonly include; cough, sore throat, runny nose, nasal congestion, headache, low grade fever, facial pressure and sneezing. Onset of the symptoms usually begins 1-3 days after the exposure to a microbial pathogen. The illness usually lasts 7-10 days. Group A beta hemolytic </w:t>
      </w:r>
      <w:r>
        <w:rPr>
          <w:i/>
        </w:rPr>
        <w:t>Streptococcal </w:t>
      </w:r>
      <w:r>
        <w:rPr/>
        <w:t>pharyngitis/tonsillitis (Strep throat) typically presents with a sudden onset of sore throat, pain with swallowing and fever (Bisno, 2001). Strep throat does not usually cause runny nose, voice changes or cough. Pain and pressure of the ear caused by viral conjunctivitis are often associated with respiratory tract infections (Jeremy </w:t>
      </w:r>
      <w:r>
        <w:rPr>
          <w:i/>
        </w:rPr>
        <w:t>et al., </w:t>
      </w:r>
      <w:r>
        <w:rPr/>
        <w:t>2006). Influenza (the flu) is a more severe systemic illness which typically involves the respiratory tract.</w:t>
      </w:r>
    </w:p>
    <w:p>
      <w:pPr>
        <w:pStyle w:val="BodyText"/>
        <w:spacing w:before="13"/>
      </w:pPr>
    </w:p>
    <w:p>
      <w:pPr>
        <w:pStyle w:val="Heading3"/>
        <w:numPr>
          <w:ilvl w:val="2"/>
          <w:numId w:val="1"/>
        </w:numPr>
        <w:tabs>
          <w:tab w:pos="1131" w:val="left" w:leader="none"/>
        </w:tabs>
        <w:spacing w:line="240" w:lineRule="auto" w:before="0" w:after="0"/>
        <w:ind w:left="1131" w:right="0" w:hanging="751"/>
        <w:jc w:val="left"/>
      </w:pPr>
      <w:r>
        <w:rPr/>
        <w:t>Treatment</w:t>
      </w:r>
      <w:r>
        <w:rPr>
          <w:spacing w:val="-6"/>
        </w:rPr>
        <w:t> </w:t>
      </w:r>
      <w:r>
        <w:rPr/>
        <w:t>of</w:t>
      </w:r>
      <w:r>
        <w:rPr>
          <w:spacing w:val="-4"/>
        </w:rPr>
        <w:t> </w:t>
      </w:r>
      <w:r>
        <w:rPr/>
        <w:t>Respiratory</w:t>
      </w:r>
      <w:r>
        <w:rPr>
          <w:spacing w:val="-5"/>
        </w:rPr>
        <w:t> </w:t>
      </w:r>
      <w:r>
        <w:rPr/>
        <w:t>Tract</w:t>
      </w:r>
      <w:r>
        <w:rPr>
          <w:spacing w:val="-7"/>
        </w:rPr>
        <w:t> </w:t>
      </w:r>
      <w:r>
        <w:rPr>
          <w:spacing w:val="-2"/>
        </w:rPr>
        <w:t>Infections</w:t>
      </w:r>
    </w:p>
    <w:p>
      <w:pPr>
        <w:pStyle w:val="BodyText"/>
        <w:rPr>
          <w:b/>
        </w:rPr>
      </w:pPr>
    </w:p>
    <w:p>
      <w:pPr>
        <w:pStyle w:val="BodyText"/>
        <w:spacing w:before="10"/>
        <w:rPr>
          <w:b/>
        </w:rPr>
      </w:pPr>
    </w:p>
    <w:p>
      <w:pPr>
        <w:pStyle w:val="BodyText"/>
        <w:spacing w:line="480" w:lineRule="auto"/>
        <w:ind w:left="1100" w:right="973" w:firstLine="720"/>
        <w:jc w:val="both"/>
      </w:pPr>
      <w:hyperlink r:id="rId98">
        <w:r>
          <w:rPr/>
          <w:t>Antibiotics</w:t>
        </w:r>
      </w:hyperlink>
      <w:r>
        <w:rPr/>
        <w:t> are</w:t>
      </w:r>
      <w:r>
        <w:rPr>
          <w:spacing w:val="40"/>
        </w:rPr>
        <w:t> </w:t>
      </w:r>
      <w:r>
        <w:rPr/>
        <w:t>not</w:t>
      </w:r>
      <w:r>
        <w:rPr>
          <w:spacing w:val="40"/>
        </w:rPr>
        <w:t> </w:t>
      </w:r>
      <w:r>
        <w:rPr/>
        <w:t>recommended</w:t>
      </w:r>
      <w:r>
        <w:rPr>
          <w:spacing w:val="40"/>
        </w:rPr>
        <w:t> </w:t>
      </w:r>
      <w:r>
        <w:rPr/>
        <w:t>for</w:t>
      </w:r>
      <w:r>
        <w:rPr>
          <w:spacing w:val="40"/>
        </w:rPr>
        <w:t> </w:t>
      </w:r>
      <w:r>
        <w:rPr/>
        <w:t>most</w:t>
      </w:r>
      <w:r>
        <w:rPr>
          <w:spacing w:val="40"/>
        </w:rPr>
        <w:t> </w:t>
      </w:r>
      <w:r>
        <w:rPr/>
        <w:t>RTIs because</w:t>
      </w:r>
      <w:r>
        <w:rPr>
          <w:spacing w:val="40"/>
        </w:rPr>
        <w:t> </w:t>
      </w:r>
      <w:r>
        <w:rPr/>
        <w:t>they</w:t>
      </w:r>
      <w:r>
        <w:rPr>
          <w:spacing w:val="40"/>
        </w:rPr>
        <w:t> </w:t>
      </w:r>
      <w:r>
        <w:rPr/>
        <w:t>are</w:t>
      </w:r>
      <w:r>
        <w:rPr>
          <w:spacing w:val="40"/>
        </w:rPr>
        <w:t> </w:t>
      </w:r>
      <w:r>
        <w:rPr/>
        <w:t>only</w:t>
      </w:r>
      <w:r>
        <w:rPr>
          <w:spacing w:val="40"/>
        </w:rPr>
        <w:t> </w:t>
      </w:r>
      <w:r>
        <w:rPr/>
        <w:t>effective</w:t>
      </w:r>
      <w:r>
        <w:rPr>
          <w:spacing w:val="40"/>
        </w:rPr>
        <w:t> </w:t>
      </w:r>
      <w:r>
        <w:rPr/>
        <w:t>if</w:t>
      </w:r>
      <w:r>
        <w:rPr>
          <w:spacing w:val="-1"/>
        </w:rPr>
        <w:t> </w:t>
      </w:r>
      <w:r>
        <w:rPr/>
        <w:t>the</w:t>
      </w:r>
      <w:r>
        <w:rPr>
          <w:spacing w:val="-1"/>
        </w:rPr>
        <w:t> </w:t>
      </w:r>
      <w:r>
        <w:rPr/>
        <w:t>infection</w:t>
      </w:r>
      <w:r>
        <w:rPr>
          <w:spacing w:val="-2"/>
        </w:rPr>
        <w:t> </w:t>
      </w:r>
      <w:r>
        <w:rPr/>
        <w:t>is</w:t>
      </w:r>
      <w:r>
        <w:rPr>
          <w:spacing w:val="-1"/>
        </w:rPr>
        <w:t> </w:t>
      </w:r>
      <w:r>
        <w:rPr/>
        <w:t>caused</w:t>
      </w:r>
      <w:r>
        <w:rPr>
          <w:spacing w:val="-1"/>
        </w:rPr>
        <w:t> </w:t>
      </w:r>
      <w:r>
        <w:rPr/>
        <w:t>by</w:t>
      </w:r>
      <w:r>
        <w:rPr>
          <w:spacing w:val="-3"/>
        </w:rPr>
        <w:t> </w:t>
      </w:r>
      <w:r>
        <w:rPr/>
        <w:t>bacteria.</w:t>
      </w:r>
      <w:r>
        <w:rPr>
          <w:spacing w:val="-1"/>
        </w:rPr>
        <w:t> </w:t>
      </w:r>
      <w:r>
        <w:rPr/>
        <w:t>Acute</w:t>
      </w:r>
      <w:r>
        <w:rPr>
          <w:spacing w:val="-1"/>
        </w:rPr>
        <w:t> </w:t>
      </w:r>
      <w:r>
        <w:rPr/>
        <w:t>pharyngitis</w:t>
      </w:r>
      <w:r>
        <w:rPr>
          <w:spacing w:val="-4"/>
        </w:rPr>
        <w:t> </w:t>
      </w:r>
      <w:r>
        <w:rPr/>
        <w:t>presents</w:t>
      </w:r>
      <w:r>
        <w:rPr>
          <w:spacing w:val="-1"/>
        </w:rPr>
        <w:t> </w:t>
      </w:r>
      <w:r>
        <w:rPr/>
        <w:t>a</w:t>
      </w:r>
      <w:r>
        <w:rPr>
          <w:spacing w:val="-1"/>
        </w:rPr>
        <w:t> </w:t>
      </w:r>
      <w:r>
        <w:rPr/>
        <w:t>diagnostic</w:t>
      </w:r>
      <w:r>
        <w:rPr>
          <w:spacing w:val="-1"/>
        </w:rPr>
        <w:t> </w:t>
      </w:r>
      <w:r>
        <w:rPr/>
        <w:t>and</w:t>
      </w:r>
      <w:r>
        <w:rPr>
          <w:spacing w:val="-2"/>
        </w:rPr>
        <w:t> </w:t>
      </w:r>
      <w:r>
        <w:rPr/>
        <w:t>therapeutic dilemma. The majority of sore throat are caused by a variety of viruses; fewer than 20% </w:t>
      </w:r>
      <w:r>
        <w:rPr>
          <w:i/>
        </w:rPr>
        <w:t>are </w:t>
      </w:r>
      <w:r>
        <w:rPr/>
        <w:t>bacterial and hence potential responsive to antibiotic therapy; </w:t>
      </w:r>
      <w:r>
        <w:rPr>
          <w:i/>
        </w:rPr>
        <w:t>Streptococcus pyogene</w:t>
      </w:r>
      <w:r>
        <w:rPr/>
        <w:t>s, the most</w:t>
      </w:r>
      <w:r>
        <w:rPr>
          <w:spacing w:val="20"/>
        </w:rPr>
        <w:t> </w:t>
      </w:r>
      <w:r>
        <w:rPr/>
        <w:t>important</w:t>
      </w:r>
      <w:r>
        <w:rPr>
          <w:spacing w:val="20"/>
        </w:rPr>
        <w:t> </w:t>
      </w:r>
      <w:r>
        <w:rPr/>
        <w:t>bacterial</w:t>
      </w:r>
      <w:r>
        <w:rPr>
          <w:spacing w:val="17"/>
        </w:rPr>
        <w:t> </w:t>
      </w:r>
      <w:r>
        <w:rPr/>
        <w:t>pathogen</w:t>
      </w:r>
      <w:r>
        <w:rPr>
          <w:spacing w:val="19"/>
        </w:rPr>
        <w:t> </w:t>
      </w:r>
      <w:r>
        <w:rPr/>
        <w:t>and</w:t>
      </w:r>
      <w:r>
        <w:rPr>
          <w:spacing w:val="19"/>
        </w:rPr>
        <w:t> </w:t>
      </w:r>
      <w:r>
        <w:rPr/>
        <w:t>this</w:t>
      </w:r>
      <w:r>
        <w:rPr>
          <w:spacing w:val="20"/>
        </w:rPr>
        <w:t> </w:t>
      </w:r>
      <w:r>
        <w:rPr/>
        <w:t>responds</w:t>
      </w:r>
      <w:r>
        <w:rPr>
          <w:spacing w:val="20"/>
        </w:rPr>
        <w:t> </w:t>
      </w:r>
      <w:r>
        <w:rPr/>
        <w:t>to</w:t>
      </w:r>
      <w:r>
        <w:rPr>
          <w:spacing w:val="19"/>
        </w:rPr>
        <w:t> </w:t>
      </w:r>
      <w:r>
        <w:rPr/>
        <w:t>oral</w:t>
      </w:r>
      <w:r>
        <w:rPr>
          <w:spacing w:val="19"/>
        </w:rPr>
        <w:t> </w:t>
      </w:r>
      <w:r>
        <w:rPr/>
        <w:t>penicillin.</w:t>
      </w:r>
      <w:r>
        <w:rPr>
          <w:spacing w:val="19"/>
        </w:rPr>
        <w:t> </w:t>
      </w:r>
      <w:r>
        <w:rPr/>
        <w:t>However,</w:t>
      </w:r>
      <w:r>
        <w:rPr>
          <w:spacing w:val="20"/>
        </w:rPr>
        <w:t> </w:t>
      </w:r>
      <w:r>
        <w:rPr/>
        <w:t>up</w:t>
      </w:r>
      <w:r>
        <w:rPr>
          <w:spacing w:val="19"/>
        </w:rPr>
        <w:t> </w:t>
      </w:r>
      <w:r>
        <w:rPr/>
        <w:t>to</w:t>
      </w:r>
      <w:r>
        <w:rPr>
          <w:spacing w:val="18"/>
        </w:rPr>
        <w:t> </w:t>
      </w:r>
      <w:r>
        <w:rPr/>
        <w:t>10</w:t>
      </w:r>
    </w:p>
    <w:p>
      <w:pPr>
        <w:spacing w:after="0" w:line="480" w:lineRule="auto"/>
        <w:jc w:val="both"/>
        <w:sectPr>
          <w:pgSz w:w="11910" w:h="16840"/>
          <w:pgMar w:header="0" w:footer="1055" w:top="1380" w:bottom="1240" w:left="1060" w:right="460"/>
        </w:sectPr>
      </w:pPr>
    </w:p>
    <w:p>
      <w:pPr>
        <w:pStyle w:val="BodyText"/>
        <w:spacing w:line="480" w:lineRule="auto" w:before="38"/>
        <w:ind w:left="1100" w:right="974"/>
        <w:jc w:val="both"/>
      </w:pPr>
      <w:r>
        <w:rPr/>
        <w:t>days’ treatment is required for its eradication from the throat. This requirement causes problems with compliance as symptomatic improvement generally occurs within 2-3 days (Stephen </w:t>
      </w:r>
      <w:r>
        <w:rPr>
          <w:i/>
        </w:rPr>
        <w:t>et al., </w:t>
      </w:r>
      <w:r>
        <w:rPr/>
        <w:t>2004).</w:t>
      </w:r>
    </w:p>
    <w:p>
      <w:pPr>
        <w:pStyle w:val="BodyText"/>
        <w:spacing w:before="12"/>
      </w:pPr>
    </w:p>
    <w:p>
      <w:pPr>
        <w:pStyle w:val="BodyText"/>
        <w:spacing w:line="480" w:lineRule="auto"/>
        <w:ind w:left="1100" w:right="973" w:firstLine="720"/>
        <w:jc w:val="both"/>
      </w:pPr>
      <w:r>
        <w:rPr/>
        <w:t>Although</w:t>
      </w:r>
      <w:r>
        <w:rPr>
          <w:spacing w:val="-2"/>
        </w:rPr>
        <w:t> </w:t>
      </w:r>
      <w:r>
        <w:rPr/>
        <w:t>viral</w:t>
      </w:r>
      <w:r>
        <w:rPr>
          <w:spacing w:val="-1"/>
        </w:rPr>
        <w:t> </w:t>
      </w:r>
      <w:r>
        <w:rPr/>
        <w:t>infections</w:t>
      </w:r>
      <w:r>
        <w:rPr>
          <w:spacing w:val="-1"/>
        </w:rPr>
        <w:t> </w:t>
      </w:r>
      <w:r>
        <w:rPr/>
        <w:t>are</w:t>
      </w:r>
      <w:r>
        <w:rPr>
          <w:spacing w:val="-1"/>
        </w:rPr>
        <w:t> </w:t>
      </w:r>
      <w:r>
        <w:rPr/>
        <w:t>important</w:t>
      </w:r>
      <w:r>
        <w:rPr>
          <w:spacing w:val="-3"/>
        </w:rPr>
        <w:t> </w:t>
      </w:r>
      <w:r>
        <w:rPr/>
        <w:t>causes</w:t>
      </w:r>
      <w:r>
        <w:rPr>
          <w:spacing w:val="-3"/>
        </w:rPr>
        <w:t> </w:t>
      </w:r>
      <w:r>
        <w:rPr/>
        <w:t>of</w:t>
      </w:r>
      <w:r>
        <w:rPr>
          <w:spacing w:val="-1"/>
        </w:rPr>
        <w:t> </w:t>
      </w:r>
      <w:r>
        <w:rPr/>
        <w:t>both</w:t>
      </w:r>
      <w:r>
        <w:rPr>
          <w:spacing w:val="-4"/>
        </w:rPr>
        <w:t> </w:t>
      </w:r>
      <w:r>
        <w:rPr/>
        <w:t>otitis</w:t>
      </w:r>
      <w:r>
        <w:rPr>
          <w:spacing w:val="-3"/>
        </w:rPr>
        <w:t> </w:t>
      </w:r>
      <w:r>
        <w:rPr/>
        <w:t>media</w:t>
      </w:r>
      <w:r>
        <w:rPr>
          <w:spacing w:val="-1"/>
        </w:rPr>
        <w:t> </w:t>
      </w:r>
      <w:r>
        <w:rPr/>
        <w:t>and</w:t>
      </w:r>
      <w:r>
        <w:rPr>
          <w:spacing w:val="-3"/>
        </w:rPr>
        <w:t> </w:t>
      </w:r>
      <w:r>
        <w:rPr/>
        <w:t>sinusitis,</w:t>
      </w:r>
      <w:r>
        <w:rPr>
          <w:spacing w:val="-1"/>
        </w:rPr>
        <w:t> </w:t>
      </w:r>
      <w:r>
        <w:rPr/>
        <w:t>they are generally self-limiting. However, bacterial infections may complicate viral illnesses, and are also primary causes of ear and sinus infections. Actually, treatment depends on the underlying cause. There are currently no medications or herbal remedies which have been conclusively demonstrated to shorten the duration of illness completely (Douglas </w:t>
      </w:r>
      <w:r>
        <w:rPr>
          <w:i/>
        </w:rPr>
        <w:t>et al., </w:t>
      </w:r>
      <w:r>
        <w:rPr>
          <w:spacing w:val="-2"/>
        </w:rPr>
        <w:t>2007).</w:t>
      </w:r>
    </w:p>
    <w:p>
      <w:pPr>
        <w:pStyle w:val="BodyText"/>
        <w:spacing w:before="11"/>
      </w:pPr>
    </w:p>
    <w:p>
      <w:pPr>
        <w:pStyle w:val="BodyText"/>
        <w:spacing w:line="480" w:lineRule="auto"/>
        <w:ind w:left="1100" w:right="973" w:firstLine="720"/>
        <w:jc w:val="both"/>
      </w:pPr>
      <w:r>
        <w:rPr/>
        <w:t>Treatment comprises symptomatic support usually via analgesics for headache, sore throat and muscle aches (Eccles </w:t>
      </w:r>
      <w:r>
        <w:rPr>
          <w:i/>
        </w:rPr>
        <w:t>et al., </w:t>
      </w:r>
      <w:r>
        <w:rPr/>
        <w:t>2007). There is no evidence to the age-old advice to rest when you are sick with respiratory illness. Moderate exercise in sedentary subjects with RTI has been shown to have no effect on the overall severity and duration of the illness. Based on these findings, it was concluded that, previously sedentary people who have acquired RTI and who have initiated an exercise program may continue to exercise (Mika </w:t>
      </w:r>
      <w:r>
        <w:rPr>
          <w:i/>
        </w:rPr>
        <w:t>et al., </w:t>
      </w:r>
      <w:r>
        <w:rPr/>
        <w:t>1998). Getting enough sleep; however, is advisable since even mild sleep deprivation has been shown to be associated with increased susceptibility to infection (Bisno, 2001).</w:t>
      </w:r>
    </w:p>
    <w:p>
      <w:pPr>
        <w:pStyle w:val="BodyText"/>
        <w:spacing w:before="14"/>
      </w:pPr>
    </w:p>
    <w:p>
      <w:pPr>
        <w:pStyle w:val="BodyText"/>
        <w:spacing w:line="480" w:lineRule="auto"/>
        <w:ind w:left="1100" w:right="972" w:firstLine="720"/>
        <w:jc w:val="both"/>
      </w:pPr>
      <w:r>
        <w:rPr/>
        <w:t>Non-compliance to antibiotic usage will lead to rise in drug resistance by bacteria which are now a growing problem in the world. According to Taverner and Latte (2009), single oral dose of nasal decongestant in common cold is modestly effective for the short term relief of congestion in adults; however, there is an insufficient data on the use of decongestants in children. Therefore, decongestants are not recommended for use in children</w:t>
      </w:r>
      <w:r>
        <w:rPr>
          <w:spacing w:val="32"/>
        </w:rPr>
        <w:t> </w:t>
      </w:r>
      <w:r>
        <w:rPr/>
        <w:t>under</w:t>
      </w:r>
      <w:r>
        <w:rPr>
          <w:spacing w:val="33"/>
        </w:rPr>
        <w:t> </w:t>
      </w:r>
      <w:r>
        <w:rPr/>
        <w:t>12</w:t>
      </w:r>
      <w:r>
        <w:rPr>
          <w:spacing w:val="33"/>
        </w:rPr>
        <w:t> </w:t>
      </w:r>
      <w:r>
        <w:rPr/>
        <w:t>years</w:t>
      </w:r>
      <w:r>
        <w:rPr>
          <w:spacing w:val="33"/>
        </w:rPr>
        <w:t> </w:t>
      </w:r>
      <w:r>
        <w:rPr/>
        <w:t>of</w:t>
      </w:r>
      <w:r>
        <w:rPr>
          <w:spacing w:val="33"/>
        </w:rPr>
        <w:t> </w:t>
      </w:r>
      <w:r>
        <w:rPr/>
        <w:t>age</w:t>
      </w:r>
      <w:r>
        <w:rPr>
          <w:spacing w:val="33"/>
        </w:rPr>
        <w:t> </w:t>
      </w:r>
      <w:r>
        <w:rPr/>
        <w:t>with</w:t>
      </w:r>
      <w:r>
        <w:rPr>
          <w:spacing w:val="33"/>
        </w:rPr>
        <w:t> </w:t>
      </w:r>
      <w:r>
        <w:rPr/>
        <w:t>the</w:t>
      </w:r>
      <w:r>
        <w:rPr>
          <w:spacing w:val="33"/>
        </w:rPr>
        <w:t> </w:t>
      </w:r>
      <w:r>
        <w:rPr/>
        <w:t>common</w:t>
      </w:r>
      <w:r>
        <w:rPr>
          <w:spacing w:val="32"/>
        </w:rPr>
        <w:t> </w:t>
      </w:r>
      <w:r>
        <w:rPr/>
        <w:t>cold.</w:t>
      </w:r>
      <w:r>
        <w:rPr>
          <w:spacing w:val="32"/>
        </w:rPr>
        <w:t> </w:t>
      </w:r>
      <w:r>
        <w:rPr/>
        <w:t>Oral</w:t>
      </w:r>
      <w:r>
        <w:rPr>
          <w:spacing w:val="32"/>
        </w:rPr>
        <w:t> </w:t>
      </w:r>
      <w:r>
        <w:rPr/>
        <w:t>decongestant</w:t>
      </w:r>
      <w:r>
        <w:rPr>
          <w:spacing w:val="33"/>
        </w:rPr>
        <w:t> </w:t>
      </w:r>
      <w:r>
        <w:rPr/>
        <w:t>is</w:t>
      </w:r>
      <w:r>
        <w:rPr>
          <w:spacing w:val="32"/>
        </w:rPr>
        <w:t> </w:t>
      </w:r>
      <w:r>
        <w:rPr/>
        <w:t>also</w:t>
      </w:r>
      <w:r>
        <w:rPr>
          <w:spacing w:val="33"/>
        </w:rPr>
        <w:t> </w:t>
      </w:r>
      <w:r>
        <w:rPr/>
        <w:t>contra-</w:t>
      </w:r>
    </w:p>
    <w:p>
      <w:pPr>
        <w:spacing w:after="0" w:line="480" w:lineRule="auto"/>
        <w:jc w:val="both"/>
        <w:sectPr>
          <w:pgSz w:w="11910" w:h="16840"/>
          <w:pgMar w:header="0" w:footer="1055" w:top="1380" w:bottom="1240" w:left="1060" w:right="460"/>
        </w:sectPr>
      </w:pPr>
    </w:p>
    <w:p>
      <w:pPr>
        <w:pStyle w:val="BodyText"/>
        <w:spacing w:line="480" w:lineRule="auto" w:before="38"/>
        <w:ind w:left="1100" w:right="975"/>
      </w:pPr>
      <w:r>
        <w:rPr/>
        <w:t>indicated</w:t>
      </w:r>
      <w:r>
        <w:rPr>
          <w:spacing w:val="35"/>
        </w:rPr>
        <w:t> </w:t>
      </w:r>
      <w:r>
        <w:rPr/>
        <w:t>in</w:t>
      </w:r>
      <w:r>
        <w:rPr>
          <w:spacing w:val="34"/>
        </w:rPr>
        <w:t> </w:t>
      </w:r>
      <w:r>
        <w:rPr/>
        <w:t>patients</w:t>
      </w:r>
      <w:r>
        <w:rPr>
          <w:spacing w:val="36"/>
        </w:rPr>
        <w:t> </w:t>
      </w:r>
      <w:r>
        <w:rPr/>
        <w:t>with</w:t>
      </w:r>
      <w:r>
        <w:rPr>
          <w:spacing w:val="35"/>
        </w:rPr>
        <w:t> </w:t>
      </w:r>
      <w:r>
        <w:rPr/>
        <w:t>hypertension,</w:t>
      </w:r>
      <w:r>
        <w:rPr>
          <w:spacing w:val="36"/>
        </w:rPr>
        <w:t> </w:t>
      </w:r>
      <w:r>
        <w:rPr/>
        <w:t>coronary</w:t>
      </w:r>
      <w:r>
        <w:rPr>
          <w:spacing w:val="36"/>
        </w:rPr>
        <w:t> </w:t>
      </w:r>
      <w:r>
        <w:rPr/>
        <w:t>artery</w:t>
      </w:r>
      <w:r>
        <w:rPr>
          <w:spacing w:val="37"/>
        </w:rPr>
        <w:t> </w:t>
      </w:r>
      <w:r>
        <w:rPr/>
        <w:t>disease,</w:t>
      </w:r>
      <w:r>
        <w:rPr>
          <w:spacing w:val="36"/>
        </w:rPr>
        <w:t> </w:t>
      </w:r>
      <w:r>
        <w:rPr/>
        <w:t>and</w:t>
      </w:r>
      <w:r>
        <w:rPr>
          <w:spacing w:val="35"/>
        </w:rPr>
        <w:t> </w:t>
      </w:r>
      <w:r>
        <w:rPr/>
        <w:t>history</w:t>
      </w:r>
      <w:r>
        <w:rPr>
          <w:spacing w:val="34"/>
        </w:rPr>
        <w:t> </w:t>
      </w:r>
      <w:r>
        <w:rPr/>
        <w:t>of</w:t>
      </w:r>
      <w:r>
        <w:rPr>
          <w:spacing w:val="36"/>
        </w:rPr>
        <w:t> </w:t>
      </w:r>
      <w:r>
        <w:rPr/>
        <w:t>bleeding strokes (Reveiz </w:t>
      </w:r>
      <w:r>
        <w:rPr>
          <w:i/>
        </w:rPr>
        <w:t>et al., </w:t>
      </w:r>
      <w:r>
        <w:rPr/>
        <w:t>2007).</w:t>
      </w:r>
    </w:p>
    <w:p>
      <w:pPr>
        <w:pStyle w:val="BodyText"/>
        <w:spacing w:before="11"/>
      </w:pPr>
    </w:p>
    <w:p>
      <w:pPr>
        <w:pStyle w:val="BodyText"/>
        <w:spacing w:line="480" w:lineRule="auto"/>
        <w:ind w:left="1100" w:right="978" w:firstLine="720"/>
        <w:jc w:val="both"/>
      </w:pPr>
      <w:r>
        <w:rPr/>
        <w:t>The use of vitamin C in the inhibition and treatment of upper respiratory infections has been suggested since the initial isolation</w:t>
      </w:r>
      <w:r>
        <w:rPr>
          <w:spacing w:val="-2"/>
        </w:rPr>
        <w:t> </w:t>
      </w:r>
      <w:r>
        <w:rPr/>
        <w:t>of vitamin C in the 1930s. Some evidence exists to indicate that it could be justified in persons exposed to brief period of severe physical exercise and/or cold environments. The benefit versus risk of nasal irrigation is currently unclear and therefore is not much recommended.</w:t>
      </w:r>
    </w:p>
    <w:p>
      <w:pPr>
        <w:pStyle w:val="BodyText"/>
      </w:pPr>
    </w:p>
    <w:p>
      <w:pPr>
        <w:pStyle w:val="BodyText"/>
      </w:pPr>
    </w:p>
    <w:p>
      <w:pPr>
        <w:pStyle w:val="BodyText"/>
      </w:pPr>
    </w:p>
    <w:p>
      <w:pPr>
        <w:pStyle w:val="BodyText"/>
      </w:pPr>
    </w:p>
    <w:p>
      <w:pPr>
        <w:pStyle w:val="BodyText"/>
      </w:pPr>
    </w:p>
    <w:p>
      <w:pPr>
        <w:pStyle w:val="BodyText"/>
      </w:pPr>
    </w:p>
    <w:p>
      <w:pPr>
        <w:pStyle w:val="BodyText"/>
        <w:spacing w:before="36"/>
      </w:pPr>
    </w:p>
    <w:p>
      <w:pPr>
        <w:pStyle w:val="Heading3"/>
        <w:numPr>
          <w:ilvl w:val="1"/>
          <w:numId w:val="1"/>
        </w:numPr>
        <w:tabs>
          <w:tab w:pos="2026" w:val="left" w:leader="none"/>
        </w:tabs>
        <w:spacing w:line="240" w:lineRule="auto" w:before="0" w:after="0"/>
        <w:ind w:left="2026" w:right="0" w:hanging="1440"/>
        <w:jc w:val="left"/>
      </w:pPr>
      <w:r>
        <w:rPr/>
        <w:t>Description,</w:t>
      </w:r>
      <w:r>
        <w:rPr>
          <w:spacing w:val="-6"/>
        </w:rPr>
        <w:t> </w:t>
      </w:r>
      <w:r>
        <w:rPr/>
        <w:t>Significance</w:t>
      </w:r>
      <w:r>
        <w:rPr>
          <w:spacing w:val="-5"/>
        </w:rPr>
        <w:t> </w:t>
      </w:r>
      <w:r>
        <w:rPr/>
        <w:t>and</w:t>
      </w:r>
      <w:r>
        <w:rPr>
          <w:spacing w:val="-6"/>
        </w:rPr>
        <w:t> </w:t>
      </w:r>
      <w:r>
        <w:rPr/>
        <w:t>Health</w:t>
      </w:r>
      <w:r>
        <w:rPr>
          <w:spacing w:val="-5"/>
        </w:rPr>
        <w:t> </w:t>
      </w:r>
      <w:r>
        <w:rPr/>
        <w:t>Implication</w:t>
      </w:r>
      <w:r>
        <w:rPr>
          <w:spacing w:val="-5"/>
        </w:rPr>
        <w:t> </w:t>
      </w:r>
      <w:r>
        <w:rPr/>
        <w:t>of</w:t>
      </w:r>
      <w:r>
        <w:rPr>
          <w:spacing w:val="-5"/>
        </w:rPr>
        <w:t> </w:t>
      </w:r>
      <w:r>
        <w:rPr/>
        <w:t>the</w:t>
      </w:r>
      <w:r>
        <w:rPr>
          <w:spacing w:val="-5"/>
        </w:rPr>
        <w:t> </w:t>
      </w:r>
      <w:r>
        <w:rPr/>
        <w:t>Tested</w:t>
      </w:r>
      <w:r>
        <w:rPr>
          <w:spacing w:val="-7"/>
        </w:rPr>
        <w:t> </w:t>
      </w:r>
      <w:r>
        <w:rPr/>
        <w:t>Bacteria</w:t>
      </w:r>
      <w:r>
        <w:rPr>
          <w:spacing w:val="-7"/>
        </w:rPr>
        <w:t> </w:t>
      </w:r>
      <w:r>
        <w:rPr>
          <w:spacing w:val="-2"/>
        </w:rPr>
        <w:t>Isolates</w:t>
      </w:r>
    </w:p>
    <w:p>
      <w:pPr>
        <w:pStyle w:val="BodyText"/>
        <w:rPr>
          <w:b/>
        </w:rPr>
      </w:pPr>
    </w:p>
    <w:p>
      <w:pPr>
        <w:pStyle w:val="BodyText"/>
        <w:spacing w:before="95"/>
        <w:rPr>
          <w:b/>
        </w:rPr>
      </w:pPr>
    </w:p>
    <w:p>
      <w:pPr>
        <w:pStyle w:val="Heading4"/>
        <w:numPr>
          <w:ilvl w:val="2"/>
          <w:numId w:val="1"/>
        </w:numPr>
        <w:tabs>
          <w:tab w:pos="1100" w:val="left" w:leader="none"/>
        </w:tabs>
        <w:spacing w:line="240" w:lineRule="auto" w:before="0" w:after="0"/>
        <w:ind w:left="1100" w:right="0" w:hanging="720"/>
        <w:jc w:val="left"/>
      </w:pPr>
      <w:r>
        <w:rPr/>
        <w:t>Klebsiella</w:t>
      </w:r>
      <w:r>
        <w:rPr>
          <w:spacing w:val="-7"/>
        </w:rPr>
        <w:t> </w:t>
      </w:r>
      <w:r>
        <w:rPr>
          <w:spacing w:val="-2"/>
        </w:rPr>
        <w:t>pneumoniae</w:t>
      </w:r>
    </w:p>
    <w:p>
      <w:pPr>
        <w:pStyle w:val="BodyText"/>
        <w:spacing w:before="32"/>
        <w:rPr>
          <w:b/>
          <w:i/>
        </w:rPr>
      </w:pPr>
    </w:p>
    <w:p>
      <w:pPr>
        <w:pStyle w:val="BodyText"/>
        <w:ind w:left="1100"/>
      </w:pPr>
      <w:r>
        <w:rPr/>
        <w:t>Scientific</w:t>
      </w:r>
      <w:r>
        <w:rPr>
          <w:spacing w:val="-2"/>
        </w:rPr>
        <w:t> Classification:</w:t>
      </w:r>
    </w:p>
    <w:p>
      <w:pPr>
        <w:pStyle w:val="BodyText"/>
        <w:spacing w:before="34"/>
      </w:pPr>
    </w:p>
    <w:p>
      <w:pPr>
        <w:pStyle w:val="BodyText"/>
        <w:tabs>
          <w:tab w:pos="3260" w:val="left" w:leader="none"/>
        </w:tabs>
        <w:ind w:left="1100"/>
      </w:pPr>
      <w:r>
        <w:rPr>
          <w:spacing w:val="-2"/>
        </w:rPr>
        <w:t>Domain:</w:t>
      </w:r>
      <w:r>
        <w:rPr/>
        <w:tab/>
      </w:r>
      <w:r>
        <w:rPr>
          <w:spacing w:val="-2"/>
        </w:rPr>
        <w:t>Bacteria</w:t>
      </w:r>
    </w:p>
    <w:p>
      <w:pPr>
        <w:pStyle w:val="BodyText"/>
        <w:spacing w:before="31"/>
      </w:pPr>
    </w:p>
    <w:p>
      <w:pPr>
        <w:pStyle w:val="BodyText"/>
        <w:tabs>
          <w:tab w:pos="3260" w:val="left" w:leader="none"/>
        </w:tabs>
        <w:spacing w:before="1"/>
        <w:ind w:left="1100"/>
      </w:pPr>
      <w:r>
        <w:rPr>
          <w:spacing w:val="-2"/>
        </w:rPr>
        <w:t>Phylum:</w:t>
      </w:r>
      <w:r>
        <w:rPr/>
        <w:tab/>
      </w:r>
      <w:r>
        <w:rPr>
          <w:spacing w:val="-2"/>
        </w:rPr>
        <w:t>Proteobacteria</w:t>
      </w:r>
    </w:p>
    <w:p>
      <w:pPr>
        <w:pStyle w:val="BodyText"/>
        <w:spacing w:before="31"/>
      </w:pPr>
    </w:p>
    <w:p>
      <w:pPr>
        <w:pStyle w:val="BodyText"/>
        <w:tabs>
          <w:tab w:pos="3260" w:val="left" w:leader="none"/>
        </w:tabs>
        <w:ind w:left="1100"/>
      </w:pPr>
      <w:r>
        <w:rPr>
          <w:spacing w:val="-2"/>
        </w:rPr>
        <w:t>Class:</w:t>
      </w:r>
      <w:r>
        <w:rPr/>
        <w:tab/>
      </w:r>
      <w:r>
        <w:rPr>
          <w:spacing w:val="-2"/>
        </w:rPr>
        <w:t>Gammaproteobacteria</w:t>
      </w:r>
    </w:p>
    <w:p>
      <w:pPr>
        <w:pStyle w:val="BodyText"/>
        <w:spacing w:before="34"/>
      </w:pPr>
    </w:p>
    <w:p>
      <w:pPr>
        <w:pStyle w:val="BodyText"/>
        <w:tabs>
          <w:tab w:pos="2591" w:val="left" w:leader="none"/>
          <w:tab w:pos="3260" w:val="left" w:leader="none"/>
        </w:tabs>
        <w:spacing w:line="508" w:lineRule="auto"/>
        <w:ind w:left="1100" w:right="5548"/>
      </w:pPr>
      <w:r>
        <w:rPr>
          <w:spacing w:val="-2"/>
        </w:rPr>
        <w:t>Order:</w:t>
      </w:r>
      <w:r>
        <w:rPr/>
        <w:tab/>
        <w:tab/>
      </w:r>
      <w:r>
        <w:rPr>
          <w:spacing w:val="-2"/>
        </w:rPr>
        <w:t>Enterobacteriales Family:</w:t>
      </w:r>
      <w:r>
        <w:rPr/>
        <w:tab/>
      </w:r>
      <w:r>
        <w:rPr>
          <w:spacing w:val="-2"/>
        </w:rPr>
        <w:t>Enterobacteriaceae</w:t>
      </w:r>
    </w:p>
    <w:p>
      <w:pPr>
        <w:tabs>
          <w:tab w:pos="2540" w:val="left" w:leader="none"/>
        </w:tabs>
        <w:spacing w:before="2"/>
        <w:ind w:left="1100" w:right="0" w:firstLine="0"/>
        <w:jc w:val="left"/>
        <w:rPr>
          <w:i/>
          <w:sz w:val="22"/>
        </w:rPr>
      </w:pPr>
      <w:r>
        <w:rPr>
          <w:spacing w:val="-2"/>
          <w:sz w:val="22"/>
        </w:rPr>
        <w:t>Genus:</w:t>
      </w:r>
      <w:r>
        <w:rPr>
          <w:sz w:val="22"/>
        </w:rPr>
        <w:tab/>
      </w:r>
      <w:r>
        <w:rPr>
          <w:i/>
          <w:spacing w:val="-2"/>
          <w:sz w:val="22"/>
        </w:rPr>
        <w:t>Klebsiella</w:t>
      </w:r>
    </w:p>
    <w:p>
      <w:pPr>
        <w:pStyle w:val="BodyText"/>
        <w:spacing w:before="32"/>
        <w:rPr>
          <w:i/>
        </w:rPr>
      </w:pPr>
    </w:p>
    <w:p>
      <w:pPr>
        <w:tabs>
          <w:tab w:pos="3260" w:val="left" w:leader="none"/>
        </w:tabs>
        <w:spacing w:before="0"/>
        <w:ind w:left="1100" w:right="0" w:firstLine="0"/>
        <w:jc w:val="left"/>
        <w:rPr>
          <w:i/>
          <w:sz w:val="22"/>
        </w:rPr>
      </w:pPr>
      <w:r>
        <w:rPr>
          <w:spacing w:val="-2"/>
          <w:sz w:val="22"/>
        </w:rPr>
        <w:t>Species:</w:t>
      </w:r>
      <w:r>
        <w:rPr>
          <w:sz w:val="22"/>
        </w:rPr>
        <w:tab/>
      </w:r>
      <w:r>
        <w:rPr>
          <w:i/>
          <w:sz w:val="22"/>
        </w:rPr>
        <w:t>K.</w:t>
      </w:r>
      <w:r>
        <w:rPr>
          <w:i/>
          <w:spacing w:val="-1"/>
          <w:sz w:val="22"/>
        </w:rPr>
        <w:t> </w:t>
      </w:r>
      <w:r>
        <w:rPr>
          <w:i/>
          <w:spacing w:val="-2"/>
          <w:sz w:val="22"/>
        </w:rPr>
        <w:t>pneumoniae</w:t>
      </w:r>
    </w:p>
    <w:p>
      <w:pPr>
        <w:pStyle w:val="BodyText"/>
        <w:spacing w:before="32"/>
        <w:rPr>
          <w:i/>
        </w:rPr>
      </w:pPr>
    </w:p>
    <w:p>
      <w:pPr>
        <w:tabs>
          <w:tab w:pos="3260" w:val="left" w:leader="none"/>
        </w:tabs>
        <w:spacing w:before="0"/>
        <w:ind w:left="1100" w:right="0" w:firstLine="0"/>
        <w:jc w:val="left"/>
        <w:rPr>
          <w:i/>
          <w:sz w:val="22"/>
        </w:rPr>
      </w:pPr>
      <w:r>
        <w:rPr>
          <w:sz w:val="22"/>
        </w:rPr>
        <w:t>Binomial</w:t>
      </w:r>
      <w:r>
        <w:rPr>
          <w:spacing w:val="-7"/>
          <w:sz w:val="22"/>
        </w:rPr>
        <w:t> </w:t>
      </w:r>
      <w:r>
        <w:rPr>
          <w:spacing w:val="-4"/>
          <w:sz w:val="22"/>
        </w:rPr>
        <w:t>name:</w:t>
      </w:r>
      <w:r>
        <w:rPr>
          <w:sz w:val="22"/>
        </w:rPr>
        <w:tab/>
      </w:r>
      <w:r>
        <w:rPr>
          <w:i/>
          <w:sz w:val="22"/>
        </w:rPr>
        <w:t>Klebsiella</w:t>
      </w:r>
      <w:r>
        <w:rPr>
          <w:i/>
          <w:spacing w:val="-3"/>
          <w:sz w:val="22"/>
        </w:rPr>
        <w:t> </w:t>
      </w:r>
      <w:r>
        <w:rPr>
          <w:i/>
          <w:spacing w:val="-2"/>
          <w:sz w:val="22"/>
        </w:rPr>
        <w:t>pneumoniae</w:t>
      </w:r>
    </w:p>
    <w:p>
      <w:pPr>
        <w:pStyle w:val="BodyText"/>
        <w:spacing w:before="34"/>
        <w:rPr>
          <w:i/>
        </w:rPr>
      </w:pPr>
    </w:p>
    <w:p>
      <w:pPr>
        <w:pStyle w:val="BodyText"/>
        <w:spacing w:line="480" w:lineRule="auto"/>
        <w:ind w:left="1100" w:right="974" w:firstLine="720"/>
        <w:jc w:val="both"/>
      </w:pPr>
      <w:r>
        <w:rPr>
          <w:i/>
        </w:rPr>
        <w:t>Klebsiella pneumoniae </w:t>
      </w:r>
      <w:r>
        <w:rPr/>
        <w:t>is a </w:t>
      </w:r>
      <w:hyperlink r:id="rId99">
        <w:r>
          <w:rPr/>
          <w:t>Gram-negative</w:t>
        </w:r>
      </w:hyperlink>
      <w:r>
        <w:rPr/>
        <w:t>, non-motile, </w:t>
      </w:r>
      <w:hyperlink r:id="rId100">
        <w:r>
          <w:rPr/>
          <w:t>encapsulated</w:t>
        </w:r>
      </w:hyperlink>
      <w:r>
        <w:rPr/>
        <w:t>, </w:t>
      </w:r>
      <w:hyperlink r:id="rId101">
        <w:r>
          <w:rPr/>
          <w:t>lactose</w:t>
        </w:r>
      </w:hyperlink>
      <w:r>
        <w:rPr/>
        <w:t> </w:t>
      </w:r>
      <w:hyperlink r:id="rId102">
        <w:r>
          <w:rPr/>
          <w:t>fermenting,</w:t>
        </w:r>
      </w:hyperlink>
      <w:r>
        <w:rPr>
          <w:spacing w:val="35"/>
        </w:rPr>
        <w:t> </w:t>
      </w:r>
      <w:hyperlink r:id="rId103">
        <w:r>
          <w:rPr/>
          <w:t>facultative</w:t>
        </w:r>
        <w:r>
          <w:rPr>
            <w:spacing w:val="35"/>
          </w:rPr>
          <w:t> </w:t>
        </w:r>
        <w:r>
          <w:rPr/>
          <w:t>anaerobic</w:t>
        </w:r>
      </w:hyperlink>
      <w:r>
        <w:rPr/>
        <w:t>,</w:t>
      </w:r>
      <w:r>
        <w:rPr>
          <w:spacing w:val="34"/>
        </w:rPr>
        <w:t> </w:t>
      </w:r>
      <w:r>
        <w:rPr/>
        <w:t>rod</w:t>
      </w:r>
      <w:r>
        <w:rPr>
          <w:spacing w:val="33"/>
        </w:rPr>
        <w:t> </w:t>
      </w:r>
      <w:r>
        <w:rPr/>
        <w:t>shaped</w:t>
      </w:r>
      <w:r>
        <w:rPr>
          <w:spacing w:val="35"/>
        </w:rPr>
        <w:t> </w:t>
      </w:r>
      <w:hyperlink r:id="rId104">
        <w:r>
          <w:rPr/>
          <w:t>bacterium</w:t>
        </w:r>
      </w:hyperlink>
      <w:r>
        <w:rPr>
          <w:spacing w:val="36"/>
        </w:rPr>
        <w:t> </w:t>
      </w:r>
      <w:r>
        <w:rPr/>
        <w:t>and</w:t>
      </w:r>
      <w:r>
        <w:rPr>
          <w:spacing w:val="33"/>
        </w:rPr>
        <w:t> </w:t>
      </w:r>
      <w:r>
        <w:rPr/>
        <w:t>measures</w:t>
      </w:r>
      <w:r>
        <w:rPr>
          <w:spacing w:val="35"/>
        </w:rPr>
        <w:t> </w:t>
      </w:r>
      <w:r>
        <w:rPr/>
        <w:t>2</w:t>
      </w:r>
      <w:r>
        <w:rPr>
          <w:spacing w:val="32"/>
        </w:rPr>
        <w:t> </w:t>
      </w:r>
      <w:r>
        <w:rPr/>
        <w:t>µm</w:t>
      </w:r>
      <w:r>
        <w:rPr>
          <w:spacing w:val="33"/>
        </w:rPr>
        <w:t> </w:t>
      </w:r>
      <w:r>
        <w:rPr/>
        <w:t>by</w:t>
      </w:r>
      <w:r>
        <w:rPr>
          <w:spacing w:val="35"/>
        </w:rPr>
        <w:t> </w:t>
      </w:r>
      <w:r>
        <w:rPr/>
        <w:t>0.5</w:t>
      </w:r>
      <w:r>
        <w:rPr>
          <w:spacing w:val="35"/>
        </w:rPr>
        <w:t> </w:t>
      </w:r>
      <w:r>
        <w:rPr/>
        <w:t>µm.</w:t>
      </w:r>
    </w:p>
    <w:p>
      <w:pPr>
        <w:spacing w:after="0" w:line="480" w:lineRule="auto"/>
        <w:jc w:val="both"/>
        <w:sectPr>
          <w:pgSz w:w="11910" w:h="16840"/>
          <w:pgMar w:header="0" w:footer="1055" w:top="1380" w:bottom="1240" w:left="1060" w:right="460"/>
        </w:sectPr>
      </w:pPr>
    </w:p>
    <w:p>
      <w:pPr>
        <w:pStyle w:val="BodyText"/>
        <w:spacing w:line="480" w:lineRule="auto" w:before="38"/>
        <w:ind w:left="1100" w:right="975"/>
      </w:pPr>
      <w:r>
        <w:rPr/>
        <w:t>Although</w:t>
      </w:r>
      <w:r>
        <w:rPr>
          <w:spacing w:val="68"/>
        </w:rPr>
        <w:t> </w:t>
      </w:r>
      <w:r>
        <w:rPr/>
        <w:t>found</w:t>
      </w:r>
      <w:r>
        <w:rPr>
          <w:spacing w:val="68"/>
        </w:rPr>
        <w:t> </w:t>
      </w:r>
      <w:r>
        <w:rPr/>
        <w:t>in</w:t>
      </w:r>
      <w:r>
        <w:rPr>
          <w:spacing w:val="68"/>
        </w:rPr>
        <w:t> </w:t>
      </w:r>
      <w:r>
        <w:rPr/>
        <w:t>the</w:t>
      </w:r>
      <w:r>
        <w:rPr>
          <w:spacing w:val="69"/>
        </w:rPr>
        <w:t> </w:t>
      </w:r>
      <w:r>
        <w:rPr/>
        <w:t>normal</w:t>
      </w:r>
      <w:r>
        <w:rPr>
          <w:spacing w:val="68"/>
        </w:rPr>
        <w:t> </w:t>
      </w:r>
      <w:r>
        <w:rPr/>
        <w:t>flora</w:t>
      </w:r>
      <w:r>
        <w:rPr>
          <w:spacing w:val="68"/>
        </w:rPr>
        <w:t> </w:t>
      </w:r>
      <w:r>
        <w:rPr/>
        <w:t>of</w:t>
      </w:r>
      <w:r>
        <w:rPr>
          <w:spacing w:val="70"/>
        </w:rPr>
        <w:t> </w:t>
      </w:r>
      <w:r>
        <w:rPr/>
        <w:t>the</w:t>
      </w:r>
      <w:r>
        <w:rPr>
          <w:spacing w:val="69"/>
        </w:rPr>
        <w:t> </w:t>
      </w:r>
      <w:r>
        <w:rPr/>
        <w:t>mouth,</w:t>
      </w:r>
      <w:r>
        <w:rPr>
          <w:spacing w:val="69"/>
        </w:rPr>
        <w:t> </w:t>
      </w:r>
      <w:r>
        <w:rPr/>
        <w:t>skin,</w:t>
      </w:r>
      <w:r>
        <w:rPr>
          <w:spacing w:val="69"/>
        </w:rPr>
        <w:t> </w:t>
      </w:r>
      <w:r>
        <w:rPr/>
        <w:t>and</w:t>
      </w:r>
      <w:r>
        <w:rPr>
          <w:spacing w:val="68"/>
        </w:rPr>
        <w:t> </w:t>
      </w:r>
      <w:r>
        <w:rPr/>
        <w:t>intestines,</w:t>
      </w:r>
      <w:r>
        <w:rPr>
          <w:spacing w:val="69"/>
        </w:rPr>
        <w:t> </w:t>
      </w:r>
      <w:r>
        <w:rPr/>
        <w:t>it</w:t>
      </w:r>
      <w:r>
        <w:rPr>
          <w:spacing w:val="67"/>
        </w:rPr>
        <w:t> </w:t>
      </w:r>
      <w:r>
        <w:rPr/>
        <w:t>can</w:t>
      </w:r>
      <w:r>
        <w:rPr>
          <w:spacing w:val="68"/>
        </w:rPr>
        <w:t> </w:t>
      </w:r>
      <w:r>
        <w:rPr/>
        <w:t>cause destructive changes to human lungs if aspirated (Ryan and Ray, 2004).</w:t>
      </w:r>
    </w:p>
    <w:p>
      <w:pPr>
        <w:pStyle w:val="BodyText"/>
        <w:spacing w:before="11"/>
      </w:pPr>
    </w:p>
    <w:p>
      <w:pPr>
        <w:pStyle w:val="BodyText"/>
        <w:spacing w:line="480" w:lineRule="auto"/>
        <w:ind w:left="1100" w:right="975" w:firstLine="720"/>
        <w:jc w:val="both"/>
      </w:pPr>
      <w:r>
        <w:rPr/>
        <w:t>Members of the </w:t>
      </w:r>
      <w:r>
        <w:rPr>
          <w:i/>
        </w:rPr>
        <w:t>Klebsiella </w:t>
      </w:r>
      <w:r>
        <w:rPr/>
        <w:t>genus typically express two (2) types of antigens on their cell surface. The first, O antigen, is a component of the </w:t>
      </w:r>
      <w:hyperlink r:id="rId105">
        <w:r>
          <w:rPr/>
          <w:t>lipopolysaccharide</w:t>
        </w:r>
      </w:hyperlink>
      <w:r>
        <w:rPr/>
        <w:t> (LPS), of which nine (9) varieties exist.</w:t>
      </w:r>
      <w:r>
        <w:rPr>
          <w:spacing w:val="-1"/>
        </w:rPr>
        <w:t> </w:t>
      </w:r>
      <w:r>
        <w:rPr/>
        <w:t>The</w:t>
      </w:r>
      <w:r>
        <w:rPr>
          <w:spacing w:val="-1"/>
        </w:rPr>
        <w:t> </w:t>
      </w:r>
      <w:r>
        <w:rPr/>
        <w:t>second is K antigen, a capsular polysaccharide with</w:t>
      </w:r>
      <w:r>
        <w:rPr>
          <w:spacing w:val="-1"/>
        </w:rPr>
        <w:t> </w:t>
      </w:r>
      <w:r>
        <w:rPr/>
        <w:t>more than 80 varieties</w:t>
      </w:r>
      <w:r>
        <w:rPr>
          <w:spacing w:val="-1"/>
        </w:rPr>
        <w:t> </w:t>
      </w:r>
      <w:r>
        <w:rPr/>
        <w:t>(Podschun</w:t>
      </w:r>
      <w:r>
        <w:rPr>
          <w:spacing w:val="-3"/>
        </w:rPr>
        <w:t> </w:t>
      </w:r>
      <w:r>
        <w:rPr/>
        <w:t>and</w:t>
      </w:r>
      <w:r>
        <w:rPr>
          <w:spacing w:val="-4"/>
        </w:rPr>
        <w:t> </w:t>
      </w:r>
      <w:r>
        <w:rPr/>
        <w:t>Ullmann,</w:t>
      </w:r>
      <w:r>
        <w:rPr>
          <w:spacing w:val="-2"/>
        </w:rPr>
        <w:t> </w:t>
      </w:r>
      <w:r>
        <w:rPr/>
        <w:t>1998).</w:t>
      </w:r>
      <w:r>
        <w:rPr>
          <w:spacing w:val="-2"/>
        </w:rPr>
        <w:t> </w:t>
      </w:r>
      <w:r>
        <w:rPr/>
        <w:t>Both</w:t>
      </w:r>
      <w:r>
        <w:rPr>
          <w:spacing w:val="-2"/>
        </w:rPr>
        <w:t> </w:t>
      </w:r>
      <w:r>
        <w:rPr/>
        <w:t>contribute</w:t>
      </w:r>
      <w:r>
        <w:rPr>
          <w:spacing w:val="-2"/>
        </w:rPr>
        <w:t> </w:t>
      </w:r>
      <w:r>
        <w:rPr/>
        <w:t>to</w:t>
      </w:r>
      <w:r>
        <w:rPr>
          <w:spacing w:val="-1"/>
        </w:rPr>
        <w:t> </w:t>
      </w:r>
      <w:r>
        <w:rPr/>
        <w:t>pathogenicity</w:t>
      </w:r>
      <w:r>
        <w:rPr>
          <w:spacing w:val="-3"/>
        </w:rPr>
        <w:t> </w:t>
      </w:r>
      <w:r>
        <w:rPr/>
        <w:t>and</w:t>
      </w:r>
      <w:r>
        <w:rPr>
          <w:spacing w:val="-3"/>
        </w:rPr>
        <w:t> </w:t>
      </w:r>
      <w:r>
        <w:rPr/>
        <w:t>form</w:t>
      </w:r>
      <w:r>
        <w:rPr>
          <w:spacing w:val="-2"/>
        </w:rPr>
        <w:t> </w:t>
      </w:r>
      <w:r>
        <w:rPr/>
        <w:t>the</w:t>
      </w:r>
      <w:r>
        <w:rPr>
          <w:spacing w:val="-4"/>
        </w:rPr>
        <w:t> </w:t>
      </w:r>
      <w:r>
        <w:rPr/>
        <w:t>basis for </w:t>
      </w:r>
      <w:hyperlink r:id="rId106">
        <w:r>
          <w:rPr/>
          <w:t>serogrouping.</w:t>
        </w:r>
      </w:hyperlink>
    </w:p>
    <w:p>
      <w:pPr>
        <w:pStyle w:val="BodyText"/>
        <w:spacing w:before="13"/>
      </w:pPr>
    </w:p>
    <w:p>
      <w:pPr>
        <w:pStyle w:val="BodyText"/>
        <w:spacing w:line="480" w:lineRule="auto"/>
        <w:ind w:left="1100" w:right="974" w:firstLine="720"/>
        <w:jc w:val="both"/>
      </w:pPr>
      <w:r>
        <w:rPr/>
        <w:t>Many hospital cases around the world</w:t>
      </w:r>
      <w:r>
        <w:rPr>
          <w:spacing w:val="-1"/>
        </w:rPr>
        <w:t> </w:t>
      </w:r>
      <w:r>
        <w:rPr/>
        <w:t>have been linked to </w:t>
      </w:r>
      <w:r>
        <w:rPr>
          <w:i/>
        </w:rPr>
        <w:t>K. pneumoniae</w:t>
      </w:r>
      <w:r>
        <w:rPr/>
        <w:t>. </w:t>
      </w:r>
      <w:r>
        <w:rPr>
          <w:i/>
        </w:rPr>
        <w:t>Klebsiella pneumoniae </w:t>
      </w:r>
      <w:r>
        <w:rPr/>
        <w:t>is commonly found in</w:t>
      </w:r>
      <w:r>
        <w:rPr>
          <w:spacing w:val="-1"/>
        </w:rPr>
        <w:t> </w:t>
      </w:r>
      <w:r>
        <w:rPr/>
        <w:t>the gastrointestinal tract and hands of hospital personnel (Podschun and Ullmann, 1998). The reason for its pathogenicity is the thick capsule layer surrounding</w:t>
      </w:r>
      <w:r>
        <w:rPr>
          <w:spacing w:val="-3"/>
        </w:rPr>
        <w:t> </w:t>
      </w:r>
      <w:r>
        <w:rPr/>
        <w:t>the</w:t>
      </w:r>
      <w:r>
        <w:rPr>
          <w:spacing w:val="-2"/>
        </w:rPr>
        <w:t> </w:t>
      </w:r>
      <w:r>
        <w:rPr/>
        <w:t>bacterium.</w:t>
      </w:r>
      <w:r>
        <w:rPr>
          <w:spacing w:val="-2"/>
        </w:rPr>
        <w:t> </w:t>
      </w:r>
      <w:r>
        <w:rPr/>
        <w:t>It</w:t>
      </w:r>
      <w:r>
        <w:rPr>
          <w:spacing w:val="-2"/>
        </w:rPr>
        <w:t> </w:t>
      </w:r>
      <w:r>
        <w:rPr/>
        <w:t>is</w:t>
      </w:r>
      <w:r>
        <w:rPr>
          <w:spacing w:val="-2"/>
        </w:rPr>
        <w:t> </w:t>
      </w:r>
      <w:r>
        <w:rPr/>
        <w:t>160</w:t>
      </w:r>
      <w:r>
        <w:rPr>
          <w:spacing w:val="-2"/>
        </w:rPr>
        <w:t> </w:t>
      </w:r>
      <w:r>
        <w:rPr/>
        <w:t>nm</w:t>
      </w:r>
      <w:r>
        <w:rPr>
          <w:spacing w:val="-2"/>
        </w:rPr>
        <w:t> </w:t>
      </w:r>
      <w:r>
        <w:rPr/>
        <w:t>thick</w:t>
      </w:r>
      <w:r>
        <w:rPr>
          <w:spacing w:val="-2"/>
        </w:rPr>
        <w:t> </w:t>
      </w:r>
      <w:r>
        <w:rPr/>
        <w:t>of</w:t>
      </w:r>
      <w:r>
        <w:rPr>
          <w:spacing w:val="-2"/>
        </w:rPr>
        <w:t> </w:t>
      </w:r>
      <w:r>
        <w:rPr/>
        <w:t>fine</w:t>
      </w:r>
      <w:r>
        <w:rPr>
          <w:spacing w:val="-2"/>
        </w:rPr>
        <w:t> </w:t>
      </w:r>
      <w:r>
        <w:rPr/>
        <w:t>fibers</w:t>
      </w:r>
      <w:r>
        <w:rPr>
          <w:spacing w:val="-2"/>
        </w:rPr>
        <w:t> </w:t>
      </w:r>
      <w:r>
        <w:rPr/>
        <w:t>that</w:t>
      </w:r>
      <w:r>
        <w:rPr>
          <w:spacing w:val="-2"/>
        </w:rPr>
        <w:t> </w:t>
      </w:r>
      <w:r>
        <w:rPr/>
        <w:t>protrudes</w:t>
      </w:r>
      <w:r>
        <w:rPr>
          <w:spacing w:val="-1"/>
        </w:rPr>
        <w:t> </w:t>
      </w:r>
      <w:r>
        <w:rPr/>
        <w:t>out</w:t>
      </w:r>
      <w:r>
        <w:rPr>
          <w:spacing w:val="-2"/>
        </w:rPr>
        <w:t> </w:t>
      </w:r>
      <w:r>
        <w:rPr/>
        <w:t>from</w:t>
      </w:r>
      <w:r>
        <w:rPr>
          <w:spacing w:val="-1"/>
        </w:rPr>
        <w:t> </w:t>
      </w:r>
      <w:r>
        <w:rPr/>
        <w:t>the</w:t>
      </w:r>
      <w:r>
        <w:rPr>
          <w:spacing w:val="-3"/>
        </w:rPr>
        <w:t> </w:t>
      </w:r>
      <w:r>
        <w:rPr/>
        <w:t>outer membrane at right angles (Lawlor, 2005). Another site on the human body that this bacteria can be found is</w:t>
      </w:r>
      <w:r>
        <w:rPr>
          <w:spacing w:val="-2"/>
        </w:rPr>
        <w:t> </w:t>
      </w:r>
      <w:r>
        <w:rPr/>
        <w:t>the nasopharynx. Its habitat is not limited to humans</w:t>
      </w:r>
      <w:r>
        <w:rPr>
          <w:spacing w:val="-2"/>
        </w:rPr>
        <w:t> </w:t>
      </w:r>
      <w:r>
        <w:rPr/>
        <w:t>but is ubiquitous to</w:t>
      </w:r>
      <w:r>
        <w:rPr>
          <w:spacing w:val="-1"/>
        </w:rPr>
        <w:t> </w:t>
      </w:r>
      <w:r>
        <w:rPr/>
        <w:t>the ecological environment. This includes surface water, sewage, and soil (Brisse </w:t>
      </w:r>
      <w:r>
        <w:rPr>
          <w:i/>
        </w:rPr>
        <w:t>et al., </w:t>
      </w:r>
      <w:r>
        <w:rPr/>
        <w:t>2001).</w:t>
      </w:r>
    </w:p>
    <w:p>
      <w:pPr>
        <w:pStyle w:val="BodyText"/>
        <w:spacing w:before="11"/>
      </w:pPr>
    </w:p>
    <w:p>
      <w:pPr>
        <w:pStyle w:val="BodyText"/>
        <w:spacing w:line="480" w:lineRule="auto" w:before="1"/>
        <w:ind w:left="1100" w:right="976" w:firstLine="720"/>
        <w:jc w:val="both"/>
      </w:pPr>
      <w:r>
        <w:rPr/>
        <w:t>To get a </w:t>
      </w:r>
      <w:r>
        <w:rPr>
          <w:i/>
        </w:rPr>
        <w:t>Klebsiella </w:t>
      </w:r>
      <w:r>
        <w:rPr/>
        <w:t>infection, a person must be exposed to the bacteria. For example, </w:t>
      </w:r>
      <w:r>
        <w:rPr>
          <w:i/>
        </w:rPr>
        <w:t>Klebsiella </w:t>
      </w:r>
      <w:r>
        <w:rPr/>
        <w:t>must enter the respiratory (breathing) tract to cause pneumonia, or the blood to cause a bloodstream infection.</w:t>
      </w:r>
    </w:p>
    <w:p>
      <w:pPr>
        <w:pStyle w:val="BodyText"/>
        <w:spacing w:before="6"/>
      </w:pPr>
    </w:p>
    <w:p>
      <w:pPr>
        <w:spacing w:line="480" w:lineRule="auto" w:before="1"/>
        <w:ind w:left="1100" w:right="976" w:firstLine="720"/>
        <w:jc w:val="both"/>
        <w:rPr>
          <w:rFonts w:ascii="Times New Roman"/>
          <w:sz w:val="24"/>
        </w:rPr>
      </w:pPr>
      <w:r>
        <w:rPr>
          <w:rFonts w:ascii="Times New Roman"/>
          <w:sz w:val="24"/>
        </w:rPr>
        <w:t>Infections most often afflict those with compromised immune systems. An opportunistic pathogen, </w:t>
      </w:r>
      <w:r>
        <w:rPr>
          <w:rFonts w:ascii="Times New Roman"/>
          <w:i/>
          <w:sz w:val="24"/>
        </w:rPr>
        <w:t>Klebsiella pneumoniae </w:t>
      </w:r>
      <w:r>
        <w:rPr>
          <w:rFonts w:ascii="Times New Roman"/>
          <w:sz w:val="24"/>
        </w:rPr>
        <w:t>is pervasive in hospital settings and difficult to combat. The most significant source of patient infection is contact with feces and contaminated instruments. Even with antimicrobial therapy, it has a high death rate of about 50 percent, and nearly 100 percent for persons with alcoholism</w:t>
      </w:r>
      <w:r>
        <w:rPr>
          <w:rFonts w:ascii="Times New Roman"/>
          <w:spacing w:val="80"/>
          <w:sz w:val="24"/>
        </w:rPr>
        <w:t> </w:t>
      </w:r>
      <w:r>
        <w:rPr>
          <w:rFonts w:ascii="Times New Roman"/>
          <w:sz w:val="24"/>
        </w:rPr>
        <w:t>and bacteremia Center for Disease Control (CDC), (2012).</w:t>
      </w:r>
    </w:p>
    <w:p>
      <w:pPr>
        <w:spacing w:after="0" w:line="480" w:lineRule="auto"/>
        <w:jc w:val="both"/>
        <w:rPr>
          <w:rFonts w:ascii="Times New Roman"/>
          <w:sz w:val="24"/>
        </w:rPr>
        <w:sectPr>
          <w:pgSz w:w="11910" w:h="16840"/>
          <w:pgMar w:header="0" w:footer="1055" w:top="1380" w:bottom="1240" w:left="1060" w:right="460"/>
        </w:sectPr>
      </w:pPr>
    </w:p>
    <w:p>
      <w:pPr>
        <w:pStyle w:val="ListParagraph"/>
        <w:numPr>
          <w:ilvl w:val="3"/>
          <w:numId w:val="1"/>
        </w:numPr>
        <w:tabs>
          <w:tab w:pos="1098" w:val="left" w:leader="none"/>
        </w:tabs>
        <w:spacing w:line="240" w:lineRule="auto" w:before="38" w:after="0"/>
        <w:ind w:left="1098" w:right="0" w:hanging="718"/>
        <w:jc w:val="left"/>
        <w:rPr>
          <w:i/>
          <w:sz w:val="22"/>
        </w:rPr>
      </w:pPr>
      <w:r>
        <w:rPr>
          <w:i/>
          <w:sz w:val="22"/>
        </w:rPr>
        <w:t>Significance</w:t>
      </w:r>
      <w:r>
        <w:rPr>
          <w:i/>
          <w:spacing w:val="-7"/>
          <w:sz w:val="22"/>
        </w:rPr>
        <w:t> </w:t>
      </w:r>
      <w:r>
        <w:rPr>
          <w:i/>
          <w:sz w:val="22"/>
        </w:rPr>
        <w:t>and</w:t>
      </w:r>
      <w:r>
        <w:rPr>
          <w:i/>
          <w:spacing w:val="-7"/>
          <w:sz w:val="22"/>
        </w:rPr>
        <w:t> </w:t>
      </w:r>
      <w:r>
        <w:rPr>
          <w:i/>
          <w:sz w:val="22"/>
        </w:rPr>
        <w:t>Health</w:t>
      </w:r>
      <w:r>
        <w:rPr>
          <w:i/>
          <w:spacing w:val="-7"/>
          <w:sz w:val="22"/>
        </w:rPr>
        <w:t> </w:t>
      </w:r>
      <w:r>
        <w:rPr>
          <w:i/>
          <w:sz w:val="22"/>
        </w:rPr>
        <w:t>Implications</w:t>
      </w:r>
      <w:r>
        <w:rPr>
          <w:i/>
          <w:spacing w:val="-6"/>
          <w:sz w:val="22"/>
        </w:rPr>
        <w:t> </w:t>
      </w:r>
      <w:r>
        <w:rPr>
          <w:i/>
          <w:sz w:val="22"/>
        </w:rPr>
        <w:t>of</w:t>
      </w:r>
      <w:r>
        <w:rPr>
          <w:i/>
          <w:spacing w:val="-6"/>
          <w:sz w:val="22"/>
        </w:rPr>
        <w:t> </w:t>
      </w:r>
      <w:r>
        <w:rPr>
          <w:i/>
          <w:sz w:val="22"/>
        </w:rPr>
        <w:t>Klebsiella</w:t>
      </w:r>
      <w:r>
        <w:rPr>
          <w:i/>
          <w:spacing w:val="-8"/>
          <w:sz w:val="22"/>
        </w:rPr>
        <w:t> </w:t>
      </w:r>
      <w:r>
        <w:rPr>
          <w:i/>
          <w:spacing w:val="-2"/>
          <w:sz w:val="22"/>
        </w:rPr>
        <w:t>pneumoniae</w:t>
      </w:r>
    </w:p>
    <w:p>
      <w:pPr>
        <w:pStyle w:val="BodyText"/>
        <w:rPr>
          <w:i/>
        </w:rPr>
      </w:pPr>
    </w:p>
    <w:p>
      <w:pPr>
        <w:pStyle w:val="BodyText"/>
        <w:spacing w:before="11"/>
        <w:rPr>
          <w:i/>
        </w:rPr>
      </w:pPr>
    </w:p>
    <w:p>
      <w:pPr>
        <w:pStyle w:val="BodyText"/>
        <w:spacing w:line="480" w:lineRule="auto"/>
        <w:ind w:left="1100" w:right="972" w:firstLine="720"/>
        <w:jc w:val="both"/>
      </w:pPr>
      <w:r>
        <w:rPr/>
        <w:t>In recent years, </w:t>
      </w:r>
      <w:r>
        <w:rPr>
          <w:i/>
        </w:rPr>
        <w:t>Klebsiellae </w:t>
      </w:r>
      <w:r>
        <w:rPr/>
        <w:t>have become important pathogens in </w:t>
      </w:r>
      <w:hyperlink r:id="rId107">
        <w:r>
          <w:rPr/>
          <w:t>nosocomial</w:t>
        </w:r>
      </w:hyperlink>
      <w:r>
        <w:rPr/>
        <w:t> infections. It is clinically the most significant member of the </w:t>
      </w:r>
      <w:hyperlink r:id="rId108">
        <w:r>
          <w:rPr>
            <w:i/>
          </w:rPr>
          <w:t>Klebsiella</w:t>
        </w:r>
      </w:hyperlink>
      <w:r>
        <w:rPr>
          <w:i/>
        </w:rPr>
        <w:t> </w:t>
      </w:r>
      <w:hyperlink r:id="rId109">
        <w:r>
          <w:rPr/>
          <w:t>genus</w:t>
        </w:r>
      </w:hyperlink>
      <w:r>
        <w:rPr/>
        <w:t> of </w:t>
      </w:r>
      <w:hyperlink r:id="rId110">
        <w:r>
          <w:rPr>
            <w:spacing w:val="-2"/>
          </w:rPr>
          <w:t>Enterobacteriaceae</w:t>
        </w:r>
      </w:hyperlink>
      <w:r>
        <w:rPr>
          <w:spacing w:val="-2"/>
        </w:rPr>
        <w:t>.</w:t>
      </w:r>
    </w:p>
    <w:p>
      <w:pPr>
        <w:pStyle w:val="BodyText"/>
        <w:spacing w:before="13"/>
      </w:pPr>
    </w:p>
    <w:p>
      <w:pPr>
        <w:pStyle w:val="BodyText"/>
        <w:spacing w:line="480" w:lineRule="auto" w:before="1"/>
        <w:ind w:left="1100" w:right="972" w:firstLine="720"/>
        <w:jc w:val="both"/>
      </w:pPr>
      <w:r>
        <w:rPr>
          <w:i/>
        </w:rPr>
        <w:t>Klebsiella pneumoniae </w:t>
      </w:r>
      <w:r>
        <w:rPr/>
        <w:t>is a very common pathogen that is encountered by many health care providers. Strong correlation has been established between the demographic</w:t>
      </w:r>
      <w:r>
        <w:rPr>
          <w:spacing w:val="40"/>
        </w:rPr>
        <w:t> </w:t>
      </w:r>
      <w:r>
        <w:rPr/>
        <w:t>and geographic distribution among world populations and the incidents of community- acquired infections caused by </w:t>
      </w:r>
      <w:r>
        <w:rPr>
          <w:i/>
        </w:rPr>
        <w:t>K. penumoniae</w:t>
      </w:r>
      <w:r>
        <w:rPr/>
        <w:t>. </w:t>
      </w:r>
      <w:r>
        <w:rPr>
          <w:i/>
        </w:rPr>
        <w:t>Klebsiella pneumoniae </w:t>
      </w:r>
      <w:r>
        <w:rPr/>
        <w:t>has been considered a respiratory pathogen</w:t>
      </w:r>
      <w:r>
        <w:rPr>
          <w:spacing w:val="-2"/>
        </w:rPr>
        <w:t> </w:t>
      </w:r>
      <w:r>
        <w:rPr/>
        <w:t>that</w:t>
      </w:r>
      <w:r>
        <w:rPr>
          <w:spacing w:val="-5"/>
        </w:rPr>
        <w:t> </w:t>
      </w:r>
      <w:r>
        <w:rPr/>
        <w:t>causes pneumonia, the symptoms</w:t>
      </w:r>
      <w:r>
        <w:rPr>
          <w:spacing w:val="-2"/>
        </w:rPr>
        <w:t> </w:t>
      </w:r>
      <w:r>
        <w:rPr/>
        <w:t>include:</w:t>
      </w:r>
      <w:r>
        <w:rPr>
          <w:spacing w:val="-1"/>
        </w:rPr>
        <w:t> </w:t>
      </w:r>
      <w:r>
        <w:rPr/>
        <w:t>toxic</w:t>
      </w:r>
      <w:r>
        <w:rPr>
          <w:spacing w:val="-2"/>
        </w:rPr>
        <w:t> </w:t>
      </w:r>
      <w:r>
        <w:rPr/>
        <w:t>presentation with sudden onset, high fever, and hemoptysis (Wen-Chien </w:t>
      </w:r>
      <w:r>
        <w:rPr>
          <w:i/>
        </w:rPr>
        <w:t>et al</w:t>
      </w:r>
      <w:r>
        <w:rPr/>
        <w:t>., 2002).</w:t>
      </w:r>
    </w:p>
    <w:p>
      <w:pPr>
        <w:pStyle w:val="BodyText"/>
        <w:spacing w:before="10"/>
      </w:pPr>
    </w:p>
    <w:p>
      <w:pPr>
        <w:pStyle w:val="BodyText"/>
        <w:spacing w:line="480" w:lineRule="auto" w:before="1"/>
        <w:ind w:left="1100" w:right="973" w:firstLine="720"/>
        <w:jc w:val="both"/>
      </w:pPr>
      <w:r>
        <w:rPr>
          <w:i/>
        </w:rPr>
        <w:t>Klebsiella pneumoniae </w:t>
      </w:r>
      <w:r>
        <w:rPr/>
        <w:t>is one of the top organisms causing infections in hospitalized patients. These organisms can cause serious bloodstream infections and other intrusive infections that can potentially lead to fatality. A study in a Jamaican hospital was conducted that focused on multidrug resistant (MDR) strains of </w:t>
      </w:r>
      <w:r>
        <w:rPr>
          <w:i/>
        </w:rPr>
        <w:t>K. pneumoniae </w:t>
      </w:r>
      <w:r>
        <w:rPr/>
        <w:t>over a 5 year period. These MDR strains include resistance to broad spectrum cephalosporins and other extensively used antibiotics. This study led to the conclusion that </w:t>
      </w:r>
      <w:r>
        <w:rPr>
          <w:i/>
        </w:rPr>
        <w:t>K. pneumoniae </w:t>
      </w:r>
      <w:r>
        <w:rPr/>
        <w:t>showed endemic persistence of selected clones, as opposed to pandemic persistence. This led to the hypothesis that the transmission of the organism was largely due to patient-to-patient contact and to health care worker-to-patient contact in the hospital, or, less commonly, by contamination</w:t>
      </w:r>
      <w:r>
        <w:rPr>
          <w:spacing w:val="-3"/>
        </w:rPr>
        <w:t> </w:t>
      </w:r>
      <w:r>
        <w:rPr/>
        <w:t>of</w:t>
      </w:r>
      <w:r>
        <w:rPr>
          <w:spacing w:val="-2"/>
        </w:rPr>
        <w:t> </w:t>
      </w:r>
      <w:r>
        <w:rPr/>
        <w:t>the</w:t>
      </w:r>
      <w:r>
        <w:rPr>
          <w:spacing w:val="-2"/>
        </w:rPr>
        <w:t> </w:t>
      </w:r>
      <w:r>
        <w:rPr/>
        <w:t>environment.</w:t>
      </w:r>
      <w:r>
        <w:rPr>
          <w:spacing w:val="-2"/>
        </w:rPr>
        <w:t> </w:t>
      </w:r>
      <w:r>
        <w:rPr/>
        <w:t>The</w:t>
      </w:r>
      <w:r>
        <w:rPr>
          <w:spacing w:val="-2"/>
        </w:rPr>
        <w:t> </w:t>
      </w:r>
      <w:r>
        <w:rPr/>
        <w:t>bacteria are</w:t>
      </w:r>
      <w:r>
        <w:rPr>
          <w:spacing w:val="-2"/>
        </w:rPr>
        <w:t> </w:t>
      </w:r>
      <w:r>
        <w:rPr/>
        <w:t>not</w:t>
      </w:r>
      <w:r>
        <w:rPr>
          <w:spacing w:val="-2"/>
        </w:rPr>
        <w:t> </w:t>
      </w:r>
      <w:r>
        <w:rPr/>
        <w:t>spread</w:t>
      </w:r>
      <w:r>
        <w:rPr>
          <w:spacing w:val="-2"/>
        </w:rPr>
        <w:t> </w:t>
      </w:r>
      <w:r>
        <w:rPr/>
        <w:t>through</w:t>
      </w:r>
      <w:r>
        <w:rPr>
          <w:spacing w:val="-3"/>
        </w:rPr>
        <w:t> </w:t>
      </w:r>
      <w:r>
        <w:rPr/>
        <w:t>the</w:t>
      </w:r>
      <w:r>
        <w:rPr>
          <w:spacing w:val="-2"/>
        </w:rPr>
        <w:t> </w:t>
      </w:r>
      <w:r>
        <w:rPr/>
        <w:t>air</w:t>
      </w:r>
      <w:r>
        <w:rPr>
          <w:spacing w:val="-1"/>
        </w:rPr>
        <w:t> </w:t>
      </w:r>
      <w:r>
        <w:rPr/>
        <w:t>(Nicole</w:t>
      </w:r>
      <w:r>
        <w:rPr>
          <w:spacing w:val="-1"/>
        </w:rPr>
        <w:t> </w:t>
      </w:r>
      <w:r>
        <w:rPr>
          <w:i/>
        </w:rPr>
        <w:t>et</w:t>
      </w:r>
      <w:r>
        <w:rPr>
          <w:i/>
          <w:spacing w:val="-2"/>
        </w:rPr>
        <w:t> </w:t>
      </w:r>
      <w:r>
        <w:rPr>
          <w:i/>
        </w:rPr>
        <w:t>al., </w:t>
      </w:r>
      <w:r>
        <w:rPr>
          <w:spacing w:val="-2"/>
        </w:rPr>
        <w:t>2010).</w:t>
      </w:r>
    </w:p>
    <w:p>
      <w:pPr>
        <w:pStyle w:val="BodyText"/>
        <w:spacing w:before="11"/>
      </w:pPr>
    </w:p>
    <w:p>
      <w:pPr>
        <w:pStyle w:val="BodyText"/>
        <w:spacing w:line="480" w:lineRule="auto"/>
        <w:ind w:left="1100" w:right="970" w:firstLine="720"/>
        <w:jc w:val="both"/>
      </w:pPr>
      <w:r>
        <w:rPr/>
        <w:t>Infection with carbapenem-resistant Enterobacteriaceae (CRE) or </w:t>
      </w:r>
      <w:hyperlink r:id="rId111">
        <w:r>
          <w:rPr/>
          <w:t>carbapenemase</w:t>
        </w:r>
      </w:hyperlink>
      <w:r>
        <w:rPr/>
        <w:t>- producing Enterobacteriaceae is emerging as an important challenge in health-care settings (Limbago</w:t>
      </w:r>
      <w:r>
        <w:rPr>
          <w:spacing w:val="40"/>
        </w:rPr>
        <w:t> </w:t>
      </w:r>
      <w:r>
        <w:rPr>
          <w:i/>
        </w:rPr>
        <w:t>et</w:t>
      </w:r>
      <w:r>
        <w:rPr>
          <w:i/>
          <w:spacing w:val="40"/>
        </w:rPr>
        <w:t> </w:t>
      </w:r>
      <w:r>
        <w:rPr>
          <w:i/>
        </w:rPr>
        <w:t>al.,</w:t>
      </w:r>
      <w:r>
        <w:rPr>
          <w:i/>
          <w:spacing w:val="40"/>
        </w:rPr>
        <w:t> </w:t>
      </w:r>
      <w:r>
        <w:rPr/>
        <w:t>2011).</w:t>
      </w:r>
      <w:r>
        <w:rPr>
          <w:spacing w:val="40"/>
        </w:rPr>
        <w:t> </w:t>
      </w:r>
      <w:r>
        <w:rPr/>
        <w:t>One</w:t>
      </w:r>
      <w:r>
        <w:rPr>
          <w:spacing w:val="40"/>
        </w:rPr>
        <w:t> </w:t>
      </w:r>
      <w:r>
        <w:rPr/>
        <w:t>of</w:t>
      </w:r>
      <w:r>
        <w:rPr>
          <w:spacing w:val="40"/>
        </w:rPr>
        <w:t> </w:t>
      </w:r>
      <w:r>
        <w:rPr/>
        <w:t>many</w:t>
      </w:r>
      <w:r>
        <w:rPr>
          <w:spacing w:val="40"/>
        </w:rPr>
        <w:t> </w:t>
      </w:r>
      <w:r>
        <w:rPr/>
        <w:t>carbapenem-resistant</w:t>
      </w:r>
      <w:r>
        <w:rPr>
          <w:spacing w:val="40"/>
        </w:rPr>
        <w:t> </w:t>
      </w:r>
      <w:r>
        <w:rPr/>
        <w:t>Enterobacteriaceae</w:t>
      </w:r>
      <w:r>
        <w:rPr>
          <w:spacing w:val="40"/>
        </w:rPr>
        <w:t> </w:t>
      </w:r>
      <w:r>
        <w:rPr/>
        <w:t>(CRE)</w:t>
      </w:r>
      <w:r>
        <w:rPr>
          <w:spacing w:val="40"/>
        </w:rPr>
        <w:t> </w:t>
      </w:r>
      <w:r>
        <w:rPr/>
        <w:t>is</w:t>
      </w:r>
    </w:p>
    <w:p>
      <w:pPr>
        <w:spacing w:after="0" w:line="480" w:lineRule="auto"/>
        <w:jc w:val="both"/>
        <w:sectPr>
          <w:pgSz w:w="11910" w:h="16840"/>
          <w:pgMar w:header="0" w:footer="1055" w:top="1380" w:bottom="1240" w:left="1060" w:right="460"/>
        </w:sectPr>
      </w:pPr>
    </w:p>
    <w:p>
      <w:pPr>
        <w:pStyle w:val="BodyText"/>
        <w:spacing w:line="480" w:lineRule="auto" w:before="38"/>
        <w:ind w:left="1100" w:right="973"/>
        <w:jc w:val="both"/>
      </w:pPr>
      <w:r>
        <w:rPr/>
        <w:t>Carbapenem-Resistant </w:t>
      </w:r>
      <w:r>
        <w:rPr>
          <w:i/>
        </w:rPr>
        <w:t>Klebsiella pneumoniae </w:t>
      </w:r>
      <w:r>
        <w:rPr/>
        <w:t>(CRKP). Over the past 10 years, a progressive increase in CRKP has been seen worldwide; however, this new emerging </w:t>
      </w:r>
      <w:hyperlink r:id="rId107">
        <w:r>
          <w:rPr/>
          <w:t>nosocomial</w:t>
        </w:r>
      </w:hyperlink>
      <w:r>
        <w:rPr/>
        <w:t> </w:t>
      </w:r>
      <w:hyperlink r:id="rId112">
        <w:r>
          <w:rPr/>
          <w:t>pathogen</w:t>
        </w:r>
      </w:hyperlink>
      <w:r>
        <w:rPr/>
        <w:t> is probably best known for an outbreak in Israel that began around 2006 within</w:t>
      </w:r>
      <w:r>
        <w:rPr>
          <w:spacing w:val="40"/>
        </w:rPr>
        <w:t> </w:t>
      </w:r>
      <w:r>
        <w:rPr/>
        <w:t>the healthcare system there (Berrie, 2007). In the USA, it was first described in North Carolina in 1996 (Yigit </w:t>
      </w:r>
      <w:r>
        <w:rPr>
          <w:i/>
        </w:rPr>
        <w:t>et al., </w:t>
      </w:r>
      <w:r>
        <w:rPr/>
        <w:t>2001); since then CRKP has been identified in 41 states (Washington post, 2012); and is recovered routinely in certain hospitals in New York and</w:t>
      </w:r>
      <w:r>
        <w:rPr>
          <w:spacing w:val="40"/>
        </w:rPr>
        <w:t> </w:t>
      </w:r>
      <w:r>
        <w:rPr/>
        <w:t>New Jersey. It is now the most common CRE species encountered within the United States.</w:t>
      </w:r>
    </w:p>
    <w:p>
      <w:pPr>
        <w:pStyle w:val="BodyText"/>
        <w:spacing w:before="12"/>
      </w:pPr>
    </w:p>
    <w:p>
      <w:pPr>
        <w:pStyle w:val="BodyText"/>
        <w:spacing w:line="480" w:lineRule="auto"/>
        <w:ind w:left="1100" w:right="975" w:firstLine="720"/>
        <w:jc w:val="both"/>
      </w:pPr>
      <w:r>
        <w:rPr/>
        <w:t>Carbapenem-Resistant </w:t>
      </w:r>
      <w:r>
        <w:rPr>
          <w:i/>
        </w:rPr>
        <w:t>Klebsiella pneumoniae </w:t>
      </w:r>
      <w:r>
        <w:rPr/>
        <w:t>is resistant to almost all available antimicrobial agents, and infections with CRKP have caused high rates of morbidity and mortality, particularly among persons with prolonged hospitalization and those who are critically ill and exposed to invasive devices (e.g., ventilators or central venous catheters).</w:t>
      </w:r>
      <w:r>
        <w:rPr>
          <w:spacing w:val="40"/>
        </w:rPr>
        <w:t> </w:t>
      </w:r>
      <w:r>
        <w:rPr/>
        <w:t>The concern is that carbapenem is often used as a drug of last resort when battling resistant bacterial strains. The worry is that new slight mutations could result in infections for which there is very little, if anything, healthcare professionals can do to treat patients with</w:t>
      </w:r>
      <w:r>
        <w:rPr>
          <w:spacing w:val="40"/>
        </w:rPr>
        <w:t> </w:t>
      </w:r>
      <w:r>
        <w:rPr/>
        <w:t>resistant organisms. Patients with unrecognized CRKP colonization have been reservoirs for transmission during </w:t>
      </w:r>
      <w:hyperlink r:id="rId107">
        <w:r>
          <w:rPr/>
          <w:t>nosocomial</w:t>
        </w:r>
      </w:hyperlink>
      <w:r>
        <w:rPr/>
        <w:t> outbreaks (Washington post, 2012).</w:t>
      </w:r>
    </w:p>
    <w:p>
      <w:pPr>
        <w:pStyle w:val="BodyText"/>
        <w:spacing w:before="12"/>
      </w:pPr>
    </w:p>
    <w:p>
      <w:pPr>
        <w:pStyle w:val="BodyText"/>
        <w:spacing w:line="480" w:lineRule="auto"/>
        <w:ind w:left="1100" w:right="972" w:firstLine="720"/>
        <w:jc w:val="both"/>
      </w:pPr>
      <w:r>
        <w:rPr>
          <w:i/>
        </w:rPr>
        <w:t>Klebsiella pneumoniae </w:t>
      </w:r>
      <w:r>
        <w:rPr/>
        <w:t>is an important cause of human infections. Infections or diseases are usually nosocomial</w:t>
      </w:r>
      <w:r>
        <w:rPr>
          <w:spacing w:val="-3"/>
        </w:rPr>
        <w:t> </w:t>
      </w:r>
      <w:r>
        <w:rPr/>
        <w:t>or hospital-acquired. In 1998, </w:t>
      </w:r>
      <w:r>
        <w:rPr>
          <w:i/>
        </w:rPr>
        <w:t>K. pneumoniae </w:t>
      </w:r>
      <w:r>
        <w:rPr/>
        <w:t>and </w:t>
      </w:r>
      <w:r>
        <w:rPr>
          <w:i/>
        </w:rPr>
        <w:t>K. oxytoca </w:t>
      </w:r>
      <w:r>
        <w:rPr/>
        <w:t>accounted for 8% of nosocomial bacterial infections in the United States and in Europe. The associated infections include urinary tract infections, pneumonia, septicemia, and soft tissue infections (Podschun and Ullmann, 1998). The diseases caused by </w:t>
      </w:r>
      <w:r>
        <w:rPr>
          <w:i/>
        </w:rPr>
        <w:t>K. pneumoniae </w:t>
      </w:r>
      <w:r>
        <w:rPr/>
        <w:t>can result in death for patients who are immunodeficient. Treatment is done by antibiotics such as clinafloxacin (Sylvain </w:t>
      </w:r>
      <w:r>
        <w:rPr>
          <w:i/>
        </w:rPr>
        <w:t>et al., </w:t>
      </w:r>
      <w:r>
        <w:rPr/>
        <w:t>1999). But, there are an increasing number of antibiotic- resistance strains.</w:t>
      </w:r>
      <w:r>
        <w:rPr>
          <w:spacing w:val="-3"/>
        </w:rPr>
        <w:t> </w:t>
      </w:r>
      <w:r>
        <w:rPr/>
        <w:t>Ciprofloxacin</w:t>
      </w:r>
      <w:r>
        <w:rPr>
          <w:spacing w:val="-1"/>
        </w:rPr>
        <w:t> </w:t>
      </w:r>
      <w:r>
        <w:rPr/>
        <w:t>is an</w:t>
      </w:r>
      <w:r>
        <w:rPr>
          <w:spacing w:val="-1"/>
        </w:rPr>
        <w:t> </w:t>
      </w:r>
      <w:r>
        <w:rPr/>
        <w:t>antibiotic</w:t>
      </w:r>
      <w:r>
        <w:rPr>
          <w:spacing w:val="-3"/>
        </w:rPr>
        <w:t> </w:t>
      </w:r>
      <w:r>
        <w:rPr/>
        <w:t>that is</w:t>
      </w:r>
      <w:r>
        <w:rPr>
          <w:spacing w:val="-3"/>
        </w:rPr>
        <w:t> </w:t>
      </w:r>
      <w:r>
        <w:rPr/>
        <w:t>becoming</w:t>
      </w:r>
      <w:r>
        <w:rPr>
          <w:spacing w:val="-1"/>
        </w:rPr>
        <w:t> </w:t>
      </w:r>
      <w:r>
        <w:rPr/>
        <w:t>less effective</w:t>
      </w:r>
      <w:r>
        <w:rPr>
          <w:spacing w:val="-2"/>
        </w:rPr>
        <w:t> </w:t>
      </w:r>
      <w:r>
        <w:rPr/>
        <w:t>(Brissel,</w:t>
      </w:r>
      <w:r>
        <w:rPr>
          <w:spacing w:val="-2"/>
        </w:rPr>
        <w:t> </w:t>
      </w:r>
      <w:r>
        <w:rPr/>
        <w:t>2000).</w:t>
      </w:r>
    </w:p>
    <w:p>
      <w:pPr>
        <w:spacing w:after="0" w:line="480" w:lineRule="auto"/>
        <w:jc w:val="both"/>
        <w:sectPr>
          <w:pgSz w:w="11910" w:h="16840"/>
          <w:pgMar w:header="0" w:footer="1055" w:top="1380" w:bottom="1240" w:left="1060" w:right="460"/>
        </w:sectPr>
      </w:pPr>
    </w:p>
    <w:p>
      <w:pPr>
        <w:pStyle w:val="Heading4"/>
        <w:numPr>
          <w:ilvl w:val="2"/>
          <w:numId w:val="1"/>
        </w:numPr>
        <w:tabs>
          <w:tab w:pos="1100" w:val="left" w:leader="none"/>
        </w:tabs>
        <w:spacing w:line="240" w:lineRule="auto" w:before="38" w:after="0"/>
        <w:ind w:left="1100" w:right="0" w:hanging="720"/>
        <w:jc w:val="left"/>
      </w:pPr>
      <w:r>
        <w:rPr/>
        <w:t>Streptococcus</w:t>
      </w:r>
      <w:r>
        <w:rPr>
          <w:spacing w:val="-8"/>
        </w:rPr>
        <w:t> </w:t>
      </w:r>
      <w:r>
        <w:rPr>
          <w:spacing w:val="-2"/>
        </w:rPr>
        <w:t>pyogenes</w:t>
      </w:r>
    </w:p>
    <w:p>
      <w:pPr>
        <w:pStyle w:val="BodyText"/>
        <w:rPr>
          <w:b/>
          <w:i/>
        </w:rPr>
      </w:pPr>
    </w:p>
    <w:p>
      <w:pPr>
        <w:pStyle w:val="BodyText"/>
        <w:spacing w:before="95"/>
        <w:rPr>
          <w:b/>
          <w:i/>
        </w:rPr>
      </w:pPr>
    </w:p>
    <w:p>
      <w:pPr>
        <w:pStyle w:val="BodyText"/>
        <w:ind w:left="1100"/>
      </w:pPr>
      <w:r>
        <w:rPr/>
        <w:t>Scientific</w:t>
      </w:r>
      <w:r>
        <w:rPr>
          <w:spacing w:val="-2"/>
        </w:rPr>
        <w:t> Classification:</w:t>
      </w:r>
    </w:p>
    <w:p>
      <w:pPr>
        <w:pStyle w:val="BodyText"/>
      </w:pPr>
    </w:p>
    <w:p>
      <w:pPr>
        <w:pStyle w:val="BodyText"/>
        <w:spacing w:before="94"/>
      </w:pPr>
    </w:p>
    <w:p>
      <w:pPr>
        <w:pStyle w:val="BodyText"/>
        <w:tabs>
          <w:tab w:pos="3260" w:val="left" w:leader="none"/>
        </w:tabs>
        <w:ind w:left="1100"/>
      </w:pPr>
      <w:r>
        <w:rPr>
          <w:spacing w:val="-2"/>
        </w:rPr>
        <w:t>Kingdom:</w:t>
      </w:r>
      <w:r>
        <w:rPr/>
        <w:tab/>
      </w:r>
      <w:r>
        <w:rPr>
          <w:spacing w:val="-2"/>
        </w:rPr>
        <w:t>Bacteria</w:t>
      </w:r>
    </w:p>
    <w:p>
      <w:pPr>
        <w:pStyle w:val="BodyText"/>
        <w:spacing w:before="32"/>
      </w:pPr>
    </w:p>
    <w:p>
      <w:pPr>
        <w:pStyle w:val="BodyText"/>
        <w:tabs>
          <w:tab w:pos="3260" w:val="left" w:leader="none"/>
        </w:tabs>
        <w:ind w:left="1100"/>
      </w:pPr>
      <w:r>
        <w:rPr>
          <w:spacing w:val="-2"/>
        </w:rPr>
        <w:t>Phylum:</w:t>
      </w:r>
      <w:r>
        <w:rPr/>
        <w:tab/>
      </w:r>
      <w:r>
        <w:rPr>
          <w:spacing w:val="-2"/>
        </w:rPr>
        <w:t>Firmicutes</w:t>
      </w:r>
    </w:p>
    <w:p>
      <w:pPr>
        <w:pStyle w:val="BodyText"/>
        <w:spacing w:before="34"/>
      </w:pPr>
    </w:p>
    <w:p>
      <w:pPr>
        <w:pStyle w:val="BodyText"/>
        <w:tabs>
          <w:tab w:pos="3260" w:val="left" w:leader="none"/>
        </w:tabs>
        <w:ind w:left="1100"/>
      </w:pPr>
      <w:r>
        <w:rPr>
          <w:spacing w:val="-2"/>
        </w:rPr>
        <w:t>Class:</w:t>
      </w:r>
      <w:r>
        <w:rPr/>
        <w:tab/>
      </w:r>
      <w:r>
        <w:rPr>
          <w:spacing w:val="-2"/>
        </w:rPr>
        <w:t>Bacilli</w:t>
      </w:r>
    </w:p>
    <w:p>
      <w:pPr>
        <w:pStyle w:val="BodyText"/>
        <w:spacing w:before="32"/>
      </w:pPr>
    </w:p>
    <w:p>
      <w:pPr>
        <w:pStyle w:val="BodyText"/>
        <w:tabs>
          <w:tab w:pos="2540" w:val="left" w:leader="none"/>
          <w:tab w:pos="3260" w:val="left" w:leader="none"/>
        </w:tabs>
        <w:spacing w:line="508" w:lineRule="auto"/>
        <w:ind w:left="1100" w:right="5823"/>
        <w:rPr>
          <w:i/>
        </w:rPr>
      </w:pPr>
      <w:r>
        <w:rPr>
          <w:spacing w:val="-2"/>
        </w:rPr>
        <w:t>Order:</w:t>
      </w:r>
      <w:r>
        <w:rPr/>
        <w:tab/>
        <w:tab/>
      </w:r>
      <w:r>
        <w:rPr>
          <w:spacing w:val="-2"/>
        </w:rPr>
        <w:t>Lactobacillales Family:</w:t>
      </w:r>
      <w:r>
        <w:rPr/>
        <w:tab/>
      </w:r>
      <w:r>
        <w:rPr>
          <w:spacing w:val="-2"/>
        </w:rPr>
        <w:t>Streptococcaceae Genus:</w:t>
      </w:r>
      <w:r>
        <w:rPr/>
        <w:tab/>
        <w:tab/>
      </w:r>
      <w:r>
        <w:rPr>
          <w:i/>
          <w:spacing w:val="-2"/>
        </w:rPr>
        <w:t>Streptococcus</w:t>
      </w:r>
    </w:p>
    <w:p>
      <w:pPr>
        <w:tabs>
          <w:tab w:pos="3260" w:val="left" w:leader="none"/>
        </w:tabs>
        <w:spacing w:before="1"/>
        <w:ind w:left="1100" w:right="0" w:firstLine="0"/>
        <w:jc w:val="left"/>
        <w:rPr>
          <w:i/>
          <w:sz w:val="22"/>
        </w:rPr>
      </w:pPr>
      <w:r>
        <w:rPr>
          <w:spacing w:val="-2"/>
          <w:sz w:val="22"/>
        </w:rPr>
        <w:t>Species:</w:t>
      </w:r>
      <w:r>
        <w:rPr>
          <w:sz w:val="22"/>
        </w:rPr>
        <w:tab/>
      </w:r>
      <w:r>
        <w:rPr>
          <w:i/>
          <w:spacing w:val="-2"/>
          <w:sz w:val="22"/>
        </w:rPr>
        <w:t>pyogenes</w:t>
      </w:r>
    </w:p>
    <w:p>
      <w:pPr>
        <w:pStyle w:val="BodyText"/>
        <w:spacing w:before="34"/>
        <w:rPr>
          <w:i/>
        </w:rPr>
      </w:pPr>
    </w:p>
    <w:p>
      <w:pPr>
        <w:tabs>
          <w:tab w:pos="3260" w:val="left" w:leader="none"/>
        </w:tabs>
        <w:spacing w:before="0"/>
        <w:ind w:left="1100" w:right="0" w:firstLine="0"/>
        <w:jc w:val="left"/>
        <w:rPr>
          <w:i/>
          <w:sz w:val="22"/>
        </w:rPr>
      </w:pPr>
      <w:r>
        <w:rPr>
          <w:sz w:val="22"/>
        </w:rPr>
        <w:t>Binomial</w:t>
      </w:r>
      <w:r>
        <w:rPr>
          <w:spacing w:val="-7"/>
          <w:sz w:val="22"/>
        </w:rPr>
        <w:t> </w:t>
      </w:r>
      <w:r>
        <w:rPr>
          <w:spacing w:val="-4"/>
          <w:sz w:val="22"/>
        </w:rPr>
        <w:t>name:</w:t>
      </w:r>
      <w:r>
        <w:rPr>
          <w:sz w:val="22"/>
        </w:rPr>
        <w:tab/>
      </w:r>
      <w:r>
        <w:rPr>
          <w:i/>
          <w:sz w:val="22"/>
        </w:rPr>
        <w:t>Streptococcus</w:t>
      </w:r>
      <w:r>
        <w:rPr>
          <w:i/>
          <w:spacing w:val="-10"/>
          <w:sz w:val="22"/>
        </w:rPr>
        <w:t> </w:t>
      </w:r>
      <w:r>
        <w:rPr>
          <w:i/>
          <w:spacing w:val="-2"/>
          <w:sz w:val="22"/>
        </w:rPr>
        <w:t>pyogenes</w:t>
      </w:r>
    </w:p>
    <w:p>
      <w:pPr>
        <w:pStyle w:val="BodyText"/>
        <w:spacing w:before="32"/>
        <w:rPr>
          <w:i/>
        </w:rPr>
      </w:pPr>
    </w:p>
    <w:p>
      <w:pPr>
        <w:pStyle w:val="BodyText"/>
        <w:spacing w:line="480" w:lineRule="auto"/>
        <w:ind w:left="1100" w:right="973" w:firstLine="720"/>
        <w:jc w:val="both"/>
      </w:pPr>
      <w:r>
        <w:rPr>
          <w:i/>
        </w:rPr>
        <w:t>Streptococcus pyogenes </w:t>
      </w:r>
      <w:r>
        <w:rPr/>
        <w:t>is a Gram-positive facultative anaerobic bacterium.</w:t>
      </w:r>
      <w:r>
        <w:rPr>
          <w:spacing w:val="40"/>
        </w:rPr>
        <w:t> </w:t>
      </w:r>
      <w:r>
        <w:rPr/>
        <w:t>It is not motile, and does not produce spores.</w:t>
      </w:r>
      <w:r>
        <w:rPr>
          <w:spacing w:val="40"/>
        </w:rPr>
        <w:t> </w:t>
      </w:r>
      <w:r>
        <w:rPr/>
        <w:t>It occurs as long chains of cocci, and occasionally in pairs. </w:t>
      </w:r>
      <w:r>
        <w:rPr>
          <w:i/>
        </w:rPr>
        <w:t>Streptococcus pyogenes </w:t>
      </w:r>
      <w:r>
        <w:rPr/>
        <w:t>is classified as Group A streptococcus.</w:t>
      </w:r>
      <w:r>
        <w:rPr>
          <w:spacing w:val="40"/>
        </w:rPr>
        <w:t> </w:t>
      </w:r>
      <w:r>
        <w:rPr/>
        <w:t>Group A streptococci typically have a capsule composed of hyaluronic acid and are beta-hemolytic, which is true for </w:t>
      </w:r>
      <w:r>
        <w:rPr>
          <w:i/>
        </w:rPr>
        <w:t>Streptococcus pyogenes </w:t>
      </w:r>
      <w:r>
        <w:rPr/>
        <w:t>(Todar, 2005).</w:t>
      </w:r>
      <w:r>
        <w:rPr>
          <w:spacing w:val="40"/>
        </w:rPr>
        <w:t> </w:t>
      </w:r>
      <w:r>
        <w:rPr/>
        <w:t>Beta-hemolytic streptococci produce a toxin that forms a clear zone of hemolysis on blood agar, demonstrating</w:t>
      </w:r>
      <w:r>
        <w:rPr>
          <w:spacing w:val="-1"/>
        </w:rPr>
        <w:t> </w:t>
      </w:r>
      <w:r>
        <w:rPr/>
        <w:t>its ability to destroy red blood cells.</w:t>
      </w:r>
      <w:r>
        <w:rPr>
          <w:spacing w:val="40"/>
        </w:rPr>
        <w:t> </w:t>
      </w:r>
      <w:r>
        <w:rPr/>
        <w:t>This hemolysis is attributed to toxins formed by Group A streptococci called streptolysins.</w:t>
      </w:r>
      <w:r>
        <w:rPr>
          <w:spacing w:val="40"/>
        </w:rPr>
        <w:t> </w:t>
      </w:r>
      <w:r>
        <w:rPr/>
        <w:t>Streptolysins can destroy not only red blood cells, but also the white blood cells responsible for fighting off bacteria and disease, as well as other body cells (Tortora </w:t>
      </w:r>
      <w:r>
        <w:rPr>
          <w:i/>
        </w:rPr>
        <w:t>et al</w:t>
      </w:r>
      <w:r>
        <w:rPr/>
        <w:t>., 2007).</w:t>
      </w:r>
    </w:p>
    <w:p>
      <w:pPr>
        <w:pStyle w:val="BodyText"/>
        <w:spacing w:before="8"/>
      </w:pPr>
    </w:p>
    <w:p>
      <w:pPr>
        <w:spacing w:line="480" w:lineRule="auto" w:before="0"/>
        <w:ind w:left="1100" w:right="979" w:firstLine="720"/>
        <w:jc w:val="both"/>
        <w:rPr>
          <w:rFonts w:ascii="Times New Roman"/>
          <w:sz w:val="24"/>
        </w:rPr>
      </w:pPr>
      <w:r>
        <w:rPr>
          <w:rFonts w:ascii="Times New Roman"/>
          <w:i/>
          <w:sz w:val="24"/>
        </w:rPr>
        <w:t>Streptococcus pyogenes</w:t>
      </w:r>
      <w:r>
        <w:rPr>
          <w:rFonts w:ascii="Times New Roman"/>
          <w:sz w:val="24"/>
        </w:rPr>
        <w:t>, also known as the flesh eating bacteria, is the most pathogenic bacterium in the whole genus (Todar, 2002). The name pyogenes comes from</w:t>
      </w:r>
      <w:r>
        <w:rPr>
          <w:rFonts w:ascii="Times New Roman"/>
          <w:spacing w:val="73"/>
          <w:sz w:val="24"/>
        </w:rPr>
        <w:t> </w:t>
      </w:r>
      <w:r>
        <w:rPr>
          <w:rFonts w:ascii="Times New Roman"/>
          <w:sz w:val="24"/>
        </w:rPr>
        <w:t>the</w:t>
      </w:r>
      <w:r>
        <w:rPr>
          <w:rFonts w:ascii="Times New Roman"/>
          <w:spacing w:val="73"/>
          <w:sz w:val="24"/>
        </w:rPr>
        <w:t> </w:t>
      </w:r>
      <w:r>
        <w:rPr>
          <w:rFonts w:ascii="Times New Roman"/>
          <w:sz w:val="24"/>
        </w:rPr>
        <w:t>word</w:t>
      </w:r>
      <w:r>
        <w:rPr>
          <w:rFonts w:ascii="Times New Roman"/>
          <w:spacing w:val="73"/>
          <w:sz w:val="24"/>
        </w:rPr>
        <w:t> </w:t>
      </w:r>
      <w:r>
        <w:rPr>
          <w:rFonts w:ascii="Times New Roman"/>
          <w:sz w:val="24"/>
        </w:rPr>
        <w:t>pyogenic,</w:t>
      </w:r>
      <w:r>
        <w:rPr>
          <w:rFonts w:ascii="Times New Roman"/>
          <w:spacing w:val="74"/>
          <w:sz w:val="24"/>
        </w:rPr>
        <w:t> </w:t>
      </w:r>
      <w:r>
        <w:rPr>
          <w:rFonts w:ascii="Times New Roman"/>
          <w:sz w:val="24"/>
        </w:rPr>
        <w:t>which</w:t>
      </w:r>
      <w:r>
        <w:rPr>
          <w:rFonts w:ascii="Times New Roman"/>
          <w:spacing w:val="73"/>
          <w:sz w:val="24"/>
        </w:rPr>
        <w:t> </w:t>
      </w:r>
      <w:r>
        <w:rPr>
          <w:rFonts w:ascii="Times New Roman"/>
          <w:sz w:val="24"/>
        </w:rPr>
        <w:t>is</w:t>
      </w:r>
      <w:r>
        <w:rPr>
          <w:rFonts w:ascii="Times New Roman"/>
          <w:spacing w:val="74"/>
          <w:sz w:val="24"/>
        </w:rPr>
        <w:t> </w:t>
      </w:r>
      <w:r>
        <w:rPr>
          <w:rFonts w:ascii="Times New Roman"/>
          <w:sz w:val="24"/>
        </w:rPr>
        <w:t>a</w:t>
      </w:r>
      <w:r>
        <w:rPr>
          <w:rFonts w:ascii="Times New Roman"/>
          <w:spacing w:val="72"/>
          <w:sz w:val="24"/>
        </w:rPr>
        <w:t> </w:t>
      </w:r>
      <w:r>
        <w:rPr>
          <w:rFonts w:ascii="Times New Roman"/>
          <w:sz w:val="24"/>
        </w:rPr>
        <w:t>classification</w:t>
      </w:r>
      <w:r>
        <w:rPr>
          <w:rFonts w:ascii="Times New Roman"/>
          <w:spacing w:val="74"/>
          <w:sz w:val="24"/>
        </w:rPr>
        <w:t> </w:t>
      </w:r>
      <w:r>
        <w:rPr>
          <w:rFonts w:ascii="Times New Roman"/>
          <w:sz w:val="24"/>
        </w:rPr>
        <w:t>for</w:t>
      </w:r>
      <w:r>
        <w:rPr>
          <w:rFonts w:ascii="Times New Roman"/>
          <w:spacing w:val="71"/>
          <w:sz w:val="24"/>
        </w:rPr>
        <w:t> </w:t>
      </w:r>
      <w:r>
        <w:rPr>
          <w:rFonts w:ascii="Times New Roman"/>
          <w:sz w:val="24"/>
        </w:rPr>
        <w:t>the</w:t>
      </w:r>
      <w:r>
        <w:rPr>
          <w:rFonts w:ascii="Times New Roman"/>
          <w:spacing w:val="73"/>
          <w:sz w:val="24"/>
        </w:rPr>
        <w:t> </w:t>
      </w:r>
      <w:r>
        <w:rPr>
          <w:rFonts w:ascii="Times New Roman"/>
          <w:sz w:val="24"/>
        </w:rPr>
        <w:t>streptococci</w:t>
      </w:r>
      <w:r>
        <w:rPr>
          <w:rFonts w:ascii="Times New Roman"/>
          <w:spacing w:val="73"/>
          <w:sz w:val="24"/>
        </w:rPr>
        <w:t> </w:t>
      </w:r>
      <w:r>
        <w:rPr>
          <w:rFonts w:ascii="Times New Roman"/>
          <w:sz w:val="24"/>
        </w:rPr>
        <w:t>that</w:t>
      </w:r>
      <w:r>
        <w:rPr>
          <w:rFonts w:ascii="Times New Roman"/>
          <w:spacing w:val="74"/>
          <w:sz w:val="24"/>
        </w:rPr>
        <w:t> </w:t>
      </w:r>
      <w:r>
        <w:rPr>
          <w:rFonts w:ascii="Times New Roman"/>
          <w:spacing w:val="-5"/>
          <w:sz w:val="24"/>
        </w:rPr>
        <w:t>are</w:t>
      </w:r>
    </w:p>
    <w:p>
      <w:pPr>
        <w:spacing w:before="1"/>
        <w:ind w:left="1100" w:right="0" w:firstLine="0"/>
        <w:jc w:val="both"/>
        <w:rPr>
          <w:rFonts w:ascii="Times New Roman"/>
          <w:sz w:val="24"/>
        </w:rPr>
      </w:pPr>
      <w:r>
        <w:rPr>
          <w:rFonts w:ascii="Times New Roman"/>
          <w:sz w:val="24"/>
        </w:rPr>
        <w:t>associated</w:t>
      </w:r>
      <w:r>
        <w:rPr>
          <w:rFonts w:ascii="Times New Roman"/>
          <w:spacing w:val="-3"/>
          <w:sz w:val="24"/>
        </w:rPr>
        <w:t> </w:t>
      </w:r>
      <w:r>
        <w:rPr>
          <w:rFonts w:ascii="Times New Roman"/>
          <w:sz w:val="24"/>
        </w:rPr>
        <w:t>with</w:t>
      </w:r>
      <w:r>
        <w:rPr>
          <w:rFonts w:ascii="Times New Roman"/>
          <w:spacing w:val="-1"/>
          <w:sz w:val="24"/>
        </w:rPr>
        <w:t> </w:t>
      </w:r>
      <w:r>
        <w:rPr>
          <w:rFonts w:ascii="Times New Roman"/>
          <w:sz w:val="24"/>
        </w:rPr>
        <w:t>pus</w:t>
      </w:r>
      <w:r>
        <w:rPr>
          <w:rFonts w:ascii="Times New Roman"/>
          <w:spacing w:val="-1"/>
          <w:sz w:val="24"/>
        </w:rPr>
        <w:t> </w:t>
      </w:r>
      <w:r>
        <w:rPr>
          <w:rFonts w:ascii="Times New Roman"/>
          <w:spacing w:val="-2"/>
          <w:sz w:val="24"/>
        </w:rPr>
        <w:t>formation.</w:t>
      </w:r>
    </w:p>
    <w:p>
      <w:pPr>
        <w:spacing w:after="0"/>
        <w:jc w:val="both"/>
        <w:rPr>
          <w:rFonts w:ascii="Times New Roman"/>
          <w:sz w:val="24"/>
        </w:rPr>
        <w:sectPr>
          <w:pgSz w:w="11910" w:h="16840"/>
          <w:pgMar w:header="0" w:footer="1055" w:top="1380" w:bottom="1240" w:left="1060" w:right="460"/>
        </w:sectPr>
      </w:pPr>
    </w:p>
    <w:p>
      <w:pPr>
        <w:pStyle w:val="ListParagraph"/>
        <w:numPr>
          <w:ilvl w:val="3"/>
          <w:numId w:val="1"/>
        </w:numPr>
        <w:tabs>
          <w:tab w:pos="1098" w:val="left" w:leader="none"/>
        </w:tabs>
        <w:spacing w:line="240" w:lineRule="auto" w:before="38" w:after="0"/>
        <w:ind w:left="1098" w:right="0" w:hanging="718"/>
        <w:jc w:val="left"/>
        <w:rPr>
          <w:i/>
          <w:sz w:val="22"/>
        </w:rPr>
      </w:pPr>
      <w:r>
        <w:rPr>
          <w:i/>
          <w:sz w:val="22"/>
        </w:rPr>
        <w:t>Significance</w:t>
      </w:r>
      <w:r>
        <w:rPr>
          <w:i/>
          <w:spacing w:val="-8"/>
          <w:sz w:val="22"/>
        </w:rPr>
        <w:t> </w:t>
      </w:r>
      <w:r>
        <w:rPr>
          <w:i/>
          <w:sz w:val="22"/>
        </w:rPr>
        <w:t>and</w:t>
      </w:r>
      <w:r>
        <w:rPr>
          <w:i/>
          <w:spacing w:val="-7"/>
          <w:sz w:val="22"/>
        </w:rPr>
        <w:t> </w:t>
      </w:r>
      <w:r>
        <w:rPr>
          <w:i/>
          <w:sz w:val="22"/>
        </w:rPr>
        <w:t>Health</w:t>
      </w:r>
      <w:r>
        <w:rPr>
          <w:i/>
          <w:spacing w:val="-7"/>
          <w:sz w:val="22"/>
        </w:rPr>
        <w:t> </w:t>
      </w:r>
      <w:r>
        <w:rPr>
          <w:i/>
          <w:sz w:val="22"/>
        </w:rPr>
        <w:t>Implications</w:t>
      </w:r>
      <w:r>
        <w:rPr>
          <w:i/>
          <w:spacing w:val="-7"/>
          <w:sz w:val="22"/>
        </w:rPr>
        <w:t> </w:t>
      </w:r>
      <w:r>
        <w:rPr>
          <w:i/>
          <w:sz w:val="22"/>
        </w:rPr>
        <w:t>of</w:t>
      </w:r>
      <w:r>
        <w:rPr>
          <w:i/>
          <w:spacing w:val="-6"/>
          <w:sz w:val="22"/>
        </w:rPr>
        <w:t> </w:t>
      </w:r>
      <w:r>
        <w:rPr>
          <w:i/>
          <w:sz w:val="22"/>
        </w:rPr>
        <w:t>Streptococcus</w:t>
      </w:r>
      <w:r>
        <w:rPr>
          <w:i/>
          <w:spacing w:val="-8"/>
          <w:sz w:val="22"/>
        </w:rPr>
        <w:t> </w:t>
      </w:r>
      <w:r>
        <w:rPr>
          <w:i/>
          <w:spacing w:val="-2"/>
          <w:sz w:val="22"/>
        </w:rPr>
        <w:t>pyogenes</w:t>
      </w:r>
    </w:p>
    <w:p>
      <w:pPr>
        <w:pStyle w:val="BodyText"/>
        <w:rPr>
          <w:i/>
        </w:rPr>
      </w:pPr>
    </w:p>
    <w:p>
      <w:pPr>
        <w:pStyle w:val="BodyText"/>
        <w:spacing w:before="11"/>
        <w:rPr>
          <w:i/>
        </w:rPr>
      </w:pPr>
    </w:p>
    <w:p>
      <w:pPr>
        <w:pStyle w:val="BodyText"/>
        <w:spacing w:line="480" w:lineRule="auto"/>
        <w:ind w:left="1100" w:right="974" w:firstLine="720"/>
        <w:jc w:val="both"/>
      </w:pPr>
      <w:r>
        <w:rPr>
          <w:i/>
        </w:rPr>
        <w:t>Streptococcus pyogenes </w:t>
      </w:r>
      <w:r>
        <w:rPr/>
        <w:t>has several </w:t>
      </w:r>
      <w:hyperlink r:id="rId113">
        <w:r>
          <w:rPr/>
          <w:t>virulence</w:t>
        </w:r>
      </w:hyperlink>
      <w:r>
        <w:rPr/>
        <w:t> factors that enable it to attach to host tissues, evade the immune response, and spread by penetrating host tissue layers</w:t>
      </w:r>
      <w:r>
        <w:rPr>
          <w:spacing w:val="40"/>
        </w:rPr>
        <w:t> </w:t>
      </w:r>
      <w:r>
        <w:rPr/>
        <w:t>(Patterson, 1996). A carbohydrate-based </w:t>
      </w:r>
      <w:hyperlink r:id="rId100">
        <w:r>
          <w:rPr/>
          <w:t>bacterial capsule</w:t>
        </w:r>
      </w:hyperlink>
      <w:r>
        <w:rPr/>
        <w:t> composed of </w:t>
      </w:r>
      <w:hyperlink r:id="rId114">
        <w:r>
          <w:rPr/>
          <w:t>hyaluronic acid</w:t>
        </w:r>
      </w:hyperlink>
      <w:r>
        <w:rPr/>
        <w:t> surrounds the bacterium, protecting it from </w:t>
      </w:r>
      <w:hyperlink r:id="rId115">
        <w:r>
          <w:rPr/>
          <w:t>phagocytosis</w:t>
        </w:r>
      </w:hyperlink>
      <w:r>
        <w:rPr/>
        <w:t> by </w:t>
      </w:r>
      <w:hyperlink r:id="rId116">
        <w:r>
          <w:rPr/>
          <w:t>neutrophils</w:t>
        </w:r>
      </w:hyperlink>
      <w:r>
        <w:rPr/>
        <w:t> (Ryan and Ray, 2004). In addition, the capsule and several factors embedded in the cell wall, including </w:t>
      </w:r>
      <w:hyperlink r:id="rId117">
        <w:r>
          <w:rPr/>
          <w:t>M</w:t>
        </w:r>
      </w:hyperlink>
      <w:r>
        <w:rPr/>
        <w:t> </w:t>
      </w:r>
      <w:hyperlink r:id="rId117">
        <w:r>
          <w:rPr/>
          <w:t>protein,</w:t>
        </w:r>
      </w:hyperlink>
      <w:r>
        <w:rPr/>
        <w:t> </w:t>
      </w:r>
      <w:hyperlink r:id="rId118">
        <w:r>
          <w:rPr/>
          <w:t>lipoteichoic acid,</w:t>
        </w:r>
      </w:hyperlink>
      <w:r>
        <w:rPr/>
        <w:t> and protein F (SfbI) facilitate attachment to various host cells (Bisno </w:t>
      </w:r>
      <w:r>
        <w:rPr>
          <w:i/>
        </w:rPr>
        <w:t>et al</w:t>
      </w:r>
      <w:r>
        <w:rPr/>
        <w:t>., 2003).</w:t>
      </w:r>
    </w:p>
    <w:p>
      <w:pPr>
        <w:pStyle w:val="BodyText"/>
        <w:spacing w:before="9"/>
      </w:pPr>
    </w:p>
    <w:p>
      <w:pPr>
        <w:spacing w:line="480" w:lineRule="auto" w:before="0"/>
        <w:ind w:left="1100" w:right="977" w:firstLine="720"/>
        <w:jc w:val="both"/>
        <w:rPr>
          <w:rFonts w:ascii="Times New Roman" w:hAnsi="Times New Roman"/>
          <w:sz w:val="24"/>
        </w:rPr>
      </w:pPr>
      <w:r>
        <w:rPr>
          <w:rFonts w:ascii="Times New Roman" w:hAnsi="Times New Roman"/>
          <w:i/>
          <w:sz w:val="24"/>
        </w:rPr>
        <w:t>Streptococcus pyogenes </w:t>
      </w:r>
      <w:r>
        <w:rPr>
          <w:rFonts w:ascii="Times New Roman" w:hAnsi="Times New Roman"/>
          <w:sz w:val="24"/>
        </w:rPr>
        <w:t>is an unusually successful pathogen because of many different properties. First of all, the organism is able to adhere to the cells of its host with strong adhering mechanisms, which is important because the organism would be easily removed by mucus or salivary fluid (Cunningham, 2000). The more adhesions there are, the stronger the adherence will be. Not only does </w:t>
      </w:r>
      <w:r>
        <w:rPr>
          <w:rFonts w:ascii="Times New Roman" w:hAnsi="Times New Roman"/>
          <w:i/>
          <w:sz w:val="24"/>
        </w:rPr>
        <w:t>Streptococcus pyogenes </w:t>
      </w:r>
      <w:r>
        <w:rPr>
          <w:rFonts w:ascii="Times New Roman" w:hAnsi="Times New Roman"/>
          <w:sz w:val="24"/>
        </w:rPr>
        <w:t>adhere to its host cells, but it also invades them (Cunningham, 2000). Laboratories have shown that ―group A streptococci have the potential to invade human epithelial cells</w:t>
      </w:r>
      <w:r>
        <w:rPr>
          <w:rFonts w:ascii="Times New Roman" w:hAnsi="Times New Roman"/>
          <w:spacing w:val="-1"/>
          <w:sz w:val="24"/>
        </w:rPr>
        <w:t> </w:t>
      </w:r>
      <w:r>
        <w:rPr>
          <w:rFonts w:ascii="Times New Roman" w:hAnsi="Times New Roman"/>
          <w:sz w:val="24"/>
        </w:rPr>
        <w:t>at frequencies</w:t>
      </w:r>
      <w:r>
        <w:rPr>
          <w:rFonts w:ascii="Times New Roman" w:hAnsi="Times New Roman"/>
          <w:spacing w:val="-1"/>
          <w:sz w:val="24"/>
        </w:rPr>
        <w:t> </w:t>
      </w:r>
      <w:r>
        <w:rPr>
          <w:rFonts w:ascii="Times New Roman" w:hAnsi="Times New Roman"/>
          <w:sz w:val="24"/>
        </w:rPr>
        <w:t>equal to or greater</w:t>
      </w:r>
      <w:r>
        <w:rPr>
          <w:rFonts w:ascii="Times New Roman" w:hAnsi="Times New Roman"/>
          <w:spacing w:val="-2"/>
          <w:sz w:val="24"/>
        </w:rPr>
        <w:t> </w:t>
      </w:r>
      <w:r>
        <w:rPr>
          <w:rFonts w:ascii="Times New Roman" w:hAnsi="Times New Roman"/>
          <w:sz w:val="24"/>
        </w:rPr>
        <w:t>than classical intracellular bacterial pathogens.‖ (Cunningham, 2000). There are two proteins necessary for invasion, which are the M protein and the SfbI, which is a fibronectin-binding protein.</w:t>
      </w:r>
    </w:p>
    <w:p>
      <w:pPr>
        <w:pStyle w:val="BodyText"/>
        <w:spacing w:before="9"/>
        <w:rPr>
          <w:rFonts w:ascii="Times New Roman"/>
          <w:sz w:val="24"/>
        </w:rPr>
      </w:pPr>
    </w:p>
    <w:p>
      <w:pPr>
        <w:pStyle w:val="BodyText"/>
        <w:spacing w:line="480" w:lineRule="auto"/>
        <w:ind w:left="1100" w:right="978" w:firstLine="720"/>
        <w:jc w:val="both"/>
      </w:pPr>
      <w:r>
        <w:rPr>
          <w:i/>
        </w:rPr>
        <w:t>Streptococcus pyogenes </w:t>
      </w:r>
      <w:r>
        <w:rPr/>
        <w:t>produces three types of exotoxins.</w:t>
      </w:r>
      <w:r>
        <w:rPr>
          <w:spacing w:val="40"/>
        </w:rPr>
        <w:t> </w:t>
      </w:r>
      <w:r>
        <w:rPr/>
        <w:t>These toxins are responsible for causing fever and scarlet fever rashes; they also increase the risk of</w:t>
      </w:r>
      <w:r>
        <w:rPr>
          <w:spacing w:val="40"/>
        </w:rPr>
        <w:t> </w:t>
      </w:r>
      <w:r>
        <w:rPr/>
        <w:t>endotoxic shock and depress antibody synthesis (Sharma, 2006).</w:t>
      </w:r>
    </w:p>
    <w:p>
      <w:pPr>
        <w:pStyle w:val="BodyText"/>
        <w:spacing w:before="11"/>
      </w:pPr>
    </w:p>
    <w:p>
      <w:pPr>
        <w:pStyle w:val="BodyText"/>
        <w:spacing w:line="480" w:lineRule="auto"/>
        <w:ind w:left="1100" w:right="973" w:firstLine="720"/>
        <w:jc w:val="both"/>
      </w:pPr>
      <w:r>
        <w:rPr/>
        <w:t>Infections due to certain strains of </w:t>
      </w:r>
      <w:r>
        <w:rPr>
          <w:i/>
        </w:rPr>
        <w:t>S. pyogenes </w:t>
      </w:r>
      <w:r>
        <w:rPr/>
        <w:t>can be associated with the release of bacterial</w:t>
      </w:r>
      <w:r>
        <w:rPr>
          <w:spacing w:val="22"/>
        </w:rPr>
        <w:t> </w:t>
      </w:r>
      <w:hyperlink r:id="rId119">
        <w:r>
          <w:rPr/>
          <w:t>toxins.</w:t>
        </w:r>
      </w:hyperlink>
      <w:r>
        <w:rPr>
          <w:spacing w:val="27"/>
        </w:rPr>
        <w:t> </w:t>
      </w:r>
      <w:r>
        <w:rPr/>
        <w:t>Throat</w:t>
      </w:r>
      <w:r>
        <w:rPr>
          <w:spacing w:val="24"/>
        </w:rPr>
        <w:t> </w:t>
      </w:r>
      <w:r>
        <w:rPr/>
        <w:t>infections</w:t>
      </w:r>
      <w:r>
        <w:rPr>
          <w:spacing w:val="27"/>
        </w:rPr>
        <w:t> </w:t>
      </w:r>
      <w:r>
        <w:rPr/>
        <w:t>associated</w:t>
      </w:r>
      <w:r>
        <w:rPr>
          <w:spacing w:val="23"/>
        </w:rPr>
        <w:t> </w:t>
      </w:r>
      <w:r>
        <w:rPr/>
        <w:t>with</w:t>
      </w:r>
      <w:r>
        <w:rPr>
          <w:spacing w:val="27"/>
        </w:rPr>
        <w:t> </w:t>
      </w:r>
      <w:r>
        <w:rPr/>
        <w:t>release</w:t>
      </w:r>
      <w:r>
        <w:rPr>
          <w:spacing w:val="25"/>
        </w:rPr>
        <w:t> </w:t>
      </w:r>
      <w:r>
        <w:rPr/>
        <w:t>of</w:t>
      </w:r>
      <w:r>
        <w:rPr>
          <w:spacing w:val="25"/>
        </w:rPr>
        <w:t> </w:t>
      </w:r>
      <w:r>
        <w:rPr/>
        <w:t>certain</w:t>
      </w:r>
      <w:r>
        <w:rPr>
          <w:spacing w:val="26"/>
        </w:rPr>
        <w:t> </w:t>
      </w:r>
      <w:r>
        <w:rPr/>
        <w:t>toxins</w:t>
      </w:r>
      <w:r>
        <w:rPr>
          <w:spacing w:val="25"/>
        </w:rPr>
        <w:t> </w:t>
      </w:r>
      <w:r>
        <w:rPr/>
        <w:t>lead</w:t>
      </w:r>
      <w:r>
        <w:rPr>
          <w:spacing w:val="26"/>
        </w:rPr>
        <w:t> </w:t>
      </w:r>
      <w:r>
        <w:rPr/>
        <w:t>to</w:t>
      </w:r>
      <w:r>
        <w:rPr>
          <w:spacing w:val="32"/>
        </w:rPr>
        <w:t> </w:t>
      </w:r>
      <w:hyperlink r:id="rId120">
        <w:r>
          <w:rPr>
            <w:spacing w:val="-2"/>
          </w:rPr>
          <w:t>scarlet</w:t>
        </w:r>
      </w:hyperlink>
    </w:p>
    <w:p>
      <w:pPr>
        <w:spacing w:after="0" w:line="480" w:lineRule="auto"/>
        <w:jc w:val="both"/>
        <w:sectPr>
          <w:pgSz w:w="11910" w:h="16840"/>
          <w:pgMar w:header="0" w:footer="1055" w:top="1380" w:bottom="1240" w:left="1060" w:right="460"/>
        </w:sectPr>
      </w:pPr>
    </w:p>
    <w:p>
      <w:pPr>
        <w:pStyle w:val="BodyText"/>
        <w:spacing w:line="480" w:lineRule="auto" w:before="38"/>
        <w:ind w:left="1100" w:right="975"/>
      </w:pPr>
      <w:r>
        <w:rPr/>
        <w:t>fever.</w:t>
      </w:r>
      <w:r>
        <w:rPr>
          <w:spacing w:val="80"/>
        </w:rPr>
        <w:t> </w:t>
      </w:r>
      <w:r>
        <w:rPr/>
        <w:t>Other</w:t>
      </w:r>
      <w:r>
        <w:rPr>
          <w:spacing w:val="80"/>
        </w:rPr>
        <w:t> </w:t>
      </w:r>
      <w:r>
        <w:rPr/>
        <w:t>toxigenic</w:t>
      </w:r>
      <w:r>
        <w:rPr>
          <w:spacing w:val="80"/>
        </w:rPr>
        <w:t> </w:t>
      </w:r>
      <w:r>
        <w:rPr>
          <w:i/>
        </w:rPr>
        <w:t>S.</w:t>
      </w:r>
      <w:r>
        <w:rPr>
          <w:i/>
          <w:spacing w:val="79"/>
        </w:rPr>
        <w:t> </w:t>
      </w:r>
      <w:r>
        <w:rPr>
          <w:i/>
        </w:rPr>
        <w:t>pyogenes</w:t>
      </w:r>
      <w:r>
        <w:rPr>
          <w:i/>
          <w:spacing w:val="80"/>
        </w:rPr>
        <w:t> </w:t>
      </w:r>
      <w:r>
        <w:rPr/>
        <w:t>infections</w:t>
      </w:r>
      <w:r>
        <w:rPr>
          <w:spacing w:val="80"/>
        </w:rPr>
        <w:t> </w:t>
      </w:r>
      <w:r>
        <w:rPr/>
        <w:t>may</w:t>
      </w:r>
      <w:r>
        <w:rPr>
          <w:spacing w:val="80"/>
        </w:rPr>
        <w:t> </w:t>
      </w:r>
      <w:r>
        <w:rPr/>
        <w:t>lead</w:t>
      </w:r>
      <w:r>
        <w:rPr>
          <w:spacing w:val="80"/>
        </w:rPr>
        <w:t> </w:t>
      </w:r>
      <w:r>
        <w:rPr/>
        <w:t>to</w:t>
      </w:r>
      <w:r>
        <w:rPr>
          <w:spacing w:val="80"/>
        </w:rPr>
        <w:t> </w:t>
      </w:r>
      <w:r>
        <w:rPr/>
        <w:t>streptococcal</w:t>
      </w:r>
      <w:r>
        <w:rPr>
          <w:spacing w:val="80"/>
        </w:rPr>
        <w:t> </w:t>
      </w:r>
      <w:hyperlink r:id="rId121">
        <w:r>
          <w:rPr/>
          <w:t>toxic</w:t>
        </w:r>
        <w:r>
          <w:rPr>
            <w:spacing w:val="80"/>
          </w:rPr>
          <w:t> </w:t>
        </w:r>
        <w:r>
          <w:rPr/>
          <w:t>shock</w:t>
        </w:r>
      </w:hyperlink>
      <w:r>
        <w:rPr/>
        <w:t> </w:t>
      </w:r>
      <w:hyperlink r:id="rId121">
        <w:r>
          <w:rPr/>
          <w:t>syndrome,</w:t>
        </w:r>
      </w:hyperlink>
      <w:r>
        <w:rPr/>
        <w:t> which can be life-threatening (Ryan and Ray, 2004).</w:t>
      </w:r>
    </w:p>
    <w:p>
      <w:pPr>
        <w:pStyle w:val="BodyText"/>
        <w:spacing w:before="11"/>
      </w:pPr>
    </w:p>
    <w:p>
      <w:pPr>
        <w:pStyle w:val="BodyText"/>
        <w:spacing w:line="480" w:lineRule="auto"/>
        <w:ind w:left="1100" w:right="977" w:firstLine="720"/>
        <w:jc w:val="both"/>
      </w:pPr>
      <w:r>
        <w:rPr>
          <w:i/>
        </w:rPr>
        <w:t>Streptococcus pyogenes </w:t>
      </w:r>
      <w:r>
        <w:rPr/>
        <w:t>usually begins infection on the surface of the skin or in the throat. From there, the bacterium begins to spread into deeper areas of the skin, which can potentially lead to life-threatening diseases (Facklam, 2002).</w:t>
      </w:r>
    </w:p>
    <w:p>
      <w:pPr>
        <w:pStyle w:val="BodyText"/>
        <w:spacing w:before="12"/>
      </w:pPr>
    </w:p>
    <w:p>
      <w:pPr>
        <w:pStyle w:val="BodyText"/>
        <w:spacing w:line="480" w:lineRule="auto"/>
        <w:ind w:left="1100" w:right="974" w:firstLine="720"/>
        <w:jc w:val="both"/>
      </w:pPr>
      <w:r>
        <w:rPr/>
        <w:t>It is estimated that there are more than 700 million infections (caused by </w:t>
      </w:r>
      <w:r>
        <w:rPr>
          <w:i/>
        </w:rPr>
        <w:t>Streptococcus pyogenes</w:t>
      </w:r>
      <w:r>
        <w:rPr/>
        <w:t>) worldwide each year and over 650,000 cases of severe, invasive infections that have a mortality rate of 25% (Aziz </w:t>
      </w:r>
      <w:r>
        <w:rPr>
          <w:i/>
        </w:rPr>
        <w:t>et al., </w:t>
      </w:r>
      <w:r>
        <w:rPr/>
        <w:t>2010). Early recognition and treatment are critical; </w:t>
      </w:r>
      <w:hyperlink r:id="rId122">
        <w:r>
          <w:rPr/>
          <w:t>diagnostic failure</w:t>
        </w:r>
      </w:hyperlink>
      <w:r>
        <w:rPr/>
        <w:t> can result in </w:t>
      </w:r>
      <w:hyperlink r:id="rId123">
        <w:r>
          <w:rPr/>
          <w:t>sepsis</w:t>
        </w:r>
      </w:hyperlink>
      <w:r>
        <w:rPr/>
        <w:t> and death (Jim, 2012).</w:t>
      </w:r>
    </w:p>
    <w:p>
      <w:pPr>
        <w:pStyle w:val="BodyText"/>
        <w:spacing w:before="12"/>
      </w:pPr>
    </w:p>
    <w:p>
      <w:pPr>
        <w:pStyle w:val="BodyText"/>
        <w:spacing w:line="480" w:lineRule="auto"/>
        <w:ind w:left="1100" w:right="974" w:firstLine="720"/>
        <w:jc w:val="both"/>
      </w:pPr>
      <w:r>
        <w:rPr>
          <w:i/>
        </w:rPr>
        <w:t>Streptococcus pyogenes </w:t>
      </w:r>
      <w:r>
        <w:rPr/>
        <w:t>is the most common bacterial cause of sore throat (Duckworth, 2006).</w:t>
      </w:r>
      <w:r>
        <w:rPr>
          <w:spacing w:val="40"/>
        </w:rPr>
        <w:t> </w:t>
      </w:r>
      <w:r>
        <w:rPr/>
        <w:t>A painful, red throat with white patches on your tonsils is characteristic of pharyngitis, otherwise known as ‘strep throat’.</w:t>
      </w:r>
      <w:r>
        <w:rPr>
          <w:spacing w:val="40"/>
        </w:rPr>
        <w:t> </w:t>
      </w:r>
      <w:r>
        <w:rPr/>
        <w:t>It is usually accompanied by swollen</w:t>
      </w:r>
      <w:r>
        <w:rPr>
          <w:spacing w:val="40"/>
        </w:rPr>
        <w:t> </w:t>
      </w:r>
      <w:r>
        <w:rPr/>
        <w:t>lymph nodes, fever, and headache.</w:t>
      </w:r>
      <w:r>
        <w:rPr>
          <w:spacing w:val="40"/>
        </w:rPr>
        <w:t> </w:t>
      </w:r>
      <w:r>
        <w:rPr/>
        <w:t>Occasionally it is also accompanied by nausea, vomiting, and abdominal pain (National Institute of Allergy and Infectious Diseases, 2005).</w:t>
      </w:r>
    </w:p>
    <w:p>
      <w:pPr>
        <w:pStyle w:val="BodyText"/>
        <w:spacing w:before="8"/>
      </w:pPr>
    </w:p>
    <w:p>
      <w:pPr>
        <w:spacing w:line="480" w:lineRule="auto" w:before="0"/>
        <w:ind w:left="1100" w:right="970" w:firstLine="720"/>
        <w:jc w:val="both"/>
        <w:rPr>
          <w:rFonts w:ascii="Times New Roman" w:hAnsi="Times New Roman"/>
          <w:sz w:val="24"/>
        </w:rPr>
      </w:pPr>
      <w:r>
        <w:rPr>
          <w:rFonts w:ascii="Times New Roman" w:hAnsi="Times New Roman"/>
          <w:sz w:val="24"/>
        </w:rPr>
        <w:t>Necrotizing fasciitis is a rare, but very serious infection caused by </w:t>
      </w:r>
      <w:r>
        <w:rPr>
          <w:rFonts w:ascii="Times New Roman" w:hAnsi="Times New Roman"/>
          <w:i/>
          <w:sz w:val="24"/>
        </w:rPr>
        <w:t>Streptococcus pyogenes </w:t>
      </w:r>
      <w:r>
        <w:rPr>
          <w:rFonts w:ascii="Times New Roman" w:hAnsi="Times New Roman"/>
          <w:sz w:val="24"/>
        </w:rPr>
        <w:t>that is popularly</w:t>
      </w:r>
      <w:r>
        <w:rPr>
          <w:rFonts w:ascii="Times New Roman" w:hAnsi="Times New Roman"/>
          <w:spacing w:val="-2"/>
          <w:sz w:val="24"/>
        </w:rPr>
        <w:t> </w:t>
      </w:r>
      <w:r>
        <w:rPr>
          <w:rFonts w:ascii="Times New Roman" w:hAnsi="Times New Roman"/>
          <w:sz w:val="24"/>
        </w:rPr>
        <w:t>termed ―flesh eating bacteria‖. The bacteria typically enters the body through a minor trauma or surgical wound in persons of compromised</w:t>
      </w:r>
      <w:r>
        <w:rPr>
          <w:rFonts w:ascii="Times New Roman" w:hAnsi="Times New Roman"/>
          <w:spacing w:val="-2"/>
          <w:sz w:val="24"/>
        </w:rPr>
        <w:t> </w:t>
      </w:r>
      <w:r>
        <w:rPr>
          <w:rFonts w:ascii="Times New Roman" w:hAnsi="Times New Roman"/>
          <w:sz w:val="24"/>
        </w:rPr>
        <w:t>immune</w:t>
      </w:r>
      <w:r>
        <w:rPr>
          <w:rFonts w:ascii="Times New Roman" w:hAnsi="Times New Roman"/>
          <w:spacing w:val="-2"/>
          <w:sz w:val="24"/>
        </w:rPr>
        <w:t> </w:t>
      </w:r>
      <w:r>
        <w:rPr>
          <w:rFonts w:ascii="Times New Roman" w:hAnsi="Times New Roman"/>
          <w:sz w:val="24"/>
        </w:rPr>
        <w:t>systems</w:t>
      </w:r>
      <w:r>
        <w:rPr>
          <w:rFonts w:ascii="Times New Roman" w:hAnsi="Times New Roman"/>
          <w:spacing w:val="-2"/>
          <w:sz w:val="24"/>
        </w:rPr>
        <w:t> </w:t>
      </w:r>
      <w:r>
        <w:rPr>
          <w:rFonts w:ascii="Times New Roman" w:hAnsi="Times New Roman"/>
          <w:sz w:val="24"/>
        </w:rPr>
        <w:t>and</w:t>
      </w:r>
      <w:r>
        <w:rPr>
          <w:rFonts w:ascii="Times New Roman" w:hAnsi="Times New Roman"/>
          <w:spacing w:val="-1"/>
          <w:sz w:val="24"/>
        </w:rPr>
        <w:t> </w:t>
      </w:r>
      <w:r>
        <w:rPr>
          <w:rFonts w:ascii="Times New Roman" w:hAnsi="Times New Roman"/>
          <w:sz w:val="24"/>
        </w:rPr>
        <w:t>causes infection</w:t>
      </w:r>
      <w:r>
        <w:rPr>
          <w:rFonts w:ascii="Times New Roman" w:hAnsi="Times New Roman"/>
          <w:spacing w:val="-2"/>
          <w:sz w:val="24"/>
        </w:rPr>
        <w:t> </w:t>
      </w:r>
      <w:r>
        <w:rPr>
          <w:rFonts w:ascii="Times New Roman" w:hAnsi="Times New Roman"/>
          <w:sz w:val="24"/>
        </w:rPr>
        <w:t>just</w:t>
      </w:r>
      <w:r>
        <w:rPr>
          <w:rFonts w:ascii="Times New Roman" w:hAnsi="Times New Roman"/>
          <w:spacing w:val="-2"/>
          <w:sz w:val="24"/>
        </w:rPr>
        <w:t> </w:t>
      </w:r>
      <w:r>
        <w:rPr>
          <w:rFonts w:ascii="Times New Roman" w:hAnsi="Times New Roman"/>
          <w:sz w:val="24"/>
        </w:rPr>
        <w:t>below</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skin</w:t>
      </w:r>
      <w:r>
        <w:rPr>
          <w:rFonts w:ascii="Times New Roman" w:hAnsi="Times New Roman"/>
          <w:spacing w:val="-2"/>
          <w:sz w:val="24"/>
        </w:rPr>
        <w:t> </w:t>
      </w:r>
      <w:r>
        <w:rPr>
          <w:rFonts w:ascii="Times New Roman" w:hAnsi="Times New Roman"/>
          <w:sz w:val="24"/>
        </w:rPr>
        <w:t>that spreads to deeper tissues.</w:t>
      </w:r>
      <w:r>
        <w:rPr>
          <w:rFonts w:ascii="Times New Roman" w:hAnsi="Times New Roman"/>
          <w:spacing w:val="40"/>
          <w:sz w:val="24"/>
        </w:rPr>
        <w:t> </w:t>
      </w:r>
      <w:r>
        <w:rPr>
          <w:rFonts w:ascii="Times New Roman" w:hAnsi="Times New Roman"/>
          <w:sz w:val="24"/>
        </w:rPr>
        <w:t>Necrotizing fasciitis is an extremely quick moving infection that is characterized by the rapid destruction of tissue.</w:t>
      </w:r>
      <w:r>
        <w:rPr>
          <w:rFonts w:ascii="Times New Roman" w:hAnsi="Times New Roman"/>
          <w:spacing w:val="80"/>
          <w:sz w:val="24"/>
        </w:rPr>
        <w:t> </w:t>
      </w:r>
      <w:r>
        <w:rPr>
          <w:rFonts w:ascii="Times New Roman" w:hAnsi="Times New Roman"/>
          <w:sz w:val="24"/>
        </w:rPr>
        <w:t>It is fatal in 30-40% of cases</w:t>
      </w:r>
      <w:r>
        <w:rPr>
          <w:rFonts w:ascii="Times New Roman" w:hAnsi="Times New Roman"/>
          <w:spacing w:val="40"/>
          <w:sz w:val="24"/>
        </w:rPr>
        <w:t> </w:t>
      </w:r>
      <w:r>
        <w:rPr>
          <w:rFonts w:ascii="Times New Roman" w:hAnsi="Times New Roman"/>
          <w:sz w:val="24"/>
        </w:rPr>
        <w:t>(Sharma, 2006). For persons with necrotizing fasciitis, surgery often is needed to remove</w:t>
      </w:r>
      <w:r>
        <w:rPr>
          <w:rFonts w:ascii="Times New Roman" w:hAnsi="Times New Roman"/>
          <w:spacing w:val="-3"/>
          <w:sz w:val="24"/>
        </w:rPr>
        <w:t> </w:t>
      </w:r>
      <w:r>
        <w:rPr>
          <w:rFonts w:ascii="Times New Roman" w:hAnsi="Times New Roman"/>
          <w:sz w:val="24"/>
        </w:rPr>
        <w:t>damaged</w:t>
      </w:r>
      <w:r>
        <w:rPr>
          <w:rFonts w:ascii="Times New Roman" w:hAnsi="Times New Roman"/>
          <w:spacing w:val="-1"/>
          <w:sz w:val="24"/>
        </w:rPr>
        <w:t> </w:t>
      </w:r>
      <w:r>
        <w:rPr>
          <w:rFonts w:ascii="Times New Roman" w:hAnsi="Times New Roman"/>
          <w:sz w:val="24"/>
        </w:rPr>
        <w:t>tissue (Centres for</w:t>
      </w:r>
      <w:r>
        <w:rPr>
          <w:rFonts w:ascii="Times New Roman" w:hAnsi="Times New Roman"/>
          <w:spacing w:val="-1"/>
          <w:sz w:val="24"/>
        </w:rPr>
        <w:t> </w:t>
      </w:r>
      <w:r>
        <w:rPr>
          <w:rFonts w:ascii="Times New Roman" w:hAnsi="Times New Roman"/>
          <w:sz w:val="24"/>
        </w:rPr>
        <w:t>Disease</w:t>
      </w:r>
      <w:r>
        <w:rPr>
          <w:rFonts w:ascii="Times New Roman" w:hAnsi="Times New Roman"/>
          <w:spacing w:val="-2"/>
          <w:sz w:val="24"/>
        </w:rPr>
        <w:t> </w:t>
      </w:r>
      <w:r>
        <w:rPr>
          <w:rFonts w:ascii="Times New Roman" w:hAnsi="Times New Roman"/>
          <w:sz w:val="24"/>
        </w:rPr>
        <w:t>Control</w:t>
      </w:r>
      <w:r>
        <w:rPr>
          <w:rFonts w:ascii="Times New Roman" w:hAnsi="Times New Roman"/>
          <w:spacing w:val="-1"/>
          <w:sz w:val="24"/>
        </w:rPr>
        <w:t> </w:t>
      </w:r>
      <w:r>
        <w:rPr>
          <w:rFonts w:ascii="Times New Roman" w:hAnsi="Times New Roman"/>
          <w:sz w:val="24"/>
        </w:rPr>
        <w:t>and Prevention,</w:t>
      </w:r>
      <w:r>
        <w:rPr>
          <w:rFonts w:ascii="Times New Roman" w:hAnsi="Times New Roman"/>
          <w:spacing w:val="-1"/>
          <w:sz w:val="24"/>
        </w:rPr>
        <w:t> </w:t>
      </w:r>
      <w:r>
        <w:rPr>
          <w:rFonts w:ascii="Times New Roman" w:hAnsi="Times New Roman"/>
          <w:sz w:val="24"/>
        </w:rPr>
        <w:t>2005).</w:t>
      </w:r>
      <w:r>
        <w:rPr>
          <w:rFonts w:ascii="Times New Roman" w:hAnsi="Times New Roman"/>
          <w:spacing w:val="-1"/>
          <w:sz w:val="24"/>
        </w:rPr>
        <w:t> </w:t>
      </w:r>
      <w:r>
        <w:rPr>
          <w:rFonts w:ascii="Times New Roman" w:hAnsi="Times New Roman"/>
          <w:sz w:val="24"/>
        </w:rPr>
        <w:t>Strains </w:t>
      </w:r>
      <w:r>
        <w:rPr>
          <w:rFonts w:ascii="Times New Roman" w:hAnsi="Times New Roman"/>
          <w:spacing w:val="-5"/>
          <w:sz w:val="24"/>
        </w:rPr>
        <w:t>of</w:t>
      </w:r>
    </w:p>
    <w:p>
      <w:pPr>
        <w:spacing w:line="480" w:lineRule="auto" w:before="0"/>
        <w:ind w:left="1100" w:right="978" w:firstLine="0"/>
        <w:jc w:val="both"/>
        <w:rPr>
          <w:rFonts w:ascii="Times New Roman"/>
          <w:sz w:val="24"/>
        </w:rPr>
      </w:pPr>
      <w:r>
        <w:rPr>
          <w:rFonts w:ascii="Times New Roman"/>
          <w:i/>
          <w:sz w:val="24"/>
        </w:rPr>
        <w:t>S. pyogenes </w:t>
      </w:r>
      <w:r>
        <w:rPr>
          <w:rFonts w:ascii="Times New Roman"/>
          <w:sz w:val="24"/>
        </w:rPr>
        <w:t>resistant to </w:t>
      </w:r>
      <w:hyperlink r:id="rId124">
        <w:r>
          <w:rPr>
            <w:rFonts w:ascii="Times New Roman"/>
            <w:sz w:val="24"/>
          </w:rPr>
          <w:t>macrolide</w:t>
        </w:r>
      </w:hyperlink>
      <w:r>
        <w:rPr>
          <w:rFonts w:ascii="Times New Roman"/>
          <w:sz w:val="24"/>
        </w:rPr>
        <w:t> antibiotics have emerged; however, all strains remain uniformly sensitive to </w:t>
      </w:r>
      <w:hyperlink r:id="rId125">
        <w:r>
          <w:rPr>
            <w:rFonts w:ascii="Times New Roman"/>
            <w:sz w:val="24"/>
          </w:rPr>
          <w:t>penicillin</w:t>
        </w:r>
      </w:hyperlink>
      <w:r>
        <w:rPr>
          <w:rFonts w:ascii="Times New Roman"/>
          <w:sz w:val="24"/>
        </w:rPr>
        <w:t> (Albrich </w:t>
      </w:r>
      <w:r>
        <w:rPr>
          <w:rFonts w:ascii="Times New Roman"/>
          <w:i/>
          <w:sz w:val="24"/>
        </w:rPr>
        <w:t>et al</w:t>
      </w:r>
      <w:r>
        <w:rPr>
          <w:rFonts w:ascii="Times New Roman"/>
          <w:sz w:val="24"/>
        </w:rPr>
        <w:t>., 2004).</w:t>
      </w:r>
    </w:p>
    <w:p>
      <w:pPr>
        <w:spacing w:after="0" w:line="480" w:lineRule="auto"/>
        <w:jc w:val="both"/>
        <w:rPr>
          <w:rFonts w:ascii="Times New Roman"/>
          <w:sz w:val="24"/>
        </w:rPr>
        <w:sectPr>
          <w:pgSz w:w="11910" w:h="16840"/>
          <w:pgMar w:header="0" w:footer="1055" w:top="1380" w:bottom="1240" w:left="1060" w:right="460"/>
        </w:sectPr>
      </w:pPr>
    </w:p>
    <w:p>
      <w:pPr>
        <w:pStyle w:val="BodyText"/>
        <w:spacing w:line="480" w:lineRule="auto" w:before="38"/>
        <w:ind w:left="1100" w:right="973" w:firstLine="720"/>
        <w:jc w:val="both"/>
      </w:pPr>
      <w:r>
        <w:rPr/>
        <w:t>Streptococcal toxic shock syndrome is another very serious disease caused by </w:t>
      </w:r>
      <w:r>
        <w:rPr>
          <w:i/>
        </w:rPr>
        <w:t>Streptococcus pyogenes</w:t>
      </w:r>
      <w:r>
        <w:rPr/>
        <w:t>.</w:t>
      </w:r>
      <w:r>
        <w:rPr>
          <w:spacing w:val="40"/>
        </w:rPr>
        <w:t> </w:t>
      </w:r>
      <w:r>
        <w:rPr/>
        <w:t>It is not the same as the toxic shock syndrome associated with tampons, which can be attributed to </w:t>
      </w:r>
      <w:r>
        <w:rPr>
          <w:i/>
        </w:rPr>
        <w:t>Staphylococcus aureus</w:t>
      </w:r>
      <w:r>
        <w:rPr/>
        <w:t>. Streptococcal toxic shock commonly occurs in healthy individuals following an initial infection of </w:t>
      </w:r>
      <w:r>
        <w:rPr>
          <w:i/>
        </w:rPr>
        <w:t>Streptococcus pyogenes</w:t>
      </w:r>
      <w:r>
        <w:rPr/>
        <w:t>.</w:t>
      </w:r>
      <w:r>
        <w:rPr>
          <w:spacing w:val="40"/>
        </w:rPr>
        <w:t> </w:t>
      </w:r>
      <w:r>
        <w:rPr/>
        <w:t>Symptoms include significant pain, swelling, and redness of infected area, fever, dizziness, difficulty breathing, dangerously low blood pressure, and a weak, rapid pulse (Nemours Foundation, 2005).</w:t>
      </w:r>
      <w:r>
        <w:rPr>
          <w:spacing w:val="40"/>
        </w:rPr>
        <w:t> </w:t>
      </w:r>
      <w:r>
        <w:rPr/>
        <w:t>Medical care is crucial as more than 50% of cases of streptococcal toxic shock develop into necrotizing fasciitis or myositis, and there is a 30-70% mortality rate (Stevens, 1995).</w:t>
      </w:r>
    </w:p>
    <w:p>
      <w:pPr>
        <w:pStyle w:val="BodyText"/>
        <w:spacing w:before="13"/>
      </w:pPr>
    </w:p>
    <w:p>
      <w:pPr>
        <w:pStyle w:val="BodyText"/>
        <w:spacing w:line="480" w:lineRule="auto"/>
        <w:ind w:left="1100" w:right="974" w:firstLine="720"/>
        <w:jc w:val="both"/>
      </w:pPr>
      <w:r>
        <w:rPr/>
        <w:t>Diseases caused by </w:t>
      </w:r>
      <w:r>
        <w:rPr>
          <w:i/>
        </w:rPr>
        <w:t>Streptococcus pyogenes </w:t>
      </w:r>
      <w:r>
        <w:rPr/>
        <w:t>usually respond well to antibiotic treatment.</w:t>
      </w:r>
      <w:r>
        <w:rPr>
          <w:spacing w:val="40"/>
        </w:rPr>
        <w:t> </w:t>
      </w:r>
      <w:r>
        <w:rPr/>
        <w:t>The American Heart Association and the Infectious Diseases Society of America currently recommend penicillin as the drug of choice for treatment (Sharma, 2006). Those patients with penicillin allergy may be given </w:t>
      </w:r>
      <w:hyperlink r:id="rId126">
        <w:r>
          <w:rPr/>
          <w:t>erythromycin</w:t>
        </w:r>
      </w:hyperlink>
      <w:r>
        <w:rPr/>
        <w:t> or a cephalosporin (e.g. ceftriaxone), which are effective against most streptococci although some erythromycin resistance is emerging. In very severe </w:t>
      </w:r>
      <w:r>
        <w:rPr>
          <w:i/>
        </w:rPr>
        <w:t>Streptococcus pyogenes </w:t>
      </w:r>
      <w:r>
        <w:rPr/>
        <w:t>infections such as necrotising fasciitis, </w:t>
      </w:r>
      <w:hyperlink r:id="rId127">
        <w:r>
          <w:rPr/>
          <w:t>clindamycin</w:t>
        </w:r>
      </w:hyperlink>
      <w:r>
        <w:rPr/>
        <w:t> may be added to penicillin as very large numbers of bacteria may overwhelm penicillin's mechanism of action.</w:t>
      </w:r>
    </w:p>
    <w:p>
      <w:pPr>
        <w:pStyle w:val="BodyText"/>
        <w:spacing w:before="12"/>
      </w:pPr>
    </w:p>
    <w:p>
      <w:pPr>
        <w:pStyle w:val="BodyText"/>
        <w:spacing w:line="480" w:lineRule="auto"/>
        <w:ind w:left="1100" w:right="973" w:firstLine="720"/>
        <w:jc w:val="both"/>
      </w:pPr>
      <w:r>
        <w:rPr>
          <w:i/>
        </w:rPr>
        <w:t>Streptococcus</w:t>
      </w:r>
      <w:r>
        <w:rPr>
          <w:i/>
          <w:spacing w:val="-1"/>
        </w:rPr>
        <w:t> </w:t>
      </w:r>
      <w:r>
        <w:rPr>
          <w:i/>
        </w:rPr>
        <w:t>pyogenes</w:t>
      </w:r>
      <w:r>
        <w:rPr>
          <w:i/>
          <w:spacing w:val="-1"/>
        </w:rPr>
        <w:t> </w:t>
      </w:r>
      <w:r>
        <w:rPr/>
        <w:t>is</w:t>
      </w:r>
      <w:r>
        <w:rPr>
          <w:spacing w:val="-4"/>
        </w:rPr>
        <w:t> </w:t>
      </w:r>
      <w:r>
        <w:rPr/>
        <w:t>most</w:t>
      </w:r>
      <w:r>
        <w:rPr>
          <w:spacing w:val="-3"/>
        </w:rPr>
        <w:t> </w:t>
      </w:r>
      <w:r>
        <w:rPr/>
        <w:t>often</w:t>
      </w:r>
      <w:r>
        <w:rPr>
          <w:spacing w:val="-2"/>
        </w:rPr>
        <w:t> </w:t>
      </w:r>
      <w:r>
        <w:rPr/>
        <w:t>spread</w:t>
      </w:r>
      <w:r>
        <w:rPr>
          <w:spacing w:val="-2"/>
        </w:rPr>
        <w:t> </w:t>
      </w:r>
      <w:r>
        <w:rPr/>
        <w:t>through</w:t>
      </w:r>
      <w:r>
        <w:rPr>
          <w:spacing w:val="-5"/>
        </w:rPr>
        <w:t> </w:t>
      </w:r>
      <w:r>
        <w:rPr/>
        <w:t>contact</w:t>
      </w:r>
      <w:r>
        <w:rPr>
          <w:spacing w:val="-2"/>
        </w:rPr>
        <w:t> </w:t>
      </w:r>
      <w:r>
        <w:rPr/>
        <w:t>with</w:t>
      </w:r>
      <w:r>
        <w:rPr>
          <w:spacing w:val="-2"/>
        </w:rPr>
        <w:t> </w:t>
      </w:r>
      <w:r>
        <w:rPr/>
        <w:t>mucus</w:t>
      </w:r>
      <w:r>
        <w:rPr>
          <w:spacing w:val="-4"/>
        </w:rPr>
        <w:t> </w:t>
      </w:r>
      <w:r>
        <w:rPr/>
        <w:t>or</w:t>
      </w:r>
      <w:r>
        <w:rPr>
          <w:spacing w:val="-3"/>
        </w:rPr>
        <w:t> </w:t>
      </w:r>
      <w:r>
        <w:rPr/>
        <w:t>wounds of infected individuals.</w:t>
      </w:r>
      <w:r>
        <w:rPr>
          <w:spacing w:val="40"/>
        </w:rPr>
        <w:t> </w:t>
      </w:r>
      <w:r>
        <w:rPr/>
        <w:t>Due to this, thorough hand washing is a good way to reduce the risk of becoming infected.</w:t>
      </w:r>
      <w:r>
        <w:rPr>
          <w:spacing w:val="40"/>
        </w:rPr>
        <w:t> </w:t>
      </w:r>
      <w:r>
        <w:rPr/>
        <w:t>The Center for Disease Control recommends that persons with streptococcal infections stay at home from work, school, or day care until they have been taking antibiotics for at least 24 hours to reduce the risk of transmitting the infection Center for Disease Control (CDC), (2005).</w:t>
      </w:r>
    </w:p>
    <w:p>
      <w:pPr>
        <w:spacing w:after="0" w:line="480" w:lineRule="auto"/>
        <w:jc w:val="both"/>
        <w:sectPr>
          <w:pgSz w:w="11910" w:h="16840"/>
          <w:pgMar w:header="0" w:footer="1055" w:top="138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2"/>
      </w:pPr>
    </w:p>
    <w:p>
      <w:pPr>
        <w:pStyle w:val="Heading4"/>
        <w:numPr>
          <w:ilvl w:val="2"/>
          <w:numId w:val="1"/>
        </w:numPr>
        <w:tabs>
          <w:tab w:pos="1100" w:val="left" w:leader="none"/>
        </w:tabs>
        <w:spacing w:line="240" w:lineRule="auto" w:before="0" w:after="0"/>
        <w:ind w:left="1100" w:right="0" w:hanging="720"/>
        <w:jc w:val="left"/>
      </w:pPr>
      <w:r>
        <w:rPr/>
        <w:t>Streptococcus</w:t>
      </w:r>
      <w:r>
        <w:rPr>
          <w:spacing w:val="-8"/>
        </w:rPr>
        <w:t> </w:t>
      </w:r>
      <w:r>
        <w:rPr>
          <w:spacing w:val="-2"/>
        </w:rPr>
        <w:t>pneumoniae</w:t>
      </w:r>
    </w:p>
    <w:p>
      <w:pPr>
        <w:pStyle w:val="BodyText"/>
        <w:rPr>
          <w:b/>
          <w:i/>
        </w:rPr>
      </w:pPr>
    </w:p>
    <w:p>
      <w:pPr>
        <w:pStyle w:val="BodyText"/>
        <w:spacing w:before="215"/>
        <w:rPr>
          <w:b/>
          <w:i/>
        </w:rPr>
      </w:pPr>
    </w:p>
    <w:p>
      <w:pPr>
        <w:pStyle w:val="BodyText"/>
        <w:ind w:left="1100"/>
      </w:pPr>
      <w:r>
        <w:rPr/>
        <w:t>Scientific</w:t>
      </w:r>
      <w:r>
        <w:rPr>
          <w:spacing w:val="-2"/>
        </w:rPr>
        <w:t> Classification:</w:t>
      </w:r>
    </w:p>
    <w:p>
      <w:pPr>
        <w:pStyle w:val="BodyText"/>
        <w:spacing w:before="31"/>
      </w:pPr>
    </w:p>
    <w:p>
      <w:pPr>
        <w:pStyle w:val="BodyText"/>
        <w:tabs>
          <w:tab w:pos="3260" w:val="left" w:leader="none"/>
        </w:tabs>
        <w:spacing w:before="1"/>
        <w:ind w:left="1100"/>
      </w:pPr>
      <w:r>
        <w:rPr>
          <w:spacing w:val="-2"/>
        </w:rPr>
        <w:t>Domain:</w:t>
      </w:r>
      <w:r>
        <w:rPr/>
        <w:tab/>
      </w:r>
      <w:r>
        <w:rPr>
          <w:spacing w:val="-2"/>
        </w:rPr>
        <w:t>Bacteria</w:t>
      </w:r>
    </w:p>
    <w:p>
      <w:pPr>
        <w:pStyle w:val="BodyText"/>
        <w:spacing w:before="33"/>
      </w:pPr>
    </w:p>
    <w:p>
      <w:pPr>
        <w:pStyle w:val="BodyText"/>
        <w:tabs>
          <w:tab w:pos="3260" w:val="left" w:leader="none"/>
        </w:tabs>
        <w:spacing w:before="1"/>
        <w:ind w:left="1100"/>
      </w:pPr>
      <w:r>
        <w:rPr>
          <w:spacing w:val="-2"/>
        </w:rPr>
        <w:t>Phylum:</w:t>
      </w:r>
      <w:r>
        <w:rPr/>
        <w:tab/>
      </w:r>
      <w:r>
        <w:rPr>
          <w:spacing w:val="-2"/>
        </w:rPr>
        <w:t>Firmicutes</w:t>
      </w:r>
    </w:p>
    <w:p>
      <w:pPr>
        <w:pStyle w:val="BodyText"/>
        <w:spacing w:before="31"/>
      </w:pPr>
    </w:p>
    <w:p>
      <w:pPr>
        <w:pStyle w:val="BodyText"/>
        <w:tabs>
          <w:tab w:pos="3260" w:val="left" w:leader="none"/>
        </w:tabs>
        <w:ind w:left="1100"/>
      </w:pPr>
      <w:r>
        <w:rPr>
          <w:spacing w:val="-2"/>
        </w:rPr>
        <w:t>Class:</w:t>
      </w:r>
      <w:r>
        <w:rPr/>
        <w:tab/>
      </w:r>
      <w:r>
        <w:rPr>
          <w:spacing w:val="-2"/>
        </w:rPr>
        <w:t>Bacilli</w:t>
      </w:r>
    </w:p>
    <w:p>
      <w:pPr>
        <w:pStyle w:val="BodyText"/>
        <w:spacing w:before="32"/>
      </w:pPr>
    </w:p>
    <w:p>
      <w:pPr>
        <w:pStyle w:val="BodyText"/>
        <w:tabs>
          <w:tab w:pos="2540" w:val="left" w:leader="none"/>
          <w:tab w:pos="3260" w:val="left" w:leader="none"/>
        </w:tabs>
        <w:spacing w:line="508" w:lineRule="auto"/>
        <w:ind w:left="1100" w:right="5823"/>
        <w:rPr>
          <w:i/>
        </w:rPr>
      </w:pPr>
      <w:r>
        <w:rPr>
          <w:spacing w:val="-2"/>
        </w:rPr>
        <w:t>Order:</w:t>
      </w:r>
      <w:r>
        <w:rPr/>
        <w:tab/>
        <w:tab/>
      </w:r>
      <w:r>
        <w:rPr>
          <w:spacing w:val="-2"/>
        </w:rPr>
        <w:t>Lactobacillales Family:</w:t>
      </w:r>
      <w:r>
        <w:rPr/>
        <w:tab/>
      </w:r>
      <w:r>
        <w:rPr>
          <w:spacing w:val="-2"/>
        </w:rPr>
        <w:t>Streptococcaceae Genus:</w:t>
      </w:r>
      <w:r>
        <w:rPr/>
        <w:tab/>
        <w:tab/>
      </w:r>
      <w:r>
        <w:rPr>
          <w:i/>
          <w:spacing w:val="-2"/>
        </w:rPr>
        <w:t>Streptococcus</w:t>
      </w:r>
    </w:p>
    <w:p>
      <w:pPr>
        <w:tabs>
          <w:tab w:pos="3260" w:val="left" w:leader="none"/>
        </w:tabs>
        <w:spacing w:before="4"/>
        <w:ind w:left="1100" w:right="0" w:firstLine="0"/>
        <w:jc w:val="left"/>
        <w:rPr>
          <w:i/>
          <w:sz w:val="22"/>
        </w:rPr>
      </w:pPr>
      <w:r>
        <w:rPr>
          <w:spacing w:val="-2"/>
          <w:sz w:val="22"/>
        </w:rPr>
        <w:t>Species:</w:t>
      </w:r>
      <w:r>
        <w:rPr>
          <w:sz w:val="22"/>
        </w:rPr>
        <w:tab/>
      </w:r>
      <w:r>
        <w:rPr>
          <w:i/>
          <w:sz w:val="22"/>
        </w:rPr>
        <w:t>S. </w:t>
      </w:r>
      <w:r>
        <w:rPr>
          <w:i/>
          <w:spacing w:val="-2"/>
          <w:sz w:val="22"/>
        </w:rPr>
        <w:t>pneumoniae</w:t>
      </w:r>
    </w:p>
    <w:p>
      <w:pPr>
        <w:pStyle w:val="BodyText"/>
        <w:spacing w:before="31"/>
        <w:rPr>
          <w:i/>
        </w:rPr>
      </w:pPr>
    </w:p>
    <w:p>
      <w:pPr>
        <w:spacing w:before="0"/>
        <w:ind w:left="1100" w:right="0" w:firstLine="0"/>
        <w:jc w:val="left"/>
        <w:rPr>
          <w:i/>
          <w:sz w:val="22"/>
        </w:rPr>
      </w:pPr>
      <w:r>
        <w:rPr>
          <w:sz w:val="22"/>
        </w:rPr>
        <w:t>Binomial</w:t>
      </w:r>
      <w:r>
        <w:rPr>
          <w:spacing w:val="-11"/>
          <w:sz w:val="22"/>
        </w:rPr>
        <w:t> </w:t>
      </w:r>
      <w:r>
        <w:rPr>
          <w:sz w:val="22"/>
        </w:rPr>
        <w:t>name:</w:t>
      </w:r>
      <w:r>
        <w:rPr>
          <w:spacing w:val="-13"/>
          <w:sz w:val="22"/>
        </w:rPr>
        <w:t> </w:t>
      </w:r>
      <w:r>
        <w:rPr>
          <w:i/>
          <w:sz w:val="22"/>
        </w:rPr>
        <w:t>Streptococcus</w:t>
      </w:r>
      <w:r>
        <w:rPr>
          <w:i/>
          <w:spacing w:val="-4"/>
          <w:sz w:val="22"/>
        </w:rPr>
        <w:t> </w:t>
      </w:r>
      <w:r>
        <w:rPr>
          <w:i/>
          <w:spacing w:val="-2"/>
          <w:sz w:val="22"/>
        </w:rPr>
        <w:t>pneumoniae</w:t>
      </w:r>
    </w:p>
    <w:p>
      <w:pPr>
        <w:pStyle w:val="BodyText"/>
        <w:spacing w:before="32"/>
        <w:rPr>
          <w:i/>
        </w:rPr>
      </w:pPr>
    </w:p>
    <w:p>
      <w:pPr>
        <w:spacing w:line="480" w:lineRule="auto" w:before="0"/>
        <w:ind w:left="1100" w:right="972" w:firstLine="720"/>
        <w:jc w:val="both"/>
        <w:rPr>
          <w:sz w:val="22"/>
        </w:rPr>
      </w:pPr>
      <w:r>
        <w:rPr>
          <w:i/>
          <w:sz w:val="22"/>
        </w:rPr>
        <w:t>Streptococcus pneumoniae</w:t>
      </w:r>
      <w:r>
        <w:rPr>
          <w:sz w:val="22"/>
        </w:rPr>
        <w:t>, or pneumococcus, is a </w:t>
      </w:r>
      <w:hyperlink r:id="rId128">
        <w:r>
          <w:rPr>
            <w:sz w:val="22"/>
          </w:rPr>
          <w:t>Gram-positive</w:t>
        </w:r>
      </w:hyperlink>
      <w:r>
        <w:rPr>
          <w:sz w:val="22"/>
        </w:rPr>
        <w:t>, </w:t>
      </w:r>
      <w:hyperlink r:id="rId129">
        <w:r>
          <w:rPr>
            <w:sz w:val="22"/>
          </w:rPr>
          <w:t>alpha-hemolytic</w:t>
        </w:r>
      </w:hyperlink>
      <w:r>
        <w:rPr>
          <w:sz w:val="22"/>
        </w:rPr>
        <w:t>, aerotolerant anaerobic member of the </w:t>
      </w:r>
      <w:hyperlink r:id="rId109">
        <w:r>
          <w:rPr>
            <w:sz w:val="22"/>
          </w:rPr>
          <w:t>genus</w:t>
        </w:r>
      </w:hyperlink>
      <w:r>
        <w:rPr>
          <w:sz w:val="22"/>
        </w:rPr>
        <w:t> </w:t>
      </w:r>
      <w:hyperlink r:id="rId130">
        <w:r>
          <w:rPr>
            <w:i/>
            <w:sz w:val="22"/>
          </w:rPr>
          <w:t>Streptococcus</w:t>
        </w:r>
      </w:hyperlink>
      <w:r>
        <w:rPr>
          <w:i/>
          <w:sz w:val="22"/>
        </w:rPr>
        <w:t> </w:t>
      </w:r>
      <w:r>
        <w:rPr>
          <w:sz w:val="22"/>
        </w:rPr>
        <w:t>(Ryan and Ray, 2004). </w:t>
      </w:r>
      <w:r>
        <w:rPr>
          <w:i/>
          <w:sz w:val="22"/>
        </w:rPr>
        <w:t>Streptococcus pneumoniae </w:t>
      </w:r>
      <w:r>
        <w:rPr>
          <w:sz w:val="22"/>
        </w:rPr>
        <w:t>is a Gram-positive, catalase-negative cocci that has remained an extremely important human bacterial pathogen since its initial recognition in the late 1800s. </w:t>
      </w:r>
      <w:r>
        <w:rPr>
          <w:i/>
          <w:sz w:val="22"/>
        </w:rPr>
        <w:t>Streptococcus pneumoniae </w:t>
      </w:r>
      <w:r>
        <w:rPr>
          <w:sz w:val="22"/>
        </w:rPr>
        <w:t>can be differentiated from </w:t>
      </w:r>
      <w:hyperlink r:id="rId131">
        <w:r>
          <w:rPr>
            <w:i/>
            <w:sz w:val="22"/>
          </w:rPr>
          <w:t>Streptococcus viridans</w:t>
        </w:r>
      </w:hyperlink>
      <w:r>
        <w:rPr>
          <w:sz w:val="22"/>
        </w:rPr>
        <w:t>, some of</w:t>
      </w:r>
      <w:r>
        <w:rPr>
          <w:spacing w:val="-1"/>
          <w:sz w:val="22"/>
        </w:rPr>
        <w:t> </w:t>
      </w:r>
      <w:r>
        <w:rPr>
          <w:sz w:val="22"/>
        </w:rPr>
        <w:t>which are also alpha-hemolytic, using an </w:t>
      </w:r>
      <w:hyperlink r:id="rId132">
        <w:r>
          <w:rPr>
            <w:sz w:val="22"/>
          </w:rPr>
          <w:t>optochin</w:t>
        </w:r>
      </w:hyperlink>
      <w:r>
        <w:rPr>
          <w:sz w:val="22"/>
        </w:rPr>
        <w:t> test, as </w:t>
      </w:r>
      <w:r>
        <w:rPr>
          <w:i/>
          <w:sz w:val="22"/>
        </w:rPr>
        <w:t>S. pneumoniae </w:t>
      </w:r>
      <w:r>
        <w:rPr>
          <w:sz w:val="22"/>
        </w:rPr>
        <w:t>is optochin-sensitive. </w:t>
      </w:r>
      <w:r>
        <w:rPr>
          <w:i/>
          <w:sz w:val="22"/>
        </w:rPr>
        <w:t>Streptococcus</w:t>
      </w:r>
      <w:r>
        <w:rPr>
          <w:i/>
          <w:spacing w:val="19"/>
          <w:sz w:val="22"/>
        </w:rPr>
        <w:t> </w:t>
      </w:r>
      <w:r>
        <w:rPr>
          <w:i/>
          <w:sz w:val="22"/>
        </w:rPr>
        <w:t>pneumoniae </w:t>
      </w:r>
      <w:r>
        <w:rPr>
          <w:sz w:val="22"/>
        </w:rPr>
        <w:t>can also</w:t>
      </w:r>
      <w:r>
        <w:rPr>
          <w:spacing w:val="18"/>
          <w:sz w:val="22"/>
        </w:rPr>
        <w:t> </w:t>
      </w:r>
      <w:r>
        <w:rPr>
          <w:sz w:val="22"/>
        </w:rPr>
        <w:t>be</w:t>
      </w:r>
      <w:r>
        <w:rPr>
          <w:spacing w:val="18"/>
          <w:sz w:val="22"/>
        </w:rPr>
        <w:t> </w:t>
      </w:r>
      <w:r>
        <w:rPr>
          <w:sz w:val="22"/>
        </w:rPr>
        <w:t>distinguished based</w:t>
      </w:r>
      <w:r>
        <w:rPr>
          <w:spacing w:val="17"/>
          <w:sz w:val="22"/>
        </w:rPr>
        <w:t> </w:t>
      </w:r>
      <w:r>
        <w:rPr>
          <w:sz w:val="22"/>
        </w:rPr>
        <w:t>on its</w:t>
      </w:r>
      <w:r>
        <w:rPr>
          <w:spacing w:val="18"/>
          <w:sz w:val="22"/>
        </w:rPr>
        <w:t> </w:t>
      </w:r>
      <w:r>
        <w:rPr>
          <w:sz w:val="22"/>
        </w:rPr>
        <w:t>sensitivity to lysis</w:t>
      </w:r>
      <w:r>
        <w:rPr>
          <w:spacing w:val="17"/>
          <w:sz w:val="22"/>
        </w:rPr>
        <w:t> </w:t>
      </w:r>
      <w:r>
        <w:rPr>
          <w:sz w:val="22"/>
        </w:rPr>
        <w:t>by bile</w:t>
      </w:r>
    </w:p>
    <w:p>
      <w:pPr>
        <w:spacing w:after="0" w:line="480" w:lineRule="auto"/>
        <w:jc w:val="both"/>
        <w:rPr>
          <w:sz w:val="22"/>
        </w:rPr>
        <w:sectPr>
          <w:pgSz w:w="11910" w:h="16840"/>
          <w:pgMar w:header="0" w:footer="1055" w:top="1920" w:bottom="1240" w:left="1060" w:right="460"/>
        </w:sectPr>
      </w:pPr>
    </w:p>
    <w:p>
      <w:pPr>
        <w:pStyle w:val="BodyText"/>
        <w:spacing w:line="480" w:lineRule="auto" w:before="38"/>
        <w:ind w:left="1100" w:right="975"/>
      </w:pPr>
      <w:r>
        <w:rPr/>
        <w:t>(the</w:t>
      </w:r>
      <w:r>
        <w:rPr>
          <w:spacing w:val="40"/>
        </w:rPr>
        <w:t> </w:t>
      </w:r>
      <w:r>
        <w:rPr/>
        <w:t>so-called</w:t>
      </w:r>
      <w:r>
        <w:rPr>
          <w:spacing w:val="40"/>
        </w:rPr>
        <w:t> </w:t>
      </w:r>
      <w:r>
        <w:rPr/>
        <w:t>"bile</w:t>
      </w:r>
      <w:r>
        <w:rPr>
          <w:spacing w:val="40"/>
        </w:rPr>
        <w:t> </w:t>
      </w:r>
      <w:r>
        <w:rPr/>
        <w:t>solubility</w:t>
      </w:r>
      <w:r>
        <w:rPr>
          <w:spacing w:val="40"/>
        </w:rPr>
        <w:t> </w:t>
      </w:r>
      <w:r>
        <w:rPr/>
        <w:t>test").</w:t>
      </w:r>
      <w:r>
        <w:rPr>
          <w:spacing w:val="40"/>
        </w:rPr>
        <w:t> </w:t>
      </w:r>
      <w:r>
        <w:rPr>
          <w:i/>
        </w:rPr>
        <w:t>Streptococcus</w:t>
      </w:r>
      <w:r>
        <w:rPr>
          <w:i/>
          <w:spacing w:val="40"/>
        </w:rPr>
        <w:t> </w:t>
      </w:r>
      <w:r>
        <w:rPr>
          <w:i/>
        </w:rPr>
        <w:t>pneumoniae</w:t>
      </w:r>
      <w:r>
        <w:rPr>
          <w:i/>
          <w:spacing w:val="40"/>
        </w:rPr>
        <w:t> </w:t>
      </w:r>
      <w:r>
        <w:rPr/>
        <w:t>is,</w:t>
      </w:r>
      <w:r>
        <w:rPr>
          <w:spacing w:val="40"/>
        </w:rPr>
        <w:t> </w:t>
      </w:r>
      <w:r>
        <w:rPr/>
        <w:t>in</w:t>
      </w:r>
      <w:r>
        <w:rPr>
          <w:spacing w:val="40"/>
        </w:rPr>
        <w:t> </w:t>
      </w:r>
      <w:r>
        <w:rPr/>
        <w:t>general,</w:t>
      </w:r>
      <w:r>
        <w:rPr>
          <w:spacing w:val="40"/>
        </w:rPr>
        <w:t> </w:t>
      </w:r>
      <w:hyperlink r:id="rId132">
        <w:r>
          <w:rPr/>
          <w:t>optochin</w:t>
        </w:r>
      </w:hyperlink>
      <w:r>
        <w:rPr>
          <w:spacing w:val="40"/>
        </w:rPr>
        <w:t> </w:t>
      </w:r>
      <w:r>
        <w:rPr/>
        <w:t>sensitive, although optochin resistance has been observed (Pikis </w:t>
      </w:r>
      <w:r>
        <w:rPr>
          <w:i/>
        </w:rPr>
        <w:t>et al</w:t>
      </w:r>
      <w:r>
        <w:rPr/>
        <w:t>., 2001).</w:t>
      </w:r>
    </w:p>
    <w:p>
      <w:pPr>
        <w:pStyle w:val="BodyText"/>
      </w:pPr>
    </w:p>
    <w:p>
      <w:pPr>
        <w:pStyle w:val="BodyText"/>
      </w:pPr>
    </w:p>
    <w:p>
      <w:pPr>
        <w:pStyle w:val="BodyText"/>
      </w:pPr>
    </w:p>
    <w:p>
      <w:pPr>
        <w:pStyle w:val="BodyText"/>
      </w:pPr>
    </w:p>
    <w:p>
      <w:pPr>
        <w:pStyle w:val="BodyText"/>
      </w:pPr>
    </w:p>
    <w:p>
      <w:pPr>
        <w:pStyle w:val="BodyText"/>
      </w:pPr>
    </w:p>
    <w:p>
      <w:pPr>
        <w:pStyle w:val="BodyText"/>
        <w:spacing w:before="34"/>
      </w:pPr>
    </w:p>
    <w:p>
      <w:pPr>
        <w:pStyle w:val="ListParagraph"/>
        <w:numPr>
          <w:ilvl w:val="3"/>
          <w:numId w:val="1"/>
        </w:numPr>
        <w:tabs>
          <w:tab w:pos="1098" w:val="left" w:leader="none"/>
        </w:tabs>
        <w:spacing w:line="240" w:lineRule="auto" w:before="1" w:after="0"/>
        <w:ind w:left="1098" w:right="0" w:hanging="718"/>
        <w:jc w:val="left"/>
        <w:rPr>
          <w:i/>
          <w:sz w:val="22"/>
        </w:rPr>
      </w:pPr>
      <w:r>
        <w:rPr>
          <w:i/>
          <w:sz w:val="22"/>
        </w:rPr>
        <w:t>Significance</w:t>
      </w:r>
      <w:r>
        <w:rPr>
          <w:i/>
          <w:spacing w:val="-10"/>
          <w:sz w:val="22"/>
        </w:rPr>
        <w:t> </w:t>
      </w:r>
      <w:r>
        <w:rPr>
          <w:i/>
          <w:sz w:val="22"/>
        </w:rPr>
        <w:t>and</w:t>
      </w:r>
      <w:r>
        <w:rPr>
          <w:i/>
          <w:spacing w:val="-7"/>
          <w:sz w:val="22"/>
        </w:rPr>
        <w:t> </w:t>
      </w:r>
      <w:r>
        <w:rPr>
          <w:i/>
          <w:sz w:val="22"/>
        </w:rPr>
        <w:t>Health</w:t>
      </w:r>
      <w:r>
        <w:rPr>
          <w:i/>
          <w:spacing w:val="-7"/>
          <w:sz w:val="22"/>
        </w:rPr>
        <w:t> </w:t>
      </w:r>
      <w:r>
        <w:rPr>
          <w:i/>
          <w:sz w:val="22"/>
        </w:rPr>
        <w:t>Implications</w:t>
      </w:r>
      <w:r>
        <w:rPr>
          <w:i/>
          <w:spacing w:val="-7"/>
          <w:sz w:val="22"/>
        </w:rPr>
        <w:t> </w:t>
      </w:r>
      <w:r>
        <w:rPr>
          <w:i/>
          <w:sz w:val="22"/>
        </w:rPr>
        <w:t>of</w:t>
      </w:r>
      <w:r>
        <w:rPr>
          <w:i/>
          <w:spacing w:val="-6"/>
          <w:sz w:val="22"/>
        </w:rPr>
        <w:t> </w:t>
      </w:r>
      <w:r>
        <w:rPr>
          <w:i/>
          <w:sz w:val="22"/>
        </w:rPr>
        <w:t>Streptococcus</w:t>
      </w:r>
      <w:r>
        <w:rPr>
          <w:i/>
          <w:spacing w:val="-8"/>
          <w:sz w:val="22"/>
        </w:rPr>
        <w:t> </w:t>
      </w:r>
      <w:r>
        <w:rPr>
          <w:i/>
          <w:spacing w:val="-2"/>
          <w:sz w:val="22"/>
        </w:rPr>
        <w:t>pneumoniae</w:t>
      </w:r>
    </w:p>
    <w:p>
      <w:pPr>
        <w:pStyle w:val="BodyText"/>
        <w:spacing w:before="34"/>
        <w:rPr>
          <w:i/>
        </w:rPr>
      </w:pPr>
    </w:p>
    <w:p>
      <w:pPr>
        <w:pStyle w:val="BodyText"/>
        <w:spacing w:line="480" w:lineRule="auto"/>
        <w:ind w:left="1100" w:right="973" w:firstLine="720"/>
        <w:jc w:val="both"/>
      </w:pPr>
      <w:r>
        <w:rPr/>
        <w:t>A significant human </w:t>
      </w:r>
      <w:hyperlink r:id="rId133">
        <w:r>
          <w:rPr/>
          <w:t>pathogenic bacterium</w:t>
        </w:r>
      </w:hyperlink>
      <w:r>
        <w:rPr/>
        <w:t>, </w:t>
      </w:r>
      <w:r>
        <w:rPr>
          <w:i/>
        </w:rPr>
        <w:t>S. pneumoniae </w:t>
      </w:r>
      <w:r>
        <w:rPr/>
        <w:t>was recognized as a</w:t>
      </w:r>
      <w:r>
        <w:rPr>
          <w:spacing w:val="40"/>
        </w:rPr>
        <w:t> </w:t>
      </w:r>
      <w:r>
        <w:rPr/>
        <w:t>major cause of </w:t>
      </w:r>
      <w:hyperlink r:id="rId96">
        <w:r>
          <w:rPr/>
          <w:t>pneumonia</w:t>
        </w:r>
      </w:hyperlink>
      <w:r>
        <w:rPr/>
        <w:t> in the late 19th century, and is the subject of many </w:t>
      </w:r>
      <w:hyperlink r:id="rId134">
        <w:r>
          <w:rPr/>
          <w:t>humoral</w:t>
        </w:r>
      </w:hyperlink>
      <w:r>
        <w:rPr/>
        <w:t> </w:t>
      </w:r>
      <w:hyperlink r:id="rId134">
        <w:r>
          <w:rPr/>
          <w:t>immunity</w:t>
        </w:r>
      </w:hyperlink>
      <w:r>
        <w:rPr/>
        <w:t> studies. Despite the name, the organism causes many types of </w:t>
      </w:r>
      <w:hyperlink r:id="rId135">
        <w:r>
          <w:rPr/>
          <w:t>pneumococcal</w:t>
        </w:r>
      </w:hyperlink>
      <w:r>
        <w:rPr/>
        <w:t> </w:t>
      </w:r>
      <w:hyperlink r:id="rId135">
        <w:r>
          <w:rPr/>
          <w:t>infections</w:t>
        </w:r>
      </w:hyperlink>
      <w:r>
        <w:rPr/>
        <w:t> other than </w:t>
      </w:r>
      <w:hyperlink r:id="rId96">
        <w:r>
          <w:rPr/>
          <w:t>pneumonia.</w:t>
        </w:r>
      </w:hyperlink>
      <w:r>
        <w:rPr/>
        <w:t> These invasive pneumococcal diseases include </w:t>
      </w:r>
      <w:hyperlink r:id="rId136">
        <w:r>
          <w:rPr/>
          <w:t>acute</w:t>
        </w:r>
      </w:hyperlink>
      <w:r>
        <w:rPr/>
        <w:t> </w:t>
      </w:r>
      <w:hyperlink r:id="rId136">
        <w:r>
          <w:rPr/>
          <w:t>sinusitis,</w:t>
        </w:r>
      </w:hyperlink>
      <w:r>
        <w:rPr/>
        <w:t> </w:t>
      </w:r>
      <w:hyperlink r:id="rId85">
        <w:r>
          <w:rPr/>
          <w:t>otitis media,</w:t>
        </w:r>
      </w:hyperlink>
      <w:r>
        <w:rPr/>
        <w:t> </w:t>
      </w:r>
      <w:hyperlink r:id="rId137">
        <w:r>
          <w:rPr/>
          <w:t>meningitis,</w:t>
        </w:r>
      </w:hyperlink>
      <w:r>
        <w:rPr/>
        <w:t> </w:t>
      </w:r>
      <w:hyperlink r:id="rId138">
        <w:r>
          <w:rPr/>
          <w:t>bacteremia</w:t>
        </w:r>
      </w:hyperlink>
      <w:r>
        <w:rPr/>
        <w:t>, </w:t>
      </w:r>
      <w:hyperlink r:id="rId123">
        <w:r>
          <w:rPr/>
          <w:t>sepsis</w:t>
        </w:r>
      </w:hyperlink>
      <w:r>
        <w:rPr/>
        <w:t>, </w:t>
      </w:r>
      <w:hyperlink r:id="rId139">
        <w:r>
          <w:rPr/>
          <w:t>osteomyelitis</w:t>
        </w:r>
      </w:hyperlink>
      <w:r>
        <w:rPr/>
        <w:t>, </w:t>
      </w:r>
      <w:hyperlink r:id="rId140">
        <w:r>
          <w:rPr/>
          <w:t>septic arthritis</w:t>
        </w:r>
      </w:hyperlink>
      <w:r>
        <w:rPr/>
        <w:t>, </w:t>
      </w:r>
      <w:hyperlink r:id="rId141">
        <w:r>
          <w:rPr/>
          <w:t>endocarditis,</w:t>
        </w:r>
      </w:hyperlink>
      <w:r>
        <w:rPr/>
        <w:t> </w:t>
      </w:r>
      <w:hyperlink r:id="rId142">
        <w:r>
          <w:rPr/>
          <w:t>peritonitis</w:t>
        </w:r>
      </w:hyperlink>
      <w:r>
        <w:rPr/>
        <w:t>, </w:t>
      </w:r>
      <w:hyperlink r:id="rId143">
        <w:r>
          <w:rPr/>
          <w:t>pericarditis,</w:t>
        </w:r>
      </w:hyperlink>
      <w:r>
        <w:rPr/>
        <w:t> </w:t>
      </w:r>
      <w:hyperlink r:id="rId144">
        <w:r>
          <w:rPr/>
          <w:t>cellulitis,</w:t>
        </w:r>
      </w:hyperlink>
      <w:r>
        <w:rPr/>
        <w:t> and </w:t>
      </w:r>
      <w:hyperlink r:id="rId145">
        <w:r>
          <w:rPr/>
          <w:t>brain abscess</w:t>
        </w:r>
      </w:hyperlink>
      <w:r>
        <w:rPr/>
        <w:t> (Siemieniuk </w:t>
      </w:r>
      <w:r>
        <w:rPr>
          <w:i/>
        </w:rPr>
        <w:t>et al</w:t>
      </w:r>
      <w:r>
        <w:rPr/>
        <w:t>., 2011). It is also one of the top two isolates found in ear infection, otitis media (Dagan, 2000). Pneumococcal pneumonia is more common in the very young and the very old (Ryan and Ray, 2004).</w:t>
      </w:r>
    </w:p>
    <w:p>
      <w:pPr>
        <w:pStyle w:val="BodyText"/>
        <w:spacing w:before="10"/>
      </w:pPr>
    </w:p>
    <w:p>
      <w:pPr>
        <w:pStyle w:val="BodyText"/>
        <w:spacing w:line="480" w:lineRule="auto"/>
        <w:ind w:left="1100" w:right="974" w:firstLine="720"/>
        <w:jc w:val="both"/>
      </w:pPr>
      <w:r>
        <w:rPr/>
        <w:t>Worldwide,</w:t>
      </w:r>
      <w:r>
        <w:rPr>
          <w:spacing w:val="-1"/>
        </w:rPr>
        <w:t> </w:t>
      </w:r>
      <w:r>
        <w:rPr>
          <w:i/>
        </w:rPr>
        <w:t>S</w:t>
      </w:r>
      <w:r>
        <w:rPr/>
        <w:t>.</w:t>
      </w:r>
      <w:r>
        <w:rPr>
          <w:spacing w:val="-3"/>
        </w:rPr>
        <w:t> </w:t>
      </w:r>
      <w:r>
        <w:rPr>
          <w:i/>
        </w:rPr>
        <w:t>pneumoniae</w:t>
      </w:r>
      <w:r>
        <w:rPr>
          <w:i/>
          <w:spacing w:val="-5"/>
        </w:rPr>
        <w:t> </w:t>
      </w:r>
      <w:r>
        <w:rPr/>
        <w:t>remains</w:t>
      </w:r>
      <w:r>
        <w:rPr>
          <w:spacing w:val="-3"/>
        </w:rPr>
        <w:t> </w:t>
      </w:r>
      <w:r>
        <w:rPr/>
        <w:t>the</w:t>
      </w:r>
      <w:r>
        <w:rPr>
          <w:spacing w:val="-5"/>
        </w:rPr>
        <w:t> </w:t>
      </w:r>
      <w:r>
        <w:rPr/>
        <w:t>most</w:t>
      </w:r>
      <w:r>
        <w:rPr>
          <w:spacing w:val="-2"/>
        </w:rPr>
        <w:t> </w:t>
      </w:r>
      <w:r>
        <w:rPr/>
        <w:t>common</w:t>
      </w:r>
      <w:r>
        <w:rPr>
          <w:spacing w:val="-4"/>
        </w:rPr>
        <w:t> </w:t>
      </w:r>
      <w:r>
        <w:rPr/>
        <w:t>cause</w:t>
      </w:r>
      <w:r>
        <w:rPr>
          <w:spacing w:val="-2"/>
        </w:rPr>
        <w:t> </w:t>
      </w:r>
      <w:r>
        <w:rPr/>
        <w:t>of </w:t>
      </w:r>
      <w:hyperlink r:id="rId146">
        <w:r>
          <w:rPr/>
          <w:t>community-acquired</w:t>
        </w:r>
      </w:hyperlink>
      <w:r>
        <w:rPr/>
        <w:t> </w:t>
      </w:r>
      <w:hyperlink r:id="rId146">
        <w:r>
          <w:rPr/>
          <w:t>pneumonia</w:t>
        </w:r>
      </w:hyperlink>
      <w:r>
        <w:rPr/>
        <w:t> (CAP), </w:t>
      </w:r>
      <w:hyperlink r:id="rId147">
        <w:r>
          <w:rPr/>
          <w:t>bacterial meningitis,</w:t>
        </w:r>
      </w:hyperlink>
      <w:r>
        <w:rPr/>
        <w:t> </w:t>
      </w:r>
      <w:hyperlink r:id="rId148">
        <w:r>
          <w:rPr/>
          <w:t>bacteremia,</w:t>
        </w:r>
      </w:hyperlink>
      <w:r>
        <w:rPr/>
        <w:t> and otitis media. </w:t>
      </w:r>
      <w:r>
        <w:rPr>
          <w:i/>
        </w:rPr>
        <w:t>Streptococcus pneumoniae </w:t>
      </w:r>
      <w:r>
        <w:rPr/>
        <w:t>infection is also an important cause of sinusitis, </w:t>
      </w:r>
      <w:hyperlink r:id="rId149">
        <w:r>
          <w:rPr/>
          <w:t>septic arthritis</w:t>
        </w:r>
      </w:hyperlink>
      <w:r>
        <w:rPr/>
        <w:t>, osteomyelitis, peritonitis, and </w:t>
      </w:r>
      <w:hyperlink r:id="rId150">
        <w:r>
          <w:rPr/>
          <w:t>endocarditis</w:t>
        </w:r>
      </w:hyperlink>
      <w:r>
        <w:rPr/>
        <w:t> and an infrequent cause of other less common diseases. Worldwide in 2000, 14.5 million estimated episodes of invasive pneumococcal disease were reported in children younger than 5 years of age, which correlates to an estimated more</w:t>
      </w:r>
      <w:r>
        <w:rPr>
          <w:spacing w:val="40"/>
        </w:rPr>
        <w:t> </w:t>
      </w:r>
      <w:r>
        <w:rPr/>
        <w:t>than 800,000 deaths (11% of all deaths in this age group) (Ryan and Ray, 2004).</w:t>
      </w:r>
    </w:p>
    <w:p>
      <w:pPr>
        <w:pStyle w:val="BodyText"/>
        <w:spacing w:before="14"/>
      </w:pPr>
    </w:p>
    <w:p>
      <w:pPr>
        <w:pStyle w:val="BodyText"/>
        <w:spacing w:line="477" w:lineRule="auto"/>
        <w:ind w:left="1100" w:right="978" w:firstLine="720"/>
        <w:jc w:val="both"/>
      </w:pPr>
      <w:r>
        <w:rPr/>
        <w:t>Surveillance data following introduction and widespread uptake of PCV7 immunization</w:t>
      </w:r>
      <w:r>
        <w:rPr>
          <w:spacing w:val="38"/>
        </w:rPr>
        <w:t> </w:t>
      </w:r>
      <w:r>
        <w:rPr/>
        <w:t>however,</w:t>
      </w:r>
      <w:r>
        <w:rPr>
          <w:spacing w:val="42"/>
        </w:rPr>
        <w:t> </w:t>
      </w:r>
      <w:r>
        <w:rPr/>
        <w:t>showed</w:t>
      </w:r>
      <w:r>
        <w:rPr>
          <w:spacing w:val="41"/>
        </w:rPr>
        <w:t> </w:t>
      </w:r>
      <w:r>
        <w:rPr/>
        <w:t>an</w:t>
      </w:r>
      <w:r>
        <w:rPr>
          <w:spacing w:val="41"/>
        </w:rPr>
        <w:t> </w:t>
      </w:r>
      <w:r>
        <w:rPr/>
        <w:t>astounding</w:t>
      </w:r>
      <w:r>
        <w:rPr>
          <w:spacing w:val="41"/>
        </w:rPr>
        <w:t> </w:t>
      </w:r>
      <w:r>
        <w:rPr/>
        <w:t>reduction</w:t>
      </w:r>
      <w:r>
        <w:rPr>
          <w:spacing w:val="41"/>
        </w:rPr>
        <w:t> </w:t>
      </w:r>
      <w:r>
        <w:rPr/>
        <w:t>in</w:t>
      </w:r>
      <w:r>
        <w:rPr>
          <w:spacing w:val="41"/>
        </w:rPr>
        <w:t> </w:t>
      </w:r>
      <w:r>
        <w:rPr/>
        <w:t>invasive</w:t>
      </w:r>
      <w:r>
        <w:rPr>
          <w:spacing w:val="43"/>
        </w:rPr>
        <w:t> </w:t>
      </w:r>
      <w:r>
        <w:rPr/>
        <w:t>disease</w:t>
      </w:r>
      <w:r>
        <w:rPr>
          <w:spacing w:val="40"/>
        </w:rPr>
        <w:t> </w:t>
      </w:r>
      <w:r>
        <w:rPr/>
        <w:t>of</w:t>
      </w:r>
      <w:r>
        <w:rPr>
          <w:spacing w:val="42"/>
        </w:rPr>
        <w:t> </w:t>
      </w:r>
      <w:r>
        <w:rPr/>
        <w:t>100%</w:t>
      </w:r>
      <w:r>
        <w:rPr>
          <w:spacing w:val="42"/>
        </w:rPr>
        <w:t> </w:t>
      </w:r>
      <w:r>
        <w:rPr>
          <w:spacing w:val="-5"/>
        </w:rPr>
        <w:t>in</w:t>
      </w:r>
    </w:p>
    <w:p>
      <w:pPr>
        <w:spacing w:after="0" w:line="477" w:lineRule="auto"/>
        <w:jc w:val="both"/>
        <w:sectPr>
          <w:pgSz w:w="11910" w:h="16840"/>
          <w:pgMar w:header="0" w:footer="1055" w:top="1380" w:bottom="1240" w:left="1060" w:right="460"/>
        </w:sectPr>
      </w:pPr>
    </w:p>
    <w:p>
      <w:pPr>
        <w:pStyle w:val="BodyText"/>
        <w:spacing w:line="480" w:lineRule="auto" w:before="38"/>
        <w:ind w:left="1100" w:right="975"/>
        <w:jc w:val="both"/>
      </w:pPr>
      <w:r>
        <w:rPr/>
        <w:t>children younger than 5 years in the United States (94% in all ages) when considering</w:t>
      </w:r>
      <w:r>
        <w:rPr>
          <w:spacing w:val="80"/>
        </w:rPr>
        <w:t> </w:t>
      </w:r>
      <w:r>
        <w:rPr/>
        <w:t>disease caused by serotypes contained in pneumococcal conjugate vaccine 7 (PCV7) (Dawn, 2012). Many subsequent studies have shown increased rates of invasive and noninvasive disease caused by serotypes not covered by the vaccine, including serotypes 15, 19A, and 33F. For these reasons, work on the development of a vaccine containing additional serotypes continued, and pneumococcal conjugate vaccine 13 (PCV13) was approved by the US Food and Drug Administration (FDA) (2010).</w:t>
      </w:r>
      <w:r>
        <w:rPr>
          <w:spacing w:val="-2"/>
        </w:rPr>
        <w:t> </w:t>
      </w:r>
      <w:r>
        <w:rPr/>
        <w:t>Ongoing surveillance will help determine the effects</w:t>
      </w:r>
      <w:r>
        <w:rPr>
          <w:spacing w:val="-1"/>
        </w:rPr>
        <w:t> </w:t>
      </w:r>
      <w:r>
        <w:rPr/>
        <w:t>of</w:t>
      </w:r>
      <w:r>
        <w:rPr>
          <w:spacing w:val="-2"/>
        </w:rPr>
        <w:t> </w:t>
      </w:r>
      <w:r>
        <w:rPr/>
        <w:t>widespread</w:t>
      </w:r>
      <w:r>
        <w:rPr>
          <w:spacing w:val="-1"/>
        </w:rPr>
        <w:t> </w:t>
      </w:r>
      <w:r>
        <w:rPr/>
        <w:t>routine immunization with PCV13 and its expanded serotype coverage on pneumococcal disease in children and adults.</w:t>
      </w:r>
    </w:p>
    <w:p>
      <w:pPr>
        <w:pStyle w:val="BodyText"/>
        <w:spacing w:before="13"/>
      </w:pPr>
    </w:p>
    <w:p>
      <w:pPr>
        <w:pStyle w:val="Heading4"/>
        <w:numPr>
          <w:ilvl w:val="2"/>
          <w:numId w:val="1"/>
        </w:numPr>
        <w:tabs>
          <w:tab w:pos="1100" w:val="left" w:leader="none"/>
        </w:tabs>
        <w:spacing w:line="240" w:lineRule="auto" w:before="0" w:after="0"/>
        <w:ind w:left="1100" w:right="0" w:hanging="720"/>
        <w:jc w:val="left"/>
      </w:pPr>
      <w:r>
        <w:rPr/>
        <w:t>Haemophilus</w:t>
      </w:r>
      <w:r>
        <w:rPr>
          <w:spacing w:val="-5"/>
        </w:rPr>
        <w:t> </w:t>
      </w:r>
      <w:r>
        <w:rPr>
          <w:spacing w:val="-2"/>
        </w:rPr>
        <w:t>influenzae</w:t>
      </w:r>
    </w:p>
    <w:p>
      <w:pPr>
        <w:pStyle w:val="BodyText"/>
        <w:rPr>
          <w:b/>
          <w:i/>
        </w:rPr>
      </w:pPr>
    </w:p>
    <w:p>
      <w:pPr>
        <w:pStyle w:val="BodyText"/>
        <w:spacing w:before="214"/>
        <w:rPr>
          <w:b/>
          <w:i/>
        </w:rPr>
      </w:pPr>
    </w:p>
    <w:p>
      <w:pPr>
        <w:pStyle w:val="BodyText"/>
        <w:ind w:left="1100"/>
      </w:pPr>
      <w:r>
        <w:rPr/>
        <w:t>Scientific</w:t>
      </w:r>
      <w:r>
        <w:rPr>
          <w:spacing w:val="-2"/>
        </w:rPr>
        <w:t> Classification:</w:t>
      </w:r>
    </w:p>
    <w:p>
      <w:pPr>
        <w:pStyle w:val="BodyText"/>
        <w:spacing w:before="32"/>
      </w:pPr>
    </w:p>
    <w:p>
      <w:pPr>
        <w:pStyle w:val="BodyText"/>
        <w:tabs>
          <w:tab w:pos="3260" w:val="left" w:leader="none"/>
        </w:tabs>
        <w:spacing w:before="1"/>
        <w:ind w:left="1100"/>
      </w:pPr>
      <w:r>
        <w:rPr>
          <w:spacing w:val="-2"/>
        </w:rPr>
        <w:t>Domain:</w:t>
      </w:r>
      <w:r>
        <w:rPr/>
        <w:tab/>
      </w:r>
      <w:r>
        <w:rPr>
          <w:spacing w:val="-2"/>
        </w:rPr>
        <w:t>Bacteria</w:t>
      </w:r>
    </w:p>
    <w:p>
      <w:pPr>
        <w:pStyle w:val="BodyText"/>
        <w:spacing w:before="33"/>
      </w:pPr>
    </w:p>
    <w:p>
      <w:pPr>
        <w:pStyle w:val="BodyText"/>
        <w:tabs>
          <w:tab w:pos="3260" w:val="left" w:leader="none"/>
        </w:tabs>
        <w:spacing w:before="1"/>
        <w:ind w:left="1100"/>
      </w:pPr>
      <w:r>
        <w:rPr>
          <w:spacing w:val="-2"/>
        </w:rPr>
        <w:t>Phylum:</w:t>
      </w:r>
      <w:r>
        <w:rPr/>
        <w:tab/>
      </w:r>
      <w:r>
        <w:rPr>
          <w:spacing w:val="-2"/>
        </w:rPr>
        <w:t>Proteobacteria</w:t>
      </w:r>
    </w:p>
    <w:p>
      <w:pPr>
        <w:pStyle w:val="BodyText"/>
        <w:spacing w:before="31"/>
      </w:pPr>
    </w:p>
    <w:p>
      <w:pPr>
        <w:pStyle w:val="BodyText"/>
        <w:tabs>
          <w:tab w:pos="3260" w:val="left" w:leader="none"/>
        </w:tabs>
        <w:ind w:left="1100"/>
      </w:pPr>
      <w:r>
        <w:rPr>
          <w:spacing w:val="-2"/>
        </w:rPr>
        <w:t>Class:</w:t>
      </w:r>
      <w:r>
        <w:rPr/>
        <w:tab/>
      </w:r>
      <w:r>
        <w:rPr>
          <w:spacing w:val="-2"/>
        </w:rPr>
        <w:t>Gammaproteobacteria</w:t>
      </w:r>
    </w:p>
    <w:p>
      <w:pPr>
        <w:pStyle w:val="BodyText"/>
        <w:spacing w:before="32"/>
      </w:pPr>
    </w:p>
    <w:p>
      <w:pPr>
        <w:pStyle w:val="BodyText"/>
        <w:tabs>
          <w:tab w:pos="2540" w:val="left" w:leader="none"/>
          <w:tab w:pos="3260" w:val="left" w:leader="none"/>
        </w:tabs>
        <w:spacing w:line="508" w:lineRule="auto"/>
        <w:ind w:left="1100" w:right="5877"/>
        <w:rPr>
          <w:i/>
        </w:rPr>
      </w:pPr>
      <w:r>
        <w:rPr>
          <w:spacing w:val="-2"/>
        </w:rPr>
        <w:t>Order:</w:t>
      </w:r>
      <w:r>
        <w:rPr/>
        <w:tab/>
        <w:tab/>
      </w:r>
      <w:r>
        <w:rPr>
          <w:spacing w:val="-2"/>
        </w:rPr>
        <w:t>Pasteurellales Family:</w:t>
      </w:r>
      <w:r>
        <w:rPr/>
        <w:tab/>
      </w:r>
      <w:r>
        <w:rPr>
          <w:spacing w:val="-2"/>
        </w:rPr>
        <w:t>Pasteurellaceae Genus:</w:t>
      </w:r>
      <w:r>
        <w:rPr/>
        <w:tab/>
        <w:tab/>
      </w:r>
      <w:r>
        <w:rPr>
          <w:i/>
          <w:spacing w:val="-2"/>
        </w:rPr>
        <w:t>Haemophilus</w:t>
      </w:r>
    </w:p>
    <w:p>
      <w:pPr>
        <w:tabs>
          <w:tab w:pos="3260" w:val="left" w:leader="none"/>
        </w:tabs>
        <w:spacing w:before="4"/>
        <w:ind w:left="1100" w:right="0" w:firstLine="0"/>
        <w:jc w:val="left"/>
        <w:rPr>
          <w:i/>
          <w:sz w:val="22"/>
        </w:rPr>
      </w:pPr>
      <w:r>
        <w:rPr>
          <w:spacing w:val="-2"/>
          <w:sz w:val="22"/>
        </w:rPr>
        <w:t>Species:</w:t>
      </w:r>
      <w:r>
        <w:rPr>
          <w:sz w:val="22"/>
        </w:rPr>
        <w:tab/>
      </w:r>
      <w:r>
        <w:rPr>
          <w:i/>
          <w:sz w:val="22"/>
        </w:rPr>
        <w:t>H.</w:t>
      </w:r>
      <w:r>
        <w:rPr>
          <w:i/>
          <w:spacing w:val="-1"/>
          <w:sz w:val="22"/>
        </w:rPr>
        <w:t> </w:t>
      </w:r>
      <w:r>
        <w:rPr>
          <w:i/>
          <w:spacing w:val="-2"/>
          <w:sz w:val="22"/>
        </w:rPr>
        <w:t>influenzae</w:t>
      </w:r>
    </w:p>
    <w:p>
      <w:pPr>
        <w:pStyle w:val="BodyText"/>
        <w:spacing w:before="26"/>
        <w:rPr>
          <w:i/>
        </w:rPr>
      </w:pPr>
    </w:p>
    <w:p>
      <w:pPr>
        <w:tabs>
          <w:tab w:pos="3260" w:val="left" w:leader="none"/>
        </w:tabs>
        <w:spacing w:before="0"/>
        <w:ind w:left="1100" w:right="0" w:firstLine="0"/>
        <w:jc w:val="left"/>
        <w:rPr>
          <w:rFonts w:ascii="Times New Roman"/>
          <w:i/>
          <w:sz w:val="24"/>
        </w:rPr>
      </w:pPr>
      <w:r>
        <w:rPr>
          <w:rFonts w:ascii="Times New Roman"/>
          <w:sz w:val="24"/>
        </w:rPr>
        <w:t>Binomial</w:t>
      </w:r>
      <w:r>
        <w:rPr>
          <w:rFonts w:ascii="Times New Roman"/>
          <w:spacing w:val="-1"/>
          <w:sz w:val="24"/>
        </w:rPr>
        <w:t> </w:t>
      </w:r>
      <w:r>
        <w:rPr>
          <w:rFonts w:ascii="Times New Roman"/>
          <w:spacing w:val="-2"/>
          <w:sz w:val="24"/>
        </w:rPr>
        <w:t>name:</w:t>
      </w:r>
      <w:r>
        <w:rPr>
          <w:rFonts w:ascii="Times New Roman"/>
          <w:sz w:val="24"/>
        </w:rPr>
        <w:tab/>
      </w:r>
      <w:r>
        <w:rPr>
          <w:rFonts w:ascii="Times New Roman"/>
          <w:i/>
          <w:sz w:val="24"/>
        </w:rPr>
        <w:t>Haemophilus</w:t>
      </w:r>
      <w:r>
        <w:rPr>
          <w:rFonts w:ascii="Times New Roman"/>
          <w:i/>
          <w:spacing w:val="-1"/>
          <w:sz w:val="24"/>
        </w:rPr>
        <w:t> </w:t>
      </w:r>
      <w:r>
        <w:rPr>
          <w:rFonts w:ascii="Times New Roman"/>
          <w:i/>
          <w:spacing w:val="-2"/>
          <w:sz w:val="24"/>
        </w:rPr>
        <w:t>influenzae</w:t>
      </w:r>
    </w:p>
    <w:p>
      <w:pPr>
        <w:pStyle w:val="BodyText"/>
        <w:rPr>
          <w:rFonts w:ascii="Times New Roman"/>
          <w:i/>
          <w:sz w:val="24"/>
        </w:rPr>
      </w:pPr>
    </w:p>
    <w:p>
      <w:pPr>
        <w:pStyle w:val="BodyText"/>
        <w:spacing w:before="5"/>
        <w:rPr>
          <w:rFonts w:ascii="Times New Roman"/>
          <w:i/>
          <w:sz w:val="24"/>
        </w:rPr>
      </w:pPr>
    </w:p>
    <w:p>
      <w:pPr>
        <w:spacing w:line="480" w:lineRule="auto" w:before="0"/>
        <w:ind w:left="1100" w:right="976" w:firstLine="720"/>
        <w:jc w:val="both"/>
        <w:rPr>
          <w:rFonts w:ascii="Times New Roman"/>
          <w:sz w:val="24"/>
        </w:rPr>
      </w:pPr>
      <w:r>
        <w:rPr>
          <w:rFonts w:ascii="Times New Roman"/>
          <w:i/>
          <w:sz w:val="24"/>
        </w:rPr>
        <w:t>Haemophilus influenzae</w:t>
      </w:r>
      <w:r>
        <w:rPr>
          <w:rFonts w:ascii="Times New Roman"/>
          <w:sz w:val="24"/>
        </w:rPr>
        <w:t>, formerly called Pfeiffer's bacillus or </w:t>
      </w:r>
      <w:r>
        <w:rPr>
          <w:rFonts w:ascii="Times New Roman"/>
          <w:i/>
          <w:sz w:val="24"/>
        </w:rPr>
        <w:t>Bacillus influenzae</w:t>
      </w:r>
      <w:r>
        <w:rPr>
          <w:rFonts w:ascii="Times New Roman"/>
          <w:sz w:val="24"/>
        </w:rPr>
        <w:t>, is a </w:t>
      </w:r>
      <w:hyperlink r:id="rId99">
        <w:r>
          <w:rPr>
            <w:rFonts w:ascii="Times New Roman"/>
            <w:sz w:val="24"/>
          </w:rPr>
          <w:t>Gram-negative</w:t>
        </w:r>
      </w:hyperlink>
      <w:r>
        <w:rPr>
          <w:rFonts w:ascii="Times New Roman"/>
          <w:sz w:val="24"/>
        </w:rPr>
        <w:t>, </w:t>
      </w:r>
      <w:hyperlink r:id="rId151">
        <w:r>
          <w:rPr>
            <w:rFonts w:ascii="Times New Roman"/>
            <w:sz w:val="24"/>
          </w:rPr>
          <w:t>coccobacilli</w:t>
        </w:r>
      </w:hyperlink>
      <w:r>
        <w:rPr>
          <w:rFonts w:ascii="Times New Roman"/>
          <w:sz w:val="24"/>
        </w:rPr>
        <w:t> </w:t>
      </w:r>
      <w:hyperlink r:id="rId104">
        <w:r>
          <w:rPr>
            <w:rFonts w:ascii="Times New Roman"/>
            <w:sz w:val="24"/>
          </w:rPr>
          <w:t>bacterium</w:t>
        </w:r>
      </w:hyperlink>
      <w:r>
        <w:rPr>
          <w:rFonts w:ascii="Times New Roman"/>
          <w:sz w:val="24"/>
        </w:rPr>
        <w:t>. A member of the </w:t>
      </w:r>
      <w:hyperlink r:id="rId152">
        <w:r>
          <w:rPr>
            <w:rFonts w:ascii="Times New Roman"/>
            <w:i/>
            <w:sz w:val="24"/>
          </w:rPr>
          <w:t>Pasteurellaceae</w:t>
        </w:r>
      </w:hyperlink>
      <w:r>
        <w:rPr>
          <w:rFonts w:ascii="Times New Roman"/>
          <w:i/>
          <w:sz w:val="24"/>
        </w:rPr>
        <w:t> </w:t>
      </w:r>
      <w:r>
        <w:rPr>
          <w:rFonts w:ascii="Times New Roman"/>
          <w:sz w:val="24"/>
        </w:rPr>
        <w:t>family, it is generally </w:t>
      </w:r>
      <w:hyperlink r:id="rId153">
        <w:r>
          <w:rPr>
            <w:rFonts w:ascii="Times New Roman"/>
            <w:sz w:val="24"/>
          </w:rPr>
          <w:t>aerobic,</w:t>
        </w:r>
      </w:hyperlink>
      <w:r>
        <w:rPr>
          <w:rFonts w:ascii="Times New Roman"/>
          <w:sz w:val="24"/>
        </w:rPr>
        <w:t> but can grow as a </w:t>
      </w:r>
      <w:hyperlink r:id="rId154">
        <w:r>
          <w:rPr>
            <w:rFonts w:ascii="Times New Roman"/>
            <w:sz w:val="24"/>
          </w:rPr>
          <w:t>facultative anaerobe</w:t>
        </w:r>
      </w:hyperlink>
      <w:r>
        <w:rPr>
          <w:rFonts w:ascii="Times New Roman"/>
          <w:sz w:val="24"/>
        </w:rPr>
        <w:t> (Kuhnert and Christensen, 2008).</w:t>
      </w:r>
    </w:p>
    <w:p>
      <w:pPr>
        <w:spacing w:after="0" w:line="480" w:lineRule="auto"/>
        <w:jc w:val="both"/>
        <w:rPr>
          <w:rFonts w:ascii="Times New Roman"/>
          <w:sz w:val="24"/>
        </w:rPr>
        <w:sectPr>
          <w:pgSz w:w="11910" w:h="16840"/>
          <w:pgMar w:header="0" w:footer="1055" w:top="1380" w:bottom="1240" w:left="1060" w:right="460"/>
        </w:sectPr>
      </w:pPr>
    </w:p>
    <w:p>
      <w:pPr>
        <w:spacing w:line="480" w:lineRule="auto" w:before="73"/>
        <w:ind w:left="1100" w:right="974" w:firstLine="720"/>
        <w:jc w:val="both"/>
        <w:rPr>
          <w:rFonts w:ascii="Times New Roman"/>
          <w:sz w:val="24"/>
        </w:rPr>
      </w:pPr>
      <w:r>
        <w:rPr>
          <w:rFonts w:ascii="Times New Roman"/>
          <w:sz w:val="24"/>
        </w:rPr>
        <w:t>First isolated in 1892 by Robert Pfeiffer from the sputum of patients with pandemic influenza infection. In 1920, the organism was named </w:t>
      </w:r>
      <w:r>
        <w:rPr>
          <w:rFonts w:ascii="Times New Roman"/>
          <w:i/>
          <w:sz w:val="24"/>
        </w:rPr>
        <w:t>Haemophilus influenzae </w:t>
      </w:r>
      <w:r>
        <w:rPr>
          <w:rFonts w:ascii="Times New Roman"/>
          <w:sz w:val="24"/>
        </w:rPr>
        <w:t>(from the Greek </w:t>
      </w:r>
      <w:r>
        <w:rPr>
          <w:rFonts w:ascii="Times New Roman"/>
          <w:i/>
          <w:sz w:val="24"/>
        </w:rPr>
        <w:t>haemophilus, </w:t>
      </w:r>
      <w:r>
        <w:rPr>
          <w:rFonts w:ascii="Times New Roman"/>
          <w:sz w:val="24"/>
        </w:rPr>
        <w:t>meaning "blood-loving") to reflect the fastidious</w:t>
      </w:r>
      <w:r>
        <w:rPr>
          <w:rFonts w:ascii="Times New Roman"/>
          <w:spacing w:val="-3"/>
          <w:sz w:val="24"/>
        </w:rPr>
        <w:t> </w:t>
      </w:r>
      <w:r>
        <w:rPr>
          <w:rFonts w:ascii="Times New Roman"/>
          <w:sz w:val="24"/>
        </w:rPr>
        <w:t>growth</w:t>
      </w:r>
      <w:r>
        <w:rPr>
          <w:rFonts w:ascii="Times New Roman"/>
          <w:spacing w:val="-3"/>
          <w:sz w:val="24"/>
        </w:rPr>
        <w:t> </w:t>
      </w:r>
      <w:r>
        <w:rPr>
          <w:rFonts w:ascii="Times New Roman"/>
          <w:sz w:val="24"/>
        </w:rPr>
        <w:t>requirement</w:t>
      </w:r>
      <w:r>
        <w:rPr>
          <w:rFonts w:ascii="Times New Roman"/>
          <w:spacing w:val="-3"/>
          <w:sz w:val="24"/>
        </w:rPr>
        <w:t> </w:t>
      </w:r>
      <w:r>
        <w:rPr>
          <w:rFonts w:ascii="Times New Roman"/>
          <w:sz w:val="24"/>
        </w:rPr>
        <w:t>of</w:t>
      </w:r>
      <w:r>
        <w:rPr>
          <w:rFonts w:ascii="Times New Roman"/>
          <w:spacing w:val="-4"/>
          <w:sz w:val="24"/>
        </w:rPr>
        <w:t> </w:t>
      </w:r>
      <w:r>
        <w:rPr>
          <w:rFonts w:ascii="Times New Roman"/>
          <w:sz w:val="24"/>
        </w:rPr>
        <w:t>the</w:t>
      </w:r>
      <w:r>
        <w:rPr>
          <w:rFonts w:ascii="Times New Roman"/>
          <w:spacing w:val="-3"/>
          <w:sz w:val="24"/>
        </w:rPr>
        <w:t> </w:t>
      </w:r>
      <w:r>
        <w:rPr>
          <w:rFonts w:ascii="Times New Roman"/>
          <w:sz w:val="24"/>
        </w:rPr>
        <w:t>organism,</w:t>
      </w:r>
      <w:r>
        <w:rPr>
          <w:rFonts w:ascii="Times New Roman"/>
          <w:spacing w:val="-3"/>
          <w:sz w:val="24"/>
        </w:rPr>
        <w:t> </w:t>
      </w:r>
      <w:r>
        <w:rPr>
          <w:rFonts w:ascii="Times New Roman"/>
          <w:sz w:val="24"/>
        </w:rPr>
        <w:t>as</w:t>
      </w:r>
      <w:r>
        <w:rPr>
          <w:rFonts w:ascii="Times New Roman"/>
          <w:spacing w:val="-1"/>
          <w:sz w:val="24"/>
        </w:rPr>
        <w:t> </w:t>
      </w:r>
      <w:r>
        <w:rPr>
          <w:rFonts w:ascii="Times New Roman"/>
          <w:sz w:val="24"/>
        </w:rPr>
        <w:t>well</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its</w:t>
      </w:r>
      <w:r>
        <w:rPr>
          <w:rFonts w:ascii="Times New Roman"/>
          <w:spacing w:val="-3"/>
          <w:sz w:val="24"/>
        </w:rPr>
        <w:t> </w:t>
      </w:r>
      <w:r>
        <w:rPr>
          <w:rFonts w:ascii="Times New Roman"/>
          <w:sz w:val="24"/>
        </w:rPr>
        <w:t>apparent</w:t>
      </w:r>
      <w:r>
        <w:rPr>
          <w:rFonts w:ascii="Times New Roman"/>
          <w:spacing w:val="-1"/>
          <w:sz w:val="24"/>
        </w:rPr>
        <w:t> </w:t>
      </w:r>
      <w:r>
        <w:rPr>
          <w:rFonts w:ascii="Times New Roman"/>
          <w:sz w:val="24"/>
        </w:rPr>
        <w:t>association</w:t>
      </w:r>
      <w:r>
        <w:rPr>
          <w:rFonts w:ascii="Times New Roman"/>
          <w:spacing w:val="-3"/>
          <w:sz w:val="24"/>
        </w:rPr>
        <w:t> </w:t>
      </w:r>
      <w:r>
        <w:rPr>
          <w:rFonts w:ascii="Times New Roman"/>
          <w:sz w:val="24"/>
        </w:rPr>
        <w:t>with influenza. </w:t>
      </w:r>
      <w:r>
        <w:rPr>
          <w:rFonts w:ascii="Times New Roman"/>
          <w:i/>
          <w:sz w:val="24"/>
        </w:rPr>
        <w:t>Haemophilus influenzae </w:t>
      </w:r>
      <w:r>
        <w:rPr>
          <w:rFonts w:ascii="Times New Roman"/>
          <w:sz w:val="24"/>
        </w:rPr>
        <w:t>was mistakenly considered to be the cause of </w:t>
      </w:r>
      <w:hyperlink r:id="rId86">
        <w:r>
          <w:rPr>
            <w:rFonts w:ascii="Times New Roman"/>
            <w:sz w:val="24"/>
          </w:rPr>
          <w:t>influenza</w:t>
        </w:r>
      </w:hyperlink>
      <w:r>
        <w:rPr>
          <w:rFonts w:ascii="Times New Roman"/>
          <w:sz w:val="24"/>
        </w:rPr>
        <w:t> until 1933, when the viral </w:t>
      </w:r>
      <w:hyperlink r:id="rId155">
        <w:r>
          <w:rPr>
            <w:rFonts w:ascii="Times New Roman"/>
            <w:sz w:val="24"/>
          </w:rPr>
          <w:t>etiology</w:t>
        </w:r>
      </w:hyperlink>
      <w:r>
        <w:rPr>
          <w:rFonts w:ascii="Times New Roman"/>
          <w:sz w:val="24"/>
        </w:rPr>
        <w:t> of the flu became apparent; the</w:t>
      </w:r>
      <w:r>
        <w:rPr>
          <w:rFonts w:ascii="Times New Roman"/>
          <w:spacing w:val="40"/>
          <w:sz w:val="24"/>
        </w:rPr>
        <w:t> </w:t>
      </w:r>
      <w:r>
        <w:rPr>
          <w:rFonts w:ascii="Times New Roman"/>
          <w:sz w:val="24"/>
        </w:rPr>
        <w:t>bacterium is colloquially known as </w:t>
      </w:r>
      <w:r>
        <w:rPr>
          <w:rFonts w:ascii="Times New Roman"/>
          <w:i/>
          <w:sz w:val="24"/>
        </w:rPr>
        <w:t>bacterial influenza</w:t>
      </w:r>
      <w:r>
        <w:rPr>
          <w:rFonts w:ascii="Times New Roman"/>
          <w:sz w:val="24"/>
        </w:rPr>
        <w:t>. In 1933, the discovery of the viral etiology</w:t>
      </w:r>
      <w:r>
        <w:rPr>
          <w:rFonts w:ascii="Times New Roman"/>
          <w:spacing w:val="-1"/>
          <w:sz w:val="24"/>
        </w:rPr>
        <w:t> </w:t>
      </w:r>
      <w:r>
        <w:rPr>
          <w:rFonts w:ascii="Times New Roman"/>
          <w:sz w:val="24"/>
        </w:rPr>
        <w:t>of influenza eventually</w:t>
      </w:r>
      <w:r>
        <w:rPr>
          <w:rFonts w:ascii="Times New Roman"/>
          <w:spacing w:val="-1"/>
          <w:sz w:val="24"/>
        </w:rPr>
        <w:t> </w:t>
      </w:r>
      <w:r>
        <w:rPr>
          <w:rFonts w:ascii="Times New Roman"/>
          <w:sz w:val="24"/>
        </w:rPr>
        <w:t>refuted this erroneous association. Nevertheless, subsequent findings revealed that </w:t>
      </w:r>
      <w:r>
        <w:rPr>
          <w:rFonts w:ascii="Times New Roman"/>
          <w:i/>
          <w:sz w:val="24"/>
        </w:rPr>
        <w:t>H. influenzae </w:t>
      </w:r>
      <w:r>
        <w:rPr>
          <w:rFonts w:ascii="Times New Roman"/>
          <w:sz w:val="24"/>
        </w:rPr>
        <w:t>was responsible for a wide spectrum of clinical diseases (Kuhnert and Christensen, 2008).</w:t>
      </w:r>
    </w:p>
    <w:p>
      <w:pPr>
        <w:pStyle w:val="BodyText"/>
        <w:spacing w:before="4"/>
        <w:rPr>
          <w:rFonts w:ascii="Times New Roman"/>
          <w:sz w:val="24"/>
        </w:rPr>
      </w:pPr>
    </w:p>
    <w:p>
      <w:pPr>
        <w:spacing w:line="480" w:lineRule="auto" w:before="0"/>
        <w:ind w:left="1100" w:right="977" w:firstLine="720"/>
        <w:jc w:val="both"/>
        <w:rPr>
          <w:rFonts w:ascii="Times New Roman"/>
          <w:sz w:val="24"/>
        </w:rPr>
      </w:pPr>
      <w:r>
        <w:rPr>
          <w:rFonts w:ascii="Times New Roman"/>
          <w:i/>
          <w:sz w:val="24"/>
        </w:rPr>
        <w:t>Haemophilus </w:t>
      </w:r>
      <w:r>
        <w:rPr>
          <w:rFonts w:ascii="Times New Roman"/>
          <w:sz w:val="24"/>
        </w:rPr>
        <w:t>"loves heme", more specifically it requires a precursor of heme in order to grow. Nutritionally, </w:t>
      </w:r>
      <w:r>
        <w:rPr>
          <w:rFonts w:ascii="Times New Roman"/>
          <w:i/>
          <w:sz w:val="24"/>
        </w:rPr>
        <w:t>Haemophilus influenzae </w:t>
      </w:r>
      <w:r>
        <w:rPr>
          <w:rFonts w:ascii="Times New Roman"/>
          <w:sz w:val="24"/>
        </w:rPr>
        <w:t>prefers a complex medium and requires preformed growth factors that are present in blood, specifically X factor (i.e., hemin) and V factor (NAD or NADP) (Todar, 2012). In the laboratory, it is usually grown on chocolate, blood agar which is prepared by adding blood to an agar base at 80</w:t>
      </w:r>
      <w:r>
        <w:rPr>
          <w:rFonts w:ascii="Times New Roman"/>
          <w:sz w:val="24"/>
          <w:vertAlign w:val="superscript"/>
        </w:rPr>
        <w:t>o</w:t>
      </w:r>
      <w:r>
        <w:rPr>
          <w:rFonts w:ascii="Times New Roman"/>
          <w:sz w:val="24"/>
          <w:vertAlign w:val="baseline"/>
        </w:rPr>
        <w:t>C. The heat releases X and V factors from the RBCs and turns the medium a chocolate brown color. The bacterium grows best at 35-37</w:t>
      </w:r>
      <w:r>
        <w:rPr>
          <w:rFonts w:ascii="Times New Roman"/>
          <w:sz w:val="24"/>
          <w:vertAlign w:val="superscript"/>
        </w:rPr>
        <w:t>o</w:t>
      </w:r>
      <w:r>
        <w:rPr>
          <w:rFonts w:ascii="Times New Roman"/>
          <w:sz w:val="24"/>
          <w:vertAlign w:val="baseline"/>
        </w:rPr>
        <w:t>C and has an optimal pH of 7.6. </w:t>
      </w:r>
      <w:r>
        <w:rPr>
          <w:rFonts w:ascii="Times New Roman"/>
          <w:i/>
          <w:sz w:val="24"/>
          <w:vertAlign w:val="baseline"/>
        </w:rPr>
        <w:t>Haemophilus influenzae </w:t>
      </w:r>
      <w:r>
        <w:rPr>
          <w:rFonts w:ascii="Times New Roman"/>
          <w:sz w:val="24"/>
          <w:vertAlign w:val="baseline"/>
        </w:rPr>
        <w:t>is generally grown in the laboratory under aerobic conditions or under slight CO</w:t>
      </w:r>
      <w:r>
        <w:rPr>
          <w:rFonts w:ascii="Times New Roman"/>
          <w:sz w:val="24"/>
          <w:vertAlign w:val="subscript"/>
        </w:rPr>
        <w:t>2</w:t>
      </w:r>
      <w:r>
        <w:rPr>
          <w:rFonts w:ascii="Times New Roman"/>
          <w:sz w:val="24"/>
          <w:vertAlign w:val="baseline"/>
        </w:rPr>
        <w:t> tension (5% CO</w:t>
      </w:r>
      <w:r>
        <w:rPr>
          <w:rFonts w:ascii="Times New Roman"/>
          <w:sz w:val="24"/>
          <w:vertAlign w:val="subscript"/>
        </w:rPr>
        <w:t>2</w:t>
      </w:r>
      <w:r>
        <w:rPr>
          <w:rFonts w:ascii="Times New Roman"/>
          <w:sz w:val="24"/>
          <w:vertAlign w:val="baseline"/>
        </w:rPr>
        <w:t>) (Todar, 2012).</w:t>
      </w:r>
    </w:p>
    <w:p>
      <w:pPr>
        <w:pStyle w:val="BodyText"/>
        <w:spacing w:before="6"/>
        <w:rPr>
          <w:rFonts w:ascii="Times New Roman"/>
          <w:sz w:val="24"/>
        </w:rPr>
      </w:pPr>
    </w:p>
    <w:p>
      <w:pPr>
        <w:spacing w:line="480" w:lineRule="auto" w:before="0"/>
        <w:ind w:left="1100" w:right="975" w:firstLine="720"/>
        <w:jc w:val="both"/>
        <w:rPr>
          <w:rFonts w:ascii="Times New Roman"/>
          <w:sz w:val="24"/>
        </w:rPr>
      </w:pPr>
      <w:r>
        <w:rPr>
          <w:rFonts w:ascii="Times New Roman"/>
          <w:sz w:val="24"/>
        </w:rPr>
        <w:t>In</w:t>
      </w:r>
      <w:r>
        <w:rPr>
          <w:rFonts w:ascii="Times New Roman"/>
          <w:spacing w:val="-1"/>
          <w:sz w:val="24"/>
        </w:rPr>
        <w:t> </w:t>
      </w:r>
      <w:r>
        <w:rPr>
          <w:rFonts w:ascii="Times New Roman"/>
          <w:sz w:val="24"/>
        </w:rPr>
        <w:t>the</w:t>
      </w:r>
      <w:r>
        <w:rPr>
          <w:rFonts w:ascii="Times New Roman"/>
          <w:spacing w:val="-3"/>
          <w:sz w:val="24"/>
        </w:rPr>
        <w:t> </w:t>
      </w:r>
      <w:r>
        <w:rPr>
          <w:rFonts w:ascii="Times New Roman"/>
          <w:sz w:val="24"/>
        </w:rPr>
        <w:t>1930s,</w:t>
      </w:r>
      <w:r>
        <w:rPr>
          <w:rFonts w:ascii="Times New Roman"/>
          <w:spacing w:val="-3"/>
          <w:sz w:val="24"/>
        </w:rPr>
        <w:t> </w:t>
      </w:r>
      <w:r>
        <w:rPr>
          <w:rFonts w:ascii="Times New Roman"/>
          <w:sz w:val="24"/>
        </w:rPr>
        <w:t>Margaret</w:t>
      </w:r>
      <w:r>
        <w:rPr>
          <w:rFonts w:ascii="Times New Roman"/>
          <w:spacing w:val="-3"/>
          <w:sz w:val="24"/>
        </w:rPr>
        <w:t> </w:t>
      </w:r>
      <w:r>
        <w:rPr>
          <w:rFonts w:ascii="Times New Roman"/>
          <w:sz w:val="24"/>
        </w:rPr>
        <w:t>Pittman</w:t>
      </w:r>
      <w:r>
        <w:rPr>
          <w:rFonts w:ascii="Times New Roman"/>
          <w:spacing w:val="-3"/>
          <w:sz w:val="24"/>
        </w:rPr>
        <w:t> </w:t>
      </w:r>
      <w:r>
        <w:rPr>
          <w:rFonts w:ascii="Times New Roman"/>
          <w:sz w:val="24"/>
        </w:rPr>
        <w:t>defined</w:t>
      </w:r>
      <w:r>
        <w:rPr>
          <w:rFonts w:ascii="Times New Roman"/>
          <w:spacing w:val="-3"/>
          <w:sz w:val="24"/>
        </w:rPr>
        <w:t> </w:t>
      </w:r>
      <w:r>
        <w:rPr>
          <w:rFonts w:ascii="Times New Roman"/>
          <w:sz w:val="24"/>
        </w:rPr>
        <w:t>2</w:t>
      </w:r>
      <w:r>
        <w:rPr>
          <w:rFonts w:ascii="Times New Roman"/>
          <w:spacing w:val="-3"/>
          <w:sz w:val="24"/>
        </w:rPr>
        <w:t> </w:t>
      </w:r>
      <w:r>
        <w:rPr>
          <w:rFonts w:ascii="Times New Roman"/>
          <w:sz w:val="24"/>
        </w:rPr>
        <w:t>major</w:t>
      </w:r>
      <w:r>
        <w:rPr>
          <w:rFonts w:ascii="Times New Roman"/>
          <w:spacing w:val="-3"/>
          <w:sz w:val="24"/>
        </w:rPr>
        <w:t> </w:t>
      </w:r>
      <w:r>
        <w:rPr>
          <w:rFonts w:ascii="Times New Roman"/>
          <w:sz w:val="24"/>
        </w:rPr>
        <w:t>categories</w:t>
      </w:r>
      <w:r>
        <w:rPr>
          <w:rFonts w:ascii="Times New Roman"/>
          <w:spacing w:val="-3"/>
          <w:sz w:val="24"/>
        </w:rPr>
        <w:t> </w:t>
      </w:r>
      <w:r>
        <w:rPr>
          <w:rFonts w:ascii="Times New Roman"/>
          <w:sz w:val="24"/>
        </w:rPr>
        <w:t>of </w:t>
      </w:r>
      <w:r>
        <w:rPr>
          <w:rFonts w:ascii="Times New Roman"/>
          <w:i/>
          <w:sz w:val="24"/>
        </w:rPr>
        <w:t>H</w:t>
      </w:r>
      <w:r>
        <w:rPr>
          <w:rFonts w:ascii="Times New Roman"/>
          <w:i/>
          <w:spacing w:val="-3"/>
          <w:sz w:val="24"/>
        </w:rPr>
        <w:t> </w:t>
      </w:r>
      <w:r>
        <w:rPr>
          <w:rFonts w:ascii="Times New Roman"/>
          <w:i/>
          <w:sz w:val="24"/>
        </w:rPr>
        <w:t>influenzae: </w:t>
      </w:r>
      <w:r>
        <w:rPr>
          <w:rFonts w:ascii="Times New Roman"/>
          <w:sz w:val="24"/>
        </w:rPr>
        <w:t>the unencapsulated strains and the encapsulated strains (which are further classified into serotypes, with the </w:t>
      </w:r>
      <w:r>
        <w:rPr>
          <w:rFonts w:ascii="Times New Roman"/>
          <w:i/>
          <w:sz w:val="24"/>
        </w:rPr>
        <w:t>Haemophilus influenzae</w:t>
      </w:r>
      <w:r>
        <w:rPr>
          <w:rFonts w:ascii="Times New Roman"/>
          <w:i/>
          <w:spacing w:val="-3"/>
          <w:sz w:val="24"/>
        </w:rPr>
        <w:t> </w:t>
      </w:r>
      <w:r>
        <w:rPr>
          <w:rFonts w:ascii="Times New Roman"/>
          <w:sz w:val="24"/>
        </w:rPr>
        <w:t>serotype b being the most pathogenic for humans, responsible for respiratory infections, ocular infection, sepsis and</w:t>
      </w:r>
      <w:r>
        <w:rPr>
          <w:rFonts w:ascii="Times New Roman"/>
          <w:spacing w:val="40"/>
          <w:sz w:val="24"/>
        </w:rPr>
        <w:t> </w:t>
      </w:r>
      <w:r>
        <w:rPr>
          <w:rFonts w:ascii="Times New Roman"/>
          <w:sz w:val="24"/>
        </w:rPr>
        <w:t>meningitis).</w:t>
      </w:r>
      <w:r>
        <w:rPr>
          <w:rFonts w:ascii="Times New Roman"/>
          <w:spacing w:val="46"/>
          <w:sz w:val="24"/>
        </w:rPr>
        <w:t> </w:t>
      </w:r>
      <w:r>
        <w:rPr>
          <w:rFonts w:ascii="Times New Roman"/>
          <w:sz w:val="24"/>
        </w:rPr>
        <w:t>Non</w:t>
      </w:r>
      <w:r>
        <w:rPr>
          <w:rFonts w:ascii="Times New Roman"/>
          <w:spacing w:val="48"/>
          <w:sz w:val="24"/>
        </w:rPr>
        <w:t> </w:t>
      </w:r>
      <w:r>
        <w:rPr>
          <w:rFonts w:ascii="Times New Roman"/>
          <w:sz w:val="24"/>
        </w:rPr>
        <w:t>encapsulated</w:t>
      </w:r>
      <w:r>
        <w:rPr>
          <w:rFonts w:ascii="Times New Roman"/>
          <w:spacing w:val="49"/>
          <w:sz w:val="24"/>
        </w:rPr>
        <w:t> </w:t>
      </w:r>
      <w:r>
        <w:rPr>
          <w:rFonts w:ascii="Times New Roman"/>
          <w:sz w:val="24"/>
        </w:rPr>
        <w:t>organisms</w:t>
      </w:r>
      <w:r>
        <w:rPr>
          <w:rFonts w:ascii="Times New Roman"/>
          <w:spacing w:val="49"/>
          <w:sz w:val="24"/>
        </w:rPr>
        <w:t> </w:t>
      </w:r>
      <w:r>
        <w:rPr>
          <w:rFonts w:ascii="Times New Roman"/>
          <w:sz w:val="24"/>
        </w:rPr>
        <w:t>from</w:t>
      </w:r>
      <w:r>
        <w:rPr>
          <w:rFonts w:ascii="Times New Roman"/>
          <w:spacing w:val="51"/>
          <w:sz w:val="24"/>
        </w:rPr>
        <w:t> </w:t>
      </w:r>
      <w:r>
        <w:rPr>
          <w:rFonts w:ascii="Times New Roman"/>
          <w:sz w:val="24"/>
        </w:rPr>
        <w:t>sputum</w:t>
      </w:r>
      <w:r>
        <w:rPr>
          <w:rFonts w:ascii="Times New Roman"/>
          <w:spacing w:val="54"/>
          <w:sz w:val="24"/>
        </w:rPr>
        <w:t> </w:t>
      </w:r>
      <w:r>
        <w:rPr>
          <w:rFonts w:ascii="Times New Roman"/>
          <w:sz w:val="24"/>
        </w:rPr>
        <w:t>are</w:t>
      </w:r>
      <w:r>
        <w:rPr>
          <w:rFonts w:ascii="Times New Roman"/>
          <w:spacing w:val="47"/>
          <w:sz w:val="24"/>
        </w:rPr>
        <w:t> </w:t>
      </w:r>
      <w:r>
        <w:rPr>
          <w:rFonts w:ascii="Times New Roman"/>
          <w:sz w:val="24"/>
        </w:rPr>
        <w:t>pleomorphic</w:t>
      </w:r>
      <w:r>
        <w:rPr>
          <w:rFonts w:ascii="Times New Roman"/>
          <w:spacing w:val="50"/>
          <w:sz w:val="24"/>
        </w:rPr>
        <w:t> </w:t>
      </w:r>
      <w:r>
        <w:rPr>
          <w:rFonts w:ascii="Times New Roman"/>
          <w:sz w:val="24"/>
        </w:rPr>
        <w:t>and</w:t>
      </w:r>
      <w:r>
        <w:rPr>
          <w:rFonts w:ascii="Times New Roman"/>
          <w:spacing w:val="49"/>
          <w:sz w:val="24"/>
        </w:rPr>
        <w:t> </w:t>
      </w:r>
      <w:r>
        <w:rPr>
          <w:rFonts w:ascii="Times New Roman"/>
          <w:spacing w:val="-2"/>
          <w:sz w:val="24"/>
        </w:rPr>
        <w:t>often</w:t>
      </w:r>
    </w:p>
    <w:p>
      <w:pPr>
        <w:spacing w:after="0" w:line="480" w:lineRule="auto"/>
        <w:jc w:val="both"/>
        <w:rPr>
          <w:rFonts w:ascii="Times New Roman"/>
          <w:sz w:val="24"/>
        </w:rPr>
        <w:sectPr>
          <w:pgSz w:w="11910" w:h="16840"/>
          <w:pgMar w:header="0" w:footer="1055" w:top="1340" w:bottom="1240" w:left="1060" w:right="460"/>
        </w:sectPr>
      </w:pPr>
    </w:p>
    <w:p>
      <w:pPr>
        <w:spacing w:line="480" w:lineRule="auto" w:before="73"/>
        <w:ind w:left="1100" w:right="973" w:firstLine="0"/>
        <w:jc w:val="both"/>
        <w:rPr>
          <w:rFonts w:ascii="Times New Roman"/>
          <w:sz w:val="24"/>
        </w:rPr>
      </w:pPr>
      <w:r>
        <w:rPr>
          <w:rFonts w:ascii="Times New Roman"/>
          <w:sz w:val="24"/>
        </w:rPr>
        <w:t>exhibit long threads and filaments (Todar, 2012). The unencapsulated strains were chiefly responsible for infections at mucosal surfaces, including </w:t>
      </w:r>
      <w:hyperlink r:id="rId156">
        <w:r>
          <w:rPr>
            <w:rFonts w:ascii="Times New Roman"/>
            <w:sz w:val="24"/>
          </w:rPr>
          <w:t>otitis media</w:t>
        </w:r>
      </w:hyperlink>
      <w:r>
        <w:rPr>
          <w:rFonts w:ascii="Times New Roman"/>
          <w:sz w:val="24"/>
        </w:rPr>
        <w:t>, conjunctivitis, </w:t>
      </w:r>
      <w:hyperlink r:id="rId157">
        <w:r>
          <w:rPr>
            <w:rFonts w:ascii="Times New Roman"/>
            <w:sz w:val="24"/>
          </w:rPr>
          <w:t>bronchitis</w:t>
        </w:r>
      </w:hyperlink>
      <w:r>
        <w:rPr>
          <w:rFonts w:ascii="Times New Roman"/>
          <w:sz w:val="24"/>
        </w:rPr>
        <w:t>, and </w:t>
      </w:r>
      <w:hyperlink r:id="rId158">
        <w:r>
          <w:rPr>
            <w:rFonts w:ascii="Times New Roman"/>
            <w:sz w:val="24"/>
          </w:rPr>
          <w:t>sinusitis</w:t>
        </w:r>
      </w:hyperlink>
      <w:r>
        <w:rPr>
          <w:rFonts w:ascii="Times New Roman"/>
          <w:sz w:val="24"/>
        </w:rPr>
        <w:t>. In contrast, one of the 6 antigenically distinct encapsulated strains, strain type b, was associated with invasive diseases (e.g., septicemia, meningitis, cellulitis, septic </w:t>
      </w:r>
      <w:hyperlink r:id="rId159">
        <w:r>
          <w:rPr>
            <w:rFonts w:ascii="Times New Roman"/>
            <w:sz w:val="24"/>
          </w:rPr>
          <w:t>arthritis</w:t>
        </w:r>
      </w:hyperlink>
      <w:r>
        <w:rPr>
          <w:rFonts w:ascii="Times New Roman"/>
          <w:sz w:val="24"/>
        </w:rPr>
        <w:t>, epiglottitis, </w:t>
      </w:r>
      <w:hyperlink r:id="rId160">
        <w:r>
          <w:rPr>
            <w:rFonts w:ascii="Times New Roman"/>
            <w:sz w:val="24"/>
          </w:rPr>
          <w:t>pneumonia</w:t>
        </w:r>
      </w:hyperlink>
      <w:r>
        <w:rPr>
          <w:rFonts w:ascii="Times New Roman"/>
          <w:sz w:val="24"/>
        </w:rPr>
        <w:t>, etc) (Slack</w:t>
      </w:r>
      <w:r>
        <w:rPr>
          <w:rFonts w:ascii="Times New Roman"/>
          <w:spacing w:val="80"/>
          <w:sz w:val="24"/>
        </w:rPr>
        <w:t> </w:t>
      </w:r>
      <w:r>
        <w:rPr>
          <w:rFonts w:ascii="Times New Roman"/>
          <w:i/>
          <w:sz w:val="24"/>
        </w:rPr>
        <w:t>et al</w:t>
      </w:r>
      <w:r>
        <w:rPr>
          <w:rFonts w:ascii="Times New Roman"/>
          <w:sz w:val="24"/>
        </w:rPr>
        <w:t>., 1998).</w:t>
      </w:r>
    </w:p>
    <w:p>
      <w:pPr>
        <w:pStyle w:val="BodyText"/>
        <w:spacing w:before="11"/>
        <w:rPr>
          <w:rFonts w:ascii="Times New Roman"/>
          <w:sz w:val="24"/>
        </w:rPr>
      </w:pPr>
    </w:p>
    <w:p>
      <w:pPr>
        <w:pStyle w:val="BodyText"/>
        <w:spacing w:line="480" w:lineRule="auto"/>
        <w:ind w:left="1100" w:right="974" w:firstLine="720"/>
        <w:jc w:val="both"/>
      </w:pPr>
      <w:r>
        <w:rPr>
          <w:i/>
        </w:rPr>
        <w:t>Haemophilus influenzae </w:t>
      </w:r>
      <w:r>
        <w:rPr/>
        <w:t>is a bacterium that can cause a severe infection, occurring mostly in infants and children younger than five years of age. It can cause lifelong disability and can be deadly. In spite of its name, </w:t>
      </w:r>
      <w:r>
        <w:rPr>
          <w:i/>
        </w:rPr>
        <w:t>Haemophilus influenzae </w:t>
      </w:r>
      <w:r>
        <w:rPr/>
        <w:t>bacteria do not cause influenza (the "flu") (European Centre for Disease Prevention and Control, 2013b).</w:t>
      </w:r>
    </w:p>
    <w:p>
      <w:pPr>
        <w:pStyle w:val="BodyText"/>
        <w:spacing w:before="10"/>
      </w:pPr>
    </w:p>
    <w:p>
      <w:pPr>
        <w:pStyle w:val="ListParagraph"/>
        <w:numPr>
          <w:ilvl w:val="3"/>
          <w:numId w:val="1"/>
        </w:numPr>
        <w:tabs>
          <w:tab w:pos="1098" w:val="left" w:leader="none"/>
        </w:tabs>
        <w:spacing w:line="240" w:lineRule="auto" w:before="0" w:after="0"/>
        <w:ind w:left="1098" w:right="0" w:hanging="718"/>
        <w:jc w:val="left"/>
        <w:rPr>
          <w:i/>
          <w:sz w:val="22"/>
        </w:rPr>
      </w:pPr>
      <w:r>
        <w:rPr>
          <w:i/>
          <w:sz w:val="22"/>
        </w:rPr>
        <w:t>Significance</w:t>
      </w:r>
      <w:r>
        <w:rPr>
          <w:i/>
          <w:spacing w:val="-7"/>
          <w:sz w:val="22"/>
        </w:rPr>
        <w:t> </w:t>
      </w:r>
      <w:r>
        <w:rPr>
          <w:i/>
          <w:sz w:val="22"/>
        </w:rPr>
        <w:t>and</w:t>
      </w:r>
      <w:r>
        <w:rPr>
          <w:i/>
          <w:spacing w:val="-8"/>
          <w:sz w:val="22"/>
        </w:rPr>
        <w:t> </w:t>
      </w:r>
      <w:r>
        <w:rPr>
          <w:i/>
          <w:sz w:val="22"/>
        </w:rPr>
        <w:t>Health</w:t>
      </w:r>
      <w:r>
        <w:rPr>
          <w:i/>
          <w:spacing w:val="-6"/>
          <w:sz w:val="22"/>
        </w:rPr>
        <w:t> </w:t>
      </w:r>
      <w:r>
        <w:rPr>
          <w:i/>
          <w:sz w:val="22"/>
        </w:rPr>
        <w:t>Implications</w:t>
      </w:r>
      <w:r>
        <w:rPr>
          <w:i/>
          <w:spacing w:val="-6"/>
          <w:sz w:val="22"/>
        </w:rPr>
        <w:t> </w:t>
      </w:r>
      <w:r>
        <w:rPr>
          <w:i/>
          <w:sz w:val="22"/>
        </w:rPr>
        <w:t>of</w:t>
      </w:r>
      <w:r>
        <w:rPr>
          <w:i/>
          <w:spacing w:val="-6"/>
          <w:sz w:val="22"/>
        </w:rPr>
        <w:t> </w:t>
      </w:r>
      <w:r>
        <w:rPr>
          <w:i/>
          <w:sz w:val="22"/>
        </w:rPr>
        <w:t>Haemophilus</w:t>
      </w:r>
      <w:r>
        <w:rPr>
          <w:i/>
          <w:spacing w:val="-5"/>
          <w:sz w:val="22"/>
        </w:rPr>
        <w:t> </w:t>
      </w:r>
      <w:r>
        <w:rPr>
          <w:i/>
          <w:spacing w:val="-2"/>
          <w:sz w:val="22"/>
        </w:rPr>
        <w:t>influenzae</w:t>
      </w:r>
    </w:p>
    <w:p>
      <w:pPr>
        <w:pStyle w:val="BodyText"/>
        <w:rPr>
          <w:i/>
        </w:rPr>
      </w:pPr>
    </w:p>
    <w:p>
      <w:pPr>
        <w:pStyle w:val="BodyText"/>
        <w:spacing w:before="8"/>
        <w:rPr>
          <w:i/>
        </w:rPr>
      </w:pPr>
    </w:p>
    <w:p>
      <w:pPr>
        <w:spacing w:line="480" w:lineRule="auto" w:before="0"/>
        <w:ind w:left="1100" w:right="976" w:firstLine="720"/>
        <w:jc w:val="both"/>
        <w:rPr>
          <w:rFonts w:ascii="Times New Roman"/>
          <w:sz w:val="24"/>
        </w:rPr>
      </w:pPr>
      <w:r>
        <w:rPr>
          <w:rFonts w:ascii="Times New Roman"/>
          <w:i/>
          <w:sz w:val="24"/>
        </w:rPr>
        <w:t>Haemophilus</w:t>
      </w:r>
      <w:r>
        <w:rPr>
          <w:rFonts w:ascii="Times New Roman"/>
          <w:i/>
          <w:spacing w:val="-1"/>
          <w:sz w:val="24"/>
        </w:rPr>
        <w:t> </w:t>
      </w:r>
      <w:r>
        <w:rPr>
          <w:rFonts w:ascii="Times New Roman"/>
          <w:i/>
          <w:sz w:val="24"/>
        </w:rPr>
        <w:t>influenzae</w:t>
      </w:r>
      <w:r>
        <w:rPr>
          <w:rFonts w:ascii="Times New Roman"/>
          <w:i/>
          <w:spacing w:val="-3"/>
          <w:sz w:val="24"/>
        </w:rPr>
        <w:t> </w:t>
      </w:r>
      <w:r>
        <w:rPr>
          <w:rFonts w:ascii="Times New Roman"/>
          <w:sz w:val="24"/>
        </w:rPr>
        <w:t>is</w:t>
      </w:r>
      <w:r>
        <w:rPr>
          <w:rFonts w:ascii="Times New Roman"/>
          <w:spacing w:val="-2"/>
          <w:sz w:val="24"/>
        </w:rPr>
        <w:t> </w:t>
      </w:r>
      <w:r>
        <w:rPr>
          <w:rFonts w:ascii="Times New Roman"/>
          <w:sz w:val="24"/>
        </w:rPr>
        <w:t>highly</w:t>
      </w:r>
      <w:r>
        <w:rPr>
          <w:rFonts w:ascii="Times New Roman"/>
          <w:spacing w:val="-5"/>
          <w:sz w:val="24"/>
        </w:rPr>
        <w:t> </w:t>
      </w:r>
      <w:r>
        <w:rPr>
          <w:rFonts w:ascii="Times New Roman"/>
          <w:sz w:val="24"/>
        </w:rPr>
        <w:t>adapted</w:t>
      </w:r>
      <w:r>
        <w:rPr>
          <w:rFonts w:ascii="Times New Roman"/>
          <w:spacing w:val="-1"/>
          <w:sz w:val="24"/>
        </w:rPr>
        <w:t> </w:t>
      </w:r>
      <w:r>
        <w:rPr>
          <w:rFonts w:ascii="Times New Roman"/>
          <w:sz w:val="24"/>
        </w:rPr>
        <w:t>to</w:t>
      </w:r>
      <w:r>
        <w:rPr>
          <w:rFonts w:ascii="Times New Roman"/>
          <w:spacing w:val="-2"/>
          <w:sz w:val="24"/>
        </w:rPr>
        <w:t> </w:t>
      </w:r>
      <w:r>
        <w:rPr>
          <w:rFonts w:ascii="Times New Roman"/>
          <w:sz w:val="24"/>
        </w:rPr>
        <w:t>its</w:t>
      </w:r>
      <w:r>
        <w:rPr>
          <w:rFonts w:ascii="Times New Roman"/>
          <w:spacing w:val="-2"/>
          <w:sz w:val="24"/>
        </w:rPr>
        <w:t> </w:t>
      </w:r>
      <w:r>
        <w:rPr>
          <w:rFonts w:ascii="Times New Roman"/>
          <w:sz w:val="24"/>
        </w:rPr>
        <w:t>human</w:t>
      </w:r>
      <w:r>
        <w:rPr>
          <w:rFonts w:ascii="Times New Roman"/>
          <w:spacing w:val="-2"/>
          <w:sz w:val="24"/>
        </w:rPr>
        <w:t> </w:t>
      </w:r>
      <w:r>
        <w:rPr>
          <w:rFonts w:ascii="Times New Roman"/>
          <w:sz w:val="24"/>
        </w:rPr>
        <w:t>host. It</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present in the nasopharynx of approximately 75 percent of healthy children and adults (Todar, 2012). Todar (2012) also reported that it is usually the unencapsulated strains that are harbored as normal flora, but a minority of healthy individuals (3-7 percent) intermittently harbor </w:t>
      </w:r>
      <w:r>
        <w:rPr>
          <w:rFonts w:ascii="Times New Roman"/>
          <w:i/>
          <w:sz w:val="24"/>
        </w:rPr>
        <w:t>H. influenzae </w:t>
      </w:r>
      <w:r>
        <w:rPr>
          <w:rFonts w:ascii="Times New Roman"/>
          <w:sz w:val="24"/>
        </w:rPr>
        <w:t>type b (Hib) encapsulated strains in the upper respiratory tract. Pharyngeal carriage of Hib is important in the transmission of the bacterium. Even with adequate and prompt antibiotic treatment, mortality can reach</w:t>
      </w:r>
      <w:r>
        <w:rPr>
          <w:rFonts w:ascii="Times New Roman"/>
          <w:spacing w:val="40"/>
          <w:sz w:val="24"/>
        </w:rPr>
        <w:t> </w:t>
      </w:r>
      <w:r>
        <w:rPr>
          <w:rFonts w:ascii="Times New Roman"/>
          <w:sz w:val="24"/>
        </w:rPr>
        <w:t>up to 10% of cases (European Centre for Disease Prevention and Control, 2013a). Vaccine prophilaxis is therefore of paramount importance, in order to protect</w:t>
      </w:r>
      <w:r>
        <w:rPr>
          <w:rFonts w:ascii="Times New Roman"/>
          <w:spacing w:val="80"/>
          <w:sz w:val="24"/>
        </w:rPr>
        <w:t> </w:t>
      </w:r>
      <w:r>
        <w:rPr>
          <w:rFonts w:ascii="Times New Roman"/>
          <w:spacing w:val="-2"/>
          <w:sz w:val="24"/>
        </w:rPr>
        <w:t>children.</w:t>
      </w:r>
    </w:p>
    <w:p>
      <w:pPr>
        <w:spacing w:after="0" w:line="480" w:lineRule="auto"/>
        <w:jc w:val="both"/>
        <w:rPr>
          <w:rFonts w:ascii="Times New Roman"/>
          <w:sz w:val="24"/>
        </w:rPr>
        <w:sectPr>
          <w:pgSz w:w="11910" w:h="16840"/>
          <w:pgMar w:header="0" w:footer="1055" w:top="1340" w:bottom="1240" w:left="1060" w:right="460"/>
        </w:sectPr>
      </w:pPr>
    </w:p>
    <w:p>
      <w:pPr>
        <w:pStyle w:val="BodyText"/>
        <w:spacing w:line="480" w:lineRule="auto" w:before="38"/>
        <w:ind w:left="1100" w:right="976" w:firstLine="720"/>
        <w:jc w:val="both"/>
      </w:pPr>
      <w:r>
        <w:rPr/>
        <w:t>There are six identifiable types of </w:t>
      </w:r>
      <w:r>
        <w:rPr>
          <w:i/>
        </w:rPr>
        <w:t>Haemophilus influenzae </w:t>
      </w:r>
      <w:r>
        <w:rPr/>
        <w:t>bacteria (a through f) and other non-identifiable types (called nontypeable). The one most people are familiar with is </w:t>
      </w:r>
      <w:r>
        <w:rPr>
          <w:i/>
        </w:rPr>
        <w:t>Haemophilus influenzae </w:t>
      </w:r>
      <w:r>
        <w:rPr/>
        <w:t>type b, or Hib. Hib disease is however vaccine-preventable.</w:t>
      </w:r>
    </w:p>
    <w:p>
      <w:pPr>
        <w:pStyle w:val="BodyText"/>
        <w:spacing w:before="12"/>
      </w:pPr>
    </w:p>
    <w:p>
      <w:pPr>
        <w:pStyle w:val="ListParagraph"/>
        <w:numPr>
          <w:ilvl w:val="3"/>
          <w:numId w:val="1"/>
        </w:numPr>
        <w:tabs>
          <w:tab w:pos="1041" w:val="left" w:leader="none"/>
        </w:tabs>
        <w:spacing w:line="240" w:lineRule="auto" w:before="0" w:after="0"/>
        <w:ind w:left="1041" w:right="0" w:hanging="661"/>
        <w:jc w:val="left"/>
        <w:rPr>
          <w:sz w:val="22"/>
        </w:rPr>
      </w:pPr>
      <w:r>
        <w:rPr>
          <w:i/>
          <w:sz w:val="22"/>
        </w:rPr>
        <w:t>Haemophilus</w:t>
      </w:r>
      <w:r>
        <w:rPr>
          <w:i/>
          <w:spacing w:val="-12"/>
          <w:sz w:val="22"/>
        </w:rPr>
        <w:t> </w:t>
      </w:r>
      <w:r>
        <w:rPr>
          <w:i/>
          <w:sz w:val="22"/>
        </w:rPr>
        <w:t>influenzae</w:t>
      </w:r>
      <w:r>
        <w:rPr>
          <w:i/>
          <w:spacing w:val="-9"/>
          <w:sz w:val="22"/>
        </w:rPr>
        <w:t> </w:t>
      </w:r>
      <w:r>
        <w:rPr>
          <w:i/>
          <w:spacing w:val="-2"/>
          <w:sz w:val="22"/>
        </w:rPr>
        <w:t>presentation</w:t>
      </w:r>
      <w:r>
        <w:rPr>
          <w:spacing w:val="-2"/>
          <w:sz w:val="22"/>
        </w:rPr>
        <w:t>:</w:t>
      </w:r>
    </w:p>
    <w:p>
      <w:pPr>
        <w:pStyle w:val="BodyText"/>
      </w:pPr>
    </w:p>
    <w:p>
      <w:pPr>
        <w:pStyle w:val="BodyText"/>
        <w:spacing w:before="12"/>
      </w:pPr>
    </w:p>
    <w:p>
      <w:pPr>
        <w:pStyle w:val="BodyText"/>
        <w:spacing w:line="477" w:lineRule="auto" w:before="1"/>
        <w:ind w:left="1100" w:right="980"/>
        <w:jc w:val="both"/>
      </w:pPr>
      <w:r>
        <w:rPr/>
        <w:t>Hib bacteria are carried in the nose and throat without showing any signs of infection. Hib is spread through coughing, sneezing or close contact with an infected person (Colin, 2010).</w:t>
      </w:r>
    </w:p>
    <w:p>
      <w:pPr>
        <w:pStyle w:val="BodyText"/>
        <w:spacing w:before="16"/>
      </w:pPr>
    </w:p>
    <w:p>
      <w:pPr>
        <w:pStyle w:val="BodyText"/>
        <w:spacing w:line="480" w:lineRule="auto"/>
        <w:ind w:left="1100" w:right="976"/>
        <w:jc w:val="both"/>
      </w:pPr>
      <w:r>
        <w:rPr/>
        <w:t>Before </w:t>
      </w:r>
      <w:hyperlink r:id="rId161">
        <w:r>
          <w:rPr/>
          <w:t>Hib vaccine</w:t>
        </w:r>
      </w:hyperlink>
      <w:r>
        <w:rPr/>
        <w:t> was introduced, about four in every 100 pre-school children carried the Hib organism; after the vaccine was introduced, carriage rates fell below the level of detection (Mc Vernon </w:t>
      </w:r>
      <w:r>
        <w:rPr>
          <w:i/>
        </w:rPr>
        <w:t>et al</w:t>
      </w:r>
      <w:r>
        <w:rPr/>
        <w:t>., 2004).</w:t>
      </w:r>
    </w:p>
    <w:p>
      <w:pPr>
        <w:pStyle w:val="BodyText"/>
        <w:spacing w:before="12"/>
      </w:pPr>
    </w:p>
    <w:p>
      <w:pPr>
        <w:pStyle w:val="BodyText"/>
        <w:spacing w:line="480" w:lineRule="auto"/>
        <w:ind w:left="1100" w:right="973"/>
        <w:jc w:val="both"/>
      </w:pPr>
      <w:r>
        <w:rPr/>
        <w:t>Hib infections are uncommon in patients older than 6 years. However, the frequency of Hib infections is increased in patients with </w:t>
      </w:r>
      <w:hyperlink r:id="rId162">
        <w:r>
          <w:rPr/>
          <w:t>asplenia,</w:t>
        </w:r>
      </w:hyperlink>
      <w:r>
        <w:rPr/>
        <w:t> </w:t>
      </w:r>
      <w:hyperlink r:id="rId163">
        <w:r>
          <w:rPr/>
          <w:t>splenectomy</w:t>
        </w:r>
      </w:hyperlink>
      <w:r>
        <w:rPr/>
        <w:t>, </w:t>
      </w:r>
      <w:hyperlink r:id="rId164">
        <w:r>
          <w:rPr/>
          <w:t>sickle cell disease</w:t>
        </w:r>
      </w:hyperlink>
      <w:r>
        <w:rPr/>
        <w:t>, malignancies, and congenital or acquired </w:t>
      </w:r>
      <w:hyperlink r:id="rId165">
        <w:r>
          <w:rPr/>
          <w:t>immunodeficiencies</w:t>
        </w:r>
      </w:hyperlink>
      <w:r>
        <w:rPr/>
        <w:t> (Colin, 2010).</w:t>
      </w:r>
    </w:p>
    <w:p>
      <w:pPr>
        <w:pStyle w:val="BodyText"/>
        <w:spacing w:before="11"/>
      </w:pPr>
    </w:p>
    <w:p>
      <w:pPr>
        <w:pStyle w:val="BodyText"/>
        <w:spacing w:line="480" w:lineRule="auto" w:before="1"/>
        <w:ind w:left="1100" w:right="972"/>
        <w:jc w:val="both"/>
      </w:pPr>
      <w:r>
        <w:rPr/>
        <w:t>The most common presentation (60% of all cases) of invasive </w:t>
      </w:r>
      <w:r>
        <w:rPr>
          <w:i/>
        </w:rPr>
        <w:t>H. influenzae </w:t>
      </w:r>
      <w:r>
        <w:rPr/>
        <w:t>type b (Hib) disease is meningitis, frequently accompanied by bacteraemia. Hib meningitis primarily affects</w:t>
      </w:r>
      <w:r>
        <w:rPr>
          <w:spacing w:val="-4"/>
        </w:rPr>
        <w:t> </w:t>
      </w:r>
      <w:r>
        <w:rPr/>
        <w:t>children</w:t>
      </w:r>
      <w:r>
        <w:rPr>
          <w:spacing w:val="-2"/>
        </w:rPr>
        <w:t> </w:t>
      </w:r>
      <w:r>
        <w:rPr/>
        <w:t>younger</w:t>
      </w:r>
      <w:r>
        <w:rPr>
          <w:spacing w:val="-2"/>
        </w:rPr>
        <w:t> </w:t>
      </w:r>
      <w:r>
        <w:rPr/>
        <w:t>than</w:t>
      </w:r>
      <w:r>
        <w:rPr>
          <w:spacing w:val="-3"/>
        </w:rPr>
        <w:t> </w:t>
      </w:r>
      <w:r>
        <w:rPr/>
        <w:t>2</w:t>
      </w:r>
      <w:r>
        <w:rPr>
          <w:spacing w:val="-1"/>
        </w:rPr>
        <w:t> </w:t>
      </w:r>
      <w:r>
        <w:rPr/>
        <w:t>years,</w:t>
      </w:r>
      <w:r>
        <w:rPr>
          <w:spacing w:val="-2"/>
        </w:rPr>
        <w:t> </w:t>
      </w:r>
      <w:r>
        <w:rPr/>
        <w:t>with</w:t>
      </w:r>
      <w:r>
        <w:rPr>
          <w:spacing w:val="-2"/>
        </w:rPr>
        <w:t> </w:t>
      </w:r>
      <w:r>
        <w:rPr/>
        <w:t>a</w:t>
      </w:r>
      <w:r>
        <w:rPr>
          <w:spacing w:val="-2"/>
        </w:rPr>
        <w:t> </w:t>
      </w:r>
      <w:r>
        <w:rPr/>
        <w:t>peak</w:t>
      </w:r>
      <w:r>
        <w:rPr>
          <w:spacing w:val="-4"/>
        </w:rPr>
        <w:t> </w:t>
      </w:r>
      <w:r>
        <w:rPr/>
        <w:t>frequency</w:t>
      </w:r>
      <w:r>
        <w:rPr>
          <w:spacing w:val="-2"/>
        </w:rPr>
        <w:t> </w:t>
      </w:r>
      <w:r>
        <w:rPr/>
        <w:t>rate</w:t>
      </w:r>
      <w:r>
        <w:rPr>
          <w:spacing w:val="-2"/>
        </w:rPr>
        <w:t> </w:t>
      </w:r>
      <w:r>
        <w:rPr/>
        <w:t>occurring</w:t>
      </w:r>
      <w:r>
        <w:rPr>
          <w:spacing w:val="-3"/>
        </w:rPr>
        <w:t> </w:t>
      </w:r>
      <w:r>
        <w:rPr/>
        <w:t>in</w:t>
      </w:r>
      <w:r>
        <w:rPr>
          <w:spacing w:val="-2"/>
        </w:rPr>
        <w:t> </w:t>
      </w:r>
      <w:r>
        <w:rPr/>
        <w:t>infants</w:t>
      </w:r>
      <w:r>
        <w:rPr>
          <w:spacing w:val="-1"/>
        </w:rPr>
        <w:t> </w:t>
      </w:r>
      <w:r>
        <w:rPr/>
        <w:t>aged</w:t>
      </w:r>
      <w:r>
        <w:rPr>
          <w:spacing w:val="-2"/>
        </w:rPr>
        <w:t> </w:t>
      </w:r>
      <w:r>
        <w:rPr/>
        <w:t>6- 9 months (Colin, 2010).</w:t>
      </w:r>
    </w:p>
    <w:p>
      <w:pPr>
        <w:pStyle w:val="BodyText"/>
        <w:spacing w:before="12"/>
      </w:pPr>
    </w:p>
    <w:p>
      <w:pPr>
        <w:pStyle w:val="BodyText"/>
        <w:spacing w:line="480" w:lineRule="auto"/>
        <w:ind w:left="1100" w:right="978"/>
        <w:jc w:val="both"/>
      </w:pPr>
      <w:r>
        <w:rPr/>
        <w:t>Fifteen per cent of cases present with epiglottitis. Epiglottitis most commonly occurs in children aged 2-7 years but can also occur in adults (Colin, 2010).</w:t>
      </w:r>
    </w:p>
    <w:p>
      <w:pPr>
        <w:pStyle w:val="BodyText"/>
        <w:spacing w:before="11"/>
      </w:pPr>
    </w:p>
    <w:p>
      <w:pPr>
        <w:pStyle w:val="BodyText"/>
        <w:spacing w:line="480" w:lineRule="auto"/>
        <w:ind w:left="1100" w:right="974"/>
        <w:jc w:val="both"/>
      </w:pPr>
      <w:r>
        <w:rPr/>
        <w:t>Bacteraemia</w:t>
      </w:r>
      <w:r>
        <w:rPr>
          <w:spacing w:val="-1"/>
        </w:rPr>
        <w:t> </w:t>
      </w:r>
      <w:r>
        <w:rPr/>
        <w:t>without any</w:t>
      </w:r>
      <w:r>
        <w:rPr>
          <w:spacing w:val="-1"/>
        </w:rPr>
        <w:t> </w:t>
      </w:r>
      <w:r>
        <w:rPr/>
        <w:t>other concomitant infection occurs in 10% of cases. The</w:t>
      </w:r>
      <w:r>
        <w:rPr>
          <w:spacing w:val="-1"/>
        </w:rPr>
        <w:t> </w:t>
      </w:r>
      <w:r>
        <w:rPr/>
        <w:t>remainder is made up of cases of septic arthritis, osteomyelitis, cellulitis, pneumonia and </w:t>
      </w:r>
      <w:hyperlink r:id="rId166">
        <w:r>
          <w:rPr/>
          <w:t>pericarditis</w:t>
        </w:r>
      </w:hyperlink>
      <w:r>
        <w:rPr/>
        <w:t> (Colin, 2010).</w:t>
      </w:r>
    </w:p>
    <w:p>
      <w:pPr>
        <w:pStyle w:val="BodyText"/>
        <w:spacing w:before="11"/>
      </w:pPr>
    </w:p>
    <w:p>
      <w:pPr>
        <w:pStyle w:val="BodyText"/>
        <w:ind w:left="1100"/>
        <w:jc w:val="both"/>
      </w:pPr>
      <w:r>
        <w:rPr/>
        <w:t>Hib</w:t>
      </w:r>
      <w:r>
        <w:rPr>
          <w:spacing w:val="-7"/>
        </w:rPr>
        <w:t> </w:t>
      </w:r>
      <w:r>
        <w:rPr/>
        <w:t>pneumonia</w:t>
      </w:r>
      <w:r>
        <w:rPr>
          <w:spacing w:val="-6"/>
        </w:rPr>
        <w:t> </w:t>
      </w:r>
      <w:r>
        <w:rPr/>
        <w:t>typically</w:t>
      </w:r>
      <w:r>
        <w:rPr>
          <w:spacing w:val="-5"/>
        </w:rPr>
        <w:t> </w:t>
      </w:r>
      <w:r>
        <w:rPr/>
        <w:t>occurs</w:t>
      </w:r>
      <w:r>
        <w:rPr>
          <w:spacing w:val="-3"/>
        </w:rPr>
        <w:t> </w:t>
      </w:r>
      <w:r>
        <w:rPr/>
        <w:t>in</w:t>
      </w:r>
      <w:r>
        <w:rPr>
          <w:spacing w:val="-3"/>
        </w:rPr>
        <w:t> </w:t>
      </w:r>
      <w:r>
        <w:rPr/>
        <w:t>children</w:t>
      </w:r>
      <w:r>
        <w:rPr>
          <w:spacing w:val="-3"/>
        </w:rPr>
        <w:t> </w:t>
      </w:r>
      <w:r>
        <w:rPr/>
        <w:t>aged</w:t>
      </w:r>
      <w:r>
        <w:rPr>
          <w:spacing w:val="-5"/>
        </w:rPr>
        <w:t> </w:t>
      </w:r>
      <w:r>
        <w:rPr/>
        <w:t>4</w:t>
      </w:r>
      <w:r>
        <w:rPr>
          <w:spacing w:val="-5"/>
        </w:rPr>
        <w:t> </w:t>
      </w:r>
      <w:r>
        <w:rPr/>
        <w:t>months</w:t>
      </w:r>
      <w:r>
        <w:rPr>
          <w:spacing w:val="-3"/>
        </w:rPr>
        <w:t> </w:t>
      </w:r>
      <w:r>
        <w:rPr/>
        <w:t>to</w:t>
      </w:r>
      <w:r>
        <w:rPr>
          <w:spacing w:val="-5"/>
        </w:rPr>
        <w:t> </w:t>
      </w:r>
      <w:r>
        <w:rPr/>
        <w:t>4</w:t>
      </w:r>
      <w:r>
        <w:rPr>
          <w:spacing w:val="-4"/>
        </w:rPr>
        <w:t> </w:t>
      </w:r>
      <w:r>
        <w:rPr/>
        <w:t>years</w:t>
      </w:r>
      <w:r>
        <w:rPr>
          <w:spacing w:val="1"/>
        </w:rPr>
        <w:t> </w:t>
      </w:r>
      <w:r>
        <w:rPr/>
        <w:t>(Colin,</w:t>
      </w:r>
      <w:r>
        <w:rPr>
          <w:spacing w:val="-4"/>
        </w:rPr>
        <w:t> </w:t>
      </w:r>
      <w:r>
        <w:rPr>
          <w:spacing w:val="-2"/>
        </w:rPr>
        <w:t>2010).</w:t>
      </w:r>
    </w:p>
    <w:p>
      <w:pPr>
        <w:spacing w:after="0"/>
        <w:jc w:val="both"/>
        <w:sectPr>
          <w:pgSz w:w="11910" w:h="16840"/>
          <w:pgMar w:header="0" w:footer="1055" w:top="1380" w:bottom="1240" w:left="1060" w:right="460"/>
        </w:sectPr>
      </w:pPr>
    </w:p>
    <w:p>
      <w:pPr>
        <w:pStyle w:val="BodyText"/>
        <w:spacing w:line="480" w:lineRule="auto" w:before="38"/>
        <w:ind w:left="1100" w:right="981"/>
        <w:jc w:val="both"/>
      </w:pPr>
      <w:r>
        <w:rPr/>
        <w:t>Hib causes septic arthritis and cellulitis in children younger than 2 years. Hib septic arthritis also occurs in adults (Colin, 2010).</w:t>
      </w:r>
    </w:p>
    <w:p>
      <w:pPr>
        <w:pStyle w:val="BodyText"/>
        <w:spacing w:before="11"/>
      </w:pPr>
    </w:p>
    <w:p>
      <w:pPr>
        <w:pStyle w:val="BodyText"/>
        <w:ind w:left="1100"/>
      </w:pPr>
      <w:r>
        <w:rPr/>
        <w:t>Neonatal</w:t>
      </w:r>
      <w:r>
        <w:rPr>
          <w:spacing w:val="-2"/>
        </w:rPr>
        <w:t> infection:</w:t>
      </w:r>
    </w:p>
    <w:p>
      <w:pPr>
        <w:pStyle w:val="BodyText"/>
      </w:pPr>
    </w:p>
    <w:p>
      <w:pPr>
        <w:pStyle w:val="BodyText"/>
        <w:spacing w:before="8"/>
      </w:pPr>
    </w:p>
    <w:p>
      <w:pPr>
        <w:spacing w:line="480" w:lineRule="auto" w:before="0"/>
        <w:ind w:left="1100" w:right="975" w:firstLine="0"/>
        <w:jc w:val="left"/>
        <w:rPr>
          <w:rFonts w:ascii="Times New Roman"/>
          <w:sz w:val="24"/>
        </w:rPr>
      </w:pPr>
      <w:r>
        <w:rPr>
          <w:rFonts w:ascii="Times New Roman"/>
          <w:sz w:val="24"/>
        </w:rPr>
        <w:t>Often</w:t>
      </w:r>
      <w:r>
        <w:rPr>
          <w:rFonts w:ascii="Times New Roman"/>
          <w:spacing w:val="27"/>
          <w:sz w:val="24"/>
        </w:rPr>
        <w:t> </w:t>
      </w:r>
      <w:r>
        <w:rPr>
          <w:rFonts w:ascii="Times New Roman"/>
          <w:sz w:val="24"/>
        </w:rPr>
        <w:t>due</w:t>
      </w:r>
      <w:r>
        <w:rPr>
          <w:rFonts w:ascii="Times New Roman"/>
          <w:spacing w:val="27"/>
          <w:sz w:val="24"/>
        </w:rPr>
        <w:t> </w:t>
      </w:r>
      <w:r>
        <w:rPr>
          <w:rFonts w:ascii="Times New Roman"/>
          <w:sz w:val="24"/>
        </w:rPr>
        <w:t>to</w:t>
      </w:r>
      <w:r>
        <w:rPr>
          <w:rFonts w:ascii="Times New Roman"/>
          <w:spacing w:val="27"/>
          <w:sz w:val="24"/>
        </w:rPr>
        <w:t> </w:t>
      </w:r>
      <w:r>
        <w:rPr>
          <w:rFonts w:ascii="Times New Roman"/>
          <w:sz w:val="24"/>
        </w:rPr>
        <w:t>non-typeable</w:t>
      </w:r>
      <w:r>
        <w:rPr>
          <w:rFonts w:ascii="Times New Roman"/>
          <w:spacing w:val="27"/>
          <w:sz w:val="24"/>
        </w:rPr>
        <w:t> </w:t>
      </w:r>
      <w:r>
        <w:rPr>
          <w:rFonts w:ascii="Times New Roman"/>
          <w:i/>
          <w:sz w:val="24"/>
        </w:rPr>
        <w:t>H.</w:t>
      </w:r>
      <w:r>
        <w:rPr>
          <w:rFonts w:ascii="Times New Roman"/>
          <w:i/>
          <w:spacing w:val="27"/>
          <w:sz w:val="24"/>
        </w:rPr>
        <w:t> </w:t>
      </w:r>
      <w:r>
        <w:rPr>
          <w:rFonts w:ascii="Times New Roman"/>
          <w:i/>
          <w:sz w:val="24"/>
        </w:rPr>
        <w:t>influenzae</w:t>
      </w:r>
      <w:r>
        <w:rPr>
          <w:rFonts w:ascii="Times New Roman"/>
          <w:sz w:val="24"/>
        </w:rPr>
        <w:t>,</w:t>
      </w:r>
      <w:r>
        <w:rPr>
          <w:rFonts w:ascii="Times New Roman"/>
          <w:spacing w:val="27"/>
          <w:sz w:val="24"/>
        </w:rPr>
        <w:t> </w:t>
      </w:r>
      <w:r>
        <w:rPr>
          <w:rFonts w:ascii="Times New Roman"/>
          <w:sz w:val="24"/>
        </w:rPr>
        <w:t>which</w:t>
      </w:r>
      <w:r>
        <w:rPr>
          <w:rFonts w:ascii="Times New Roman"/>
          <w:spacing w:val="29"/>
          <w:sz w:val="24"/>
        </w:rPr>
        <w:t> </w:t>
      </w:r>
      <w:r>
        <w:rPr>
          <w:rFonts w:ascii="Times New Roman"/>
          <w:sz w:val="24"/>
        </w:rPr>
        <w:t>colonises</w:t>
      </w:r>
      <w:r>
        <w:rPr>
          <w:rFonts w:ascii="Times New Roman"/>
          <w:spacing w:val="27"/>
          <w:sz w:val="24"/>
        </w:rPr>
        <w:t> </w:t>
      </w:r>
      <w:r>
        <w:rPr>
          <w:rFonts w:ascii="Times New Roman"/>
          <w:sz w:val="24"/>
        </w:rPr>
        <w:t>the</w:t>
      </w:r>
      <w:r>
        <w:rPr>
          <w:rFonts w:ascii="Times New Roman"/>
          <w:spacing w:val="27"/>
          <w:sz w:val="24"/>
        </w:rPr>
        <w:t> </w:t>
      </w:r>
      <w:r>
        <w:rPr>
          <w:rFonts w:ascii="Times New Roman"/>
          <w:sz w:val="24"/>
        </w:rPr>
        <w:t>maternal</w:t>
      </w:r>
      <w:r>
        <w:rPr>
          <w:rFonts w:ascii="Times New Roman"/>
          <w:spacing w:val="29"/>
          <w:sz w:val="24"/>
        </w:rPr>
        <w:t> </w:t>
      </w:r>
      <w:r>
        <w:rPr>
          <w:rFonts w:ascii="Times New Roman"/>
          <w:sz w:val="24"/>
        </w:rPr>
        <w:t>genital</w:t>
      </w:r>
      <w:r>
        <w:rPr>
          <w:rFonts w:ascii="Times New Roman"/>
          <w:spacing w:val="27"/>
          <w:sz w:val="24"/>
        </w:rPr>
        <w:t> </w:t>
      </w:r>
      <w:r>
        <w:rPr>
          <w:rFonts w:ascii="Times New Roman"/>
          <w:sz w:val="24"/>
        </w:rPr>
        <w:t>tract (Colin, 2010).</w:t>
      </w:r>
    </w:p>
    <w:p>
      <w:pPr>
        <w:spacing w:line="480" w:lineRule="auto" w:before="0"/>
        <w:ind w:left="1100" w:right="978" w:firstLine="0"/>
        <w:jc w:val="left"/>
        <w:rPr>
          <w:rFonts w:ascii="Times New Roman"/>
          <w:sz w:val="24"/>
        </w:rPr>
      </w:pPr>
      <w:r>
        <w:rPr>
          <w:rFonts w:ascii="Times New Roman"/>
          <w:sz w:val="24"/>
        </w:rPr>
        <w:t>Infection</w:t>
      </w:r>
      <w:r>
        <w:rPr>
          <w:rFonts w:ascii="Times New Roman"/>
          <w:spacing w:val="34"/>
          <w:sz w:val="24"/>
        </w:rPr>
        <w:t> </w:t>
      </w:r>
      <w:r>
        <w:rPr>
          <w:rFonts w:ascii="Times New Roman"/>
          <w:sz w:val="24"/>
        </w:rPr>
        <w:t>is</w:t>
      </w:r>
      <w:r>
        <w:rPr>
          <w:rFonts w:ascii="Times New Roman"/>
          <w:spacing w:val="34"/>
          <w:sz w:val="24"/>
        </w:rPr>
        <w:t> </w:t>
      </w:r>
      <w:r>
        <w:rPr>
          <w:rFonts w:ascii="Times New Roman"/>
          <w:sz w:val="24"/>
        </w:rPr>
        <w:t>associated</w:t>
      </w:r>
      <w:r>
        <w:rPr>
          <w:rFonts w:ascii="Times New Roman"/>
          <w:spacing w:val="36"/>
          <w:sz w:val="24"/>
        </w:rPr>
        <w:t> </w:t>
      </w:r>
      <w:r>
        <w:rPr>
          <w:rFonts w:ascii="Times New Roman"/>
          <w:sz w:val="24"/>
        </w:rPr>
        <w:t>with</w:t>
      </w:r>
      <w:r>
        <w:rPr>
          <w:rFonts w:ascii="Times New Roman"/>
          <w:spacing w:val="37"/>
          <w:sz w:val="24"/>
        </w:rPr>
        <w:t> </w:t>
      </w:r>
      <w:hyperlink r:id="rId167">
        <w:r>
          <w:rPr>
            <w:rFonts w:ascii="Times New Roman"/>
            <w:sz w:val="24"/>
          </w:rPr>
          <w:t>premature</w:t>
        </w:r>
        <w:r>
          <w:rPr>
            <w:rFonts w:ascii="Times New Roman"/>
            <w:spacing w:val="35"/>
            <w:sz w:val="24"/>
          </w:rPr>
          <w:t> </w:t>
        </w:r>
        <w:r>
          <w:rPr>
            <w:rFonts w:ascii="Times New Roman"/>
            <w:sz w:val="24"/>
          </w:rPr>
          <w:t>birth</w:t>
        </w:r>
      </w:hyperlink>
      <w:r>
        <w:rPr>
          <w:rFonts w:ascii="Times New Roman"/>
          <w:sz w:val="24"/>
        </w:rPr>
        <w:t>,</w:t>
      </w:r>
      <w:r>
        <w:rPr>
          <w:rFonts w:ascii="Times New Roman"/>
          <w:spacing w:val="34"/>
          <w:sz w:val="24"/>
        </w:rPr>
        <w:t> </w:t>
      </w:r>
      <w:hyperlink r:id="rId168">
        <w:r>
          <w:rPr>
            <w:rFonts w:ascii="Times New Roman"/>
            <w:sz w:val="24"/>
          </w:rPr>
          <w:t>premature</w:t>
        </w:r>
        <w:r>
          <w:rPr>
            <w:rFonts w:ascii="Times New Roman"/>
            <w:spacing w:val="35"/>
            <w:sz w:val="24"/>
          </w:rPr>
          <w:t> </w:t>
        </w:r>
        <w:r>
          <w:rPr>
            <w:rFonts w:ascii="Times New Roman"/>
            <w:sz w:val="24"/>
          </w:rPr>
          <w:t>rupture</w:t>
        </w:r>
        <w:r>
          <w:rPr>
            <w:rFonts w:ascii="Times New Roman"/>
            <w:spacing w:val="34"/>
            <w:sz w:val="24"/>
          </w:rPr>
          <w:t> </w:t>
        </w:r>
        <w:r>
          <w:rPr>
            <w:rFonts w:ascii="Times New Roman"/>
            <w:sz w:val="24"/>
          </w:rPr>
          <w:t>of</w:t>
        </w:r>
        <w:r>
          <w:rPr>
            <w:rFonts w:ascii="Times New Roman"/>
            <w:spacing w:val="34"/>
            <w:sz w:val="24"/>
          </w:rPr>
          <w:t> </w:t>
        </w:r>
        <w:r>
          <w:rPr>
            <w:rFonts w:ascii="Times New Roman"/>
            <w:sz w:val="24"/>
          </w:rPr>
          <w:t>membranes</w:t>
        </w:r>
      </w:hyperlink>
      <w:r>
        <w:rPr>
          <w:rFonts w:ascii="Times New Roman"/>
          <w:sz w:val="24"/>
        </w:rPr>
        <w:t>,</w:t>
      </w:r>
      <w:r>
        <w:rPr>
          <w:rFonts w:ascii="Times New Roman"/>
          <w:spacing w:val="34"/>
          <w:sz w:val="24"/>
        </w:rPr>
        <w:t> </w:t>
      </w:r>
      <w:r>
        <w:rPr>
          <w:rFonts w:ascii="Times New Roman"/>
          <w:sz w:val="24"/>
        </w:rPr>
        <w:t>low birth-weight, and maternal chorioamnionitis (Colin, 2010).</w:t>
      </w:r>
    </w:p>
    <w:p>
      <w:pPr>
        <w:spacing w:line="480" w:lineRule="auto" w:before="1"/>
        <w:ind w:left="1100" w:right="0" w:firstLine="0"/>
        <w:jc w:val="left"/>
        <w:rPr>
          <w:rFonts w:ascii="Times New Roman"/>
          <w:sz w:val="24"/>
        </w:rPr>
      </w:pPr>
      <w:r>
        <w:rPr>
          <w:rFonts w:ascii="Times New Roman"/>
          <w:sz w:val="24"/>
        </w:rPr>
        <w:t>Presentations</w:t>
      </w:r>
      <w:r>
        <w:rPr>
          <w:rFonts w:ascii="Times New Roman"/>
          <w:spacing w:val="40"/>
          <w:sz w:val="24"/>
        </w:rPr>
        <w:t> </w:t>
      </w:r>
      <w:r>
        <w:rPr>
          <w:rFonts w:ascii="Times New Roman"/>
          <w:sz w:val="24"/>
        </w:rPr>
        <w:t>include</w:t>
      </w:r>
      <w:r>
        <w:rPr>
          <w:rFonts w:ascii="Times New Roman"/>
          <w:spacing w:val="40"/>
          <w:sz w:val="24"/>
        </w:rPr>
        <w:t> </w:t>
      </w:r>
      <w:r>
        <w:rPr>
          <w:rFonts w:ascii="Times New Roman"/>
          <w:sz w:val="24"/>
        </w:rPr>
        <w:t>meningitis,</w:t>
      </w:r>
      <w:r>
        <w:rPr>
          <w:rFonts w:ascii="Times New Roman"/>
          <w:spacing w:val="40"/>
          <w:sz w:val="24"/>
        </w:rPr>
        <w:t> </w:t>
      </w:r>
      <w:r>
        <w:rPr>
          <w:rFonts w:ascii="Times New Roman"/>
          <w:sz w:val="24"/>
        </w:rPr>
        <w:t>pneumonia,</w:t>
      </w:r>
      <w:r>
        <w:rPr>
          <w:rFonts w:ascii="Times New Roman"/>
          <w:spacing w:val="80"/>
          <w:sz w:val="24"/>
        </w:rPr>
        <w:t> </w:t>
      </w:r>
      <w:hyperlink r:id="rId169">
        <w:r>
          <w:rPr>
            <w:rFonts w:ascii="Times New Roman"/>
            <w:sz w:val="24"/>
          </w:rPr>
          <w:t>respiratory</w:t>
        </w:r>
        <w:r>
          <w:rPr>
            <w:rFonts w:ascii="Times New Roman"/>
            <w:spacing w:val="40"/>
            <w:sz w:val="24"/>
          </w:rPr>
          <w:t> </w:t>
        </w:r>
        <w:r>
          <w:rPr>
            <w:rFonts w:ascii="Times New Roman"/>
            <w:sz w:val="24"/>
          </w:rPr>
          <w:t>distress</w:t>
        </w:r>
      </w:hyperlink>
      <w:r>
        <w:rPr>
          <w:rFonts w:ascii="Times New Roman"/>
          <w:sz w:val="24"/>
        </w:rPr>
        <w:t>,</w:t>
      </w:r>
      <w:r>
        <w:rPr>
          <w:rFonts w:ascii="Times New Roman"/>
          <w:spacing w:val="40"/>
          <w:sz w:val="24"/>
        </w:rPr>
        <w:t> </w:t>
      </w:r>
      <w:r>
        <w:rPr>
          <w:rFonts w:ascii="Times New Roman"/>
          <w:sz w:val="24"/>
        </w:rPr>
        <w:t>scalp</w:t>
      </w:r>
      <w:r>
        <w:rPr>
          <w:rFonts w:ascii="Times New Roman"/>
          <w:spacing w:val="40"/>
          <w:sz w:val="24"/>
        </w:rPr>
        <w:t> </w:t>
      </w:r>
      <w:r>
        <w:rPr>
          <w:rFonts w:ascii="Times New Roman"/>
          <w:sz w:val="24"/>
        </w:rPr>
        <w:t>abscess,</w:t>
      </w:r>
      <w:r>
        <w:rPr>
          <w:rFonts w:ascii="Times New Roman"/>
          <w:spacing w:val="80"/>
          <w:sz w:val="24"/>
        </w:rPr>
        <w:t> </w:t>
      </w:r>
      <w:r>
        <w:rPr>
          <w:rFonts w:ascii="Times New Roman"/>
          <w:sz w:val="24"/>
        </w:rPr>
        <w:t>conjunctivitis, and vesicular eruption (Colin, 2010).</w:t>
      </w:r>
    </w:p>
    <w:p>
      <w:pPr>
        <w:pStyle w:val="BodyText"/>
        <w:spacing w:before="2"/>
        <w:rPr>
          <w:rFonts w:ascii="Times New Roman"/>
          <w:sz w:val="24"/>
        </w:rPr>
      </w:pPr>
    </w:p>
    <w:p>
      <w:pPr>
        <w:spacing w:line="480" w:lineRule="auto" w:before="1"/>
        <w:ind w:left="1100" w:right="980" w:firstLine="0"/>
        <w:jc w:val="both"/>
        <w:rPr>
          <w:rFonts w:ascii="Times New Roman"/>
          <w:sz w:val="24"/>
        </w:rPr>
      </w:pPr>
      <w:r>
        <w:rPr>
          <w:rFonts w:ascii="Times New Roman"/>
          <w:sz w:val="24"/>
        </w:rPr>
        <w:t>Vaccination with </w:t>
      </w:r>
      <w:hyperlink r:id="rId170">
        <w:r>
          <w:rPr>
            <w:rFonts w:ascii="Times New Roman"/>
            <w:sz w:val="24"/>
          </w:rPr>
          <w:t>Hib conjugate vaccine</w:t>
        </w:r>
      </w:hyperlink>
      <w:r>
        <w:rPr>
          <w:rFonts w:ascii="Times New Roman"/>
          <w:sz w:val="24"/>
        </w:rPr>
        <w:t> is effective in preventing Hib infection, but does not prevent infection with the unencapsulated strains, which are termed nontypable_NTHi strains (Slack </w:t>
      </w:r>
      <w:r>
        <w:rPr>
          <w:rFonts w:ascii="Times New Roman"/>
          <w:i/>
          <w:sz w:val="24"/>
        </w:rPr>
        <w:t>et al</w:t>
      </w:r>
      <w:r>
        <w:rPr>
          <w:rFonts w:ascii="Times New Roman"/>
          <w:sz w:val="24"/>
        </w:rPr>
        <w:t>., 1998).</w:t>
      </w:r>
    </w:p>
    <w:p>
      <w:pPr>
        <w:pStyle w:val="BodyText"/>
        <w:spacing w:before="10"/>
        <w:rPr>
          <w:rFonts w:ascii="Times New Roman"/>
          <w:sz w:val="24"/>
        </w:rPr>
      </w:pPr>
    </w:p>
    <w:p>
      <w:pPr>
        <w:pStyle w:val="BodyText"/>
        <w:ind w:left="1100"/>
      </w:pPr>
      <w:r>
        <w:rPr/>
        <w:t>The</w:t>
      </w:r>
      <w:r>
        <w:rPr>
          <w:spacing w:val="9"/>
        </w:rPr>
        <w:t> </w:t>
      </w:r>
      <w:r>
        <w:rPr/>
        <w:t>most</w:t>
      </w:r>
      <w:r>
        <w:rPr>
          <w:spacing w:val="12"/>
        </w:rPr>
        <w:t> </w:t>
      </w:r>
      <w:r>
        <w:rPr/>
        <w:t>virulent</w:t>
      </w:r>
      <w:r>
        <w:rPr>
          <w:spacing w:val="11"/>
        </w:rPr>
        <w:t> </w:t>
      </w:r>
      <w:r>
        <w:rPr/>
        <w:t>strain</w:t>
      </w:r>
      <w:r>
        <w:rPr>
          <w:spacing w:val="10"/>
        </w:rPr>
        <w:t> </w:t>
      </w:r>
      <w:r>
        <w:rPr/>
        <w:t>is</w:t>
      </w:r>
      <w:r>
        <w:rPr>
          <w:spacing w:val="12"/>
        </w:rPr>
        <w:t> </w:t>
      </w:r>
      <w:r>
        <w:rPr>
          <w:i/>
        </w:rPr>
        <w:t>H.</w:t>
      </w:r>
      <w:r>
        <w:rPr>
          <w:i/>
          <w:spacing w:val="11"/>
        </w:rPr>
        <w:t> </w:t>
      </w:r>
      <w:r>
        <w:rPr>
          <w:i/>
        </w:rPr>
        <w:t>influenzae</w:t>
      </w:r>
      <w:r>
        <w:rPr>
          <w:i/>
          <w:spacing w:val="13"/>
        </w:rPr>
        <w:t> </w:t>
      </w:r>
      <w:r>
        <w:rPr/>
        <w:t>type</w:t>
      </w:r>
      <w:r>
        <w:rPr>
          <w:spacing w:val="12"/>
        </w:rPr>
        <w:t> </w:t>
      </w:r>
      <w:r>
        <w:rPr/>
        <w:t>b</w:t>
      </w:r>
      <w:r>
        <w:rPr>
          <w:spacing w:val="10"/>
        </w:rPr>
        <w:t> </w:t>
      </w:r>
      <w:r>
        <w:rPr/>
        <w:t>(Hib),</w:t>
      </w:r>
      <w:r>
        <w:rPr>
          <w:spacing w:val="9"/>
        </w:rPr>
        <w:t> </w:t>
      </w:r>
      <w:r>
        <w:rPr/>
        <w:t>which</w:t>
      </w:r>
      <w:r>
        <w:rPr>
          <w:spacing w:val="10"/>
        </w:rPr>
        <w:t> </w:t>
      </w:r>
      <w:r>
        <w:rPr/>
        <w:t>accounts</w:t>
      </w:r>
      <w:r>
        <w:rPr>
          <w:spacing w:val="12"/>
        </w:rPr>
        <w:t> </w:t>
      </w:r>
      <w:r>
        <w:rPr/>
        <w:t>for</w:t>
      </w:r>
      <w:r>
        <w:rPr>
          <w:spacing w:val="9"/>
        </w:rPr>
        <w:t> </w:t>
      </w:r>
      <w:r>
        <w:rPr/>
        <w:t>more</w:t>
      </w:r>
      <w:r>
        <w:rPr>
          <w:spacing w:val="12"/>
        </w:rPr>
        <w:t> </w:t>
      </w:r>
      <w:r>
        <w:rPr/>
        <w:t>than</w:t>
      </w:r>
      <w:r>
        <w:rPr>
          <w:spacing w:val="10"/>
        </w:rPr>
        <w:t> </w:t>
      </w:r>
      <w:r>
        <w:rPr/>
        <w:t>95%</w:t>
      </w:r>
      <w:r>
        <w:rPr>
          <w:spacing w:val="11"/>
        </w:rPr>
        <w:t> </w:t>
      </w:r>
      <w:r>
        <w:rPr>
          <w:spacing w:val="-5"/>
        </w:rPr>
        <w:t>of</w:t>
      </w:r>
    </w:p>
    <w:p>
      <w:pPr>
        <w:pStyle w:val="BodyText"/>
      </w:pPr>
    </w:p>
    <w:p>
      <w:pPr>
        <w:pStyle w:val="BodyText"/>
        <w:spacing w:line="480" w:lineRule="auto"/>
        <w:ind w:left="1100" w:right="970"/>
        <w:jc w:val="both"/>
      </w:pPr>
      <w:r>
        <w:rPr>
          <w:i/>
        </w:rPr>
        <w:t>H. influenzae </w:t>
      </w:r>
      <w:r>
        <w:rPr/>
        <w:t>infections in children and half of infections in adults. Hib may cause bacteraemia, </w:t>
      </w:r>
      <w:hyperlink r:id="rId171">
        <w:r>
          <w:rPr/>
          <w:t>meningitis,</w:t>
        </w:r>
      </w:hyperlink>
      <w:r>
        <w:rPr/>
        <w:t> </w:t>
      </w:r>
      <w:hyperlink r:id="rId172">
        <w:r>
          <w:rPr/>
          <w:t>cellulitis,</w:t>
        </w:r>
      </w:hyperlink>
      <w:r>
        <w:rPr/>
        <w:t> </w:t>
      </w:r>
      <w:hyperlink r:id="rId173">
        <w:r>
          <w:rPr/>
          <w:t>epiglottitis</w:t>
        </w:r>
      </w:hyperlink>
      <w:r>
        <w:rPr/>
        <w:t>, </w:t>
      </w:r>
      <w:hyperlink r:id="rId174">
        <w:r>
          <w:rPr/>
          <w:t>septic arthritis</w:t>
        </w:r>
      </w:hyperlink>
      <w:r>
        <w:rPr/>
        <w:t>, </w:t>
      </w:r>
      <w:hyperlink r:id="rId175">
        <w:r>
          <w:rPr/>
          <w:t>pneumonia</w:t>
        </w:r>
      </w:hyperlink>
      <w:r>
        <w:rPr/>
        <w:t>, pleural or gall- bladder </w:t>
      </w:r>
      <w:hyperlink r:id="rId176">
        <w:r>
          <w:rPr/>
          <w:t>empyema,</w:t>
        </w:r>
      </w:hyperlink>
      <w:r>
        <w:rPr/>
        <w:t> </w:t>
      </w:r>
      <w:hyperlink r:id="rId177">
        <w:r>
          <w:rPr/>
          <w:t>endophthalmitis</w:t>
        </w:r>
      </w:hyperlink>
      <w:r>
        <w:rPr/>
        <w:t>, </w:t>
      </w:r>
      <w:hyperlink r:id="rId178">
        <w:r>
          <w:rPr/>
          <w:t>urinary tract infection</w:t>
        </w:r>
      </w:hyperlink>
      <w:r>
        <w:rPr/>
        <w:t>, abscesses, cervical adenitis, </w:t>
      </w:r>
      <w:hyperlink r:id="rId179">
        <w:r>
          <w:rPr/>
          <w:t>glossitis,</w:t>
        </w:r>
      </w:hyperlink>
      <w:r>
        <w:rPr/>
        <w:t> </w:t>
      </w:r>
      <w:hyperlink r:id="rId180">
        <w:r>
          <w:rPr/>
          <w:t>osteomyelitis</w:t>
        </w:r>
      </w:hyperlink>
      <w:r>
        <w:rPr/>
        <w:t> and </w:t>
      </w:r>
      <w:hyperlink r:id="rId181">
        <w:r>
          <w:rPr/>
          <w:t>endocarditis</w:t>
        </w:r>
      </w:hyperlink>
      <w:r>
        <w:rPr/>
        <w:t> (Devarajan, 2009).</w:t>
      </w:r>
    </w:p>
    <w:p>
      <w:pPr>
        <w:pStyle w:val="BodyText"/>
        <w:spacing w:before="13"/>
      </w:pPr>
    </w:p>
    <w:p>
      <w:pPr>
        <w:pStyle w:val="BodyText"/>
        <w:spacing w:line="480" w:lineRule="auto"/>
        <w:ind w:left="1100" w:right="973"/>
        <w:jc w:val="both"/>
      </w:pPr>
      <w:r>
        <w:rPr/>
        <w:t>Non-encapsulated and non-typeable, </w:t>
      </w:r>
      <w:r>
        <w:rPr>
          <w:i/>
        </w:rPr>
        <w:t>H. influenzae </w:t>
      </w:r>
      <w:r>
        <w:rPr/>
        <w:t>strains cause mucosal infections, including exacerbations of chronic bronchitis (Leanord and Williams, 2002), </w:t>
      </w:r>
      <w:hyperlink r:id="rId182">
        <w:r>
          <w:rPr/>
          <w:t>otitis media</w:t>
        </w:r>
      </w:hyperlink>
      <w:r>
        <w:rPr/>
        <w:t>, </w:t>
      </w:r>
      <w:hyperlink r:id="rId183">
        <w:r>
          <w:rPr/>
          <w:t>conjunctivitis,</w:t>
        </w:r>
      </w:hyperlink>
      <w:r>
        <w:rPr/>
        <w:t> </w:t>
      </w:r>
      <w:hyperlink r:id="rId184">
        <w:r>
          <w:rPr/>
          <w:t>sinusitis,</w:t>
        </w:r>
      </w:hyperlink>
      <w:r>
        <w:rPr/>
        <w:t> bronchitis and pneumonia.</w:t>
      </w:r>
    </w:p>
    <w:p>
      <w:pPr>
        <w:pStyle w:val="BodyText"/>
        <w:spacing w:before="11"/>
      </w:pPr>
    </w:p>
    <w:p>
      <w:pPr>
        <w:spacing w:before="0"/>
        <w:ind w:left="1100" w:right="0" w:firstLine="0"/>
        <w:jc w:val="left"/>
        <w:rPr>
          <w:sz w:val="22"/>
        </w:rPr>
      </w:pPr>
      <w:r>
        <w:rPr>
          <w:sz w:val="22"/>
        </w:rPr>
        <w:t>The</w:t>
      </w:r>
      <w:r>
        <w:rPr>
          <w:spacing w:val="-7"/>
          <w:sz w:val="22"/>
        </w:rPr>
        <w:t> </w:t>
      </w:r>
      <w:r>
        <w:rPr>
          <w:sz w:val="22"/>
        </w:rPr>
        <w:t>most</w:t>
      </w:r>
      <w:r>
        <w:rPr>
          <w:spacing w:val="-4"/>
          <w:sz w:val="22"/>
        </w:rPr>
        <w:t> </w:t>
      </w:r>
      <w:r>
        <w:rPr>
          <w:sz w:val="22"/>
        </w:rPr>
        <w:t>common</w:t>
      </w:r>
      <w:r>
        <w:rPr>
          <w:spacing w:val="-6"/>
          <w:sz w:val="22"/>
        </w:rPr>
        <w:t> </w:t>
      </w:r>
      <w:r>
        <w:rPr>
          <w:sz w:val="22"/>
        </w:rPr>
        <w:t>severe</w:t>
      </w:r>
      <w:r>
        <w:rPr>
          <w:spacing w:val="-6"/>
          <w:sz w:val="22"/>
        </w:rPr>
        <w:t> </w:t>
      </w:r>
      <w:r>
        <w:rPr>
          <w:sz w:val="22"/>
        </w:rPr>
        <w:t>types</w:t>
      </w:r>
      <w:r>
        <w:rPr>
          <w:spacing w:val="-6"/>
          <w:sz w:val="22"/>
        </w:rPr>
        <w:t> </w:t>
      </w:r>
      <w:r>
        <w:rPr>
          <w:sz w:val="22"/>
        </w:rPr>
        <w:t>of</w:t>
      </w:r>
      <w:r>
        <w:rPr>
          <w:spacing w:val="-3"/>
          <w:sz w:val="22"/>
        </w:rPr>
        <w:t> </w:t>
      </w:r>
      <w:r>
        <w:rPr>
          <w:i/>
          <w:sz w:val="22"/>
        </w:rPr>
        <w:t>Haemophilus</w:t>
      </w:r>
      <w:r>
        <w:rPr>
          <w:i/>
          <w:spacing w:val="-3"/>
          <w:sz w:val="22"/>
        </w:rPr>
        <w:t> </w:t>
      </w:r>
      <w:r>
        <w:rPr>
          <w:i/>
          <w:sz w:val="22"/>
        </w:rPr>
        <w:t>influenzae</w:t>
      </w:r>
      <w:r>
        <w:rPr>
          <w:i/>
          <w:spacing w:val="-4"/>
          <w:sz w:val="22"/>
        </w:rPr>
        <w:t> </w:t>
      </w:r>
      <w:r>
        <w:rPr>
          <w:sz w:val="22"/>
        </w:rPr>
        <w:t>disease</w:t>
      </w:r>
      <w:r>
        <w:rPr>
          <w:spacing w:val="-4"/>
          <w:sz w:val="22"/>
        </w:rPr>
        <w:t> are:</w:t>
      </w:r>
    </w:p>
    <w:p>
      <w:pPr>
        <w:pStyle w:val="BodyText"/>
      </w:pPr>
    </w:p>
    <w:p>
      <w:pPr>
        <w:pStyle w:val="BodyText"/>
        <w:spacing w:before="11"/>
      </w:pPr>
    </w:p>
    <w:p>
      <w:pPr>
        <w:pStyle w:val="BodyText"/>
        <w:ind w:left="1100"/>
      </w:pPr>
      <w:r>
        <w:rPr/>
        <w:t>Pneumonia</w:t>
      </w:r>
      <w:r>
        <w:rPr>
          <w:spacing w:val="-4"/>
        </w:rPr>
        <w:t> </w:t>
      </w:r>
      <w:r>
        <w:rPr/>
        <w:t>(lung</w:t>
      </w:r>
      <w:r>
        <w:rPr>
          <w:spacing w:val="-4"/>
        </w:rPr>
        <w:t> </w:t>
      </w:r>
      <w:r>
        <w:rPr>
          <w:spacing w:val="-2"/>
        </w:rPr>
        <w:t>infection),</w:t>
      </w:r>
    </w:p>
    <w:p>
      <w:pPr>
        <w:spacing w:after="0"/>
        <w:sectPr>
          <w:pgSz w:w="11910" w:h="16840"/>
          <w:pgMar w:header="0" w:footer="1055" w:top="1380" w:bottom="1240" w:left="1060" w:right="460"/>
        </w:sectPr>
      </w:pPr>
    </w:p>
    <w:p>
      <w:pPr>
        <w:pStyle w:val="BodyText"/>
        <w:spacing w:before="38"/>
        <w:ind w:left="1100"/>
      </w:pPr>
      <w:r>
        <w:rPr/>
        <w:t>Bacteremia</w:t>
      </w:r>
      <w:r>
        <w:rPr>
          <w:spacing w:val="-12"/>
        </w:rPr>
        <w:t> </w:t>
      </w:r>
      <w:r>
        <w:rPr/>
        <w:t>(bloodstream</w:t>
      </w:r>
      <w:r>
        <w:rPr>
          <w:spacing w:val="-6"/>
        </w:rPr>
        <w:t> </w:t>
      </w:r>
      <w:r>
        <w:rPr/>
        <w:t>infection),</w:t>
      </w:r>
      <w:r>
        <w:rPr>
          <w:spacing w:val="-7"/>
        </w:rPr>
        <w:t> </w:t>
      </w:r>
      <w:r>
        <w:rPr>
          <w:spacing w:val="-5"/>
        </w:rPr>
        <w:t>and</w:t>
      </w:r>
    </w:p>
    <w:p>
      <w:pPr>
        <w:pStyle w:val="BodyText"/>
      </w:pPr>
    </w:p>
    <w:p>
      <w:pPr>
        <w:pStyle w:val="BodyText"/>
        <w:spacing w:before="11"/>
      </w:pPr>
    </w:p>
    <w:p>
      <w:pPr>
        <w:pStyle w:val="BodyText"/>
        <w:ind w:left="1100"/>
      </w:pPr>
      <w:r>
        <w:rPr/>
        <w:t>Meningitis</w:t>
      </w:r>
      <w:r>
        <w:rPr>
          <w:spacing w:val="-4"/>
        </w:rPr>
        <w:t> </w:t>
      </w:r>
      <w:r>
        <w:rPr/>
        <w:t>(infection</w:t>
      </w:r>
      <w:r>
        <w:rPr>
          <w:spacing w:val="-4"/>
        </w:rPr>
        <w:t> </w:t>
      </w:r>
      <w:r>
        <w:rPr/>
        <w:t>of</w:t>
      </w:r>
      <w:r>
        <w:rPr>
          <w:spacing w:val="-6"/>
        </w:rPr>
        <w:t> </w:t>
      </w:r>
      <w:r>
        <w:rPr/>
        <w:t>the</w:t>
      </w:r>
      <w:r>
        <w:rPr>
          <w:spacing w:val="-5"/>
        </w:rPr>
        <w:t> </w:t>
      </w:r>
      <w:r>
        <w:rPr/>
        <w:t>covering</w:t>
      </w:r>
      <w:r>
        <w:rPr>
          <w:spacing w:val="-6"/>
        </w:rPr>
        <w:t> </w:t>
      </w:r>
      <w:r>
        <w:rPr/>
        <w:t>of</w:t>
      </w:r>
      <w:r>
        <w:rPr>
          <w:spacing w:val="-3"/>
        </w:rPr>
        <w:t> </w:t>
      </w:r>
      <w:r>
        <w:rPr/>
        <w:t>the</w:t>
      </w:r>
      <w:r>
        <w:rPr>
          <w:spacing w:val="-3"/>
        </w:rPr>
        <w:t> </w:t>
      </w:r>
      <w:r>
        <w:rPr/>
        <w:t>brain</w:t>
      </w:r>
      <w:r>
        <w:rPr>
          <w:spacing w:val="-4"/>
        </w:rPr>
        <w:t> </w:t>
      </w:r>
      <w:r>
        <w:rPr/>
        <w:t>and</w:t>
      </w:r>
      <w:r>
        <w:rPr>
          <w:spacing w:val="-5"/>
        </w:rPr>
        <w:t> </w:t>
      </w:r>
      <w:r>
        <w:rPr/>
        <w:t>spinal</w:t>
      </w:r>
      <w:r>
        <w:rPr>
          <w:spacing w:val="-3"/>
        </w:rPr>
        <w:t> </w:t>
      </w:r>
      <w:r>
        <w:rPr>
          <w:spacing w:val="-2"/>
        </w:rPr>
        <w:t>cord).</w:t>
      </w:r>
    </w:p>
    <w:p>
      <w:pPr>
        <w:pStyle w:val="BodyText"/>
      </w:pPr>
    </w:p>
    <w:p>
      <w:pPr>
        <w:pStyle w:val="BodyText"/>
        <w:spacing w:before="8"/>
      </w:pPr>
    </w:p>
    <w:p>
      <w:pPr>
        <w:spacing w:line="480" w:lineRule="auto" w:before="0"/>
        <w:ind w:left="1100" w:right="976" w:firstLine="0"/>
        <w:jc w:val="both"/>
        <w:rPr>
          <w:rFonts w:ascii="Times New Roman"/>
          <w:sz w:val="24"/>
        </w:rPr>
      </w:pPr>
      <w:r>
        <w:rPr>
          <w:rFonts w:ascii="Times New Roman"/>
          <w:sz w:val="24"/>
        </w:rPr>
        <w:t>However, for the treatment, in severe cases, </w:t>
      </w:r>
      <w:hyperlink r:id="rId185">
        <w:r>
          <w:rPr>
            <w:rFonts w:ascii="Times New Roman"/>
            <w:sz w:val="24"/>
          </w:rPr>
          <w:t>cefotaxime</w:t>
        </w:r>
      </w:hyperlink>
      <w:r>
        <w:rPr>
          <w:rFonts w:ascii="Times New Roman"/>
          <w:sz w:val="24"/>
        </w:rPr>
        <w:t> and </w:t>
      </w:r>
      <w:hyperlink r:id="rId186">
        <w:r>
          <w:rPr>
            <w:rFonts w:ascii="Times New Roman"/>
            <w:sz w:val="24"/>
          </w:rPr>
          <w:t>ceftriaxone</w:t>
        </w:r>
      </w:hyperlink>
      <w:r>
        <w:rPr>
          <w:rFonts w:ascii="Times New Roman"/>
          <w:sz w:val="24"/>
        </w:rPr>
        <w:t> delivered directly into the bloodstream are the elected antibiotics, and, for the less severe cases, an association of </w:t>
      </w:r>
      <w:hyperlink r:id="rId187">
        <w:r>
          <w:rPr>
            <w:rFonts w:ascii="Times New Roman"/>
            <w:sz w:val="24"/>
          </w:rPr>
          <w:t>ampicillin</w:t>
        </w:r>
      </w:hyperlink>
      <w:r>
        <w:rPr>
          <w:rFonts w:ascii="Times New Roman"/>
          <w:sz w:val="24"/>
        </w:rPr>
        <w:t> and </w:t>
      </w:r>
      <w:hyperlink r:id="rId188">
        <w:r>
          <w:rPr>
            <w:rFonts w:ascii="Times New Roman"/>
            <w:sz w:val="24"/>
          </w:rPr>
          <w:t>sulbactam</w:t>
        </w:r>
      </w:hyperlink>
      <w:r>
        <w:rPr>
          <w:rFonts w:ascii="Times New Roman"/>
          <w:sz w:val="24"/>
        </w:rPr>
        <w:t>, </w:t>
      </w:r>
      <w:hyperlink r:id="rId189">
        <w:r>
          <w:rPr>
            <w:rFonts w:ascii="Times New Roman"/>
            <w:sz w:val="24"/>
          </w:rPr>
          <w:t>cephalosporins</w:t>
        </w:r>
      </w:hyperlink>
      <w:r>
        <w:rPr>
          <w:rFonts w:ascii="Times New Roman"/>
          <w:sz w:val="24"/>
        </w:rPr>
        <w:t> of the second and third generation, or </w:t>
      </w:r>
      <w:hyperlink r:id="rId190">
        <w:r>
          <w:rPr>
            <w:rFonts w:ascii="Times New Roman"/>
            <w:sz w:val="24"/>
          </w:rPr>
          <w:t>fluoroquinolones</w:t>
        </w:r>
      </w:hyperlink>
      <w:r>
        <w:rPr>
          <w:rFonts w:ascii="Times New Roman"/>
          <w:sz w:val="24"/>
        </w:rPr>
        <w:t> are</w:t>
      </w:r>
      <w:r>
        <w:rPr>
          <w:rFonts w:ascii="Times New Roman"/>
          <w:spacing w:val="-1"/>
          <w:sz w:val="24"/>
        </w:rPr>
        <w:t> </w:t>
      </w:r>
      <w:r>
        <w:rPr>
          <w:rFonts w:ascii="Times New Roman"/>
          <w:sz w:val="24"/>
        </w:rPr>
        <w:t>preferred. Fluoroquinolone-resistant </w:t>
      </w:r>
      <w:r>
        <w:rPr>
          <w:rFonts w:ascii="Times New Roman"/>
          <w:i/>
          <w:sz w:val="24"/>
        </w:rPr>
        <w:t>Haemophilus influenzae </w:t>
      </w:r>
      <w:r>
        <w:rPr>
          <w:rFonts w:ascii="Times New Roman"/>
          <w:sz w:val="24"/>
        </w:rPr>
        <w:t>has been observed (Chang </w:t>
      </w:r>
      <w:r>
        <w:rPr>
          <w:rFonts w:ascii="Times New Roman"/>
          <w:i/>
          <w:sz w:val="24"/>
        </w:rPr>
        <w:t>et al</w:t>
      </w:r>
      <w:r>
        <w:rPr>
          <w:rFonts w:ascii="Times New Roman"/>
          <w:sz w:val="24"/>
        </w:rPr>
        <w:t>., 2010). Macrolide antibiotics (e.g., </w:t>
      </w:r>
      <w:hyperlink r:id="rId191">
        <w:r>
          <w:rPr>
            <w:rFonts w:ascii="Times New Roman"/>
            <w:sz w:val="24"/>
          </w:rPr>
          <w:t>clarithromycin</w:t>
        </w:r>
      </w:hyperlink>
      <w:r>
        <w:rPr>
          <w:rFonts w:ascii="Times New Roman"/>
          <w:sz w:val="24"/>
        </w:rPr>
        <w:t>) may be used in patients with a history of allergy to beta-lactam antibiotics. However, Macrolide resistance has also been observed (Chang </w:t>
      </w:r>
      <w:r>
        <w:rPr>
          <w:rFonts w:ascii="Times New Roman"/>
          <w:i/>
          <w:sz w:val="24"/>
        </w:rPr>
        <w:t>et al</w:t>
      </w:r>
      <w:r>
        <w:rPr>
          <w:rFonts w:ascii="Times New Roman"/>
          <w:sz w:val="24"/>
        </w:rPr>
        <w:t>., </w:t>
      </w:r>
      <w:r>
        <w:rPr>
          <w:rFonts w:ascii="Times New Roman"/>
          <w:spacing w:val="-2"/>
          <w:sz w:val="24"/>
        </w:rPr>
        <w:t>2010).</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13"/>
        <w:rPr>
          <w:rFonts w:ascii="Times New Roman"/>
          <w:sz w:val="24"/>
        </w:rPr>
      </w:pPr>
    </w:p>
    <w:p>
      <w:pPr>
        <w:pStyle w:val="Heading4"/>
        <w:numPr>
          <w:ilvl w:val="2"/>
          <w:numId w:val="1"/>
        </w:numPr>
        <w:tabs>
          <w:tab w:pos="1100" w:val="left" w:leader="none"/>
        </w:tabs>
        <w:spacing w:line="240" w:lineRule="auto" w:before="0" w:after="0"/>
        <w:ind w:left="1100" w:right="0" w:hanging="720"/>
        <w:jc w:val="left"/>
      </w:pPr>
      <w:r>
        <w:rPr/>
        <w:t>Pseudomonas</w:t>
      </w:r>
      <w:r>
        <w:rPr>
          <w:spacing w:val="-10"/>
        </w:rPr>
        <w:t> </w:t>
      </w:r>
      <w:r>
        <w:rPr>
          <w:spacing w:val="-2"/>
        </w:rPr>
        <w:t>aeruginosa</w:t>
      </w:r>
    </w:p>
    <w:p>
      <w:pPr>
        <w:pStyle w:val="BodyText"/>
        <w:spacing w:before="27"/>
        <w:rPr>
          <w:b/>
          <w:i/>
        </w:rPr>
      </w:pPr>
    </w:p>
    <w:p>
      <w:pPr>
        <w:pStyle w:val="BodyText"/>
        <w:ind w:left="1100"/>
      </w:pPr>
      <w:r>
        <w:rPr/>
        <w:t>Scientific</w:t>
      </w:r>
      <w:r>
        <w:rPr>
          <w:spacing w:val="-3"/>
        </w:rPr>
        <w:t> </w:t>
      </w:r>
      <w:r>
        <w:rPr>
          <w:spacing w:val="-2"/>
        </w:rPr>
        <w:t>Classification:</w:t>
      </w:r>
    </w:p>
    <w:p>
      <w:pPr>
        <w:pStyle w:val="BodyText"/>
        <w:spacing w:before="145"/>
      </w:pPr>
    </w:p>
    <w:p>
      <w:pPr>
        <w:pStyle w:val="BodyText"/>
        <w:tabs>
          <w:tab w:pos="3260" w:val="left" w:leader="none"/>
        </w:tabs>
        <w:ind w:left="1100"/>
      </w:pPr>
      <w:r>
        <w:rPr>
          <w:spacing w:val="-2"/>
        </w:rPr>
        <w:t>Domain:</w:t>
      </w:r>
      <w:r>
        <w:rPr/>
        <w:tab/>
      </w:r>
      <w:r>
        <w:rPr>
          <w:spacing w:val="-2"/>
        </w:rPr>
        <w:t>Bacteria</w:t>
      </w:r>
    </w:p>
    <w:p>
      <w:pPr>
        <w:pStyle w:val="BodyText"/>
        <w:spacing w:before="34"/>
      </w:pPr>
    </w:p>
    <w:p>
      <w:pPr>
        <w:pStyle w:val="BodyText"/>
        <w:tabs>
          <w:tab w:pos="3260" w:val="left" w:leader="none"/>
        </w:tabs>
        <w:ind w:left="1100"/>
      </w:pPr>
      <w:r>
        <w:rPr>
          <w:spacing w:val="-2"/>
        </w:rPr>
        <w:t>Phylum:</w:t>
      </w:r>
      <w:r>
        <w:rPr/>
        <w:tab/>
      </w:r>
      <w:r>
        <w:rPr>
          <w:spacing w:val="-2"/>
        </w:rPr>
        <w:t>Proteobacteria</w:t>
      </w:r>
    </w:p>
    <w:p>
      <w:pPr>
        <w:pStyle w:val="BodyText"/>
        <w:spacing w:before="31"/>
      </w:pPr>
    </w:p>
    <w:p>
      <w:pPr>
        <w:pStyle w:val="BodyText"/>
        <w:tabs>
          <w:tab w:pos="3260" w:val="left" w:leader="none"/>
        </w:tabs>
        <w:spacing w:before="1"/>
        <w:ind w:left="1100"/>
      </w:pPr>
      <w:r>
        <w:rPr>
          <w:spacing w:val="-2"/>
        </w:rPr>
        <w:t>Class:</w:t>
      </w:r>
      <w:r>
        <w:rPr/>
        <w:tab/>
        <w:t>Gamma</w:t>
      </w:r>
      <w:r>
        <w:rPr>
          <w:spacing w:val="-2"/>
        </w:rPr>
        <w:t> proteobacteria</w:t>
      </w:r>
    </w:p>
    <w:p>
      <w:pPr>
        <w:pStyle w:val="BodyText"/>
        <w:spacing w:before="32"/>
      </w:pPr>
    </w:p>
    <w:p>
      <w:pPr>
        <w:pStyle w:val="BodyText"/>
        <w:tabs>
          <w:tab w:pos="3260" w:val="left" w:leader="none"/>
        </w:tabs>
        <w:ind w:left="1100"/>
      </w:pPr>
      <w:r>
        <w:rPr>
          <w:spacing w:val="-2"/>
        </w:rPr>
        <w:t>Order:</w:t>
      </w:r>
      <w:r>
        <w:rPr/>
        <w:tab/>
      </w:r>
      <w:r>
        <w:rPr>
          <w:spacing w:val="-2"/>
        </w:rPr>
        <w:t>Pseudomonadaceae</w:t>
      </w:r>
    </w:p>
    <w:p>
      <w:pPr>
        <w:pStyle w:val="BodyText"/>
        <w:spacing w:before="34"/>
      </w:pPr>
    </w:p>
    <w:p>
      <w:pPr>
        <w:tabs>
          <w:tab w:pos="3260" w:val="left" w:leader="none"/>
        </w:tabs>
        <w:spacing w:before="0"/>
        <w:ind w:left="1100" w:right="0" w:firstLine="0"/>
        <w:jc w:val="left"/>
        <w:rPr>
          <w:i/>
          <w:sz w:val="22"/>
        </w:rPr>
      </w:pPr>
      <w:r>
        <w:rPr>
          <w:spacing w:val="-2"/>
          <w:sz w:val="22"/>
        </w:rPr>
        <w:t>Genus:</w:t>
      </w:r>
      <w:r>
        <w:rPr>
          <w:sz w:val="22"/>
        </w:rPr>
        <w:tab/>
      </w:r>
      <w:r>
        <w:rPr>
          <w:i/>
          <w:spacing w:val="-2"/>
          <w:sz w:val="22"/>
        </w:rPr>
        <w:t>Pseudomonas</w:t>
      </w:r>
    </w:p>
    <w:p>
      <w:pPr>
        <w:pStyle w:val="BodyText"/>
        <w:spacing w:before="31"/>
        <w:rPr>
          <w:i/>
        </w:rPr>
      </w:pPr>
    </w:p>
    <w:p>
      <w:pPr>
        <w:tabs>
          <w:tab w:pos="2540" w:val="left" w:leader="none"/>
        </w:tabs>
        <w:spacing w:before="1"/>
        <w:ind w:left="1100" w:right="0" w:firstLine="0"/>
        <w:jc w:val="left"/>
        <w:rPr>
          <w:i/>
          <w:sz w:val="22"/>
        </w:rPr>
      </w:pPr>
      <w:r>
        <w:rPr>
          <w:spacing w:val="-2"/>
          <w:sz w:val="22"/>
        </w:rPr>
        <w:t>Species</w:t>
      </w:r>
      <w:r>
        <w:rPr>
          <w:sz w:val="22"/>
        </w:rPr>
        <w:tab/>
      </w:r>
      <w:r>
        <w:rPr>
          <w:i/>
          <w:spacing w:val="-2"/>
          <w:sz w:val="22"/>
        </w:rPr>
        <w:t>aeruginosa</w:t>
      </w:r>
    </w:p>
    <w:p>
      <w:pPr>
        <w:pStyle w:val="BodyText"/>
        <w:spacing w:before="34"/>
        <w:rPr>
          <w:i/>
        </w:rPr>
      </w:pPr>
    </w:p>
    <w:p>
      <w:pPr>
        <w:tabs>
          <w:tab w:pos="3260" w:val="left" w:leader="none"/>
        </w:tabs>
        <w:spacing w:before="0"/>
        <w:ind w:left="1100" w:right="0" w:firstLine="0"/>
        <w:jc w:val="left"/>
        <w:rPr>
          <w:i/>
          <w:sz w:val="22"/>
        </w:rPr>
      </w:pPr>
      <w:r>
        <w:rPr>
          <w:sz w:val="22"/>
        </w:rPr>
        <w:t>Binomial</w:t>
      </w:r>
      <w:r>
        <w:rPr>
          <w:spacing w:val="-7"/>
          <w:sz w:val="22"/>
        </w:rPr>
        <w:t> </w:t>
      </w:r>
      <w:r>
        <w:rPr>
          <w:spacing w:val="-4"/>
          <w:sz w:val="22"/>
        </w:rPr>
        <w:t>name:</w:t>
      </w:r>
      <w:r>
        <w:rPr>
          <w:sz w:val="22"/>
        </w:rPr>
        <w:tab/>
      </w:r>
      <w:r>
        <w:rPr>
          <w:i/>
          <w:sz w:val="22"/>
        </w:rPr>
        <w:t>Pseudomonas</w:t>
      </w:r>
      <w:r>
        <w:rPr>
          <w:i/>
          <w:spacing w:val="-14"/>
          <w:sz w:val="22"/>
        </w:rPr>
        <w:t> </w:t>
      </w:r>
      <w:r>
        <w:rPr>
          <w:i/>
          <w:spacing w:val="-2"/>
          <w:sz w:val="22"/>
        </w:rPr>
        <w:t>aeruginosa</w:t>
      </w:r>
    </w:p>
    <w:p>
      <w:pPr>
        <w:pStyle w:val="BodyText"/>
        <w:spacing w:before="31"/>
        <w:rPr>
          <w:i/>
        </w:rPr>
      </w:pPr>
    </w:p>
    <w:p>
      <w:pPr>
        <w:pStyle w:val="BodyText"/>
        <w:spacing w:line="480" w:lineRule="auto"/>
        <w:ind w:left="1100" w:right="974" w:firstLine="720"/>
        <w:jc w:val="both"/>
      </w:pPr>
      <w:r>
        <w:rPr>
          <w:i/>
        </w:rPr>
        <w:t>Pseudomonas aeruginosa </w:t>
      </w:r>
      <w:r>
        <w:rPr/>
        <w:t>is a Gram-negative, rod-shaped, asporogenous, and monoflagellated bacterium that has an incredible nutritional versatility. It is a rod about 1-5 µm</w:t>
      </w:r>
      <w:r>
        <w:rPr>
          <w:spacing w:val="40"/>
        </w:rPr>
        <w:t> </w:t>
      </w:r>
      <w:r>
        <w:rPr/>
        <w:t>long</w:t>
      </w:r>
      <w:r>
        <w:rPr>
          <w:spacing w:val="38"/>
        </w:rPr>
        <w:t> </w:t>
      </w:r>
      <w:r>
        <w:rPr/>
        <w:t>and</w:t>
      </w:r>
      <w:r>
        <w:rPr>
          <w:spacing w:val="38"/>
        </w:rPr>
        <w:t> </w:t>
      </w:r>
      <w:r>
        <w:rPr/>
        <w:t>0.5-1.0</w:t>
      </w:r>
      <w:r>
        <w:rPr>
          <w:spacing w:val="37"/>
        </w:rPr>
        <w:t> </w:t>
      </w:r>
      <w:r>
        <w:rPr/>
        <w:t>µm</w:t>
      </w:r>
      <w:r>
        <w:rPr>
          <w:spacing w:val="37"/>
        </w:rPr>
        <w:t> </w:t>
      </w:r>
      <w:r>
        <w:rPr/>
        <w:t>wide.</w:t>
      </w:r>
      <w:r>
        <w:rPr>
          <w:spacing w:val="40"/>
        </w:rPr>
        <w:t> </w:t>
      </w:r>
      <w:r>
        <w:rPr>
          <w:i/>
        </w:rPr>
        <w:t>Pseudomonas</w:t>
      </w:r>
      <w:r>
        <w:rPr>
          <w:i/>
          <w:spacing w:val="40"/>
        </w:rPr>
        <w:t> </w:t>
      </w:r>
      <w:r>
        <w:rPr>
          <w:i/>
        </w:rPr>
        <w:t>aeruginosa</w:t>
      </w:r>
      <w:r>
        <w:rPr>
          <w:i/>
          <w:spacing w:val="39"/>
        </w:rPr>
        <w:t> </w:t>
      </w:r>
      <w:r>
        <w:rPr/>
        <w:t>can</w:t>
      </w:r>
      <w:r>
        <w:rPr>
          <w:spacing w:val="38"/>
        </w:rPr>
        <w:t> </w:t>
      </w:r>
      <w:r>
        <w:rPr/>
        <w:t>catabolize</w:t>
      </w:r>
      <w:r>
        <w:rPr>
          <w:spacing w:val="40"/>
        </w:rPr>
        <w:t> </w:t>
      </w:r>
      <w:r>
        <w:rPr/>
        <w:t>a</w:t>
      </w:r>
      <w:r>
        <w:rPr>
          <w:spacing w:val="36"/>
        </w:rPr>
        <w:t> </w:t>
      </w:r>
      <w:r>
        <w:rPr/>
        <w:t>wide</w:t>
      </w:r>
      <w:r>
        <w:rPr>
          <w:spacing w:val="40"/>
        </w:rPr>
        <w:t> </w:t>
      </w:r>
      <w:r>
        <w:rPr/>
        <w:t>range</w:t>
      </w:r>
      <w:r>
        <w:rPr>
          <w:spacing w:val="40"/>
        </w:rPr>
        <w:t> </w:t>
      </w:r>
      <w:r>
        <w:rPr/>
        <w:t>of</w:t>
      </w:r>
    </w:p>
    <w:p>
      <w:pPr>
        <w:spacing w:after="0" w:line="480" w:lineRule="auto"/>
        <w:jc w:val="both"/>
        <w:sectPr>
          <w:pgSz w:w="11910" w:h="16840"/>
          <w:pgMar w:header="0" w:footer="1055" w:top="1380" w:bottom="1240" w:left="1060" w:right="460"/>
        </w:sectPr>
      </w:pPr>
    </w:p>
    <w:p>
      <w:pPr>
        <w:pStyle w:val="BodyText"/>
        <w:spacing w:line="480" w:lineRule="auto" w:before="38"/>
        <w:ind w:left="1100" w:right="972"/>
        <w:jc w:val="both"/>
      </w:pPr>
      <w:r>
        <w:rPr/>
        <w:t>organic molecules, including organic compounds such as benzoate. This, then, makes </w:t>
      </w:r>
      <w:r>
        <w:rPr>
          <w:i/>
        </w:rPr>
        <w:t>P. aeruginosa </w:t>
      </w:r>
      <w:r>
        <w:rPr/>
        <w:t>a very ubiquitous microorganism, for it has been found in environments such as soil, water, humans, animals, plants, sewage, and hospitals (Lederberg </w:t>
      </w:r>
      <w:r>
        <w:rPr>
          <w:i/>
        </w:rPr>
        <w:t>et al., </w:t>
      </w:r>
      <w:r>
        <w:rPr/>
        <w:t>2000).</w:t>
      </w:r>
    </w:p>
    <w:p>
      <w:pPr>
        <w:pStyle w:val="BodyText"/>
        <w:spacing w:before="7"/>
      </w:pPr>
    </w:p>
    <w:p>
      <w:pPr>
        <w:spacing w:line="480" w:lineRule="auto" w:before="0"/>
        <w:ind w:left="1100" w:right="979" w:firstLine="720"/>
        <w:jc w:val="both"/>
        <w:rPr>
          <w:rFonts w:ascii="Times New Roman"/>
          <w:sz w:val="24"/>
        </w:rPr>
      </w:pPr>
      <w:r>
        <w:rPr>
          <w:rFonts w:ascii="Times New Roman"/>
          <w:i/>
          <w:sz w:val="24"/>
        </w:rPr>
        <w:t>Pseudomonas aeruginosa </w:t>
      </w:r>
      <w:r>
        <w:rPr>
          <w:rFonts w:ascii="Times New Roman"/>
          <w:sz w:val="24"/>
        </w:rPr>
        <w:t>is a facultative aerobe; its preferred metabolism is respiration. It gains energy by transferring electrons from glucose, a reduced</w:t>
      </w:r>
      <w:r>
        <w:rPr>
          <w:rFonts w:ascii="Times New Roman"/>
          <w:spacing w:val="40"/>
          <w:sz w:val="24"/>
        </w:rPr>
        <w:t> </w:t>
      </w:r>
      <w:r>
        <w:rPr>
          <w:rFonts w:ascii="Times New Roman"/>
          <w:sz w:val="24"/>
        </w:rPr>
        <w:t>substrate,</w:t>
      </w:r>
      <w:r>
        <w:rPr>
          <w:rFonts w:ascii="Times New Roman"/>
          <w:spacing w:val="5"/>
          <w:sz w:val="24"/>
        </w:rPr>
        <w:t> </w:t>
      </w:r>
      <w:r>
        <w:rPr>
          <w:rFonts w:ascii="Times New Roman"/>
          <w:sz w:val="24"/>
        </w:rPr>
        <w:t>to</w:t>
      </w:r>
      <w:r>
        <w:rPr>
          <w:rFonts w:ascii="Times New Roman"/>
          <w:spacing w:val="6"/>
          <w:sz w:val="24"/>
        </w:rPr>
        <w:t> </w:t>
      </w:r>
      <w:r>
        <w:rPr>
          <w:rFonts w:ascii="Times New Roman"/>
          <w:sz w:val="24"/>
        </w:rPr>
        <w:t>oxygen,</w:t>
      </w:r>
      <w:r>
        <w:rPr>
          <w:rFonts w:ascii="Times New Roman"/>
          <w:spacing w:val="5"/>
          <w:sz w:val="24"/>
        </w:rPr>
        <w:t> </w:t>
      </w:r>
      <w:r>
        <w:rPr>
          <w:rFonts w:ascii="Times New Roman"/>
          <w:sz w:val="24"/>
        </w:rPr>
        <w:t>the</w:t>
      </w:r>
      <w:r>
        <w:rPr>
          <w:rFonts w:ascii="Times New Roman"/>
          <w:spacing w:val="6"/>
          <w:sz w:val="24"/>
        </w:rPr>
        <w:t> </w:t>
      </w:r>
      <w:r>
        <w:rPr>
          <w:rFonts w:ascii="Times New Roman"/>
          <w:sz w:val="24"/>
        </w:rPr>
        <w:t>final</w:t>
      </w:r>
      <w:r>
        <w:rPr>
          <w:rFonts w:ascii="Times New Roman"/>
          <w:spacing w:val="6"/>
          <w:sz w:val="24"/>
        </w:rPr>
        <w:t> </w:t>
      </w:r>
      <w:r>
        <w:rPr>
          <w:rFonts w:ascii="Times New Roman"/>
          <w:sz w:val="24"/>
        </w:rPr>
        <w:t>electron</w:t>
      </w:r>
      <w:r>
        <w:rPr>
          <w:rFonts w:ascii="Times New Roman"/>
          <w:spacing w:val="5"/>
          <w:sz w:val="24"/>
        </w:rPr>
        <w:t> </w:t>
      </w:r>
      <w:r>
        <w:rPr>
          <w:rFonts w:ascii="Times New Roman"/>
          <w:sz w:val="24"/>
        </w:rPr>
        <w:t>acceptor</w:t>
      </w:r>
      <w:r>
        <w:rPr>
          <w:rFonts w:ascii="Times New Roman"/>
          <w:spacing w:val="5"/>
          <w:sz w:val="24"/>
        </w:rPr>
        <w:t> </w:t>
      </w:r>
      <w:r>
        <w:rPr>
          <w:rFonts w:ascii="Times New Roman"/>
          <w:sz w:val="24"/>
        </w:rPr>
        <w:t>(Rabaey</w:t>
      </w:r>
      <w:r>
        <w:rPr>
          <w:rFonts w:ascii="Times New Roman"/>
          <w:spacing w:val="2"/>
          <w:sz w:val="24"/>
        </w:rPr>
        <w:t> </w:t>
      </w:r>
      <w:r>
        <w:rPr>
          <w:rFonts w:ascii="Times New Roman"/>
          <w:sz w:val="24"/>
        </w:rPr>
        <w:t>and</w:t>
      </w:r>
      <w:r>
        <w:rPr>
          <w:rFonts w:ascii="Times New Roman"/>
          <w:spacing w:val="5"/>
          <w:sz w:val="24"/>
        </w:rPr>
        <w:t> </w:t>
      </w:r>
      <w:r>
        <w:rPr>
          <w:rFonts w:ascii="Times New Roman"/>
          <w:sz w:val="24"/>
        </w:rPr>
        <w:t>Verstraete,</w:t>
      </w:r>
      <w:r>
        <w:rPr>
          <w:rFonts w:ascii="Times New Roman"/>
          <w:spacing w:val="5"/>
          <w:sz w:val="24"/>
        </w:rPr>
        <w:t> </w:t>
      </w:r>
      <w:r>
        <w:rPr>
          <w:rFonts w:ascii="Times New Roman"/>
          <w:sz w:val="24"/>
        </w:rPr>
        <w:t>2005).</w:t>
      </w:r>
      <w:r>
        <w:rPr>
          <w:rFonts w:ascii="Times New Roman"/>
          <w:spacing w:val="6"/>
          <w:sz w:val="24"/>
        </w:rPr>
        <w:t> </w:t>
      </w:r>
      <w:r>
        <w:rPr>
          <w:rFonts w:ascii="Times New Roman"/>
          <w:spacing w:val="-4"/>
          <w:sz w:val="24"/>
        </w:rPr>
        <w:t>When</w:t>
      </w:r>
    </w:p>
    <w:p>
      <w:pPr>
        <w:spacing w:line="480" w:lineRule="auto" w:before="1"/>
        <w:ind w:left="1100" w:right="975" w:firstLine="0"/>
        <w:jc w:val="both"/>
        <w:rPr>
          <w:rFonts w:ascii="Times New Roman" w:hAnsi="Times New Roman"/>
          <w:sz w:val="24"/>
        </w:rPr>
      </w:pPr>
      <w:r>
        <w:rPr>
          <w:rFonts w:ascii="Times New Roman" w:hAnsi="Times New Roman"/>
          <w:i/>
          <w:sz w:val="24"/>
        </w:rPr>
        <w:t>P. aeruginosa </w:t>
      </w:r>
      <w:r>
        <w:rPr>
          <w:rFonts w:ascii="Times New Roman" w:hAnsi="Times New Roman"/>
          <w:sz w:val="24"/>
        </w:rPr>
        <w:t>is in anaerobic conditions, however, it uses nitrate as a terminal</w:t>
      </w:r>
      <w:r>
        <w:rPr>
          <w:rFonts w:ascii="Times New Roman" w:hAnsi="Times New Roman"/>
          <w:spacing w:val="40"/>
          <w:sz w:val="24"/>
        </w:rPr>
        <w:t> </w:t>
      </w:r>
      <w:r>
        <w:rPr>
          <w:rFonts w:ascii="Times New Roman" w:hAnsi="Times New Roman"/>
          <w:sz w:val="24"/>
        </w:rPr>
        <w:t>electron acceptor (Valls </w:t>
      </w:r>
      <w:r>
        <w:rPr>
          <w:rFonts w:ascii="Times New Roman" w:hAnsi="Times New Roman"/>
          <w:i/>
          <w:sz w:val="24"/>
        </w:rPr>
        <w:t>et al</w:t>
      </w:r>
      <w:r>
        <w:rPr>
          <w:rFonts w:ascii="Times New Roman" w:hAnsi="Times New Roman"/>
          <w:sz w:val="24"/>
        </w:rPr>
        <w:t>., 2004). </w:t>
      </w:r>
      <w:r>
        <w:rPr>
          <w:rFonts w:ascii="Times New Roman" w:hAnsi="Times New Roman"/>
          <w:i/>
          <w:sz w:val="24"/>
        </w:rPr>
        <w:t>Pseudomonas aeruginosa </w:t>
      </w:r>
      <w:r>
        <w:rPr>
          <w:rFonts w:ascii="Times New Roman" w:hAnsi="Times New Roman"/>
          <w:sz w:val="24"/>
        </w:rPr>
        <w:t>was first described as a distinct bacterial species at the end of the nineteenth century, after the development of</w:t>
      </w:r>
      <w:r>
        <w:rPr>
          <w:rFonts w:ascii="Times New Roman" w:hAnsi="Times New Roman"/>
          <w:spacing w:val="-3"/>
          <w:sz w:val="24"/>
        </w:rPr>
        <w:t> </w:t>
      </w:r>
      <w:r>
        <w:rPr>
          <w:rFonts w:ascii="Times New Roman" w:hAnsi="Times New Roman"/>
          <w:sz w:val="24"/>
        </w:rPr>
        <w:t>sterile</w:t>
      </w:r>
      <w:r>
        <w:rPr>
          <w:rFonts w:ascii="Times New Roman" w:hAnsi="Times New Roman"/>
          <w:spacing w:val="-1"/>
          <w:sz w:val="24"/>
        </w:rPr>
        <w:t> </w:t>
      </w:r>
      <w:r>
        <w:rPr>
          <w:rFonts w:ascii="Times New Roman" w:hAnsi="Times New Roman"/>
          <w:sz w:val="24"/>
        </w:rPr>
        <w:t>culture</w:t>
      </w:r>
      <w:r>
        <w:rPr>
          <w:rFonts w:ascii="Times New Roman" w:hAnsi="Times New Roman"/>
          <w:spacing w:val="-1"/>
          <w:sz w:val="24"/>
        </w:rPr>
        <w:t> </w:t>
      </w:r>
      <w:r>
        <w:rPr>
          <w:rFonts w:ascii="Times New Roman" w:hAnsi="Times New Roman"/>
          <w:sz w:val="24"/>
        </w:rPr>
        <w:t>media</w:t>
      </w:r>
      <w:r>
        <w:rPr>
          <w:rFonts w:ascii="Times New Roman" w:hAnsi="Times New Roman"/>
          <w:spacing w:val="-3"/>
          <w:sz w:val="24"/>
        </w:rPr>
        <w:t> </w:t>
      </w:r>
      <w:r>
        <w:rPr>
          <w:rFonts w:ascii="Times New Roman" w:hAnsi="Times New Roman"/>
          <w:sz w:val="24"/>
        </w:rPr>
        <w:t>by</w:t>
      </w:r>
      <w:r>
        <w:rPr>
          <w:rFonts w:ascii="Times New Roman" w:hAnsi="Times New Roman"/>
          <w:spacing w:val="-5"/>
          <w:sz w:val="24"/>
        </w:rPr>
        <w:t> </w:t>
      </w:r>
      <w:r>
        <w:rPr>
          <w:rFonts w:ascii="Times New Roman" w:hAnsi="Times New Roman"/>
          <w:sz w:val="24"/>
        </w:rPr>
        <w:t>Pasteur. In</w:t>
      </w:r>
      <w:r>
        <w:rPr>
          <w:rFonts w:ascii="Times New Roman" w:hAnsi="Times New Roman"/>
          <w:spacing w:val="-2"/>
          <w:sz w:val="24"/>
        </w:rPr>
        <w:t> </w:t>
      </w:r>
      <w:r>
        <w:rPr>
          <w:rFonts w:ascii="Times New Roman" w:hAnsi="Times New Roman"/>
          <w:sz w:val="24"/>
        </w:rPr>
        <w:t>1882,</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first</w:t>
      </w:r>
      <w:r>
        <w:rPr>
          <w:rFonts w:ascii="Times New Roman" w:hAnsi="Times New Roman"/>
          <w:spacing w:val="-2"/>
          <w:sz w:val="24"/>
        </w:rPr>
        <w:t> </w:t>
      </w:r>
      <w:r>
        <w:rPr>
          <w:rFonts w:ascii="Times New Roman" w:hAnsi="Times New Roman"/>
          <w:sz w:val="24"/>
        </w:rPr>
        <w:t>scientific</w:t>
      </w:r>
      <w:r>
        <w:rPr>
          <w:rFonts w:ascii="Times New Roman" w:hAnsi="Times New Roman"/>
          <w:spacing w:val="-3"/>
          <w:sz w:val="24"/>
        </w:rPr>
        <w:t> </w:t>
      </w:r>
      <w:r>
        <w:rPr>
          <w:rFonts w:ascii="Times New Roman" w:hAnsi="Times New Roman"/>
          <w:sz w:val="24"/>
        </w:rPr>
        <w:t>study</w:t>
      </w:r>
      <w:r>
        <w:rPr>
          <w:rFonts w:ascii="Times New Roman" w:hAnsi="Times New Roman"/>
          <w:spacing w:val="-7"/>
          <w:sz w:val="24"/>
        </w:rPr>
        <w:t> </w:t>
      </w:r>
      <w:r>
        <w:rPr>
          <w:rFonts w:ascii="Times New Roman" w:hAnsi="Times New Roman"/>
          <w:sz w:val="24"/>
        </w:rPr>
        <w:t>on </w:t>
      </w:r>
      <w:r>
        <w:rPr>
          <w:rFonts w:ascii="Times New Roman" w:hAnsi="Times New Roman"/>
          <w:i/>
          <w:sz w:val="24"/>
        </w:rPr>
        <w:t>P.</w:t>
      </w:r>
      <w:r>
        <w:rPr>
          <w:rFonts w:ascii="Times New Roman" w:hAnsi="Times New Roman"/>
          <w:i/>
          <w:spacing w:val="-2"/>
          <w:sz w:val="24"/>
        </w:rPr>
        <w:t> </w:t>
      </w:r>
      <w:r>
        <w:rPr>
          <w:rFonts w:ascii="Times New Roman" w:hAnsi="Times New Roman"/>
          <w:i/>
          <w:sz w:val="24"/>
        </w:rPr>
        <w:t>aeruginosa</w:t>
      </w:r>
      <w:r>
        <w:rPr>
          <w:rFonts w:ascii="Times New Roman" w:hAnsi="Times New Roman"/>
          <w:sz w:val="24"/>
        </w:rPr>
        <w:t>, entitled ―On the blue and green coloration of bandages,‖ showed </w:t>
      </w:r>
      <w:r>
        <w:rPr>
          <w:rFonts w:ascii="Times New Roman" w:hAnsi="Times New Roman"/>
          <w:i/>
          <w:sz w:val="24"/>
        </w:rPr>
        <w:t>P. aeruginosa</w:t>
      </w:r>
      <w:r>
        <w:rPr>
          <w:rFonts w:ascii="Times New Roman" w:hAnsi="Times New Roman"/>
          <w:sz w:val="24"/>
        </w:rPr>
        <w:t>’s characteristic pigmentation: </w:t>
      </w:r>
      <w:r>
        <w:rPr>
          <w:rFonts w:ascii="Times New Roman" w:hAnsi="Times New Roman"/>
          <w:i/>
          <w:sz w:val="24"/>
        </w:rPr>
        <w:t>Pseudomonas aeruginosa </w:t>
      </w:r>
      <w:r>
        <w:rPr>
          <w:rFonts w:ascii="Times New Roman" w:hAnsi="Times New Roman"/>
          <w:sz w:val="24"/>
        </w:rPr>
        <w:t>produced water-soluble pigments, which, on exposure to ultraviolet light, fluoresced blue-green light. This</w:t>
      </w:r>
      <w:r>
        <w:rPr>
          <w:rFonts w:ascii="Times New Roman" w:hAnsi="Times New Roman"/>
          <w:spacing w:val="40"/>
          <w:sz w:val="24"/>
        </w:rPr>
        <w:t> </w:t>
      </w:r>
      <w:r>
        <w:rPr>
          <w:rFonts w:ascii="Times New Roman" w:hAnsi="Times New Roman"/>
          <w:sz w:val="24"/>
        </w:rPr>
        <w:t>was later attributed to pyocyanine, a derivative of phenazine, and it also reflected the organism’s old names: </w:t>
      </w:r>
      <w:r>
        <w:rPr>
          <w:rFonts w:ascii="Times New Roman" w:hAnsi="Times New Roman"/>
          <w:i/>
          <w:sz w:val="24"/>
        </w:rPr>
        <w:t>Bacillus pyocyaneus</w:t>
      </w:r>
      <w:r>
        <w:rPr>
          <w:rFonts w:ascii="Times New Roman" w:hAnsi="Times New Roman"/>
          <w:sz w:val="24"/>
        </w:rPr>
        <w:t>, </w:t>
      </w:r>
      <w:r>
        <w:rPr>
          <w:rFonts w:ascii="Times New Roman" w:hAnsi="Times New Roman"/>
          <w:i/>
          <w:sz w:val="24"/>
        </w:rPr>
        <w:t>Bakterium aeruginosa</w:t>
      </w:r>
      <w:r>
        <w:rPr>
          <w:rFonts w:ascii="Times New Roman" w:hAnsi="Times New Roman"/>
          <w:sz w:val="24"/>
        </w:rPr>
        <w:t>, </w:t>
      </w:r>
      <w:r>
        <w:rPr>
          <w:rFonts w:ascii="Times New Roman" w:hAnsi="Times New Roman"/>
          <w:i/>
          <w:sz w:val="24"/>
        </w:rPr>
        <w:t>Pseudomonas polycolor</w:t>
      </w:r>
      <w:r>
        <w:rPr>
          <w:rFonts w:ascii="Times New Roman" w:hAnsi="Times New Roman"/>
          <w:sz w:val="24"/>
        </w:rPr>
        <w:t>, and </w:t>
      </w:r>
      <w:r>
        <w:rPr>
          <w:rFonts w:ascii="Times New Roman" w:hAnsi="Times New Roman"/>
          <w:i/>
          <w:sz w:val="24"/>
        </w:rPr>
        <w:t>Pseudomonas pyocyaneus </w:t>
      </w:r>
      <w:r>
        <w:rPr>
          <w:rFonts w:ascii="Times New Roman" w:hAnsi="Times New Roman"/>
          <w:sz w:val="24"/>
        </w:rPr>
        <w:t>(Botzenhardt and Doring, 1993).</w:t>
      </w:r>
    </w:p>
    <w:p>
      <w:pPr>
        <w:pStyle w:val="BodyText"/>
        <w:spacing w:line="480" w:lineRule="auto" w:before="249"/>
        <w:ind w:left="1100" w:right="972" w:firstLine="720"/>
        <w:jc w:val="both"/>
      </w:pPr>
      <w:r>
        <w:rPr/>
        <w:t>Since </w:t>
      </w:r>
      <w:r>
        <w:rPr>
          <w:i/>
        </w:rPr>
        <w:t>P. aeruginosa </w:t>
      </w:r>
      <w:r>
        <w:rPr/>
        <w:t>can live in both inanimate and human environments, it has been characterized as a “ubiquitous” microorganism. This versatility is made possible by a large number of enzymes that allow </w:t>
      </w:r>
      <w:r>
        <w:rPr>
          <w:i/>
        </w:rPr>
        <w:t>P. aeruginosa </w:t>
      </w:r>
      <w:r>
        <w:rPr/>
        <w:t>to use a diversity of substances as nutrients. Most impressively, </w:t>
      </w:r>
      <w:r>
        <w:rPr>
          <w:i/>
        </w:rPr>
        <w:t>P. aeruginosa </w:t>
      </w:r>
      <w:r>
        <w:rPr/>
        <w:t>can switch from growing on nonmucoid to mucoid environments, which comes with a large synthesis of alginate. In inanimate environment, </w:t>
      </w:r>
      <w:r>
        <w:rPr>
          <w:i/>
        </w:rPr>
        <w:t>P. aeruginosa </w:t>
      </w:r>
      <w:r>
        <w:rPr/>
        <w:t>is usually detected in water-reservoirs polluted by animals and humans, such as sewage and sinks inside and outside of hospitals. It is also found in swimming pools and whirlpools because the warm temperatures are favorable to its growth (Botzenhardt and Doring, 1993).</w:t>
      </w:r>
    </w:p>
    <w:p>
      <w:pPr>
        <w:spacing w:after="0" w:line="480" w:lineRule="auto"/>
        <w:jc w:val="both"/>
        <w:sectPr>
          <w:pgSz w:w="11910" w:h="16840"/>
          <w:pgMar w:header="0" w:footer="1055" w:top="1380" w:bottom="1240" w:left="1060" w:right="460"/>
        </w:sectPr>
      </w:pPr>
    </w:p>
    <w:p>
      <w:pPr>
        <w:pStyle w:val="ListParagraph"/>
        <w:numPr>
          <w:ilvl w:val="3"/>
          <w:numId w:val="1"/>
        </w:numPr>
        <w:tabs>
          <w:tab w:pos="1098" w:val="left" w:leader="none"/>
        </w:tabs>
        <w:spacing w:line="240" w:lineRule="auto" w:before="38" w:after="0"/>
        <w:ind w:left="1098" w:right="0" w:hanging="718"/>
        <w:jc w:val="left"/>
        <w:rPr>
          <w:i/>
          <w:sz w:val="22"/>
        </w:rPr>
      </w:pPr>
      <w:r>
        <w:rPr>
          <w:i/>
          <w:sz w:val="22"/>
        </w:rPr>
        <w:t>Significance</w:t>
      </w:r>
      <w:r>
        <w:rPr>
          <w:i/>
          <w:spacing w:val="-8"/>
          <w:sz w:val="22"/>
        </w:rPr>
        <w:t> </w:t>
      </w:r>
      <w:r>
        <w:rPr>
          <w:i/>
          <w:sz w:val="22"/>
        </w:rPr>
        <w:t>and</w:t>
      </w:r>
      <w:r>
        <w:rPr>
          <w:i/>
          <w:spacing w:val="-8"/>
          <w:sz w:val="22"/>
        </w:rPr>
        <w:t> </w:t>
      </w:r>
      <w:r>
        <w:rPr>
          <w:i/>
          <w:sz w:val="22"/>
        </w:rPr>
        <w:t>Health</w:t>
      </w:r>
      <w:r>
        <w:rPr>
          <w:i/>
          <w:spacing w:val="-7"/>
          <w:sz w:val="22"/>
        </w:rPr>
        <w:t> </w:t>
      </w:r>
      <w:r>
        <w:rPr>
          <w:i/>
          <w:sz w:val="22"/>
        </w:rPr>
        <w:t>Implications</w:t>
      </w:r>
      <w:r>
        <w:rPr>
          <w:i/>
          <w:spacing w:val="-6"/>
          <w:sz w:val="22"/>
        </w:rPr>
        <w:t> </w:t>
      </w:r>
      <w:r>
        <w:rPr>
          <w:i/>
          <w:sz w:val="22"/>
        </w:rPr>
        <w:t>of</w:t>
      </w:r>
      <w:r>
        <w:rPr>
          <w:i/>
          <w:spacing w:val="-7"/>
          <w:sz w:val="22"/>
        </w:rPr>
        <w:t> </w:t>
      </w:r>
      <w:r>
        <w:rPr>
          <w:i/>
          <w:sz w:val="22"/>
        </w:rPr>
        <w:t>Pseudomonas</w:t>
      </w:r>
      <w:r>
        <w:rPr>
          <w:i/>
          <w:spacing w:val="-8"/>
          <w:sz w:val="22"/>
        </w:rPr>
        <w:t> </w:t>
      </w:r>
      <w:r>
        <w:rPr>
          <w:i/>
          <w:spacing w:val="-2"/>
          <w:sz w:val="22"/>
        </w:rPr>
        <w:t>aeruginosa</w:t>
      </w:r>
    </w:p>
    <w:p>
      <w:pPr>
        <w:pStyle w:val="BodyText"/>
        <w:spacing w:before="159"/>
        <w:rPr>
          <w:i/>
        </w:rPr>
      </w:pPr>
    </w:p>
    <w:p>
      <w:pPr>
        <w:pStyle w:val="BodyText"/>
        <w:spacing w:line="480" w:lineRule="auto" w:before="1"/>
        <w:ind w:left="1100" w:right="978" w:firstLine="720"/>
        <w:jc w:val="both"/>
      </w:pPr>
      <w:r>
        <w:rPr>
          <w:i/>
        </w:rPr>
        <w:t>Pseudomonas aeruginosa </w:t>
      </w:r>
      <w:r>
        <w:rPr/>
        <w:t>is an opportunistic human pathogen. It is “opportunistic” because it seldom infects healthy individuals. Instead, it often colonizes immunocompromised patients. It is usually linked with patients whose immune system is compromised by diseases or trauma, causing serious infection when their normal defences are weakened; like those with cystic fibrosis, cancer, or AIDS (Botzenhardt and Doring,</w:t>
      </w:r>
      <w:r>
        <w:rPr>
          <w:spacing w:val="80"/>
        </w:rPr>
        <w:t> </w:t>
      </w:r>
      <w:r>
        <w:rPr>
          <w:spacing w:val="-2"/>
        </w:rPr>
        <w:t>1993).</w:t>
      </w:r>
    </w:p>
    <w:p>
      <w:pPr>
        <w:pStyle w:val="BodyText"/>
        <w:spacing w:line="480" w:lineRule="auto" w:before="161"/>
        <w:ind w:left="1100" w:right="978" w:firstLine="720"/>
        <w:jc w:val="both"/>
      </w:pPr>
      <w:r>
        <w:rPr/>
        <w:t>This means that it represents a genuine threat to the most vulnerable hospital patients, most commonly intensive care patients, those with depleted immunity. The</w:t>
      </w:r>
      <w:r>
        <w:rPr>
          <w:spacing w:val="40"/>
        </w:rPr>
        <w:t> </w:t>
      </w:r>
      <w:r>
        <w:rPr/>
        <w:t>severity and type of the illness it causes depends on its route into the body:</w:t>
      </w:r>
    </w:p>
    <w:p>
      <w:pPr>
        <w:pStyle w:val="BodyText"/>
        <w:spacing w:before="7"/>
      </w:pPr>
    </w:p>
    <w:p>
      <w:pPr>
        <w:spacing w:line="480" w:lineRule="auto" w:before="0"/>
        <w:ind w:left="1100" w:right="987" w:firstLine="720"/>
        <w:jc w:val="both"/>
        <w:rPr>
          <w:rFonts w:ascii="Times New Roman"/>
          <w:sz w:val="24"/>
        </w:rPr>
      </w:pPr>
      <w:r>
        <w:rPr>
          <w:rFonts w:ascii="Times New Roman"/>
          <w:sz w:val="24"/>
        </w:rPr>
        <w:t>If it enters lung tissue, for example in a cystic fibrosis patient, it can cause a form of pneumonia.</w:t>
      </w:r>
    </w:p>
    <w:p>
      <w:pPr>
        <w:spacing w:line="480" w:lineRule="auto" w:before="0"/>
        <w:ind w:left="1100" w:right="982" w:firstLine="0"/>
        <w:jc w:val="both"/>
        <w:rPr>
          <w:rFonts w:ascii="Times New Roman"/>
          <w:sz w:val="24"/>
        </w:rPr>
      </w:pPr>
      <w:r>
        <w:rPr>
          <w:rFonts w:ascii="Times New Roman"/>
          <w:sz w:val="24"/>
        </w:rPr>
        <w:t>Infection of a skin wound or burn can lead to extensive tissue damage or even septic </w:t>
      </w:r>
      <w:r>
        <w:rPr>
          <w:rFonts w:ascii="Times New Roman"/>
          <w:spacing w:val="-2"/>
          <w:sz w:val="24"/>
        </w:rPr>
        <w:t>shock.</w:t>
      </w:r>
    </w:p>
    <w:p>
      <w:pPr>
        <w:spacing w:line="480" w:lineRule="auto" w:before="0"/>
        <w:ind w:left="1100" w:right="980" w:firstLine="720"/>
        <w:jc w:val="both"/>
        <w:rPr>
          <w:rFonts w:ascii="Times New Roman"/>
          <w:sz w:val="24"/>
        </w:rPr>
      </w:pPr>
      <w:r>
        <w:rPr>
          <w:rFonts w:ascii="Times New Roman"/>
          <w:sz w:val="24"/>
        </w:rPr>
        <w:t>If the bacterium infects the gastro-intestinal system of a vulnerable patient, then a condition called "necrotising enterocolitis" can follow, which again causes severe tissue damage. This is the form most associated with premature babies.</w:t>
      </w:r>
    </w:p>
    <w:p>
      <w:pPr>
        <w:spacing w:line="480" w:lineRule="auto" w:before="1"/>
        <w:ind w:left="1100" w:right="984" w:firstLine="0"/>
        <w:jc w:val="both"/>
        <w:rPr>
          <w:rFonts w:ascii="Times New Roman"/>
          <w:sz w:val="24"/>
        </w:rPr>
      </w:pPr>
      <w:r>
        <w:rPr>
          <w:rFonts w:ascii="Times New Roman"/>
          <w:sz w:val="24"/>
        </w:rPr>
        <w:t>It has the ability to survive for up to several days on surfaces, further increasing the risk of it being passed on to patients (Botzenhardt and Doring, 1993).</w:t>
      </w:r>
    </w:p>
    <w:p>
      <w:pPr>
        <w:pStyle w:val="BodyText"/>
        <w:spacing w:before="2"/>
        <w:rPr>
          <w:rFonts w:ascii="Times New Roman"/>
          <w:sz w:val="24"/>
        </w:rPr>
      </w:pPr>
    </w:p>
    <w:p>
      <w:pPr>
        <w:spacing w:line="480" w:lineRule="auto" w:before="1"/>
        <w:ind w:left="1100" w:right="980" w:firstLine="720"/>
        <w:jc w:val="both"/>
        <w:rPr>
          <w:rFonts w:ascii="Times New Roman"/>
          <w:sz w:val="24"/>
        </w:rPr>
      </w:pPr>
      <w:r>
        <w:rPr>
          <w:rFonts w:ascii="Times New Roman"/>
          <w:sz w:val="24"/>
        </w:rPr>
        <w:t>It is such a potent pathogen that firstly, it attacks up two thirds of the</w:t>
      </w:r>
      <w:r>
        <w:rPr>
          <w:rFonts w:ascii="Times New Roman"/>
          <w:spacing w:val="40"/>
          <w:sz w:val="24"/>
        </w:rPr>
        <w:t> </w:t>
      </w:r>
      <w:r>
        <w:rPr>
          <w:rFonts w:ascii="Times New Roman"/>
          <w:sz w:val="24"/>
        </w:rPr>
        <w:t>critically-ill hospitalized patients, and this usually portends more invasive diseases. Secondly, </w:t>
      </w:r>
      <w:r>
        <w:rPr>
          <w:rFonts w:ascii="Times New Roman"/>
          <w:i/>
          <w:sz w:val="24"/>
        </w:rPr>
        <w:t>P.aeruginosa </w:t>
      </w:r>
      <w:r>
        <w:rPr>
          <w:rFonts w:ascii="Times New Roman"/>
          <w:sz w:val="24"/>
        </w:rPr>
        <w:t>is a leading Gram-negative opportunistic pathogen at most medical centers, carrying a 40-60% mortality rate. Thirdly, it complicates 90% of cystic</w:t>
      </w:r>
      <w:r>
        <w:rPr>
          <w:rFonts w:ascii="Times New Roman"/>
          <w:spacing w:val="48"/>
          <w:sz w:val="24"/>
        </w:rPr>
        <w:t> </w:t>
      </w:r>
      <w:r>
        <w:rPr>
          <w:rFonts w:ascii="Times New Roman"/>
          <w:sz w:val="24"/>
        </w:rPr>
        <w:t>fibrosis</w:t>
      </w:r>
      <w:r>
        <w:rPr>
          <w:rFonts w:ascii="Times New Roman"/>
          <w:spacing w:val="49"/>
          <w:sz w:val="24"/>
        </w:rPr>
        <w:t> </w:t>
      </w:r>
      <w:r>
        <w:rPr>
          <w:rFonts w:ascii="Times New Roman"/>
          <w:sz w:val="24"/>
        </w:rPr>
        <w:t>deaths;</w:t>
      </w:r>
      <w:r>
        <w:rPr>
          <w:rFonts w:ascii="Times New Roman"/>
          <w:spacing w:val="50"/>
          <w:sz w:val="24"/>
        </w:rPr>
        <w:t> </w:t>
      </w:r>
      <w:r>
        <w:rPr>
          <w:rFonts w:ascii="Times New Roman"/>
          <w:sz w:val="24"/>
        </w:rPr>
        <w:t>and</w:t>
      </w:r>
      <w:r>
        <w:rPr>
          <w:rFonts w:ascii="Times New Roman"/>
          <w:spacing w:val="49"/>
          <w:sz w:val="24"/>
        </w:rPr>
        <w:t> </w:t>
      </w:r>
      <w:r>
        <w:rPr>
          <w:rFonts w:ascii="Times New Roman"/>
          <w:sz w:val="24"/>
        </w:rPr>
        <w:t>lastly,</w:t>
      </w:r>
      <w:r>
        <w:rPr>
          <w:rFonts w:ascii="Times New Roman"/>
          <w:spacing w:val="49"/>
          <w:sz w:val="24"/>
        </w:rPr>
        <w:t> </w:t>
      </w:r>
      <w:r>
        <w:rPr>
          <w:rFonts w:ascii="Times New Roman"/>
          <w:sz w:val="24"/>
        </w:rPr>
        <w:t>it</w:t>
      </w:r>
      <w:r>
        <w:rPr>
          <w:rFonts w:ascii="Times New Roman"/>
          <w:spacing w:val="49"/>
          <w:sz w:val="24"/>
        </w:rPr>
        <w:t> </w:t>
      </w:r>
      <w:r>
        <w:rPr>
          <w:rFonts w:ascii="Times New Roman"/>
          <w:sz w:val="24"/>
        </w:rPr>
        <w:t>is</w:t>
      </w:r>
      <w:r>
        <w:rPr>
          <w:rFonts w:ascii="Times New Roman"/>
          <w:spacing w:val="49"/>
          <w:sz w:val="24"/>
        </w:rPr>
        <w:t> </w:t>
      </w:r>
      <w:r>
        <w:rPr>
          <w:rFonts w:ascii="Times New Roman"/>
          <w:sz w:val="24"/>
        </w:rPr>
        <w:t>always</w:t>
      </w:r>
      <w:r>
        <w:rPr>
          <w:rFonts w:ascii="Times New Roman"/>
          <w:spacing w:val="50"/>
          <w:sz w:val="24"/>
        </w:rPr>
        <w:t> </w:t>
      </w:r>
      <w:r>
        <w:rPr>
          <w:rFonts w:ascii="Times New Roman"/>
          <w:sz w:val="24"/>
        </w:rPr>
        <w:t>listed</w:t>
      </w:r>
      <w:r>
        <w:rPr>
          <w:rFonts w:ascii="Times New Roman"/>
          <w:spacing w:val="48"/>
          <w:sz w:val="24"/>
        </w:rPr>
        <w:t> </w:t>
      </w:r>
      <w:r>
        <w:rPr>
          <w:rFonts w:ascii="Times New Roman"/>
          <w:sz w:val="24"/>
        </w:rPr>
        <w:t>as</w:t>
      </w:r>
      <w:r>
        <w:rPr>
          <w:rFonts w:ascii="Times New Roman"/>
          <w:spacing w:val="49"/>
          <w:sz w:val="24"/>
        </w:rPr>
        <w:t> </w:t>
      </w:r>
      <w:r>
        <w:rPr>
          <w:rFonts w:ascii="Times New Roman"/>
          <w:sz w:val="24"/>
        </w:rPr>
        <w:t>one</w:t>
      </w:r>
      <w:r>
        <w:rPr>
          <w:rFonts w:ascii="Times New Roman"/>
          <w:spacing w:val="48"/>
          <w:sz w:val="24"/>
        </w:rPr>
        <w:t> </w:t>
      </w:r>
      <w:r>
        <w:rPr>
          <w:rFonts w:ascii="Times New Roman"/>
          <w:sz w:val="24"/>
        </w:rPr>
        <w:t>of</w:t>
      </w:r>
      <w:r>
        <w:rPr>
          <w:rFonts w:ascii="Times New Roman"/>
          <w:spacing w:val="48"/>
          <w:sz w:val="24"/>
        </w:rPr>
        <w:t> </w:t>
      </w:r>
      <w:r>
        <w:rPr>
          <w:rFonts w:ascii="Times New Roman"/>
          <w:sz w:val="24"/>
        </w:rPr>
        <w:t>the</w:t>
      </w:r>
      <w:r>
        <w:rPr>
          <w:rFonts w:ascii="Times New Roman"/>
          <w:spacing w:val="48"/>
          <w:sz w:val="24"/>
        </w:rPr>
        <w:t> </w:t>
      </w:r>
      <w:r>
        <w:rPr>
          <w:rFonts w:ascii="Times New Roman"/>
          <w:sz w:val="24"/>
        </w:rPr>
        <w:t>top</w:t>
      </w:r>
      <w:r>
        <w:rPr>
          <w:rFonts w:ascii="Times New Roman"/>
          <w:spacing w:val="49"/>
          <w:sz w:val="24"/>
        </w:rPr>
        <w:t> </w:t>
      </w:r>
      <w:r>
        <w:rPr>
          <w:rFonts w:ascii="Times New Roman"/>
          <w:sz w:val="24"/>
        </w:rPr>
        <w:t>three</w:t>
      </w:r>
      <w:r>
        <w:rPr>
          <w:rFonts w:ascii="Times New Roman"/>
          <w:spacing w:val="49"/>
          <w:sz w:val="24"/>
        </w:rPr>
        <w:t> </w:t>
      </w:r>
      <w:r>
        <w:rPr>
          <w:rFonts w:ascii="Times New Roman"/>
          <w:spacing w:val="-4"/>
          <w:sz w:val="24"/>
        </w:rPr>
        <w:t>most</w:t>
      </w:r>
    </w:p>
    <w:p>
      <w:pPr>
        <w:spacing w:after="0" w:line="480" w:lineRule="auto"/>
        <w:jc w:val="both"/>
        <w:rPr>
          <w:rFonts w:ascii="Times New Roman"/>
          <w:sz w:val="24"/>
        </w:rPr>
        <w:sectPr>
          <w:pgSz w:w="11910" w:h="16840"/>
          <w:pgMar w:header="0" w:footer="1055" w:top="1380" w:bottom="1240" w:left="1060" w:right="460"/>
        </w:sectPr>
      </w:pPr>
    </w:p>
    <w:p>
      <w:pPr>
        <w:spacing w:line="480" w:lineRule="auto" w:before="73"/>
        <w:ind w:left="1100" w:right="975" w:firstLine="0"/>
        <w:jc w:val="left"/>
        <w:rPr>
          <w:rFonts w:ascii="Times New Roman"/>
          <w:sz w:val="24"/>
        </w:rPr>
      </w:pPr>
      <w:r>
        <w:rPr>
          <w:rFonts w:ascii="Times New Roman"/>
          <w:sz w:val="24"/>
        </w:rPr>
        <w:t>frequent</w:t>
      </w:r>
      <w:r>
        <w:rPr>
          <w:rFonts w:ascii="Times New Roman"/>
          <w:spacing w:val="32"/>
          <w:sz w:val="24"/>
        </w:rPr>
        <w:t> </w:t>
      </w:r>
      <w:r>
        <w:rPr>
          <w:rFonts w:ascii="Times New Roman"/>
          <w:sz w:val="24"/>
        </w:rPr>
        <w:t>Gram-negative</w:t>
      </w:r>
      <w:r>
        <w:rPr>
          <w:rFonts w:ascii="Times New Roman"/>
          <w:spacing w:val="30"/>
          <w:sz w:val="24"/>
        </w:rPr>
        <w:t> </w:t>
      </w:r>
      <w:r>
        <w:rPr>
          <w:rFonts w:ascii="Times New Roman"/>
          <w:sz w:val="24"/>
        </w:rPr>
        <w:t>pathogens</w:t>
      </w:r>
      <w:r>
        <w:rPr>
          <w:rFonts w:ascii="Times New Roman"/>
          <w:spacing w:val="31"/>
          <w:sz w:val="24"/>
        </w:rPr>
        <w:t> </w:t>
      </w:r>
      <w:r>
        <w:rPr>
          <w:rFonts w:ascii="Times New Roman"/>
          <w:sz w:val="24"/>
        </w:rPr>
        <w:t>and</w:t>
      </w:r>
      <w:r>
        <w:rPr>
          <w:rFonts w:ascii="Times New Roman"/>
          <w:spacing w:val="31"/>
          <w:sz w:val="24"/>
        </w:rPr>
        <w:t> </w:t>
      </w:r>
      <w:r>
        <w:rPr>
          <w:rFonts w:ascii="Times New Roman"/>
          <w:sz w:val="24"/>
        </w:rPr>
        <w:t>is</w:t>
      </w:r>
      <w:r>
        <w:rPr>
          <w:rFonts w:ascii="Times New Roman"/>
          <w:spacing w:val="32"/>
          <w:sz w:val="24"/>
        </w:rPr>
        <w:t> </w:t>
      </w:r>
      <w:r>
        <w:rPr>
          <w:rFonts w:ascii="Times New Roman"/>
          <w:sz w:val="24"/>
        </w:rPr>
        <w:t>linked</w:t>
      </w:r>
      <w:r>
        <w:rPr>
          <w:rFonts w:ascii="Times New Roman"/>
          <w:spacing w:val="31"/>
          <w:sz w:val="24"/>
        </w:rPr>
        <w:t> </w:t>
      </w:r>
      <w:r>
        <w:rPr>
          <w:rFonts w:ascii="Times New Roman"/>
          <w:sz w:val="24"/>
        </w:rPr>
        <w:t>to</w:t>
      </w:r>
      <w:r>
        <w:rPr>
          <w:rFonts w:ascii="Times New Roman"/>
          <w:spacing w:val="32"/>
          <w:sz w:val="24"/>
        </w:rPr>
        <w:t> </w:t>
      </w:r>
      <w:r>
        <w:rPr>
          <w:rFonts w:ascii="Times New Roman"/>
          <w:sz w:val="24"/>
        </w:rPr>
        <w:t>the</w:t>
      </w:r>
      <w:r>
        <w:rPr>
          <w:rFonts w:ascii="Times New Roman"/>
          <w:spacing w:val="31"/>
          <w:sz w:val="24"/>
        </w:rPr>
        <w:t> </w:t>
      </w:r>
      <w:r>
        <w:rPr>
          <w:rFonts w:ascii="Times New Roman"/>
          <w:sz w:val="24"/>
        </w:rPr>
        <w:t>worst</w:t>
      </w:r>
      <w:r>
        <w:rPr>
          <w:rFonts w:ascii="Times New Roman"/>
          <w:spacing w:val="32"/>
          <w:sz w:val="24"/>
        </w:rPr>
        <w:t> </w:t>
      </w:r>
      <w:r>
        <w:rPr>
          <w:rFonts w:ascii="Times New Roman"/>
          <w:sz w:val="24"/>
        </w:rPr>
        <w:t>visual</w:t>
      </w:r>
      <w:r>
        <w:rPr>
          <w:rFonts w:ascii="Times New Roman"/>
          <w:spacing w:val="32"/>
          <w:sz w:val="24"/>
        </w:rPr>
        <w:t> </w:t>
      </w:r>
      <w:r>
        <w:rPr>
          <w:rFonts w:ascii="Times New Roman"/>
          <w:sz w:val="24"/>
        </w:rPr>
        <w:t>diseases</w:t>
      </w:r>
      <w:r>
        <w:rPr>
          <w:rFonts w:ascii="Times New Roman"/>
          <w:spacing w:val="32"/>
          <w:sz w:val="24"/>
        </w:rPr>
        <w:t> </w:t>
      </w:r>
      <w:r>
        <w:rPr>
          <w:rFonts w:ascii="Times New Roman"/>
          <w:sz w:val="24"/>
        </w:rPr>
        <w:t>(Fick, </w:t>
      </w:r>
      <w:r>
        <w:rPr>
          <w:rFonts w:ascii="Times New Roman"/>
          <w:spacing w:val="-2"/>
          <w:sz w:val="24"/>
        </w:rPr>
        <w:t>1993).</w:t>
      </w:r>
    </w:p>
    <w:p>
      <w:pPr>
        <w:pStyle w:val="BodyText"/>
        <w:spacing w:before="5"/>
        <w:rPr>
          <w:rFonts w:ascii="Times New Roman"/>
          <w:sz w:val="24"/>
        </w:rPr>
      </w:pPr>
    </w:p>
    <w:p>
      <w:pPr>
        <w:spacing w:line="480" w:lineRule="auto" w:before="1"/>
        <w:ind w:left="1100" w:right="975" w:firstLine="720"/>
        <w:jc w:val="both"/>
        <w:rPr>
          <w:rFonts w:ascii="Times New Roman" w:hAnsi="Times New Roman"/>
          <w:sz w:val="24"/>
        </w:rPr>
      </w:pPr>
      <w:r>
        <w:rPr>
          <w:rFonts w:ascii="Times New Roman" w:hAnsi="Times New Roman"/>
          <w:i/>
          <w:sz w:val="24"/>
        </w:rPr>
        <w:t>Pseudomonas aeruginosa </w:t>
      </w:r>
      <w:r>
        <w:rPr>
          <w:rFonts w:ascii="Times New Roman" w:hAnsi="Times New Roman"/>
          <w:sz w:val="24"/>
        </w:rPr>
        <w:t>secrets many</w:t>
      </w:r>
      <w:r>
        <w:rPr>
          <w:rFonts w:ascii="Times New Roman" w:hAnsi="Times New Roman"/>
          <w:spacing w:val="-3"/>
          <w:sz w:val="24"/>
        </w:rPr>
        <w:t> </w:t>
      </w:r>
      <w:r>
        <w:rPr>
          <w:rFonts w:ascii="Times New Roman" w:hAnsi="Times New Roman"/>
          <w:sz w:val="24"/>
        </w:rPr>
        <w:t>virulent factors to colonize the cells of its host. For example, exotoxin A, the most toxic protein produced by </w:t>
      </w:r>
      <w:r>
        <w:rPr>
          <w:rFonts w:ascii="Times New Roman" w:hAnsi="Times New Roman"/>
          <w:i/>
          <w:sz w:val="24"/>
        </w:rPr>
        <w:t>P. aeruginosa</w:t>
      </w:r>
      <w:r>
        <w:rPr>
          <w:rFonts w:ascii="Times New Roman" w:hAnsi="Times New Roman"/>
          <w:sz w:val="24"/>
        </w:rPr>
        <w:t>, catalyzes the ADP-ribosylation to form ADP-ribosyl-EF-2, which inhibits the protein synthesis of the</w:t>
      </w:r>
      <w:r>
        <w:rPr>
          <w:rFonts w:ascii="Times New Roman" w:hAnsi="Times New Roman"/>
          <w:spacing w:val="-1"/>
          <w:sz w:val="24"/>
        </w:rPr>
        <w:t> </w:t>
      </w:r>
      <w:r>
        <w:rPr>
          <w:rFonts w:ascii="Times New Roman" w:hAnsi="Times New Roman"/>
          <w:sz w:val="24"/>
        </w:rPr>
        <w:t>host’s cells. Moreover, elastase, an extracellular</w:t>
      </w:r>
      <w:r>
        <w:rPr>
          <w:rFonts w:ascii="Times New Roman" w:hAnsi="Times New Roman"/>
          <w:spacing w:val="-2"/>
          <w:sz w:val="24"/>
        </w:rPr>
        <w:t> </w:t>
      </w:r>
      <w:r>
        <w:rPr>
          <w:rFonts w:ascii="Times New Roman" w:hAnsi="Times New Roman"/>
          <w:sz w:val="24"/>
        </w:rPr>
        <w:t>zinc</w:t>
      </w:r>
      <w:r>
        <w:rPr>
          <w:rFonts w:ascii="Times New Roman" w:hAnsi="Times New Roman"/>
          <w:spacing w:val="-1"/>
          <w:sz w:val="24"/>
        </w:rPr>
        <w:t> </w:t>
      </w:r>
      <w:r>
        <w:rPr>
          <w:rFonts w:ascii="Times New Roman" w:hAnsi="Times New Roman"/>
          <w:sz w:val="24"/>
        </w:rPr>
        <w:t>protease, attacks eukaryotic proteins such as collagen and elastin and destroys the structural proteins of the cell. It also breaks down human immunoglobin and serum alpha proteins (Lederberg </w:t>
      </w:r>
      <w:r>
        <w:rPr>
          <w:rFonts w:ascii="Times New Roman" w:hAnsi="Times New Roman"/>
          <w:i/>
          <w:sz w:val="24"/>
        </w:rPr>
        <w:t>et al</w:t>
      </w:r>
      <w:r>
        <w:rPr>
          <w:rFonts w:ascii="Times New Roman" w:hAnsi="Times New Roman"/>
          <w:sz w:val="24"/>
        </w:rPr>
        <w:t>., 2000).</w:t>
      </w:r>
    </w:p>
    <w:p>
      <w:pPr>
        <w:pStyle w:val="BodyText"/>
        <w:spacing w:before="3"/>
        <w:rPr>
          <w:rFonts w:ascii="Times New Roman"/>
          <w:sz w:val="24"/>
        </w:rPr>
      </w:pPr>
    </w:p>
    <w:p>
      <w:pPr>
        <w:spacing w:line="480" w:lineRule="auto" w:before="0"/>
        <w:ind w:left="1100" w:right="976" w:firstLine="720"/>
        <w:jc w:val="both"/>
        <w:rPr>
          <w:rFonts w:ascii="Times New Roman" w:hAnsi="Times New Roman"/>
          <w:sz w:val="24"/>
        </w:rPr>
      </w:pPr>
      <w:r>
        <w:rPr>
          <w:rFonts w:ascii="Times New Roman" w:hAnsi="Times New Roman"/>
          <w:i/>
          <w:sz w:val="24"/>
        </w:rPr>
        <w:t>Pseudomonas</w:t>
      </w:r>
      <w:r>
        <w:rPr>
          <w:rFonts w:ascii="Times New Roman" w:hAnsi="Times New Roman"/>
          <w:i/>
          <w:spacing w:val="-3"/>
          <w:sz w:val="24"/>
        </w:rPr>
        <w:t> </w:t>
      </w:r>
      <w:r>
        <w:rPr>
          <w:rFonts w:ascii="Times New Roman" w:hAnsi="Times New Roman"/>
          <w:i/>
          <w:sz w:val="24"/>
        </w:rPr>
        <w:t>aeruginosa</w:t>
      </w:r>
      <w:r>
        <w:rPr>
          <w:rFonts w:ascii="Times New Roman" w:hAnsi="Times New Roman"/>
          <w:i/>
          <w:spacing w:val="-3"/>
          <w:sz w:val="24"/>
        </w:rPr>
        <w:t> </w:t>
      </w:r>
      <w:r>
        <w:rPr>
          <w:rFonts w:ascii="Times New Roman" w:hAnsi="Times New Roman"/>
          <w:sz w:val="24"/>
        </w:rPr>
        <w:t>can</w:t>
      </w:r>
      <w:r>
        <w:rPr>
          <w:rFonts w:ascii="Times New Roman" w:hAnsi="Times New Roman"/>
          <w:spacing w:val="-3"/>
          <w:sz w:val="24"/>
        </w:rPr>
        <w:t> </w:t>
      </w:r>
      <w:r>
        <w:rPr>
          <w:rFonts w:ascii="Times New Roman" w:hAnsi="Times New Roman"/>
          <w:sz w:val="24"/>
        </w:rPr>
        <w:t>be</w:t>
      </w:r>
      <w:r>
        <w:rPr>
          <w:rFonts w:ascii="Times New Roman" w:hAnsi="Times New Roman"/>
          <w:spacing w:val="-4"/>
          <w:sz w:val="24"/>
        </w:rPr>
        <w:t> </w:t>
      </w:r>
      <w:r>
        <w:rPr>
          <w:rFonts w:ascii="Times New Roman" w:hAnsi="Times New Roman"/>
          <w:sz w:val="24"/>
        </w:rPr>
        <w:t>transmitted</w:t>
      </w:r>
      <w:r>
        <w:rPr>
          <w:rFonts w:ascii="Times New Roman" w:hAnsi="Times New Roman"/>
          <w:spacing w:val="-3"/>
          <w:sz w:val="24"/>
        </w:rPr>
        <w:t> </w:t>
      </w:r>
      <w:r>
        <w:rPr>
          <w:rFonts w:ascii="Times New Roman" w:hAnsi="Times New Roman"/>
          <w:sz w:val="24"/>
        </w:rPr>
        <w:t>to</w:t>
      </w:r>
      <w:r>
        <w:rPr>
          <w:rFonts w:ascii="Times New Roman" w:hAnsi="Times New Roman"/>
          <w:spacing w:val="-3"/>
          <w:sz w:val="24"/>
        </w:rPr>
        <w:t> </w:t>
      </w:r>
      <w:r>
        <w:rPr>
          <w:rFonts w:ascii="Times New Roman" w:hAnsi="Times New Roman"/>
          <w:sz w:val="24"/>
        </w:rPr>
        <w:t>a</w:t>
      </w:r>
      <w:r>
        <w:rPr>
          <w:rFonts w:ascii="Times New Roman" w:hAnsi="Times New Roman"/>
          <w:spacing w:val="-2"/>
          <w:sz w:val="24"/>
        </w:rPr>
        <w:t> </w:t>
      </w:r>
      <w:r>
        <w:rPr>
          <w:rFonts w:ascii="Times New Roman" w:hAnsi="Times New Roman"/>
          <w:sz w:val="24"/>
        </w:rPr>
        <w:t>host</w:t>
      </w:r>
      <w:r>
        <w:rPr>
          <w:rFonts w:ascii="Times New Roman" w:hAnsi="Times New Roman"/>
          <w:spacing w:val="-3"/>
          <w:sz w:val="24"/>
        </w:rPr>
        <w:t> </w:t>
      </w:r>
      <w:r>
        <w:rPr>
          <w:rFonts w:ascii="Times New Roman" w:hAnsi="Times New Roman"/>
          <w:sz w:val="24"/>
        </w:rPr>
        <w:t>via</w:t>
      </w:r>
      <w:r>
        <w:rPr>
          <w:rFonts w:ascii="Times New Roman" w:hAnsi="Times New Roman"/>
          <w:spacing w:val="-3"/>
          <w:sz w:val="24"/>
        </w:rPr>
        <w:t> </w:t>
      </w:r>
      <w:r>
        <w:rPr>
          <w:rFonts w:ascii="Times New Roman" w:hAnsi="Times New Roman"/>
          <w:sz w:val="24"/>
        </w:rPr>
        <w:t>fomites,</w:t>
      </w:r>
      <w:r>
        <w:rPr>
          <w:rFonts w:ascii="Times New Roman" w:hAnsi="Times New Roman"/>
          <w:spacing w:val="-3"/>
          <w:sz w:val="24"/>
        </w:rPr>
        <w:t> </w:t>
      </w:r>
      <w:r>
        <w:rPr>
          <w:rFonts w:ascii="Times New Roman" w:hAnsi="Times New Roman"/>
          <w:sz w:val="24"/>
        </w:rPr>
        <w:t>vectors,</w:t>
      </w:r>
      <w:r>
        <w:rPr>
          <w:rFonts w:ascii="Times New Roman" w:hAnsi="Times New Roman"/>
          <w:spacing w:val="-1"/>
          <w:sz w:val="24"/>
        </w:rPr>
        <w:t> </w:t>
      </w:r>
      <w:r>
        <w:rPr>
          <w:rFonts w:ascii="Times New Roman" w:hAnsi="Times New Roman"/>
          <w:sz w:val="24"/>
        </w:rPr>
        <w:t>and hospital workers who are potential carriers for multiple-antibiotic-resistant strains of the pathogen. Furthermore, any </w:t>
      </w:r>
      <w:r>
        <w:rPr>
          <w:rFonts w:ascii="Times New Roman" w:hAnsi="Times New Roman"/>
          <w:i/>
          <w:sz w:val="24"/>
        </w:rPr>
        <w:t>P. aeruginosa </w:t>
      </w:r>
      <w:r>
        <w:rPr>
          <w:rFonts w:ascii="Times New Roman" w:hAnsi="Times New Roman"/>
          <w:sz w:val="24"/>
        </w:rPr>
        <w:t>already present on a burn victim’s skin before</w:t>
      </w:r>
      <w:r>
        <w:rPr>
          <w:rFonts w:ascii="Times New Roman" w:hAnsi="Times New Roman"/>
          <w:spacing w:val="-1"/>
          <w:sz w:val="24"/>
        </w:rPr>
        <w:t> </w:t>
      </w:r>
      <w:r>
        <w:rPr>
          <w:rFonts w:ascii="Times New Roman" w:hAnsi="Times New Roman"/>
          <w:sz w:val="24"/>
        </w:rPr>
        <w:t>the</w:t>
      </w:r>
      <w:r>
        <w:rPr>
          <w:rFonts w:ascii="Times New Roman" w:hAnsi="Times New Roman"/>
          <w:spacing w:val="-1"/>
          <w:sz w:val="24"/>
        </w:rPr>
        <w:t> </w:t>
      </w:r>
      <w:r>
        <w:rPr>
          <w:rFonts w:ascii="Times New Roman" w:hAnsi="Times New Roman"/>
          <w:sz w:val="24"/>
        </w:rPr>
        <w:t>injury</w:t>
      </w:r>
      <w:r>
        <w:rPr>
          <w:rFonts w:ascii="Times New Roman" w:hAnsi="Times New Roman"/>
          <w:spacing w:val="-5"/>
          <w:sz w:val="24"/>
        </w:rPr>
        <w:t> </w:t>
      </w:r>
      <w:r>
        <w:rPr>
          <w:rFonts w:ascii="Times New Roman" w:hAnsi="Times New Roman"/>
          <w:sz w:val="24"/>
        </w:rPr>
        <w:t>can transform from an innocuous organism on the</w:t>
      </w:r>
      <w:r>
        <w:rPr>
          <w:rFonts w:ascii="Times New Roman" w:hAnsi="Times New Roman"/>
          <w:spacing w:val="-1"/>
          <w:sz w:val="24"/>
        </w:rPr>
        <w:t> </w:t>
      </w:r>
      <w:r>
        <w:rPr>
          <w:rFonts w:ascii="Times New Roman" w:hAnsi="Times New Roman"/>
          <w:sz w:val="24"/>
        </w:rPr>
        <w:t>surface of</w:t>
      </w:r>
      <w:r>
        <w:rPr>
          <w:rFonts w:ascii="Times New Roman" w:hAnsi="Times New Roman"/>
          <w:spacing w:val="-1"/>
          <w:sz w:val="24"/>
        </w:rPr>
        <w:t> </w:t>
      </w:r>
      <w:r>
        <w:rPr>
          <w:rFonts w:ascii="Times New Roman" w:hAnsi="Times New Roman"/>
          <w:sz w:val="24"/>
        </w:rPr>
        <w:t>the</w:t>
      </w:r>
      <w:r>
        <w:rPr>
          <w:rFonts w:ascii="Times New Roman" w:hAnsi="Times New Roman"/>
          <w:spacing w:val="-1"/>
          <w:sz w:val="24"/>
        </w:rPr>
        <w:t> </w:t>
      </w:r>
      <w:r>
        <w:rPr>
          <w:rFonts w:ascii="Times New Roman" w:hAnsi="Times New Roman"/>
          <w:sz w:val="24"/>
        </w:rPr>
        <w:t>skin to a source of infection in the bloodstream and body tissues of the same individual (Katie and Ashley, 2000). However, the usual route of transmission is through contaminated hands or medical equipment such as catheters and feeding tubes. Therefore, infection control measures, such as regular hand washing and decontamination of equipment are the most effective tactics to prevent its spread.</w:t>
      </w:r>
    </w:p>
    <w:p>
      <w:pPr>
        <w:pStyle w:val="BodyText"/>
        <w:spacing w:before="11"/>
        <w:rPr>
          <w:rFonts w:ascii="Times New Roman"/>
          <w:sz w:val="24"/>
        </w:rPr>
      </w:pPr>
    </w:p>
    <w:p>
      <w:pPr>
        <w:pStyle w:val="BodyText"/>
        <w:spacing w:line="480" w:lineRule="auto"/>
        <w:ind w:left="1100" w:right="973" w:firstLine="720"/>
        <w:jc w:val="both"/>
      </w:pPr>
      <w:r>
        <w:rPr>
          <w:i/>
        </w:rPr>
        <w:t>Pseudomonas aeruginosa </w:t>
      </w:r>
      <w:r>
        <w:rPr/>
        <w:t>attacks cystic firosis patients via airway and once it is in, it uses its flagellum to go to the hypoxic zone, an oxygen-depleted environment. At this location, </w:t>
      </w:r>
      <w:r>
        <w:rPr>
          <w:i/>
        </w:rPr>
        <w:t>P. aeruginosa </w:t>
      </w:r>
      <w:r>
        <w:rPr/>
        <w:t>undergoes a transition from an aerobic to an anaerobic microbe and starts forming biofilms anaerobically. Once this is formed, the </w:t>
      </w:r>
      <w:r>
        <w:rPr>
          <w:i/>
        </w:rPr>
        <w:t>P. aeruginosa </w:t>
      </w:r>
      <w:r>
        <w:rPr/>
        <w:t>in this community can sense their</w:t>
      </w:r>
      <w:r>
        <w:rPr>
          <w:spacing w:val="-1"/>
        </w:rPr>
        <w:t> </w:t>
      </w:r>
      <w:r>
        <w:rPr/>
        <w:t>population via quorum sensing, where they secret low molecular weight</w:t>
      </w:r>
      <w:r>
        <w:rPr>
          <w:spacing w:val="70"/>
        </w:rPr>
        <w:t> </w:t>
      </w:r>
      <w:r>
        <w:rPr/>
        <w:t>pheromones</w:t>
      </w:r>
      <w:r>
        <w:rPr>
          <w:spacing w:val="70"/>
        </w:rPr>
        <w:t> </w:t>
      </w:r>
      <w:r>
        <w:rPr/>
        <w:t>that</w:t>
      </w:r>
      <w:r>
        <w:rPr>
          <w:spacing w:val="67"/>
        </w:rPr>
        <w:t> </w:t>
      </w:r>
      <w:r>
        <w:rPr/>
        <w:t>enable</w:t>
      </w:r>
      <w:r>
        <w:rPr>
          <w:spacing w:val="69"/>
        </w:rPr>
        <w:t> </w:t>
      </w:r>
      <w:r>
        <w:rPr/>
        <w:t>them</w:t>
      </w:r>
      <w:r>
        <w:rPr>
          <w:spacing w:val="68"/>
        </w:rPr>
        <w:t> </w:t>
      </w:r>
      <w:r>
        <w:rPr/>
        <w:t>to</w:t>
      </w:r>
      <w:r>
        <w:rPr>
          <w:spacing w:val="70"/>
        </w:rPr>
        <w:t> </w:t>
      </w:r>
      <w:r>
        <w:rPr/>
        <w:t>communicate</w:t>
      </w:r>
      <w:r>
        <w:rPr>
          <w:spacing w:val="67"/>
        </w:rPr>
        <w:t> </w:t>
      </w:r>
      <w:r>
        <w:rPr/>
        <w:t>with</w:t>
      </w:r>
      <w:r>
        <w:rPr>
          <w:spacing w:val="69"/>
        </w:rPr>
        <w:t> </w:t>
      </w:r>
      <w:r>
        <w:rPr/>
        <w:t>each</w:t>
      </w:r>
      <w:r>
        <w:rPr>
          <w:spacing w:val="69"/>
        </w:rPr>
        <w:t> </w:t>
      </w:r>
      <w:r>
        <w:rPr/>
        <w:t>other</w:t>
      </w:r>
      <w:r>
        <w:rPr>
          <w:spacing w:val="67"/>
        </w:rPr>
        <w:t> </w:t>
      </w:r>
      <w:r>
        <w:rPr/>
        <w:t>(Holden</w:t>
      </w:r>
      <w:r>
        <w:rPr>
          <w:spacing w:val="69"/>
        </w:rPr>
        <w:t> </w:t>
      </w:r>
      <w:r>
        <w:rPr/>
        <w:t>and</w:t>
      </w:r>
    </w:p>
    <w:p>
      <w:pPr>
        <w:spacing w:after="0" w:line="480" w:lineRule="auto"/>
        <w:jc w:val="both"/>
        <w:sectPr>
          <w:pgSz w:w="11910" w:h="16840"/>
          <w:pgMar w:header="0" w:footer="1055" w:top="1340" w:bottom="1240" w:left="1060" w:right="460"/>
        </w:sectPr>
      </w:pPr>
    </w:p>
    <w:p>
      <w:pPr>
        <w:pStyle w:val="BodyText"/>
        <w:spacing w:line="480" w:lineRule="auto" w:before="38"/>
        <w:ind w:left="1100" w:right="975"/>
        <w:jc w:val="both"/>
      </w:pPr>
      <w:r>
        <w:rPr/>
        <w:t>Williams,</w:t>
      </w:r>
      <w:r>
        <w:rPr>
          <w:spacing w:val="-5"/>
        </w:rPr>
        <w:t> </w:t>
      </w:r>
      <w:r>
        <w:rPr/>
        <w:t>2001).</w:t>
      </w:r>
      <w:r>
        <w:rPr>
          <w:spacing w:val="-2"/>
        </w:rPr>
        <w:t> </w:t>
      </w:r>
      <w:r>
        <w:rPr/>
        <w:t>One</w:t>
      </w:r>
      <w:r>
        <w:rPr>
          <w:spacing w:val="-4"/>
        </w:rPr>
        <w:t> </w:t>
      </w:r>
      <w:r>
        <w:rPr/>
        <w:t>of</w:t>
      </w:r>
      <w:r>
        <w:rPr>
          <w:spacing w:val="-4"/>
        </w:rPr>
        <w:t> </w:t>
      </w:r>
      <w:r>
        <w:rPr/>
        <w:t>the</w:t>
      </w:r>
      <w:r>
        <w:rPr>
          <w:spacing w:val="-4"/>
        </w:rPr>
        <w:t> </w:t>
      </w:r>
      <w:r>
        <w:rPr/>
        <w:t>enzymes</w:t>
      </w:r>
      <w:r>
        <w:rPr>
          <w:spacing w:val="-1"/>
        </w:rPr>
        <w:t> </w:t>
      </w:r>
      <w:r>
        <w:rPr/>
        <w:t>responsible</w:t>
      </w:r>
      <w:r>
        <w:rPr>
          <w:spacing w:val="-2"/>
        </w:rPr>
        <w:t> </w:t>
      </w:r>
      <w:r>
        <w:rPr/>
        <w:t>for</w:t>
      </w:r>
      <w:r>
        <w:rPr>
          <w:spacing w:val="-2"/>
        </w:rPr>
        <w:t> </w:t>
      </w:r>
      <w:r>
        <w:rPr/>
        <w:t>quorum</w:t>
      </w:r>
      <w:r>
        <w:rPr>
          <w:spacing w:val="-1"/>
        </w:rPr>
        <w:t> </w:t>
      </w:r>
      <w:r>
        <w:rPr/>
        <w:t>sensing</w:t>
      </w:r>
      <w:r>
        <w:rPr>
          <w:spacing w:val="-3"/>
        </w:rPr>
        <w:t> </w:t>
      </w:r>
      <w:r>
        <w:rPr/>
        <w:t>is</w:t>
      </w:r>
      <w:r>
        <w:rPr>
          <w:spacing w:val="-2"/>
        </w:rPr>
        <w:t> </w:t>
      </w:r>
      <w:r>
        <w:rPr/>
        <w:t>tyrosine</w:t>
      </w:r>
      <w:r>
        <w:rPr>
          <w:spacing w:val="-2"/>
        </w:rPr>
        <w:t> </w:t>
      </w:r>
      <w:r>
        <w:rPr/>
        <w:t>phosphatase (TpbA). This enzyme relays extracellular quorum sensing signals to polysaccharide</w:t>
      </w:r>
      <w:r>
        <w:rPr>
          <w:spacing w:val="40"/>
        </w:rPr>
        <w:t> </w:t>
      </w:r>
      <w:r>
        <w:rPr/>
        <w:t>production and biofilm formation outside the cells (Uedal and Wood, 2009). This gives them the</w:t>
      </w:r>
      <w:r>
        <w:rPr>
          <w:spacing w:val="-2"/>
        </w:rPr>
        <w:t> </w:t>
      </w:r>
      <w:r>
        <w:rPr/>
        <w:t>ability</w:t>
      </w:r>
      <w:r>
        <w:rPr>
          <w:spacing w:val="-2"/>
        </w:rPr>
        <w:t> </w:t>
      </w:r>
      <w:r>
        <w:rPr/>
        <w:t>to</w:t>
      </w:r>
      <w:r>
        <w:rPr>
          <w:spacing w:val="-1"/>
        </w:rPr>
        <w:t> </w:t>
      </w:r>
      <w:r>
        <w:rPr/>
        <w:t>resist</w:t>
      </w:r>
      <w:r>
        <w:rPr>
          <w:spacing w:val="-1"/>
        </w:rPr>
        <w:t> </w:t>
      </w:r>
      <w:r>
        <w:rPr/>
        <w:t>many</w:t>
      </w:r>
      <w:r>
        <w:rPr>
          <w:spacing w:val="-2"/>
        </w:rPr>
        <w:t> </w:t>
      </w:r>
      <w:r>
        <w:rPr/>
        <w:t>defenses,</w:t>
      </w:r>
      <w:r>
        <w:rPr>
          <w:spacing w:val="-2"/>
        </w:rPr>
        <w:t> </w:t>
      </w:r>
      <w:r>
        <w:rPr/>
        <w:t>including</w:t>
      </w:r>
      <w:r>
        <w:rPr>
          <w:spacing w:val="-3"/>
        </w:rPr>
        <w:t> </w:t>
      </w:r>
      <w:r>
        <w:rPr/>
        <w:t>anti-Pseudomonas</w:t>
      </w:r>
      <w:r>
        <w:rPr>
          <w:spacing w:val="-2"/>
        </w:rPr>
        <w:t> </w:t>
      </w:r>
      <w:r>
        <w:rPr/>
        <w:t>antibiotics</w:t>
      </w:r>
      <w:r>
        <w:rPr>
          <w:spacing w:val="-2"/>
        </w:rPr>
        <w:t> </w:t>
      </w:r>
      <w:r>
        <w:rPr/>
        <w:t>such</w:t>
      </w:r>
      <w:r>
        <w:rPr>
          <w:spacing w:val="-4"/>
        </w:rPr>
        <w:t> </w:t>
      </w:r>
      <w:r>
        <w:rPr/>
        <w:t>as</w:t>
      </w:r>
      <w:r>
        <w:rPr>
          <w:spacing w:val="-2"/>
        </w:rPr>
        <w:t> </w:t>
      </w:r>
      <w:r>
        <w:rPr/>
        <w:t>ticarcillin, ceftazidime, tobramycin, and ciprofloxacin, because once the bacteria sense that their outer layer of biofilm is being destroyed, the inner layers will grow stronger to reestablish the community (Smiley and Hassett, 2006).</w:t>
      </w:r>
    </w:p>
    <w:p>
      <w:pPr>
        <w:pStyle w:val="BodyText"/>
        <w:spacing w:before="12"/>
      </w:pPr>
    </w:p>
    <w:p>
      <w:pPr>
        <w:pStyle w:val="Heading4"/>
        <w:numPr>
          <w:ilvl w:val="2"/>
          <w:numId w:val="1"/>
        </w:numPr>
        <w:tabs>
          <w:tab w:pos="1100" w:val="left" w:leader="none"/>
        </w:tabs>
        <w:spacing w:line="240" w:lineRule="auto" w:before="0" w:after="0"/>
        <w:ind w:left="1100" w:right="0" w:hanging="720"/>
        <w:jc w:val="left"/>
      </w:pPr>
      <w:r>
        <w:rPr/>
        <w:t>Staphylococcus</w:t>
      </w:r>
      <w:r>
        <w:rPr>
          <w:spacing w:val="-9"/>
        </w:rPr>
        <w:t> </w:t>
      </w:r>
      <w:r>
        <w:rPr>
          <w:spacing w:val="-2"/>
        </w:rPr>
        <w:t>aureus</w:t>
      </w:r>
    </w:p>
    <w:p>
      <w:pPr>
        <w:pStyle w:val="BodyText"/>
        <w:spacing w:before="147"/>
        <w:rPr>
          <w:b/>
          <w:i/>
        </w:rPr>
      </w:pPr>
    </w:p>
    <w:p>
      <w:pPr>
        <w:pStyle w:val="BodyText"/>
        <w:ind w:left="1100"/>
      </w:pPr>
      <w:r>
        <w:rPr/>
        <w:t>Scientific</w:t>
      </w:r>
      <w:r>
        <w:rPr>
          <w:spacing w:val="-2"/>
        </w:rPr>
        <w:t> Classification:</w:t>
      </w:r>
    </w:p>
    <w:p>
      <w:pPr>
        <w:pStyle w:val="BodyText"/>
        <w:spacing w:before="31"/>
      </w:pPr>
    </w:p>
    <w:p>
      <w:pPr>
        <w:pStyle w:val="BodyText"/>
        <w:tabs>
          <w:tab w:pos="3260" w:val="left" w:leader="none"/>
        </w:tabs>
        <w:spacing w:before="1"/>
        <w:ind w:left="1100"/>
      </w:pPr>
      <w:r>
        <w:rPr>
          <w:spacing w:val="-2"/>
        </w:rPr>
        <w:t>Domain:</w:t>
      </w:r>
      <w:r>
        <w:rPr/>
        <w:tab/>
      </w:r>
      <w:r>
        <w:rPr>
          <w:spacing w:val="-2"/>
        </w:rPr>
        <w:t>Bacteria</w:t>
      </w:r>
    </w:p>
    <w:p>
      <w:pPr>
        <w:pStyle w:val="BodyText"/>
        <w:spacing w:before="34"/>
      </w:pPr>
    </w:p>
    <w:p>
      <w:pPr>
        <w:pStyle w:val="BodyText"/>
        <w:tabs>
          <w:tab w:pos="3260" w:val="left" w:leader="none"/>
        </w:tabs>
        <w:ind w:left="1100"/>
      </w:pPr>
      <w:r>
        <w:rPr>
          <w:spacing w:val="-2"/>
        </w:rPr>
        <w:t>Phylum:</w:t>
      </w:r>
      <w:r>
        <w:rPr/>
        <w:tab/>
      </w:r>
      <w:r>
        <w:rPr>
          <w:spacing w:val="-2"/>
        </w:rPr>
        <w:t>Firmicutes</w:t>
      </w:r>
    </w:p>
    <w:p>
      <w:pPr>
        <w:pStyle w:val="BodyText"/>
        <w:spacing w:before="31"/>
      </w:pPr>
    </w:p>
    <w:p>
      <w:pPr>
        <w:pStyle w:val="BodyText"/>
        <w:tabs>
          <w:tab w:pos="3260" w:val="left" w:leader="none"/>
        </w:tabs>
        <w:ind w:left="1100"/>
      </w:pPr>
      <w:r>
        <w:rPr>
          <w:spacing w:val="-2"/>
        </w:rPr>
        <w:t>Class:</w:t>
      </w:r>
      <w:r>
        <w:rPr/>
        <w:tab/>
      </w:r>
      <w:r>
        <w:rPr>
          <w:spacing w:val="-2"/>
        </w:rPr>
        <w:t>Bacilli</w:t>
      </w:r>
    </w:p>
    <w:p>
      <w:pPr>
        <w:pStyle w:val="BodyText"/>
        <w:spacing w:before="32"/>
      </w:pPr>
    </w:p>
    <w:p>
      <w:pPr>
        <w:pStyle w:val="BodyText"/>
        <w:tabs>
          <w:tab w:pos="3260" w:val="left" w:leader="none"/>
        </w:tabs>
        <w:spacing w:before="1"/>
        <w:ind w:left="1100"/>
      </w:pPr>
      <w:r>
        <w:rPr>
          <w:spacing w:val="-2"/>
        </w:rPr>
        <w:t>Order:</w:t>
      </w:r>
      <w:r>
        <w:rPr/>
        <w:tab/>
      </w:r>
      <w:r>
        <w:rPr>
          <w:spacing w:val="-2"/>
        </w:rPr>
        <w:t>Bacillales</w:t>
      </w:r>
    </w:p>
    <w:p>
      <w:pPr>
        <w:pStyle w:val="BodyText"/>
        <w:spacing w:before="33"/>
      </w:pPr>
    </w:p>
    <w:p>
      <w:pPr>
        <w:tabs>
          <w:tab w:pos="2540" w:val="left" w:leader="none"/>
          <w:tab w:pos="3260" w:val="left" w:leader="none"/>
        </w:tabs>
        <w:spacing w:line="508" w:lineRule="auto" w:before="1"/>
        <w:ind w:left="1100" w:right="5762" w:firstLine="0"/>
        <w:jc w:val="left"/>
        <w:rPr>
          <w:i/>
          <w:sz w:val="22"/>
        </w:rPr>
      </w:pPr>
      <w:r>
        <w:rPr>
          <w:spacing w:val="-2"/>
          <w:sz w:val="22"/>
        </w:rPr>
        <w:t>Family:</w:t>
      </w:r>
      <w:r>
        <w:rPr>
          <w:sz w:val="22"/>
        </w:rPr>
        <w:tab/>
      </w:r>
      <w:r>
        <w:rPr>
          <w:spacing w:val="-2"/>
          <w:sz w:val="22"/>
        </w:rPr>
        <w:t>Staphylococcaceae Genus:</w:t>
      </w:r>
      <w:r>
        <w:rPr>
          <w:sz w:val="22"/>
        </w:rPr>
        <w:tab/>
        <w:tab/>
      </w:r>
      <w:r>
        <w:rPr>
          <w:i/>
          <w:spacing w:val="-2"/>
          <w:sz w:val="22"/>
        </w:rPr>
        <w:t>Staphylococcus</w:t>
      </w:r>
    </w:p>
    <w:p>
      <w:pPr>
        <w:tabs>
          <w:tab w:pos="3260" w:val="left" w:leader="none"/>
        </w:tabs>
        <w:spacing w:before="1"/>
        <w:ind w:left="1100" w:right="0" w:firstLine="0"/>
        <w:jc w:val="left"/>
        <w:rPr>
          <w:i/>
          <w:sz w:val="22"/>
        </w:rPr>
      </w:pPr>
      <w:r>
        <w:rPr>
          <w:spacing w:val="-2"/>
          <w:sz w:val="22"/>
        </w:rPr>
        <w:t>Species:</w:t>
      </w:r>
      <w:r>
        <w:rPr>
          <w:sz w:val="22"/>
        </w:rPr>
        <w:tab/>
      </w:r>
      <w:r>
        <w:rPr>
          <w:i/>
          <w:sz w:val="22"/>
        </w:rPr>
        <w:t>S. </w:t>
      </w:r>
      <w:r>
        <w:rPr>
          <w:i/>
          <w:spacing w:val="-2"/>
          <w:sz w:val="22"/>
        </w:rPr>
        <w:t>aureus</w:t>
      </w:r>
    </w:p>
    <w:p>
      <w:pPr>
        <w:pStyle w:val="BodyText"/>
        <w:spacing w:before="26"/>
        <w:rPr>
          <w:i/>
        </w:rPr>
      </w:pPr>
    </w:p>
    <w:p>
      <w:pPr>
        <w:tabs>
          <w:tab w:pos="3260" w:val="left" w:leader="none"/>
        </w:tabs>
        <w:spacing w:before="1"/>
        <w:ind w:left="1100" w:right="0" w:firstLine="0"/>
        <w:jc w:val="left"/>
        <w:rPr>
          <w:rFonts w:ascii="Times New Roman"/>
          <w:i/>
          <w:sz w:val="24"/>
        </w:rPr>
      </w:pPr>
      <w:r>
        <w:rPr>
          <w:rFonts w:ascii="Times New Roman"/>
          <w:sz w:val="24"/>
        </w:rPr>
        <w:t>Binomial</w:t>
      </w:r>
      <w:r>
        <w:rPr>
          <w:rFonts w:ascii="Times New Roman"/>
          <w:spacing w:val="-2"/>
          <w:sz w:val="24"/>
        </w:rPr>
        <w:t> name:</w:t>
      </w:r>
      <w:r>
        <w:rPr>
          <w:rFonts w:ascii="Times New Roman"/>
          <w:sz w:val="24"/>
        </w:rPr>
        <w:tab/>
      </w:r>
      <w:r>
        <w:rPr>
          <w:rFonts w:ascii="Times New Roman"/>
          <w:i/>
          <w:sz w:val="24"/>
        </w:rPr>
        <w:t>Staphylococcus</w:t>
      </w:r>
      <w:r>
        <w:rPr>
          <w:rFonts w:ascii="Times New Roman"/>
          <w:i/>
          <w:spacing w:val="-3"/>
          <w:sz w:val="24"/>
        </w:rPr>
        <w:t> </w:t>
      </w:r>
      <w:r>
        <w:rPr>
          <w:rFonts w:ascii="Times New Roman"/>
          <w:i/>
          <w:spacing w:val="-2"/>
          <w:sz w:val="24"/>
        </w:rPr>
        <w:t>aureus</w:t>
      </w:r>
    </w:p>
    <w:p>
      <w:pPr>
        <w:pStyle w:val="BodyText"/>
        <w:rPr>
          <w:rFonts w:ascii="Times New Roman"/>
          <w:i/>
          <w:sz w:val="24"/>
        </w:rPr>
      </w:pPr>
    </w:p>
    <w:p>
      <w:pPr>
        <w:pStyle w:val="BodyText"/>
        <w:spacing w:before="5"/>
        <w:rPr>
          <w:rFonts w:ascii="Times New Roman"/>
          <w:i/>
          <w:sz w:val="24"/>
        </w:rPr>
      </w:pPr>
    </w:p>
    <w:p>
      <w:pPr>
        <w:spacing w:line="480" w:lineRule="auto" w:before="0"/>
        <w:ind w:left="1100" w:right="976" w:firstLine="720"/>
        <w:jc w:val="both"/>
        <w:rPr>
          <w:rFonts w:ascii="Times New Roman"/>
          <w:sz w:val="24"/>
        </w:rPr>
      </w:pPr>
      <w:r>
        <w:rPr>
          <w:rFonts w:ascii="Times New Roman"/>
          <w:sz w:val="24"/>
        </w:rPr>
        <w:t>The name </w:t>
      </w:r>
      <w:r>
        <w:rPr>
          <w:rFonts w:ascii="Times New Roman"/>
          <w:i/>
          <w:sz w:val="24"/>
        </w:rPr>
        <w:t>Staphylococcus </w:t>
      </w:r>
      <w:r>
        <w:rPr>
          <w:rFonts w:ascii="Times New Roman"/>
          <w:sz w:val="24"/>
        </w:rPr>
        <w:t>comes from the Greek </w:t>
      </w:r>
      <w:r>
        <w:rPr>
          <w:rFonts w:ascii="Times New Roman"/>
          <w:i/>
          <w:sz w:val="24"/>
        </w:rPr>
        <w:t>Staphyle</w:t>
      </w:r>
      <w:r>
        <w:rPr>
          <w:rFonts w:ascii="Times New Roman"/>
          <w:sz w:val="24"/>
        </w:rPr>
        <w:t>, meaning a bunch</w:t>
      </w:r>
      <w:r>
        <w:rPr>
          <w:rFonts w:ascii="Times New Roman"/>
          <w:spacing w:val="40"/>
          <w:sz w:val="24"/>
        </w:rPr>
        <w:t> </w:t>
      </w:r>
      <w:r>
        <w:rPr>
          <w:rFonts w:ascii="Times New Roman"/>
          <w:sz w:val="24"/>
        </w:rPr>
        <w:t>of grapes, and </w:t>
      </w:r>
      <w:r>
        <w:rPr>
          <w:rFonts w:ascii="Times New Roman"/>
          <w:i/>
          <w:sz w:val="24"/>
        </w:rPr>
        <w:t>kokkos</w:t>
      </w:r>
      <w:r>
        <w:rPr>
          <w:rFonts w:ascii="Times New Roman"/>
          <w:sz w:val="24"/>
        </w:rPr>
        <w:t>, meaning berry. </w:t>
      </w:r>
      <w:r>
        <w:rPr>
          <w:rFonts w:ascii="Times New Roman"/>
          <w:i/>
          <w:sz w:val="24"/>
        </w:rPr>
        <w:t>Staphylococci </w:t>
      </w:r>
      <w:r>
        <w:rPr>
          <w:rFonts w:ascii="Times New Roman"/>
          <w:sz w:val="24"/>
        </w:rPr>
        <w:t>are Gram-positive, facultative anaerobic, usually</w:t>
      </w:r>
      <w:r>
        <w:rPr>
          <w:rFonts w:ascii="Times New Roman"/>
          <w:spacing w:val="-1"/>
          <w:sz w:val="24"/>
        </w:rPr>
        <w:t> </w:t>
      </w:r>
      <w:r>
        <w:rPr>
          <w:rFonts w:ascii="Times New Roman"/>
          <w:sz w:val="24"/>
        </w:rPr>
        <w:t>unencapsulated cocci. </w:t>
      </w:r>
      <w:r>
        <w:rPr>
          <w:rFonts w:ascii="Times New Roman"/>
          <w:i/>
          <w:sz w:val="24"/>
        </w:rPr>
        <w:t>Staphylococcus aureus </w:t>
      </w:r>
      <w:r>
        <w:rPr>
          <w:rFonts w:ascii="Times New Roman"/>
          <w:sz w:val="24"/>
        </w:rPr>
        <w:t>is a </w:t>
      </w:r>
      <w:hyperlink r:id="rId104">
        <w:r>
          <w:rPr>
            <w:rFonts w:ascii="Times New Roman"/>
            <w:sz w:val="24"/>
          </w:rPr>
          <w:t>bacterium</w:t>
        </w:r>
      </w:hyperlink>
      <w:r>
        <w:rPr>
          <w:rFonts w:ascii="Times New Roman"/>
          <w:sz w:val="24"/>
        </w:rPr>
        <w:t> that is a member of the </w:t>
      </w:r>
      <w:hyperlink r:id="rId192">
        <w:r>
          <w:rPr>
            <w:rFonts w:ascii="Times New Roman"/>
            <w:sz w:val="24"/>
          </w:rPr>
          <w:t>Firmicutes</w:t>
        </w:r>
      </w:hyperlink>
      <w:r>
        <w:rPr>
          <w:rFonts w:ascii="Times New Roman"/>
          <w:sz w:val="24"/>
        </w:rPr>
        <w:t>, and is frequently found in the human respiratory tract</w:t>
      </w:r>
      <w:r>
        <w:rPr>
          <w:rFonts w:ascii="Times New Roman"/>
          <w:spacing w:val="80"/>
          <w:sz w:val="24"/>
        </w:rPr>
        <w:t> </w:t>
      </w:r>
      <w:r>
        <w:rPr>
          <w:rFonts w:ascii="Times New Roman"/>
          <w:sz w:val="24"/>
        </w:rPr>
        <w:t>and on the skin. </w:t>
      </w:r>
      <w:r>
        <w:rPr>
          <w:rFonts w:ascii="Times New Roman"/>
          <w:i/>
          <w:sz w:val="24"/>
        </w:rPr>
        <w:t>Staphylococcus aureus </w:t>
      </w:r>
      <w:r>
        <w:rPr>
          <w:rFonts w:ascii="Times New Roman"/>
          <w:sz w:val="24"/>
        </w:rPr>
        <w:t>appears as </w:t>
      </w:r>
      <w:hyperlink r:id="rId193">
        <w:r>
          <w:rPr>
            <w:rFonts w:ascii="Times New Roman"/>
            <w:sz w:val="24"/>
          </w:rPr>
          <w:t>grape</w:t>
        </w:r>
      </w:hyperlink>
      <w:r>
        <w:rPr>
          <w:rFonts w:ascii="Times New Roman"/>
          <w:sz w:val="24"/>
        </w:rPr>
        <w:t>-like clusters when viewed through a microscope, and has large, round, golden-yellow colonies, often with </w:t>
      </w:r>
      <w:hyperlink r:id="rId129">
        <w:r>
          <w:rPr>
            <w:rFonts w:ascii="Times New Roman"/>
            <w:sz w:val="24"/>
          </w:rPr>
          <w:t>hemolysis,</w:t>
        </w:r>
      </w:hyperlink>
      <w:r>
        <w:rPr>
          <w:rFonts w:ascii="Times New Roman"/>
          <w:sz w:val="24"/>
        </w:rPr>
        <w:t> when grown on </w:t>
      </w:r>
      <w:hyperlink r:id="rId194">
        <w:r>
          <w:rPr>
            <w:rFonts w:ascii="Times New Roman"/>
            <w:sz w:val="24"/>
          </w:rPr>
          <w:t>blood agar plates</w:t>
        </w:r>
      </w:hyperlink>
      <w:r>
        <w:rPr>
          <w:rFonts w:ascii="Times New Roman"/>
          <w:sz w:val="24"/>
        </w:rPr>
        <w:t> (Ryan and Ray, 2004).</w:t>
      </w:r>
    </w:p>
    <w:p>
      <w:pPr>
        <w:spacing w:after="0" w:line="480" w:lineRule="auto"/>
        <w:jc w:val="both"/>
        <w:rPr>
          <w:rFonts w:ascii="Times New Roman"/>
          <w:sz w:val="24"/>
        </w:rPr>
        <w:sectPr>
          <w:pgSz w:w="11910" w:h="16840"/>
          <w:pgMar w:header="0" w:footer="1055" w:top="1380" w:bottom="1240" w:left="1060" w:right="460"/>
        </w:sectPr>
      </w:pPr>
    </w:p>
    <w:p>
      <w:pPr>
        <w:pStyle w:val="BodyText"/>
        <w:spacing w:line="480" w:lineRule="auto" w:before="38"/>
        <w:ind w:left="1100" w:right="972" w:firstLine="720"/>
        <w:jc w:val="both"/>
      </w:pPr>
      <w:r>
        <w:rPr>
          <w:i/>
        </w:rPr>
        <w:t>Staphylococcus aureus </w:t>
      </w:r>
      <w:r>
        <w:rPr/>
        <w:t>is </w:t>
      </w:r>
      <w:hyperlink r:id="rId195">
        <w:r>
          <w:rPr/>
          <w:t>catalase</w:t>
        </w:r>
      </w:hyperlink>
      <w:r>
        <w:rPr/>
        <w:t>-positive (meaning it can produce the enzyme catalase), so is able to convert </w:t>
      </w:r>
      <w:hyperlink r:id="rId65">
        <w:r>
          <w:rPr/>
          <w:t>hydrogen peroxide</w:t>
        </w:r>
      </w:hyperlink>
      <w:r>
        <w:rPr/>
        <w:t> (H</w:t>
      </w:r>
      <w:r>
        <w:rPr>
          <w:vertAlign w:val="subscript"/>
        </w:rPr>
        <w:t>2</w:t>
      </w:r>
      <w:r>
        <w:rPr>
          <w:vertAlign w:val="baseline"/>
        </w:rPr>
        <w:t>O</w:t>
      </w:r>
      <w:r>
        <w:rPr>
          <w:vertAlign w:val="subscript"/>
        </w:rPr>
        <w:t>2</w:t>
      </w:r>
      <w:r>
        <w:rPr>
          <w:vertAlign w:val="baseline"/>
        </w:rPr>
        <w:t>) to water and oxygen. This test is sometimes</w:t>
      </w:r>
      <w:r>
        <w:rPr>
          <w:spacing w:val="-2"/>
          <w:vertAlign w:val="baseline"/>
        </w:rPr>
        <w:t> </w:t>
      </w:r>
      <w:r>
        <w:rPr>
          <w:vertAlign w:val="baseline"/>
        </w:rPr>
        <w:t>used</w:t>
      </w:r>
      <w:r>
        <w:rPr>
          <w:spacing w:val="-2"/>
          <w:vertAlign w:val="baseline"/>
        </w:rPr>
        <w:t> </w:t>
      </w:r>
      <w:r>
        <w:rPr>
          <w:vertAlign w:val="baseline"/>
        </w:rPr>
        <w:t>to</w:t>
      </w:r>
      <w:r>
        <w:rPr>
          <w:spacing w:val="-1"/>
          <w:vertAlign w:val="baseline"/>
        </w:rPr>
        <w:t> </w:t>
      </w:r>
      <w:r>
        <w:rPr>
          <w:vertAlign w:val="baseline"/>
        </w:rPr>
        <w:t>distinguish </w:t>
      </w:r>
      <w:r>
        <w:rPr>
          <w:i/>
          <w:vertAlign w:val="baseline"/>
        </w:rPr>
        <w:t>Staphylococci</w:t>
      </w:r>
      <w:r>
        <w:rPr>
          <w:i/>
          <w:spacing w:val="-3"/>
          <w:vertAlign w:val="baseline"/>
        </w:rPr>
        <w:t> </w:t>
      </w:r>
      <w:r>
        <w:rPr>
          <w:vertAlign w:val="baseline"/>
        </w:rPr>
        <w:t>from </w:t>
      </w:r>
      <w:hyperlink r:id="rId196">
        <w:r>
          <w:rPr>
            <w:i/>
            <w:vertAlign w:val="baseline"/>
          </w:rPr>
          <w:t>Enterococci</w:t>
        </w:r>
      </w:hyperlink>
      <w:r>
        <w:rPr>
          <w:i/>
          <w:spacing w:val="-2"/>
          <w:vertAlign w:val="baseline"/>
        </w:rPr>
        <w:t> </w:t>
      </w:r>
      <w:r>
        <w:rPr>
          <w:vertAlign w:val="baseline"/>
        </w:rPr>
        <w:t>and</w:t>
      </w:r>
      <w:r>
        <w:rPr>
          <w:spacing w:val="-3"/>
          <w:vertAlign w:val="baseline"/>
        </w:rPr>
        <w:t> </w:t>
      </w:r>
      <w:hyperlink r:id="rId130">
        <w:r>
          <w:rPr>
            <w:i/>
            <w:vertAlign w:val="baseline"/>
          </w:rPr>
          <w:t>Streptococci</w:t>
        </w:r>
      </w:hyperlink>
      <w:r>
        <w:rPr>
          <w:vertAlign w:val="baseline"/>
        </w:rPr>
        <w:t>.</w:t>
      </w:r>
      <w:r>
        <w:rPr>
          <w:spacing w:val="-2"/>
          <w:vertAlign w:val="baseline"/>
        </w:rPr>
        <w:t> </w:t>
      </w:r>
      <w:r>
        <w:rPr>
          <w:vertAlign w:val="baseline"/>
        </w:rPr>
        <w:t>Previously </w:t>
      </w:r>
      <w:r>
        <w:rPr>
          <w:i/>
          <w:vertAlign w:val="baseline"/>
        </w:rPr>
        <w:t>S. aureus </w:t>
      </w:r>
      <w:r>
        <w:rPr>
          <w:vertAlign w:val="baseline"/>
        </w:rPr>
        <w:t>was differentiated from other </w:t>
      </w:r>
      <w:r>
        <w:rPr>
          <w:i/>
          <w:vertAlign w:val="baseline"/>
        </w:rPr>
        <w:t>Staphylococci </w:t>
      </w:r>
      <w:r>
        <w:rPr>
          <w:vertAlign w:val="baseline"/>
        </w:rPr>
        <w:t>by the </w:t>
      </w:r>
      <w:hyperlink r:id="rId197">
        <w:r>
          <w:rPr>
            <w:vertAlign w:val="baseline"/>
          </w:rPr>
          <w:t>coagulase test.</w:t>
        </w:r>
      </w:hyperlink>
      <w:r>
        <w:rPr>
          <w:vertAlign w:val="baseline"/>
        </w:rPr>
        <w:t> However it is now known that not all </w:t>
      </w:r>
      <w:r>
        <w:rPr>
          <w:i/>
          <w:vertAlign w:val="baseline"/>
        </w:rPr>
        <w:t>S. aureus </w:t>
      </w:r>
      <w:r>
        <w:rPr>
          <w:vertAlign w:val="baseline"/>
        </w:rPr>
        <w:t>are coagulase positive (Ryan and Ray, 2004), and that incorrect species identification</w:t>
      </w:r>
      <w:r>
        <w:rPr>
          <w:spacing w:val="-1"/>
          <w:vertAlign w:val="baseline"/>
        </w:rPr>
        <w:t> </w:t>
      </w:r>
      <w:r>
        <w:rPr>
          <w:vertAlign w:val="baseline"/>
        </w:rPr>
        <w:t>can</w:t>
      </w:r>
      <w:r>
        <w:rPr>
          <w:spacing w:val="-1"/>
          <w:vertAlign w:val="baseline"/>
        </w:rPr>
        <w:t> </w:t>
      </w:r>
      <w:r>
        <w:rPr>
          <w:vertAlign w:val="baseline"/>
        </w:rPr>
        <w:t>impact</w:t>
      </w:r>
      <w:r>
        <w:rPr>
          <w:spacing w:val="-3"/>
          <w:vertAlign w:val="baseline"/>
        </w:rPr>
        <w:t> </w:t>
      </w:r>
      <w:r>
        <w:rPr>
          <w:vertAlign w:val="baseline"/>
        </w:rPr>
        <w:t>effective treatment</w:t>
      </w:r>
      <w:r>
        <w:rPr>
          <w:spacing w:val="-3"/>
          <w:vertAlign w:val="baseline"/>
        </w:rPr>
        <w:t> </w:t>
      </w:r>
      <w:r>
        <w:rPr>
          <w:vertAlign w:val="baseline"/>
        </w:rPr>
        <w:t>and</w:t>
      </w:r>
      <w:r>
        <w:rPr>
          <w:spacing w:val="-2"/>
          <w:vertAlign w:val="baseline"/>
        </w:rPr>
        <w:t> </w:t>
      </w:r>
      <w:r>
        <w:rPr>
          <w:vertAlign w:val="baseline"/>
        </w:rPr>
        <w:t>control</w:t>
      </w:r>
      <w:r>
        <w:rPr>
          <w:spacing w:val="-1"/>
          <w:vertAlign w:val="baseline"/>
        </w:rPr>
        <w:t> </w:t>
      </w:r>
      <w:r>
        <w:rPr>
          <w:vertAlign w:val="baseline"/>
        </w:rPr>
        <w:t>measures</w:t>
      </w:r>
      <w:r>
        <w:rPr>
          <w:spacing w:val="-1"/>
          <w:vertAlign w:val="baseline"/>
        </w:rPr>
        <w:t> </w:t>
      </w:r>
      <w:r>
        <w:rPr>
          <w:vertAlign w:val="baseline"/>
        </w:rPr>
        <w:t>(Matthews </w:t>
      </w:r>
      <w:r>
        <w:rPr>
          <w:i/>
          <w:vertAlign w:val="baseline"/>
        </w:rPr>
        <w:t>et al</w:t>
      </w:r>
      <w:r>
        <w:rPr>
          <w:vertAlign w:val="baseline"/>
        </w:rPr>
        <w:t>., 1997). Some strains of </w:t>
      </w:r>
      <w:r>
        <w:rPr>
          <w:i/>
          <w:vertAlign w:val="baseline"/>
        </w:rPr>
        <w:t>S. aureus </w:t>
      </w:r>
      <w:r>
        <w:rPr>
          <w:vertAlign w:val="baseline"/>
        </w:rPr>
        <w:t>are capable of producing </w:t>
      </w:r>
      <w:hyperlink r:id="rId198">
        <w:r>
          <w:rPr>
            <w:vertAlign w:val="baseline"/>
          </w:rPr>
          <w:t>staphyloxanthin</w:t>
        </w:r>
      </w:hyperlink>
      <w:r>
        <w:rPr>
          <w:vertAlign w:val="baseline"/>
        </w:rPr>
        <w:t> - a golden coloured </w:t>
      </w:r>
      <w:hyperlink r:id="rId199">
        <w:r>
          <w:rPr>
            <w:vertAlign w:val="baseline"/>
          </w:rPr>
          <w:t>carotenoid</w:t>
        </w:r>
      </w:hyperlink>
      <w:r>
        <w:rPr>
          <w:vertAlign w:val="baseline"/>
        </w:rPr>
        <w:t> </w:t>
      </w:r>
      <w:hyperlink r:id="rId200">
        <w:r>
          <w:rPr>
            <w:vertAlign w:val="baseline"/>
          </w:rPr>
          <w:t>pigment</w:t>
        </w:r>
      </w:hyperlink>
      <w:r>
        <w:rPr>
          <w:vertAlign w:val="baseline"/>
        </w:rPr>
        <w:t>. This pigment acts as a </w:t>
      </w:r>
      <w:hyperlink r:id="rId201">
        <w:r>
          <w:rPr>
            <w:vertAlign w:val="baseline"/>
          </w:rPr>
          <w:t>virulence factor</w:t>
        </w:r>
      </w:hyperlink>
      <w:r>
        <w:rPr>
          <w:vertAlign w:val="baseline"/>
        </w:rPr>
        <w:t>, primarily by being a bacterial </w:t>
      </w:r>
      <w:hyperlink r:id="rId202">
        <w:r>
          <w:rPr>
            <w:vertAlign w:val="baseline"/>
          </w:rPr>
          <w:t>antioxidant</w:t>
        </w:r>
      </w:hyperlink>
      <w:r>
        <w:rPr>
          <w:vertAlign w:val="baseline"/>
        </w:rPr>
        <w:t> which helps the microbe evade the </w:t>
      </w:r>
      <w:hyperlink r:id="rId203">
        <w:r>
          <w:rPr>
            <w:vertAlign w:val="baseline"/>
          </w:rPr>
          <w:t>reactive oxygen species</w:t>
        </w:r>
      </w:hyperlink>
      <w:r>
        <w:rPr>
          <w:vertAlign w:val="baseline"/>
        </w:rPr>
        <w:t> which the host immune system uses to kill pathogens (Clauditz </w:t>
      </w:r>
      <w:r>
        <w:rPr>
          <w:i/>
          <w:vertAlign w:val="baseline"/>
        </w:rPr>
        <w:t>et al</w:t>
      </w:r>
      <w:r>
        <w:rPr>
          <w:vertAlign w:val="baseline"/>
        </w:rPr>
        <w:t>., 2006; Liu </w:t>
      </w:r>
      <w:r>
        <w:rPr>
          <w:i/>
          <w:vertAlign w:val="baseline"/>
        </w:rPr>
        <w:t>et al</w:t>
      </w:r>
      <w:r>
        <w:rPr>
          <w:vertAlign w:val="baseline"/>
        </w:rPr>
        <w:t>., 2005).</w:t>
      </w:r>
    </w:p>
    <w:p>
      <w:pPr>
        <w:pStyle w:val="BodyText"/>
        <w:spacing w:before="13"/>
      </w:pPr>
    </w:p>
    <w:p>
      <w:pPr>
        <w:pStyle w:val="ListParagraph"/>
        <w:numPr>
          <w:ilvl w:val="3"/>
          <w:numId w:val="1"/>
        </w:numPr>
        <w:tabs>
          <w:tab w:pos="1098" w:val="left" w:leader="none"/>
        </w:tabs>
        <w:spacing w:line="240" w:lineRule="auto" w:before="1" w:after="0"/>
        <w:ind w:left="1098" w:right="0" w:hanging="718"/>
        <w:jc w:val="left"/>
        <w:rPr>
          <w:i/>
          <w:sz w:val="22"/>
        </w:rPr>
      </w:pPr>
      <w:r>
        <w:rPr>
          <w:i/>
          <w:sz w:val="22"/>
        </w:rPr>
        <w:t>Significance</w:t>
      </w:r>
      <w:r>
        <w:rPr>
          <w:i/>
          <w:spacing w:val="-7"/>
          <w:sz w:val="22"/>
        </w:rPr>
        <w:t> </w:t>
      </w:r>
      <w:r>
        <w:rPr>
          <w:i/>
          <w:sz w:val="22"/>
        </w:rPr>
        <w:t>and</w:t>
      </w:r>
      <w:r>
        <w:rPr>
          <w:i/>
          <w:spacing w:val="-8"/>
          <w:sz w:val="22"/>
        </w:rPr>
        <w:t> </w:t>
      </w:r>
      <w:r>
        <w:rPr>
          <w:i/>
          <w:sz w:val="22"/>
        </w:rPr>
        <w:t>Health</w:t>
      </w:r>
      <w:r>
        <w:rPr>
          <w:i/>
          <w:spacing w:val="-7"/>
          <w:sz w:val="22"/>
        </w:rPr>
        <w:t> </w:t>
      </w:r>
      <w:r>
        <w:rPr>
          <w:i/>
          <w:sz w:val="22"/>
        </w:rPr>
        <w:t>Implications</w:t>
      </w:r>
      <w:r>
        <w:rPr>
          <w:i/>
          <w:spacing w:val="-6"/>
          <w:sz w:val="22"/>
        </w:rPr>
        <w:t> </w:t>
      </w:r>
      <w:r>
        <w:rPr>
          <w:i/>
          <w:sz w:val="22"/>
        </w:rPr>
        <w:t>of</w:t>
      </w:r>
      <w:r>
        <w:rPr>
          <w:i/>
          <w:spacing w:val="-6"/>
          <w:sz w:val="22"/>
        </w:rPr>
        <w:t> </w:t>
      </w:r>
      <w:r>
        <w:rPr>
          <w:i/>
          <w:sz w:val="22"/>
        </w:rPr>
        <w:t>Staphylococcus</w:t>
      </w:r>
      <w:r>
        <w:rPr>
          <w:i/>
          <w:spacing w:val="-6"/>
          <w:sz w:val="22"/>
        </w:rPr>
        <w:t> </w:t>
      </w:r>
      <w:r>
        <w:rPr>
          <w:i/>
          <w:spacing w:val="-2"/>
          <w:sz w:val="22"/>
        </w:rPr>
        <w:t>aureus</w:t>
      </w:r>
    </w:p>
    <w:p>
      <w:pPr>
        <w:pStyle w:val="BodyText"/>
        <w:rPr>
          <w:i/>
        </w:rPr>
      </w:pPr>
    </w:p>
    <w:p>
      <w:pPr>
        <w:pStyle w:val="BodyText"/>
        <w:spacing w:before="10"/>
        <w:rPr>
          <w:i/>
        </w:rPr>
      </w:pPr>
    </w:p>
    <w:p>
      <w:pPr>
        <w:pStyle w:val="BodyText"/>
        <w:spacing w:line="480" w:lineRule="auto"/>
        <w:ind w:left="1100" w:right="970" w:firstLine="720"/>
        <w:jc w:val="both"/>
      </w:pPr>
      <w:r>
        <w:rPr/>
        <w:t>It is estimated that 20% of the human population are long-term carriers of </w:t>
      </w:r>
      <w:r>
        <w:rPr>
          <w:i/>
        </w:rPr>
        <w:t>S. aureus </w:t>
      </w:r>
      <w:r>
        <w:rPr/>
        <w:t>(Kluytmans </w:t>
      </w:r>
      <w:r>
        <w:rPr>
          <w:i/>
        </w:rPr>
        <w:t>et al</w:t>
      </w:r>
      <w:r>
        <w:rPr/>
        <w:t>., 1997) which can be found as part of the normal </w:t>
      </w:r>
      <w:hyperlink r:id="rId204">
        <w:r>
          <w:rPr/>
          <w:t>skin flora</w:t>
        </w:r>
      </w:hyperlink>
      <w:r>
        <w:rPr/>
        <w:t> and in anterior nares of</w:t>
      </w:r>
      <w:r>
        <w:rPr>
          <w:spacing w:val="-2"/>
        </w:rPr>
        <w:t> </w:t>
      </w:r>
      <w:r>
        <w:rPr/>
        <w:t>the</w:t>
      </w:r>
      <w:r>
        <w:rPr>
          <w:spacing w:val="-2"/>
        </w:rPr>
        <w:t> </w:t>
      </w:r>
      <w:r>
        <w:rPr/>
        <w:t>nasal passages</w:t>
      </w:r>
      <w:r>
        <w:rPr>
          <w:spacing w:val="-2"/>
        </w:rPr>
        <w:t> </w:t>
      </w:r>
      <w:r>
        <w:rPr/>
        <w:t>(Kluytmans </w:t>
      </w:r>
      <w:r>
        <w:rPr>
          <w:i/>
        </w:rPr>
        <w:t>et al</w:t>
      </w:r>
      <w:r>
        <w:rPr/>
        <w:t>.,</w:t>
      </w:r>
      <w:r>
        <w:rPr>
          <w:spacing w:val="-2"/>
        </w:rPr>
        <w:t> </w:t>
      </w:r>
      <w:r>
        <w:rPr/>
        <w:t>1997; Cole </w:t>
      </w:r>
      <w:r>
        <w:rPr>
          <w:i/>
        </w:rPr>
        <w:t>et al</w:t>
      </w:r>
      <w:r>
        <w:rPr/>
        <w:t>.,</w:t>
      </w:r>
      <w:r>
        <w:rPr>
          <w:spacing w:val="-2"/>
        </w:rPr>
        <w:t> </w:t>
      </w:r>
      <w:r>
        <w:rPr/>
        <w:t>2001).</w:t>
      </w:r>
      <w:r>
        <w:rPr>
          <w:spacing w:val="-2"/>
        </w:rPr>
        <w:t> </w:t>
      </w:r>
      <w:r>
        <w:rPr>
          <w:i/>
        </w:rPr>
        <w:t>Staphylococcus aureus </w:t>
      </w:r>
      <w:r>
        <w:rPr/>
        <w:t>can cause a range of illnesses, from minor skin </w:t>
      </w:r>
      <w:hyperlink r:id="rId205">
        <w:r>
          <w:rPr/>
          <w:t>infections</w:t>
        </w:r>
      </w:hyperlink>
      <w:r>
        <w:rPr/>
        <w:t>, such as </w:t>
      </w:r>
      <w:hyperlink r:id="rId206">
        <w:r>
          <w:rPr/>
          <w:t>pimples</w:t>
        </w:r>
      </w:hyperlink>
      <w:r>
        <w:rPr/>
        <w:t>, </w:t>
      </w:r>
      <w:hyperlink r:id="rId207">
        <w:r>
          <w:rPr/>
          <w:t>impetigo</w:t>
        </w:r>
      </w:hyperlink>
      <w:r>
        <w:rPr/>
        <w:t>, </w:t>
      </w:r>
      <w:hyperlink r:id="rId208">
        <w:r>
          <w:rPr/>
          <w:t>boils</w:t>
        </w:r>
      </w:hyperlink>
      <w:r>
        <w:rPr/>
        <w:t> (furuncles), </w:t>
      </w:r>
      <w:hyperlink r:id="rId144">
        <w:r>
          <w:rPr/>
          <w:t>cellulitis</w:t>
        </w:r>
      </w:hyperlink>
      <w:r>
        <w:rPr/>
        <w:t> folliculitis, </w:t>
      </w:r>
      <w:hyperlink r:id="rId209">
        <w:r>
          <w:rPr/>
          <w:t>carbuncles</w:t>
        </w:r>
      </w:hyperlink>
      <w:r>
        <w:rPr/>
        <w:t>, </w:t>
      </w:r>
      <w:hyperlink r:id="rId210">
        <w:r>
          <w:rPr/>
          <w:t>scalded skin syndrome</w:t>
        </w:r>
      </w:hyperlink>
      <w:r>
        <w:rPr/>
        <w:t>, and </w:t>
      </w:r>
      <w:hyperlink r:id="rId211">
        <w:r>
          <w:rPr/>
          <w:t>abscesses</w:t>
        </w:r>
      </w:hyperlink>
      <w:r>
        <w:rPr/>
        <w:t>, to life- threatening diseases such as </w:t>
      </w:r>
      <w:hyperlink r:id="rId96">
        <w:r>
          <w:rPr/>
          <w:t>pneumonia,</w:t>
        </w:r>
      </w:hyperlink>
      <w:r>
        <w:rPr/>
        <w:t> </w:t>
      </w:r>
      <w:hyperlink r:id="rId137">
        <w:r>
          <w:rPr/>
          <w:t>meningitis,</w:t>
        </w:r>
      </w:hyperlink>
      <w:r>
        <w:rPr/>
        <w:t> </w:t>
      </w:r>
      <w:hyperlink r:id="rId139">
        <w:r>
          <w:rPr/>
          <w:t>osteomyelitis</w:t>
        </w:r>
      </w:hyperlink>
      <w:r>
        <w:rPr/>
        <w:t>, </w:t>
      </w:r>
      <w:hyperlink r:id="rId141">
        <w:r>
          <w:rPr/>
          <w:t>endocarditis,</w:t>
        </w:r>
      </w:hyperlink>
      <w:r>
        <w:rPr/>
        <w:t> </w:t>
      </w:r>
      <w:hyperlink r:id="rId121">
        <w:r>
          <w:rPr/>
          <w:t>Toxic</w:t>
        </w:r>
      </w:hyperlink>
      <w:r>
        <w:rPr>
          <w:spacing w:val="80"/>
        </w:rPr>
        <w:t> </w:t>
      </w:r>
      <w:hyperlink r:id="rId121">
        <w:r>
          <w:rPr/>
          <w:t>Shock Syndrome</w:t>
        </w:r>
      </w:hyperlink>
      <w:r>
        <w:rPr/>
        <w:t> (TSS), </w:t>
      </w:r>
      <w:hyperlink r:id="rId138">
        <w:r>
          <w:rPr/>
          <w:t>bacteremia</w:t>
        </w:r>
      </w:hyperlink>
      <w:r>
        <w:rPr/>
        <w:t>, and </w:t>
      </w:r>
      <w:hyperlink r:id="rId123">
        <w:r>
          <w:rPr/>
          <w:t>sepsis</w:t>
        </w:r>
      </w:hyperlink>
      <w:r>
        <w:rPr/>
        <w:t>. Its incidence ranges from skin, soft tissue, respiratory, bone, joint, endovascular to </w:t>
      </w:r>
      <w:hyperlink r:id="rId212">
        <w:r>
          <w:rPr/>
          <w:t>wound infections</w:t>
        </w:r>
      </w:hyperlink>
      <w:r>
        <w:rPr/>
        <w:t>. It is still one of the five most common causes of </w:t>
      </w:r>
      <w:hyperlink r:id="rId213">
        <w:r>
          <w:rPr/>
          <w:t>nosocomial infections</w:t>
        </w:r>
      </w:hyperlink>
      <w:r>
        <w:rPr/>
        <w:t> and is often the cause of postsurgical wound infections. Each year, about 500,000 patients in American hospitals contract a</w:t>
      </w:r>
      <w:r>
        <w:rPr>
          <w:spacing w:val="40"/>
        </w:rPr>
        <w:t> </w:t>
      </w:r>
      <w:r>
        <w:rPr/>
        <w:t>Staphylococcal infection (Bowersox, 1999).</w:t>
      </w:r>
    </w:p>
    <w:p>
      <w:pPr>
        <w:pStyle w:val="BodyText"/>
        <w:spacing w:before="14"/>
      </w:pPr>
    </w:p>
    <w:p>
      <w:pPr>
        <w:pStyle w:val="BodyText"/>
        <w:spacing w:line="477" w:lineRule="auto"/>
        <w:ind w:left="1100" w:right="974" w:firstLine="720"/>
        <w:jc w:val="both"/>
      </w:pPr>
      <w:r>
        <w:rPr/>
        <w:t>Although </w:t>
      </w:r>
      <w:r>
        <w:rPr>
          <w:i/>
        </w:rPr>
        <w:t>S. aureus </w:t>
      </w:r>
      <w:r>
        <w:rPr/>
        <w:t>is not always </w:t>
      </w:r>
      <w:hyperlink r:id="rId112">
        <w:r>
          <w:rPr/>
          <w:t>pathogenic,</w:t>
        </w:r>
      </w:hyperlink>
      <w:r>
        <w:rPr/>
        <w:t> it is a common cause of skin infections (e.g.</w:t>
      </w:r>
      <w:r>
        <w:rPr>
          <w:spacing w:val="-1"/>
        </w:rPr>
        <w:t> </w:t>
      </w:r>
      <w:hyperlink r:id="rId214">
        <w:r>
          <w:rPr/>
          <w:t>boils</w:t>
        </w:r>
      </w:hyperlink>
      <w:r>
        <w:rPr/>
        <w:t>),</w:t>
      </w:r>
      <w:r>
        <w:rPr>
          <w:spacing w:val="-2"/>
        </w:rPr>
        <w:t> </w:t>
      </w:r>
      <w:r>
        <w:rPr/>
        <w:t>respiratory disease (e.g. </w:t>
      </w:r>
      <w:hyperlink r:id="rId84">
        <w:r>
          <w:rPr/>
          <w:t>sinusitis</w:t>
        </w:r>
      </w:hyperlink>
      <w:r>
        <w:rPr/>
        <w:t>), and</w:t>
      </w:r>
      <w:r>
        <w:rPr>
          <w:spacing w:val="-1"/>
        </w:rPr>
        <w:t> </w:t>
      </w:r>
      <w:hyperlink r:id="rId215">
        <w:r>
          <w:rPr/>
          <w:t>food</w:t>
        </w:r>
        <w:r>
          <w:rPr>
            <w:spacing w:val="-1"/>
          </w:rPr>
          <w:t> </w:t>
        </w:r>
        <w:r>
          <w:rPr/>
          <w:t>poisoning</w:t>
        </w:r>
      </w:hyperlink>
      <w:r>
        <w:rPr/>
        <w:t>.</w:t>
      </w:r>
      <w:r>
        <w:rPr>
          <w:spacing w:val="-2"/>
        </w:rPr>
        <w:t> </w:t>
      </w:r>
      <w:r>
        <w:rPr>
          <w:i/>
        </w:rPr>
        <w:t>S.</w:t>
      </w:r>
      <w:r>
        <w:rPr>
          <w:i/>
          <w:spacing w:val="-1"/>
        </w:rPr>
        <w:t> </w:t>
      </w:r>
      <w:r>
        <w:rPr>
          <w:i/>
        </w:rPr>
        <w:t>aureus </w:t>
      </w:r>
      <w:r>
        <w:rPr/>
        <w:t>can</w:t>
      </w:r>
      <w:r>
        <w:rPr>
          <w:spacing w:val="-3"/>
        </w:rPr>
        <w:t> </w:t>
      </w:r>
      <w:r>
        <w:rPr/>
        <w:t>survive from</w:t>
      </w:r>
    </w:p>
    <w:p>
      <w:pPr>
        <w:spacing w:after="0" w:line="477" w:lineRule="auto"/>
        <w:jc w:val="both"/>
        <w:sectPr>
          <w:pgSz w:w="11910" w:h="16840"/>
          <w:pgMar w:header="0" w:footer="1055" w:top="1380" w:bottom="1240" w:left="1060" w:right="460"/>
        </w:sectPr>
      </w:pPr>
    </w:p>
    <w:p>
      <w:pPr>
        <w:pStyle w:val="BodyText"/>
        <w:spacing w:line="480" w:lineRule="auto" w:before="38"/>
        <w:ind w:left="1100" w:right="975"/>
      </w:pPr>
      <w:r>
        <w:rPr/>
        <w:t>hours</w:t>
      </w:r>
      <w:r>
        <w:rPr>
          <w:spacing w:val="40"/>
        </w:rPr>
        <w:t> </w:t>
      </w:r>
      <w:r>
        <w:rPr/>
        <w:t>to</w:t>
      </w:r>
      <w:r>
        <w:rPr>
          <w:spacing w:val="40"/>
        </w:rPr>
        <w:t> </w:t>
      </w:r>
      <w:r>
        <w:rPr/>
        <w:t>weeks,</w:t>
      </w:r>
      <w:r>
        <w:rPr>
          <w:spacing w:val="40"/>
        </w:rPr>
        <w:t> </w:t>
      </w:r>
      <w:r>
        <w:rPr/>
        <w:t>or</w:t>
      </w:r>
      <w:r>
        <w:rPr>
          <w:spacing w:val="40"/>
        </w:rPr>
        <w:t> </w:t>
      </w:r>
      <w:r>
        <w:rPr/>
        <w:t>even</w:t>
      </w:r>
      <w:r>
        <w:rPr>
          <w:spacing w:val="40"/>
        </w:rPr>
        <w:t> </w:t>
      </w:r>
      <w:r>
        <w:rPr/>
        <w:t>months,</w:t>
      </w:r>
      <w:r>
        <w:rPr>
          <w:spacing w:val="40"/>
        </w:rPr>
        <w:t> </w:t>
      </w:r>
      <w:r>
        <w:rPr/>
        <w:t>on</w:t>
      </w:r>
      <w:r>
        <w:rPr>
          <w:spacing w:val="40"/>
        </w:rPr>
        <w:t> </w:t>
      </w:r>
      <w:r>
        <w:rPr/>
        <w:t>dry</w:t>
      </w:r>
      <w:r>
        <w:rPr>
          <w:spacing w:val="40"/>
        </w:rPr>
        <w:t> </w:t>
      </w:r>
      <w:r>
        <w:rPr/>
        <w:t>environmental</w:t>
      </w:r>
      <w:r>
        <w:rPr>
          <w:spacing w:val="40"/>
        </w:rPr>
        <w:t> </w:t>
      </w:r>
      <w:r>
        <w:rPr/>
        <w:t>surfaces,</w:t>
      </w:r>
      <w:r>
        <w:rPr>
          <w:spacing w:val="40"/>
        </w:rPr>
        <w:t> </w:t>
      </w:r>
      <w:r>
        <w:rPr/>
        <w:t>depending</w:t>
      </w:r>
      <w:r>
        <w:rPr>
          <w:spacing w:val="40"/>
        </w:rPr>
        <w:t> </w:t>
      </w:r>
      <w:r>
        <w:rPr/>
        <w:t>on</w:t>
      </w:r>
      <w:r>
        <w:rPr>
          <w:spacing w:val="40"/>
        </w:rPr>
        <w:t> </w:t>
      </w:r>
      <w:r>
        <w:rPr/>
        <w:t>strain (Cimolai, 2008).</w:t>
      </w:r>
    </w:p>
    <w:p>
      <w:pPr>
        <w:pStyle w:val="BodyText"/>
        <w:spacing w:before="11"/>
      </w:pPr>
    </w:p>
    <w:p>
      <w:pPr>
        <w:pStyle w:val="BodyText"/>
        <w:spacing w:line="480" w:lineRule="auto"/>
        <w:ind w:left="1100" w:right="974" w:firstLine="720"/>
        <w:jc w:val="both"/>
      </w:pPr>
      <w:r>
        <w:rPr>
          <w:i/>
        </w:rPr>
        <w:t>Staphylococcus aureus </w:t>
      </w:r>
      <w:r>
        <w:rPr/>
        <w:t>infections can spread through contact with pus from an infected wound, skin-to-skin contact with an infected person by producing </w:t>
      </w:r>
      <w:hyperlink r:id="rId216">
        <w:r>
          <w:rPr/>
          <w:t>hyaluronidase</w:t>
        </w:r>
      </w:hyperlink>
      <w:r>
        <w:rPr/>
        <w:t> that destroys tissues, and contact with objects such as towels, sheets, clothing, or athletic equipment used by an infected person. Deeply penetrating </w:t>
      </w:r>
      <w:r>
        <w:rPr>
          <w:i/>
        </w:rPr>
        <w:t>S. aureus </w:t>
      </w:r>
      <w:r>
        <w:rPr/>
        <w:t>infections can be severe. Prosthetic joints put a person at particular risk of </w:t>
      </w:r>
      <w:hyperlink r:id="rId140">
        <w:r>
          <w:rPr/>
          <w:t>septic arthritis</w:t>
        </w:r>
      </w:hyperlink>
      <w:r>
        <w:rPr/>
        <w:t>, and staphylococcal </w:t>
      </w:r>
      <w:hyperlink r:id="rId141">
        <w:r>
          <w:rPr/>
          <w:t>endocarditis</w:t>
        </w:r>
      </w:hyperlink>
      <w:r>
        <w:rPr/>
        <w:t> (infection of the heart valves) and </w:t>
      </w:r>
      <w:hyperlink r:id="rId96">
        <w:r>
          <w:rPr/>
          <w:t>pneumonia</w:t>
        </w:r>
      </w:hyperlink>
      <w:r>
        <w:rPr/>
        <w:t>. </w:t>
      </w:r>
      <w:r>
        <w:rPr>
          <w:i/>
        </w:rPr>
        <w:t>Staphylococcus aureus </w:t>
      </w:r>
      <w:r>
        <w:rPr/>
        <w:t>can host </w:t>
      </w:r>
      <w:hyperlink r:id="rId217">
        <w:r>
          <w:rPr/>
          <w:t>phages,</w:t>
        </w:r>
      </w:hyperlink>
      <w:r>
        <w:rPr/>
        <w:t> such as </w:t>
      </w:r>
      <w:hyperlink r:id="rId218">
        <w:r>
          <w:rPr/>
          <w:t>Panton-Valentine Leukocidin,</w:t>
        </w:r>
      </w:hyperlink>
      <w:r>
        <w:rPr/>
        <w:t> that increase its virulence (Cenci-Goga </w:t>
      </w:r>
      <w:r>
        <w:rPr>
          <w:i/>
        </w:rPr>
        <w:t>et al</w:t>
      </w:r>
      <w:r>
        <w:rPr/>
        <w:t>., </w:t>
      </w:r>
      <w:r>
        <w:rPr>
          <w:spacing w:val="-2"/>
        </w:rPr>
        <w:t>2003).</w:t>
      </w:r>
    </w:p>
    <w:p>
      <w:pPr>
        <w:pStyle w:val="BodyText"/>
        <w:spacing w:before="12"/>
      </w:pPr>
    </w:p>
    <w:p>
      <w:pPr>
        <w:pStyle w:val="BodyText"/>
        <w:spacing w:line="480" w:lineRule="auto"/>
        <w:ind w:left="1100" w:right="974" w:firstLine="720"/>
        <w:jc w:val="both"/>
      </w:pPr>
      <w:r>
        <w:rPr>
          <w:i/>
        </w:rPr>
        <w:t>Staphylococcus aureus </w:t>
      </w:r>
      <w:r>
        <w:rPr/>
        <w:t>is extremely prevalent in </w:t>
      </w:r>
      <w:hyperlink r:id="rId219">
        <w:r>
          <w:rPr/>
          <w:t>atopic dermatitis</w:t>
        </w:r>
      </w:hyperlink>
      <w:r>
        <w:rPr/>
        <w:t> patients. It is mostly found in fertile, active places, including the armpits, hair, and scalp. Large pimples that appear in those areas may exascerbate the infection if lacerated. This can lead to </w:t>
      </w:r>
      <w:hyperlink r:id="rId220">
        <w:r>
          <w:rPr/>
          <w:t>Staphylococcal Scalded Skin Syndrome</w:t>
        </w:r>
      </w:hyperlink>
      <w:r>
        <w:rPr/>
        <w:t> (SSSS). A severe form of this, </w:t>
      </w:r>
      <w:hyperlink r:id="rId221">
        <w:r>
          <w:rPr/>
          <w:t>Ritter's disease</w:t>
        </w:r>
      </w:hyperlink>
      <w:r>
        <w:rPr/>
        <w:t>, can be observed in neonates (Cenci-Goga </w:t>
      </w:r>
      <w:r>
        <w:rPr>
          <w:i/>
        </w:rPr>
        <w:t>et al</w:t>
      </w:r>
      <w:r>
        <w:rPr/>
        <w:t>., 2003).</w:t>
      </w:r>
    </w:p>
    <w:p>
      <w:pPr>
        <w:pStyle w:val="BodyText"/>
        <w:spacing w:before="13"/>
      </w:pPr>
    </w:p>
    <w:p>
      <w:pPr>
        <w:pStyle w:val="BodyText"/>
        <w:spacing w:line="480" w:lineRule="auto"/>
        <w:ind w:left="1100" w:right="974" w:firstLine="720"/>
        <w:jc w:val="both"/>
      </w:pPr>
      <w:r>
        <w:rPr/>
        <w:t>Although </w:t>
      </w:r>
      <w:r>
        <w:rPr>
          <w:i/>
        </w:rPr>
        <w:t>S. aureus </w:t>
      </w:r>
      <w:r>
        <w:rPr/>
        <w:t>can be present on the skin of the host, a large proportion of its carriage is through the anterior nares of the nasal passages (Kluytmans </w:t>
      </w:r>
      <w:r>
        <w:rPr>
          <w:i/>
        </w:rPr>
        <w:t>et al</w:t>
      </w:r>
      <w:r>
        <w:rPr/>
        <w:t>., 1997). The ability of the nasal passages to harbour </w:t>
      </w:r>
      <w:r>
        <w:rPr>
          <w:i/>
        </w:rPr>
        <w:t>S. aureus </w:t>
      </w:r>
      <w:r>
        <w:rPr/>
        <w:t>results from a combination of a weakened or defective host immunity and the bacteria's ability to evade host innate immunity (Quinn and Cole, 2007).</w:t>
      </w:r>
    </w:p>
    <w:p>
      <w:pPr>
        <w:pStyle w:val="BodyText"/>
        <w:spacing w:before="13"/>
      </w:pPr>
    </w:p>
    <w:p>
      <w:pPr>
        <w:pStyle w:val="BodyText"/>
        <w:spacing w:line="480" w:lineRule="auto"/>
        <w:ind w:left="1100" w:right="979" w:firstLine="720"/>
        <w:jc w:val="both"/>
      </w:pPr>
      <w:r>
        <w:rPr>
          <w:i/>
        </w:rPr>
        <w:t>Staphylococcus aureus </w:t>
      </w:r>
      <w:r>
        <w:rPr/>
        <w:t>is an incredibly hardy bacterium, as was shown in a study where it survived on polyester for just under three months (Neely and Maley, 2000); polyester is the main material used in hospital privacy curtains.</w:t>
      </w:r>
    </w:p>
    <w:p>
      <w:pPr>
        <w:spacing w:after="0" w:line="480" w:lineRule="auto"/>
        <w:jc w:val="both"/>
        <w:sectPr>
          <w:pgSz w:w="11910" w:h="16840"/>
          <w:pgMar w:header="0" w:footer="1055" w:top="1380" w:bottom="1240" w:left="1060" w:right="460"/>
        </w:sectPr>
      </w:pPr>
    </w:p>
    <w:p>
      <w:pPr>
        <w:pStyle w:val="BodyText"/>
        <w:spacing w:line="480" w:lineRule="auto" w:before="38"/>
        <w:ind w:left="1100" w:right="975" w:firstLine="720"/>
        <w:jc w:val="both"/>
      </w:pPr>
      <w:r>
        <w:rPr/>
        <w:t>The bacteria are transported on the hands of healthcare workers, who may pick them up from a seemingly healthy patient carrying a benign or commensal strain of </w:t>
      </w:r>
      <w:r>
        <w:rPr>
          <w:i/>
        </w:rPr>
        <w:t>S. aureus</w:t>
      </w:r>
      <w:r>
        <w:rPr/>
        <w:t>, and then pass it on to the next patient being treated. Introduction of the bacteria into the bloodstream can lead to various complications, including, but not limited to, endocarditis, meningitis, and, if it is widespread, </w:t>
      </w:r>
      <w:hyperlink r:id="rId123">
        <w:r>
          <w:rPr/>
          <w:t>sepsis</w:t>
        </w:r>
      </w:hyperlink>
      <w:r>
        <w:rPr/>
        <w:t>. An important and previously unrecognized means</w:t>
      </w:r>
      <w:r>
        <w:rPr>
          <w:spacing w:val="-1"/>
        </w:rPr>
        <w:t> </w:t>
      </w:r>
      <w:r>
        <w:rPr/>
        <w:t>of community-associated MRSA</w:t>
      </w:r>
      <w:r>
        <w:rPr>
          <w:spacing w:val="-2"/>
        </w:rPr>
        <w:t> </w:t>
      </w:r>
      <w:r>
        <w:rPr/>
        <w:t>colonization and transmission is during sexual contact (Cook </w:t>
      </w:r>
      <w:r>
        <w:rPr>
          <w:i/>
        </w:rPr>
        <w:t>et al</w:t>
      </w:r>
      <w:r>
        <w:rPr/>
        <w:t>., 2007).</w:t>
      </w:r>
    </w:p>
    <w:p>
      <w:pPr>
        <w:pStyle w:val="BodyText"/>
        <w:spacing w:before="12"/>
      </w:pPr>
    </w:p>
    <w:p>
      <w:pPr>
        <w:pStyle w:val="BodyText"/>
        <w:spacing w:line="480" w:lineRule="auto"/>
        <w:ind w:left="1100" w:right="973" w:firstLine="720"/>
        <w:jc w:val="both"/>
      </w:pPr>
      <w:r>
        <w:rPr/>
        <w:t>The emergence of </w:t>
      </w:r>
      <w:hyperlink r:id="rId222">
        <w:r>
          <w:rPr/>
          <w:t>antibiotic-resistant</w:t>
        </w:r>
      </w:hyperlink>
      <w:r>
        <w:rPr/>
        <w:t> forms of pathogenic </w:t>
      </w:r>
      <w:r>
        <w:rPr>
          <w:i/>
        </w:rPr>
        <w:t>S. aureus </w:t>
      </w:r>
      <w:r>
        <w:rPr/>
        <w:t>(e.g. </w:t>
      </w:r>
      <w:hyperlink r:id="rId223">
        <w:r>
          <w:rPr/>
          <w:t>MRSA</w:t>
        </w:r>
      </w:hyperlink>
      <w:r>
        <w:rPr/>
        <w:t>, VRSA) is a worldwide problem in clinical medicine. Spread of </w:t>
      </w:r>
      <w:r>
        <w:rPr>
          <w:i/>
        </w:rPr>
        <w:t>S. aureus </w:t>
      </w:r>
      <w:r>
        <w:rPr/>
        <w:t>(including MRSA, VRSA) generally is through human-to-human contact, although recently some veterinarians have discovered the infection can be spread through pets (Sing </w:t>
      </w:r>
      <w:r>
        <w:rPr>
          <w:i/>
        </w:rPr>
        <w:t>et al</w:t>
      </w:r>
      <w:r>
        <w:rPr/>
        <w:t>., 2008), with environmental contamination thought to play a relatively unimportant part. Emphasis on basic </w:t>
      </w:r>
      <w:hyperlink r:id="rId224">
        <w:r>
          <w:rPr/>
          <w:t>hand washing</w:t>
        </w:r>
      </w:hyperlink>
      <w:r>
        <w:rPr/>
        <w:t> techniques are, therefore, effective in preventing its transmission. The use of disposable aprons and gloves by staff reduces skin-to-skin contact and, therefore, further reduces the risk of transmission.</w:t>
      </w:r>
    </w:p>
    <w:p>
      <w:pPr>
        <w:pStyle w:val="BodyText"/>
        <w:spacing w:before="12"/>
      </w:pPr>
    </w:p>
    <w:p>
      <w:pPr>
        <w:pStyle w:val="BodyText"/>
        <w:spacing w:line="480" w:lineRule="auto"/>
        <w:ind w:left="1100" w:right="972" w:firstLine="720"/>
        <w:jc w:val="both"/>
      </w:pPr>
      <w:r>
        <w:rPr/>
        <w:t>The treatment of choice for </w:t>
      </w:r>
      <w:r>
        <w:rPr>
          <w:i/>
        </w:rPr>
        <w:t>S. aureus </w:t>
      </w:r>
      <w:r>
        <w:rPr/>
        <w:t>infection is </w:t>
      </w:r>
      <w:hyperlink r:id="rId125">
        <w:r>
          <w:rPr/>
          <w:t>penicillin</w:t>
        </w:r>
      </w:hyperlink>
      <w:r>
        <w:rPr/>
        <w:t>; in most countries, though,</w:t>
      </w:r>
      <w:r>
        <w:rPr>
          <w:spacing w:val="-2"/>
        </w:rPr>
        <w:t> </w:t>
      </w:r>
      <w:r>
        <w:rPr/>
        <w:t>penicillin</w:t>
      </w:r>
      <w:r>
        <w:rPr>
          <w:spacing w:val="-4"/>
        </w:rPr>
        <w:t> </w:t>
      </w:r>
      <w:r>
        <w:rPr/>
        <w:t>resistance</w:t>
      </w:r>
      <w:r>
        <w:rPr>
          <w:spacing w:val="-2"/>
        </w:rPr>
        <w:t> </w:t>
      </w:r>
      <w:r>
        <w:rPr/>
        <w:t>is</w:t>
      </w:r>
      <w:r>
        <w:rPr>
          <w:spacing w:val="-2"/>
        </w:rPr>
        <w:t> </w:t>
      </w:r>
      <w:r>
        <w:rPr/>
        <w:t>extremely</w:t>
      </w:r>
      <w:r>
        <w:rPr>
          <w:spacing w:val="-2"/>
        </w:rPr>
        <w:t> </w:t>
      </w:r>
      <w:r>
        <w:rPr/>
        <w:t>common,</w:t>
      </w:r>
      <w:r>
        <w:rPr>
          <w:spacing w:val="-2"/>
        </w:rPr>
        <w:t> </w:t>
      </w:r>
      <w:r>
        <w:rPr/>
        <w:t>and</w:t>
      </w:r>
      <w:r>
        <w:rPr>
          <w:spacing w:val="-3"/>
        </w:rPr>
        <w:t> </w:t>
      </w:r>
      <w:r>
        <w:rPr/>
        <w:t>first-line</w:t>
      </w:r>
      <w:r>
        <w:rPr>
          <w:spacing w:val="-2"/>
        </w:rPr>
        <w:t> </w:t>
      </w:r>
      <w:r>
        <w:rPr/>
        <w:t>therapy</w:t>
      </w:r>
      <w:r>
        <w:rPr>
          <w:spacing w:val="-2"/>
        </w:rPr>
        <w:t> </w:t>
      </w:r>
      <w:r>
        <w:rPr/>
        <w:t>is</w:t>
      </w:r>
      <w:r>
        <w:rPr>
          <w:spacing w:val="-4"/>
        </w:rPr>
        <w:t> </w:t>
      </w:r>
      <w:r>
        <w:rPr/>
        <w:t>most</w:t>
      </w:r>
      <w:r>
        <w:rPr>
          <w:spacing w:val="-4"/>
        </w:rPr>
        <w:t> </w:t>
      </w:r>
      <w:r>
        <w:rPr/>
        <w:t>commonly</w:t>
      </w:r>
      <w:r>
        <w:rPr>
          <w:spacing w:val="-2"/>
        </w:rPr>
        <w:t> </w:t>
      </w:r>
      <w:r>
        <w:rPr/>
        <w:t>a penicillinase-resistant β-lactam antibiotic (for example, </w:t>
      </w:r>
      <w:hyperlink r:id="rId225">
        <w:r>
          <w:rPr/>
          <w:t>oxacillin</w:t>
        </w:r>
      </w:hyperlink>
      <w:r>
        <w:rPr/>
        <w:t> or </w:t>
      </w:r>
      <w:hyperlink r:id="rId226">
        <w:r>
          <w:rPr/>
          <w:t>flucloxacillin</w:t>
        </w:r>
      </w:hyperlink>
      <w:r>
        <w:rPr/>
        <w:t>). Combination therapy with </w:t>
      </w:r>
      <w:hyperlink r:id="rId227">
        <w:r>
          <w:rPr/>
          <w:t>gentamicin</w:t>
        </w:r>
      </w:hyperlink>
      <w:r>
        <w:rPr/>
        <w:t> may be used to treat serious infections, such as </w:t>
      </w:r>
      <w:hyperlink r:id="rId228">
        <w:r>
          <w:rPr/>
          <w:t>endocarditis</w:t>
        </w:r>
      </w:hyperlink>
      <w:r>
        <w:rPr/>
        <w:t> (Bayer </w:t>
      </w:r>
      <w:r>
        <w:rPr>
          <w:i/>
        </w:rPr>
        <w:t>et al</w:t>
      </w:r>
      <w:r>
        <w:rPr/>
        <w:t>., 1998), but its use is controversial because of the high risk of damage</w:t>
      </w:r>
      <w:r>
        <w:rPr>
          <w:spacing w:val="-1"/>
        </w:rPr>
        <w:t> </w:t>
      </w:r>
      <w:r>
        <w:rPr/>
        <w:t>to the</w:t>
      </w:r>
      <w:r>
        <w:rPr>
          <w:spacing w:val="-1"/>
        </w:rPr>
        <w:t> </w:t>
      </w:r>
      <w:r>
        <w:rPr/>
        <w:t>kidneys (Bayer </w:t>
      </w:r>
      <w:r>
        <w:rPr>
          <w:i/>
        </w:rPr>
        <w:t>et al</w:t>
      </w:r>
      <w:r>
        <w:rPr/>
        <w:t>.,</w:t>
      </w:r>
      <w:r>
        <w:rPr>
          <w:spacing w:val="-1"/>
        </w:rPr>
        <w:t> </w:t>
      </w:r>
      <w:r>
        <w:rPr/>
        <w:t>1998). The duration</w:t>
      </w:r>
      <w:r>
        <w:rPr>
          <w:spacing w:val="-2"/>
        </w:rPr>
        <w:t> </w:t>
      </w:r>
      <w:r>
        <w:rPr/>
        <w:t>of treatment</w:t>
      </w:r>
      <w:r>
        <w:rPr>
          <w:spacing w:val="-1"/>
        </w:rPr>
        <w:t> </w:t>
      </w:r>
      <w:r>
        <w:rPr/>
        <w:t>depends</w:t>
      </w:r>
      <w:r>
        <w:rPr>
          <w:spacing w:val="-1"/>
        </w:rPr>
        <w:t> </w:t>
      </w:r>
      <w:r>
        <w:rPr/>
        <w:t>on the site</w:t>
      </w:r>
      <w:r>
        <w:rPr>
          <w:spacing w:val="-1"/>
        </w:rPr>
        <w:t> </w:t>
      </w:r>
      <w:r>
        <w:rPr/>
        <w:t>of infection and on severity.</w:t>
      </w:r>
    </w:p>
    <w:p>
      <w:pPr>
        <w:spacing w:after="0" w:line="480" w:lineRule="auto"/>
        <w:jc w:val="both"/>
        <w:sectPr>
          <w:pgSz w:w="11910" w:h="16840"/>
          <w:pgMar w:header="0" w:footer="1055" w:top="1380" w:bottom="1240" w:left="1060" w:right="460"/>
        </w:sectPr>
      </w:pPr>
    </w:p>
    <w:p>
      <w:pPr>
        <w:pStyle w:val="BodyText"/>
        <w:spacing w:line="480" w:lineRule="auto" w:before="38"/>
        <w:ind w:left="1100" w:right="976" w:firstLine="720"/>
        <w:jc w:val="both"/>
      </w:pPr>
      <w:hyperlink r:id="rId229">
        <w:r>
          <w:rPr/>
          <w:t>Ethanol</w:t>
        </w:r>
      </w:hyperlink>
      <w:r>
        <w:rPr/>
        <w:t> has proven to be an effective topical sanitizer against MRSA. </w:t>
      </w:r>
      <w:hyperlink r:id="rId230">
        <w:r>
          <w:rPr/>
          <w:t>Quaternary</w:t>
        </w:r>
      </w:hyperlink>
      <w:r>
        <w:rPr/>
        <w:t> </w:t>
      </w:r>
      <w:hyperlink r:id="rId230">
        <w:r>
          <w:rPr/>
          <w:t>ammonium</w:t>
        </w:r>
      </w:hyperlink>
      <w:r>
        <w:rPr/>
        <w:t> can be used in conjunction with ethanol to increase the duration of the</w:t>
      </w:r>
      <w:r>
        <w:rPr>
          <w:spacing w:val="40"/>
        </w:rPr>
        <w:t> </w:t>
      </w:r>
      <w:r>
        <w:rPr/>
        <w:t>sanitizing action.</w:t>
      </w:r>
    </w:p>
    <w:p>
      <w:pPr>
        <w:pStyle w:val="BodyText"/>
        <w:spacing w:before="12"/>
      </w:pPr>
    </w:p>
    <w:p>
      <w:pPr>
        <w:pStyle w:val="Heading3"/>
        <w:numPr>
          <w:ilvl w:val="1"/>
          <w:numId w:val="1"/>
        </w:numPr>
        <w:tabs>
          <w:tab w:pos="3980" w:val="left" w:leader="none"/>
        </w:tabs>
        <w:spacing w:line="240" w:lineRule="auto" w:before="0" w:after="0"/>
        <w:ind w:left="3980" w:right="0" w:hanging="3600"/>
        <w:jc w:val="left"/>
      </w:pPr>
      <w:r>
        <w:rPr/>
        <w:t>Antibiotic</w:t>
      </w:r>
      <w:r>
        <w:rPr>
          <w:spacing w:val="-8"/>
        </w:rPr>
        <w:t> </w:t>
      </w:r>
      <w:r>
        <w:rPr>
          <w:spacing w:val="-2"/>
        </w:rPr>
        <w:t>Resistance</w:t>
      </w:r>
    </w:p>
    <w:p>
      <w:pPr>
        <w:pStyle w:val="BodyText"/>
        <w:rPr>
          <w:b/>
        </w:rPr>
      </w:pPr>
    </w:p>
    <w:p>
      <w:pPr>
        <w:pStyle w:val="BodyText"/>
        <w:spacing w:before="214"/>
        <w:rPr>
          <w:b/>
        </w:rPr>
      </w:pPr>
    </w:p>
    <w:p>
      <w:pPr>
        <w:pStyle w:val="BodyText"/>
        <w:spacing w:line="480" w:lineRule="auto"/>
        <w:ind w:left="1100" w:right="973" w:firstLine="720"/>
        <w:jc w:val="both"/>
      </w:pPr>
      <w:r>
        <w:rPr/>
        <w:t>Bacteria and other microorganisms that cause infections are remarkably resilient</w:t>
      </w:r>
      <w:r>
        <w:rPr>
          <w:spacing w:val="40"/>
        </w:rPr>
        <w:t> </w:t>
      </w:r>
      <w:r>
        <w:rPr/>
        <w:t>and can develop ways to survive drugs meant to kill or weaken them. This antibiotic resistance, also known as antimicrobial resistance, is due largely to the increasing use of antibiotics. So, antibiotic resistance is the ability of a</w:t>
      </w:r>
      <w:r>
        <w:rPr>
          <w:spacing w:val="-1"/>
        </w:rPr>
        <w:t> </w:t>
      </w:r>
      <w:r>
        <w:rPr/>
        <w:t>microorganism to withstand the effects of an antibiotic.</w:t>
      </w:r>
    </w:p>
    <w:p>
      <w:pPr>
        <w:pStyle w:val="BodyText"/>
        <w:spacing w:before="13"/>
      </w:pPr>
    </w:p>
    <w:p>
      <w:pPr>
        <w:pStyle w:val="BodyText"/>
        <w:spacing w:line="480" w:lineRule="auto"/>
        <w:ind w:left="1100" w:right="973" w:firstLine="720"/>
        <w:jc w:val="both"/>
      </w:pPr>
      <w:r>
        <w:rPr/>
        <w:t>Recent findings show that there is no necessity of large populations of bacteria for the appearance of antibiotic resistance (Science Daily, 2012). Any heterogeneous environment with respect to nutrient and antibiotic gradients may facilitate the</w:t>
      </w:r>
      <w:r>
        <w:rPr>
          <w:spacing w:val="40"/>
        </w:rPr>
        <w:t> </w:t>
      </w:r>
      <w:r>
        <w:rPr/>
        <w:t>development of antibiotic resistance in small bacterial populations and this is also true for the human body. Several studies have demonstrated that patterns of antibiotic usage</w:t>
      </w:r>
      <w:r>
        <w:rPr>
          <w:spacing w:val="80"/>
        </w:rPr>
        <w:t> </w:t>
      </w:r>
      <w:r>
        <w:rPr/>
        <w:t>greatly affect the number of resistant organisms which develop. For the past 70 years, antimicrobial drugs, such as antibiotics, have been successfully used to treat patients with bacterial and infectious diseases. Over time, however, many infectious organisms have adapted</w:t>
      </w:r>
      <w:r>
        <w:rPr>
          <w:spacing w:val="-2"/>
        </w:rPr>
        <w:t> </w:t>
      </w:r>
      <w:r>
        <w:rPr/>
        <w:t>to the</w:t>
      </w:r>
      <w:r>
        <w:rPr>
          <w:spacing w:val="-1"/>
        </w:rPr>
        <w:t> </w:t>
      </w:r>
      <w:r>
        <w:rPr/>
        <w:t>drugs</w:t>
      </w:r>
      <w:r>
        <w:rPr>
          <w:spacing w:val="-1"/>
        </w:rPr>
        <w:t> </w:t>
      </w:r>
      <w:r>
        <w:rPr/>
        <w:t>designed</w:t>
      </w:r>
      <w:r>
        <w:rPr>
          <w:spacing w:val="-1"/>
        </w:rPr>
        <w:t> </w:t>
      </w:r>
      <w:r>
        <w:rPr/>
        <w:t>to kill</w:t>
      </w:r>
      <w:r>
        <w:rPr>
          <w:spacing w:val="-1"/>
        </w:rPr>
        <w:t> </w:t>
      </w:r>
      <w:r>
        <w:rPr/>
        <w:t>them,</w:t>
      </w:r>
      <w:r>
        <w:rPr>
          <w:spacing w:val="-1"/>
        </w:rPr>
        <w:t> </w:t>
      </w:r>
      <w:r>
        <w:rPr/>
        <w:t>making</w:t>
      </w:r>
      <w:r>
        <w:rPr>
          <w:spacing w:val="-2"/>
        </w:rPr>
        <w:t> </w:t>
      </w:r>
      <w:r>
        <w:rPr/>
        <w:t>the</w:t>
      </w:r>
      <w:r>
        <w:rPr>
          <w:spacing w:val="-1"/>
        </w:rPr>
        <w:t> </w:t>
      </w:r>
      <w:r>
        <w:rPr/>
        <w:t>products</w:t>
      </w:r>
      <w:r>
        <w:rPr>
          <w:spacing w:val="-1"/>
        </w:rPr>
        <w:t> </w:t>
      </w:r>
      <w:r>
        <w:rPr/>
        <w:t>less</w:t>
      </w:r>
      <w:r>
        <w:rPr>
          <w:spacing w:val="-1"/>
        </w:rPr>
        <w:t> </w:t>
      </w:r>
      <w:r>
        <w:rPr/>
        <w:t>effective</w:t>
      </w:r>
      <w:r>
        <w:rPr>
          <w:spacing w:val="-1"/>
        </w:rPr>
        <w:t> </w:t>
      </w:r>
      <w:r>
        <w:rPr/>
        <w:t>(Science</w:t>
      </w:r>
      <w:r>
        <w:rPr>
          <w:spacing w:val="-1"/>
        </w:rPr>
        <w:t> </w:t>
      </w:r>
      <w:r>
        <w:rPr/>
        <w:t>Daily, </w:t>
      </w:r>
      <w:r>
        <w:rPr>
          <w:spacing w:val="-2"/>
        </w:rPr>
        <w:t>2012).</w:t>
      </w:r>
    </w:p>
    <w:p>
      <w:pPr>
        <w:pStyle w:val="BodyText"/>
        <w:spacing w:before="11"/>
      </w:pPr>
    </w:p>
    <w:p>
      <w:pPr>
        <w:pStyle w:val="BodyText"/>
        <w:spacing w:line="480" w:lineRule="auto"/>
        <w:ind w:left="1100" w:right="973" w:firstLine="720"/>
        <w:jc w:val="both"/>
      </w:pPr>
      <w:r>
        <w:rPr/>
        <w:t>Antibiotics are one of the most important therapeutic discoveries in medical history. They have revolutionized the way patients with bacterial infections are being treated and have contributed to reducing the mortality and morbidity from bacteria related diseases. They</w:t>
      </w:r>
      <w:r>
        <w:rPr>
          <w:spacing w:val="46"/>
        </w:rPr>
        <w:t> </w:t>
      </w:r>
      <w:r>
        <w:rPr/>
        <w:t>are</w:t>
      </w:r>
      <w:r>
        <w:rPr>
          <w:spacing w:val="47"/>
        </w:rPr>
        <w:t> </w:t>
      </w:r>
      <w:r>
        <w:rPr/>
        <w:t>also</w:t>
      </w:r>
      <w:r>
        <w:rPr>
          <w:spacing w:val="46"/>
        </w:rPr>
        <w:t> </w:t>
      </w:r>
      <w:r>
        <w:rPr/>
        <w:t>an</w:t>
      </w:r>
      <w:r>
        <w:rPr>
          <w:spacing w:val="46"/>
        </w:rPr>
        <w:t> </w:t>
      </w:r>
      <w:r>
        <w:rPr/>
        <w:t>essential</w:t>
      </w:r>
      <w:r>
        <w:rPr>
          <w:spacing w:val="49"/>
        </w:rPr>
        <w:t> </w:t>
      </w:r>
      <w:r>
        <w:rPr/>
        <w:t>tool</w:t>
      </w:r>
      <w:r>
        <w:rPr>
          <w:spacing w:val="48"/>
        </w:rPr>
        <w:t> </w:t>
      </w:r>
      <w:r>
        <w:rPr/>
        <w:t>for</w:t>
      </w:r>
      <w:r>
        <w:rPr>
          <w:spacing w:val="47"/>
        </w:rPr>
        <w:t> </w:t>
      </w:r>
      <w:r>
        <w:rPr/>
        <w:t>modern</w:t>
      </w:r>
      <w:r>
        <w:rPr>
          <w:spacing w:val="46"/>
        </w:rPr>
        <w:t> </w:t>
      </w:r>
      <w:r>
        <w:rPr/>
        <w:t>medicine</w:t>
      </w:r>
      <w:r>
        <w:rPr>
          <w:spacing w:val="49"/>
        </w:rPr>
        <w:t> </w:t>
      </w:r>
      <w:r>
        <w:rPr/>
        <w:t>and</w:t>
      </w:r>
      <w:r>
        <w:rPr>
          <w:spacing w:val="47"/>
        </w:rPr>
        <w:t> </w:t>
      </w:r>
      <w:r>
        <w:rPr/>
        <w:t>common</w:t>
      </w:r>
      <w:r>
        <w:rPr>
          <w:spacing w:val="48"/>
        </w:rPr>
        <w:t> </w:t>
      </w:r>
      <w:r>
        <w:rPr/>
        <w:t>procedures</w:t>
      </w:r>
      <w:r>
        <w:rPr>
          <w:spacing w:val="48"/>
        </w:rPr>
        <w:t> </w:t>
      </w:r>
      <w:r>
        <w:rPr/>
        <w:t>such</w:t>
      </w:r>
      <w:r>
        <w:rPr>
          <w:spacing w:val="45"/>
        </w:rPr>
        <w:t> </w:t>
      </w:r>
      <w:r>
        <w:rPr>
          <w:spacing w:val="-5"/>
        </w:rPr>
        <w:t>as</w:t>
      </w:r>
    </w:p>
    <w:p>
      <w:pPr>
        <w:pStyle w:val="BodyText"/>
        <w:ind w:left="1100"/>
        <w:jc w:val="both"/>
      </w:pPr>
      <w:r>
        <w:rPr/>
        <w:t>transplantation,</w:t>
      </w:r>
      <w:r>
        <w:rPr>
          <w:spacing w:val="59"/>
        </w:rPr>
        <w:t> </w:t>
      </w:r>
      <w:r>
        <w:rPr/>
        <w:t>chemotherapy</w:t>
      </w:r>
      <w:r>
        <w:rPr>
          <w:spacing w:val="62"/>
        </w:rPr>
        <w:t> </w:t>
      </w:r>
      <w:r>
        <w:rPr/>
        <w:t>for</w:t>
      </w:r>
      <w:r>
        <w:rPr>
          <w:spacing w:val="59"/>
        </w:rPr>
        <w:t> </w:t>
      </w:r>
      <w:r>
        <w:rPr/>
        <w:t>cancer</w:t>
      </w:r>
      <w:r>
        <w:rPr>
          <w:spacing w:val="60"/>
        </w:rPr>
        <w:t> </w:t>
      </w:r>
      <w:r>
        <w:rPr/>
        <w:t>and</w:t>
      </w:r>
      <w:r>
        <w:rPr>
          <w:spacing w:val="62"/>
        </w:rPr>
        <w:t> </w:t>
      </w:r>
      <w:r>
        <w:rPr/>
        <w:t>even</w:t>
      </w:r>
      <w:r>
        <w:rPr>
          <w:spacing w:val="61"/>
        </w:rPr>
        <w:t> </w:t>
      </w:r>
      <w:r>
        <w:rPr/>
        <w:t>orthopaedic</w:t>
      </w:r>
      <w:r>
        <w:rPr>
          <w:spacing w:val="59"/>
        </w:rPr>
        <w:t> </w:t>
      </w:r>
      <w:r>
        <w:rPr/>
        <w:t>surgery</w:t>
      </w:r>
      <w:r>
        <w:rPr>
          <w:spacing w:val="62"/>
        </w:rPr>
        <w:t> </w:t>
      </w:r>
      <w:r>
        <w:rPr/>
        <w:t>could</w:t>
      </w:r>
      <w:r>
        <w:rPr>
          <w:spacing w:val="60"/>
        </w:rPr>
        <w:t> </w:t>
      </w:r>
      <w:r>
        <w:rPr/>
        <w:t>not</w:t>
      </w:r>
      <w:r>
        <w:rPr>
          <w:spacing w:val="61"/>
        </w:rPr>
        <w:t> </w:t>
      </w:r>
      <w:r>
        <w:rPr>
          <w:spacing w:val="-5"/>
        </w:rPr>
        <w:t>be</w:t>
      </w:r>
    </w:p>
    <w:p>
      <w:pPr>
        <w:spacing w:after="0"/>
        <w:jc w:val="both"/>
        <w:sectPr>
          <w:pgSz w:w="11910" w:h="16840"/>
          <w:pgMar w:header="0" w:footer="1055" w:top="1380" w:bottom="1240" w:left="1060" w:right="460"/>
        </w:sectPr>
      </w:pPr>
    </w:p>
    <w:p>
      <w:pPr>
        <w:pStyle w:val="BodyText"/>
        <w:spacing w:line="480" w:lineRule="auto" w:before="38"/>
        <w:ind w:left="1100" w:right="974"/>
        <w:jc w:val="both"/>
      </w:pPr>
      <w:r>
        <w:rPr/>
        <w:t>performed without the availability of potent antibiotics. Unfortunately, antibiotics have</w:t>
      </w:r>
      <w:r>
        <w:rPr>
          <w:spacing w:val="80"/>
        </w:rPr>
        <w:t> </w:t>
      </w:r>
      <w:r>
        <w:rPr/>
        <w:t>been liable to misuse. They are often unnecessarily prescribed for viral infections, against which they have no effect. Similarly when diagnoses are not accurately made, more often than not, broad-spectrum antibiotics, i.e. antibiotics that kill a large proportion of various bacteria and not only the bacteria responsible for the disease, are prescribed because the causative micro-organism is not known. And this brings about resistance even to the broad spectrum antibiotics. That is why Colistin, an older antibiotic once removed from use, is treating drug-resistant bacterial infections (Science Daily, 2012).</w:t>
      </w:r>
    </w:p>
    <w:p>
      <w:pPr>
        <w:pStyle w:val="BodyText"/>
        <w:spacing w:before="12"/>
      </w:pPr>
    </w:p>
    <w:p>
      <w:pPr>
        <w:pStyle w:val="BodyText"/>
        <w:spacing w:line="480" w:lineRule="auto" w:before="1"/>
        <w:ind w:left="1100" w:right="973" w:firstLine="720"/>
        <w:jc w:val="both"/>
      </w:pPr>
      <w:r>
        <w:rPr/>
        <w:t>Although there were low levels of pre-existing antibiotic-resistant bacteria before</w:t>
      </w:r>
      <w:r>
        <w:rPr>
          <w:spacing w:val="40"/>
        </w:rPr>
        <w:t> </w:t>
      </w:r>
      <w:r>
        <w:rPr/>
        <w:t>the widespread use of antibiotics (Caldwell and Lindberg, 2011), evolutionary pressure from their use has played a role in the development of multidrug resistance varieties and the spread of resistance between bacterial species (Hawkey and Jones, 2009). In medicine, the major problem of the emergence of resistant bacteria is due to misuse and overuse of antibiotics (WHO, 2002). In some countries, antibiotics are sold over the counter without a prescription, which also leads to the development of resistant strains. Other practices contributing towards resistance include the addition of antibiotics to livestock feed (Ferber, 2002; Matthew, 2007). Household use of antibacterials in soaps and other products, although not clearly contributing to resistance, is also discouraged (as not being effective at infection control) (CDC, 2009). Also, unsound practices in the pharmaceutical manufacturing industry can contribute towards the likelihood of creating antibiotic-resistant strains</w:t>
      </w:r>
      <w:r>
        <w:rPr>
          <w:spacing w:val="40"/>
        </w:rPr>
        <w:t> </w:t>
      </w:r>
      <w:r>
        <w:rPr/>
        <w:t>(Larsson and Fick, 2009).</w:t>
      </w:r>
    </w:p>
    <w:p>
      <w:pPr>
        <w:pStyle w:val="BodyText"/>
        <w:spacing w:before="12"/>
      </w:pPr>
    </w:p>
    <w:p>
      <w:pPr>
        <w:pStyle w:val="BodyText"/>
        <w:spacing w:line="480" w:lineRule="auto"/>
        <w:ind w:left="1100" w:right="976" w:firstLine="720"/>
        <w:jc w:val="both"/>
      </w:pPr>
      <w:r>
        <w:rPr/>
        <w:t>Misuse of antibiotics leads to the emergence and selection of resistant bacteria. Doctors in Europe and worldwide now are sometimes facing situations where infected patients cannot be treated</w:t>
      </w:r>
      <w:r>
        <w:rPr>
          <w:spacing w:val="-1"/>
        </w:rPr>
        <w:t> </w:t>
      </w:r>
      <w:r>
        <w:rPr/>
        <w:t>adequately because the responsible bacterium is totally resistant to</w:t>
      </w:r>
      <w:r>
        <w:rPr>
          <w:spacing w:val="66"/>
        </w:rPr>
        <w:t> </w:t>
      </w:r>
      <w:r>
        <w:rPr/>
        <w:t>available</w:t>
      </w:r>
      <w:r>
        <w:rPr>
          <w:spacing w:val="62"/>
        </w:rPr>
        <w:t> </w:t>
      </w:r>
      <w:r>
        <w:rPr/>
        <w:t>antibiotics</w:t>
      </w:r>
      <w:r>
        <w:rPr>
          <w:spacing w:val="62"/>
        </w:rPr>
        <w:t> </w:t>
      </w:r>
      <w:r>
        <w:rPr/>
        <w:t>(ECDC,</w:t>
      </w:r>
      <w:r>
        <w:rPr>
          <w:spacing w:val="62"/>
        </w:rPr>
        <w:t> </w:t>
      </w:r>
      <w:r>
        <w:rPr/>
        <w:t>2013a).</w:t>
      </w:r>
      <w:r>
        <w:rPr>
          <w:spacing w:val="64"/>
        </w:rPr>
        <w:t> </w:t>
      </w:r>
      <w:r>
        <w:rPr/>
        <w:t>Overuse</w:t>
      </w:r>
      <w:r>
        <w:rPr>
          <w:spacing w:val="63"/>
        </w:rPr>
        <w:t> </w:t>
      </w:r>
      <w:r>
        <w:rPr/>
        <w:t>of</w:t>
      </w:r>
      <w:r>
        <w:rPr>
          <w:spacing w:val="62"/>
        </w:rPr>
        <w:t> </w:t>
      </w:r>
      <w:r>
        <w:rPr/>
        <w:t>broad-spectrum</w:t>
      </w:r>
      <w:r>
        <w:rPr>
          <w:spacing w:val="63"/>
        </w:rPr>
        <w:t> </w:t>
      </w:r>
      <w:r>
        <w:rPr/>
        <w:t>antibiotics,</w:t>
      </w:r>
      <w:r>
        <w:rPr>
          <w:spacing w:val="65"/>
        </w:rPr>
        <w:t> </w:t>
      </w:r>
      <w:r>
        <w:rPr/>
        <w:t>such</w:t>
      </w:r>
      <w:r>
        <w:rPr>
          <w:spacing w:val="63"/>
        </w:rPr>
        <w:t> </w:t>
      </w:r>
      <w:r>
        <w:rPr/>
        <w:t>as</w:t>
      </w:r>
    </w:p>
    <w:p>
      <w:pPr>
        <w:spacing w:after="0" w:line="480" w:lineRule="auto"/>
        <w:jc w:val="both"/>
        <w:sectPr>
          <w:pgSz w:w="11910" w:h="16840"/>
          <w:pgMar w:header="0" w:footer="1055" w:top="1380" w:bottom="1240" w:left="1060" w:right="460"/>
        </w:sectPr>
      </w:pPr>
    </w:p>
    <w:p>
      <w:pPr>
        <w:pStyle w:val="BodyText"/>
        <w:spacing w:line="480" w:lineRule="auto" w:before="38"/>
        <w:ind w:left="1100" w:right="975"/>
      </w:pPr>
      <w:r>
        <w:rPr/>
        <w:t>second and third-generation Cephalosporins greatly hastens the development of methicillin </w:t>
      </w:r>
      <w:r>
        <w:rPr>
          <w:spacing w:val="-2"/>
        </w:rPr>
        <w:t>resistance.</w:t>
      </w:r>
    </w:p>
    <w:p>
      <w:pPr>
        <w:pStyle w:val="BodyText"/>
        <w:spacing w:before="11"/>
      </w:pPr>
    </w:p>
    <w:p>
      <w:pPr>
        <w:pStyle w:val="BodyText"/>
        <w:spacing w:line="480" w:lineRule="auto"/>
        <w:ind w:left="1100" w:right="972" w:firstLine="720"/>
        <w:jc w:val="both"/>
      </w:pPr>
      <w:r>
        <w:rPr/>
        <w:t>Antibiotic resistance is a serious and growing phenomenon in contemporary medicine and has emerged as one of the eminent public health concerns of the 21</w:t>
      </w:r>
      <w:r>
        <w:rPr>
          <w:vertAlign w:val="superscript"/>
        </w:rPr>
        <w:t>st</w:t>
      </w:r>
      <w:r>
        <w:rPr>
          <w:vertAlign w:val="baseline"/>
        </w:rPr>
        <w:t> century. The sheer volume of antibiotics prescribed is the major factor in increasing rates of bacterial resistance rather than compliance with antibiotics (Pechère, 2001). A single dose of antibiotics leads to a greater risk of resistant organisms to that antibiotic in the person for</w:t>
      </w:r>
      <w:r>
        <w:rPr>
          <w:spacing w:val="80"/>
          <w:vertAlign w:val="baseline"/>
        </w:rPr>
        <w:t> </w:t>
      </w:r>
      <w:r>
        <w:rPr>
          <w:vertAlign w:val="baseline"/>
        </w:rPr>
        <w:t>up to a year (Costelloe, 2010).</w:t>
      </w:r>
    </w:p>
    <w:p>
      <w:pPr>
        <w:pStyle w:val="BodyText"/>
        <w:spacing w:before="14"/>
      </w:pPr>
    </w:p>
    <w:p>
      <w:pPr>
        <w:pStyle w:val="BodyText"/>
        <w:spacing w:line="480" w:lineRule="auto"/>
        <w:ind w:left="1100" w:right="976" w:firstLine="720"/>
        <w:jc w:val="both"/>
      </w:pPr>
      <w:r>
        <w:rPr/>
        <w:t>Inappropriate prescribing of antibiotics has been attributed to a number of cases, including people who insist</w:t>
      </w:r>
      <w:r>
        <w:rPr>
          <w:spacing w:val="-1"/>
        </w:rPr>
        <w:t> </w:t>
      </w:r>
      <w:r>
        <w:rPr/>
        <w:t>on antibiotics, physicians</w:t>
      </w:r>
      <w:r>
        <w:rPr>
          <w:spacing w:val="-1"/>
        </w:rPr>
        <w:t> </w:t>
      </w:r>
      <w:r>
        <w:rPr/>
        <w:t>who simply prescribe them as they feel they do not have time to explain why they are not necessary, and physicians who do not know when to prescribe antibiotics or else are overly cautious for medical legal reasons (Arnold and Straus, 2005). Common cold is the most common reasons antibiotics are prescribed (Ronald and Olaf, 2009) even though antibiotics are completely useless against </w:t>
      </w:r>
      <w:r>
        <w:rPr>
          <w:spacing w:val="-2"/>
        </w:rPr>
        <w:t>viruses.</w:t>
      </w:r>
    </w:p>
    <w:p>
      <w:pPr>
        <w:pStyle w:val="BodyText"/>
        <w:spacing w:before="11"/>
      </w:pPr>
    </w:p>
    <w:p>
      <w:pPr>
        <w:pStyle w:val="BodyText"/>
        <w:spacing w:line="480" w:lineRule="auto"/>
        <w:ind w:left="1100" w:right="973" w:firstLine="720"/>
        <w:jc w:val="both"/>
      </w:pPr>
      <w:r>
        <w:rPr/>
        <w:t>A large number</w:t>
      </w:r>
      <w:r>
        <w:rPr>
          <w:spacing w:val="-1"/>
        </w:rPr>
        <w:t> </w:t>
      </w:r>
      <w:r>
        <w:rPr/>
        <w:t>of people</w:t>
      </w:r>
      <w:r>
        <w:rPr>
          <w:spacing w:val="-1"/>
        </w:rPr>
        <w:t> </w:t>
      </w:r>
      <w:r>
        <w:rPr/>
        <w:t>do not</w:t>
      </w:r>
      <w:r>
        <w:rPr>
          <w:spacing w:val="-1"/>
        </w:rPr>
        <w:t> </w:t>
      </w:r>
      <w:r>
        <w:rPr/>
        <w:t>finish a course</w:t>
      </w:r>
      <w:r>
        <w:rPr>
          <w:spacing w:val="-1"/>
        </w:rPr>
        <w:t> </w:t>
      </w:r>
      <w:r>
        <w:rPr/>
        <w:t>of antibiotics</w:t>
      </w:r>
      <w:r>
        <w:rPr>
          <w:spacing w:val="-1"/>
        </w:rPr>
        <w:t> </w:t>
      </w:r>
      <w:r>
        <w:rPr/>
        <w:t>primarily because</w:t>
      </w:r>
      <w:r>
        <w:rPr>
          <w:spacing w:val="-1"/>
        </w:rPr>
        <w:t> </w:t>
      </w:r>
      <w:r>
        <w:rPr/>
        <w:t>they feel better (varying from 10 % to 44 %, depending on the country) (Pechère </w:t>
      </w:r>
      <w:r>
        <w:rPr>
          <w:i/>
        </w:rPr>
        <w:t>et al</w:t>
      </w:r>
      <w:r>
        <w:rPr/>
        <w:t>., 2007). Compliance with once-daily antibiotics is better than with twice-daily antibiotics (Kardas, 2007). Patients taking less than the required dosage or failing to take their doses within the prescribed timing results in decreased concentration of antibiotics in the blood-stream and tissues, and, in turn, exposure of bacteria to sub-optimal antibiotic concentrations increases the frequency of antibiotic resistant organisms (Thomas </w:t>
      </w:r>
      <w:r>
        <w:rPr>
          <w:i/>
        </w:rPr>
        <w:t>et al</w:t>
      </w:r>
      <w:r>
        <w:rPr/>
        <w:t>., 1998). Advice to always complete a course of antibiotics is not based on strong evidence, and some researchers discourage</w:t>
      </w:r>
      <w:r>
        <w:rPr>
          <w:spacing w:val="40"/>
        </w:rPr>
        <w:t> </w:t>
      </w:r>
      <w:r>
        <w:rPr/>
        <w:t>the</w:t>
      </w:r>
      <w:r>
        <w:rPr>
          <w:spacing w:val="40"/>
        </w:rPr>
        <w:t> </w:t>
      </w:r>
      <w:r>
        <w:rPr/>
        <w:t>use</w:t>
      </w:r>
      <w:r>
        <w:rPr>
          <w:spacing w:val="40"/>
        </w:rPr>
        <w:t> </w:t>
      </w:r>
      <w:r>
        <w:rPr/>
        <w:t>of</w:t>
      </w:r>
      <w:r>
        <w:rPr>
          <w:spacing w:val="40"/>
        </w:rPr>
        <w:t> </w:t>
      </w:r>
      <w:r>
        <w:rPr/>
        <w:t>the</w:t>
      </w:r>
      <w:r>
        <w:rPr>
          <w:spacing w:val="40"/>
        </w:rPr>
        <w:t> </w:t>
      </w:r>
      <w:r>
        <w:rPr/>
        <w:t>prescription</w:t>
      </w:r>
      <w:r>
        <w:rPr>
          <w:spacing w:val="40"/>
        </w:rPr>
        <w:t> </w:t>
      </w:r>
      <w:r>
        <w:rPr/>
        <w:t>label</w:t>
      </w:r>
      <w:r>
        <w:rPr>
          <w:spacing w:val="40"/>
        </w:rPr>
        <w:t> </w:t>
      </w:r>
      <w:r>
        <w:rPr/>
        <w:t>“Finish</w:t>
      </w:r>
      <w:r>
        <w:rPr>
          <w:spacing w:val="39"/>
        </w:rPr>
        <w:t> </w:t>
      </w:r>
      <w:r>
        <w:rPr/>
        <w:t>all</w:t>
      </w:r>
      <w:r>
        <w:rPr>
          <w:spacing w:val="40"/>
        </w:rPr>
        <w:t> </w:t>
      </w:r>
      <w:r>
        <w:rPr/>
        <w:t>this</w:t>
      </w:r>
      <w:r>
        <w:rPr>
          <w:spacing w:val="40"/>
        </w:rPr>
        <w:t> </w:t>
      </w:r>
      <w:r>
        <w:rPr/>
        <w:t>medication</w:t>
      </w:r>
      <w:r>
        <w:rPr>
          <w:spacing w:val="40"/>
        </w:rPr>
        <w:t> </w:t>
      </w:r>
      <w:r>
        <w:rPr/>
        <w:t>unless</w:t>
      </w:r>
      <w:r>
        <w:rPr>
          <w:spacing w:val="40"/>
        </w:rPr>
        <w:t> </w:t>
      </w:r>
      <w:r>
        <w:rPr/>
        <w:t>otherwise</w:t>
      </w:r>
    </w:p>
    <w:p>
      <w:pPr>
        <w:spacing w:after="0" w:line="480" w:lineRule="auto"/>
        <w:jc w:val="both"/>
        <w:sectPr>
          <w:pgSz w:w="11910" w:h="16840"/>
          <w:pgMar w:header="0" w:footer="1055" w:top="1380" w:bottom="1240" w:left="1060" w:right="460"/>
        </w:sectPr>
      </w:pPr>
    </w:p>
    <w:p>
      <w:pPr>
        <w:pStyle w:val="BodyText"/>
        <w:spacing w:line="480" w:lineRule="auto" w:before="38"/>
        <w:ind w:left="1100" w:right="976"/>
        <w:jc w:val="both"/>
      </w:pPr>
      <w:r>
        <w:rPr/>
        <w:t>directed by prescriber”. Often, antibiotics can be safely stopped 72 hours after symptoms resolve (McCormack and Allan, 2012). However, some infections require treatment long</w:t>
      </w:r>
      <w:r>
        <w:rPr>
          <w:spacing w:val="40"/>
        </w:rPr>
        <w:t> </w:t>
      </w:r>
      <w:r>
        <w:rPr/>
        <w:t>after symptoms are gone, and in all cases, an insufficiency course of antibiotics may lead to relapse (with an infection that is now more antibiotic resistant).</w:t>
      </w:r>
    </w:p>
    <w:p>
      <w:pPr>
        <w:pStyle w:val="BodyText"/>
        <w:spacing w:before="12"/>
      </w:pPr>
    </w:p>
    <w:p>
      <w:pPr>
        <w:pStyle w:val="BodyText"/>
        <w:spacing w:line="480" w:lineRule="auto"/>
        <w:ind w:left="1100" w:right="973" w:firstLine="720"/>
        <w:jc w:val="both"/>
      </w:pPr>
      <w:r>
        <w:rPr/>
        <w:t>There is evidence that naturally occurring antibiotic resistance is common (Wright, 2010). The genes that confer this resistance are known as the environmental resistome (Wright, 2010). These genes may be transferred from non-disease-causing bacteria to those that do cause disease, leading to clinically significant antibiotic resistance (Wright, 2010). It may take the form of spontaneous or induced genetic mutation, or the acquisition of resistance genes from other bacterial species by horizontal gene transfer via conjugation, transduction, or transformation. Many antibiotic resistance genes reside on transmissible plasmids,</w:t>
      </w:r>
      <w:r>
        <w:rPr>
          <w:spacing w:val="-1"/>
        </w:rPr>
        <w:t> </w:t>
      </w:r>
      <w:r>
        <w:rPr/>
        <w:t>facilitating</w:t>
      </w:r>
      <w:r>
        <w:rPr>
          <w:spacing w:val="-2"/>
        </w:rPr>
        <w:t> </w:t>
      </w:r>
      <w:r>
        <w:rPr/>
        <w:t>their</w:t>
      </w:r>
      <w:r>
        <w:rPr>
          <w:spacing w:val="-1"/>
        </w:rPr>
        <w:t> </w:t>
      </w:r>
      <w:r>
        <w:rPr/>
        <w:t>transfer.</w:t>
      </w:r>
      <w:r>
        <w:rPr>
          <w:spacing w:val="-1"/>
        </w:rPr>
        <w:t> </w:t>
      </w:r>
      <w:r>
        <w:rPr/>
        <w:t>Exposure</w:t>
      </w:r>
      <w:r>
        <w:rPr>
          <w:spacing w:val="-1"/>
        </w:rPr>
        <w:t> </w:t>
      </w:r>
      <w:r>
        <w:rPr/>
        <w:t>to an</w:t>
      </w:r>
      <w:r>
        <w:rPr>
          <w:spacing w:val="-1"/>
        </w:rPr>
        <w:t> </w:t>
      </w:r>
      <w:r>
        <w:rPr/>
        <w:t>antibiotic</w:t>
      </w:r>
      <w:r>
        <w:rPr>
          <w:spacing w:val="-1"/>
        </w:rPr>
        <w:t> </w:t>
      </w:r>
      <w:r>
        <w:rPr/>
        <w:t>naturally</w:t>
      </w:r>
      <w:r>
        <w:rPr>
          <w:spacing w:val="-1"/>
        </w:rPr>
        <w:t> </w:t>
      </w:r>
      <w:r>
        <w:rPr/>
        <w:t>selects</w:t>
      </w:r>
      <w:r>
        <w:rPr>
          <w:spacing w:val="-1"/>
        </w:rPr>
        <w:t> </w:t>
      </w:r>
      <w:r>
        <w:rPr/>
        <w:t>for</w:t>
      </w:r>
      <w:r>
        <w:rPr>
          <w:spacing w:val="-3"/>
        </w:rPr>
        <w:t> </w:t>
      </w:r>
      <w:r>
        <w:rPr/>
        <w:t>the</w:t>
      </w:r>
      <w:r>
        <w:rPr>
          <w:spacing w:val="-1"/>
        </w:rPr>
        <w:t> </w:t>
      </w:r>
      <w:r>
        <w:rPr/>
        <w:t>survival of the organisms with the genes for resistance. In this way, a gene for antibiotic resistance may readily spread through an ecosystem of bacteria. Antibiotic-resistance plasmids frequently contain genes conferring resistance to several different antibiotics. Genes for resistance to antibiotics, like the antibiotics themselves, are ancient (D’Costa </w:t>
      </w:r>
      <w:r>
        <w:rPr>
          <w:i/>
        </w:rPr>
        <w:t>et al</w:t>
      </w:r>
      <w:r>
        <w:rPr/>
        <w:t>., 2011).</w:t>
      </w:r>
    </w:p>
    <w:p>
      <w:pPr>
        <w:pStyle w:val="BodyText"/>
        <w:spacing w:before="12"/>
      </w:pPr>
    </w:p>
    <w:p>
      <w:pPr>
        <w:pStyle w:val="BodyText"/>
        <w:spacing w:line="480" w:lineRule="auto"/>
        <w:ind w:left="1100" w:right="974" w:firstLine="720"/>
        <w:jc w:val="both"/>
      </w:pPr>
      <w:r>
        <w:rPr/>
        <w:t>However, the increasing prevalence of antibiotic-resistant bacterial infections seen</w:t>
      </w:r>
      <w:r>
        <w:rPr>
          <w:spacing w:val="40"/>
        </w:rPr>
        <w:t> </w:t>
      </w:r>
      <w:r>
        <w:rPr/>
        <w:t>in clinical practice stems from antibiotic use both within human medicine and Veterinary medicine. The resistant bacteria in animals due to antibiotic exposure can be transmitted to humans via three pathways, those being through the consumption of meat, from close or direct contact with animals, or through the environment (Schneider and Garrett, 2009). Any use of antibiotics can increase selective pressure in a population of bacteria to allow the resistant bacteria to thrive and the susceptible bacteria to die off. As resistance towards antibiotics becomes more common, a greater need for alternative treatments arises. However, despite a push for new antibiotic therapies, there has been a continued decline in</w:t>
      </w:r>
    </w:p>
    <w:p>
      <w:pPr>
        <w:spacing w:after="0" w:line="480" w:lineRule="auto"/>
        <w:jc w:val="both"/>
        <w:sectPr>
          <w:pgSz w:w="11910" w:h="16840"/>
          <w:pgMar w:header="0" w:footer="1055" w:top="1380" w:bottom="1240" w:left="1060" w:right="460"/>
        </w:sectPr>
      </w:pPr>
    </w:p>
    <w:p>
      <w:pPr>
        <w:pStyle w:val="BodyText"/>
        <w:spacing w:line="480" w:lineRule="auto" w:before="38"/>
        <w:ind w:left="1100" w:right="975"/>
      </w:pPr>
      <w:r>
        <w:rPr/>
        <w:t>the number of newly approved drugs (Donadio </w:t>
      </w:r>
      <w:r>
        <w:rPr>
          <w:i/>
        </w:rPr>
        <w:t>et al</w:t>
      </w:r>
      <w:r>
        <w:rPr/>
        <w:t>., 2010). Antibiotic resistance therefore poses a significant problem.</w:t>
      </w:r>
    </w:p>
    <w:p>
      <w:pPr>
        <w:pStyle w:val="BodyText"/>
        <w:spacing w:before="11"/>
      </w:pPr>
    </w:p>
    <w:p>
      <w:pPr>
        <w:pStyle w:val="BodyText"/>
        <w:spacing w:line="480" w:lineRule="auto"/>
        <w:ind w:left="1100" w:right="974" w:firstLine="720"/>
        <w:jc w:val="both"/>
      </w:pPr>
      <w:r>
        <w:rPr/>
        <w:t>In 2001, the Union of Concerned Scientists estimated that greater than 70 % of the antibiotics used in the US are given to food animals (for example, chickens, pigs and cattle), in the absence of disease (Union of Concerned Scientists, 2001). Hence, the amounts given are termed “sub-therapeutic”, i.e., insufficient to combat disease-because no demonstrable disease is</w:t>
      </w:r>
      <w:r>
        <w:rPr>
          <w:spacing w:val="-2"/>
        </w:rPr>
        <w:t> </w:t>
      </w:r>
      <w:r>
        <w:rPr/>
        <w:t>present. Sub-therapeutic dosages</w:t>
      </w:r>
      <w:r>
        <w:rPr>
          <w:spacing w:val="-1"/>
        </w:rPr>
        <w:t> </w:t>
      </w:r>
      <w:r>
        <w:rPr/>
        <w:t>kills some, but not all,</w:t>
      </w:r>
      <w:r>
        <w:rPr>
          <w:spacing w:val="-2"/>
        </w:rPr>
        <w:t> </w:t>
      </w:r>
      <w:r>
        <w:rPr/>
        <w:t>of</w:t>
      </w:r>
      <w:r>
        <w:rPr>
          <w:spacing w:val="-2"/>
        </w:rPr>
        <w:t> </w:t>
      </w:r>
      <w:r>
        <w:rPr/>
        <w:t>the bacterial organisms in the animal-leaving those that are naturally antibiotic-resistant.</w:t>
      </w:r>
    </w:p>
    <w:p>
      <w:pPr>
        <w:pStyle w:val="BodyText"/>
        <w:spacing w:before="9"/>
      </w:pPr>
    </w:p>
    <w:p>
      <w:pPr>
        <w:spacing w:line="480" w:lineRule="auto" w:before="0"/>
        <w:ind w:left="1100" w:right="979" w:firstLine="720"/>
        <w:jc w:val="both"/>
        <w:rPr>
          <w:rFonts w:ascii="Times New Roman"/>
          <w:sz w:val="24"/>
        </w:rPr>
      </w:pPr>
      <w:hyperlink r:id="rId213">
        <w:r>
          <w:rPr>
            <w:rFonts w:ascii="Times New Roman"/>
            <w:sz w:val="24"/>
          </w:rPr>
          <w:t>Nosocomial infections</w:t>
        </w:r>
      </w:hyperlink>
      <w:r>
        <w:rPr>
          <w:rFonts w:ascii="Times New Roman"/>
          <w:sz w:val="24"/>
        </w:rPr>
        <w:t> overwhelmingly dominate cases where MDR</w:t>
      </w:r>
      <w:r>
        <w:rPr>
          <w:rFonts w:ascii="Times New Roman"/>
          <w:spacing w:val="40"/>
          <w:sz w:val="24"/>
        </w:rPr>
        <w:t> </w:t>
      </w:r>
      <w:r>
        <w:rPr>
          <w:rFonts w:ascii="Times New Roman"/>
          <w:sz w:val="24"/>
        </w:rPr>
        <w:t>pathogens are implicated, but multidrug-resistant infections are also becoming increasingly prevalent in the community. However, Phage therapy may prove as an important alternative to antibiotics for treating multidrug resistant pathogens (Mathur </w:t>
      </w:r>
      <w:r>
        <w:rPr>
          <w:rFonts w:ascii="Times New Roman"/>
          <w:i/>
          <w:sz w:val="24"/>
        </w:rPr>
        <w:t>et al</w:t>
      </w:r>
      <w:r>
        <w:rPr>
          <w:rFonts w:ascii="Times New Roman"/>
          <w:sz w:val="24"/>
        </w:rPr>
        <w:t>., 2003).</w:t>
      </w:r>
    </w:p>
    <w:p>
      <w:pPr>
        <w:pStyle w:val="BodyText"/>
        <w:spacing w:before="3"/>
        <w:rPr>
          <w:rFonts w:ascii="Times New Roman"/>
          <w:sz w:val="24"/>
        </w:rPr>
      </w:pPr>
    </w:p>
    <w:p>
      <w:pPr>
        <w:spacing w:before="0"/>
        <w:ind w:left="1100" w:right="0" w:firstLine="0"/>
        <w:jc w:val="left"/>
        <w:rPr>
          <w:rFonts w:ascii="Times New Roman"/>
          <w:sz w:val="24"/>
        </w:rPr>
      </w:pPr>
      <w:r>
        <w:rPr>
          <w:rFonts w:ascii="Times New Roman"/>
          <w:sz w:val="24"/>
        </w:rPr>
        <w:t>Examples</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common</w:t>
      </w:r>
      <w:r>
        <w:rPr>
          <w:rFonts w:ascii="Times New Roman"/>
          <w:spacing w:val="-2"/>
          <w:sz w:val="24"/>
        </w:rPr>
        <w:t> </w:t>
      </w:r>
      <w:r>
        <w:rPr>
          <w:rFonts w:ascii="Times New Roman"/>
          <w:sz w:val="24"/>
        </w:rPr>
        <w:t>multidrug-resistant</w:t>
      </w:r>
      <w:r>
        <w:rPr>
          <w:rFonts w:ascii="Times New Roman"/>
          <w:spacing w:val="-1"/>
          <w:sz w:val="24"/>
        </w:rPr>
        <w:t> </w:t>
      </w:r>
      <w:r>
        <w:rPr>
          <w:rFonts w:ascii="Times New Roman"/>
          <w:spacing w:val="-2"/>
          <w:sz w:val="24"/>
        </w:rPr>
        <w:t>bacteria:</w:t>
      </w:r>
    </w:p>
    <w:p>
      <w:pPr>
        <w:pStyle w:val="BodyText"/>
        <w:rPr>
          <w:rFonts w:ascii="Times New Roman"/>
          <w:sz w:val="24"/>
        </w:rPr>
      </w:pPr>
    </w:p>
    <w:p>
      <w:pPr>
        <w:pStyle w:val="BodyText"/>
        <w:spacing w:before="10"/>
        <w:rPr>
          <w:rFonts w:ascii="Times New Roman"/>
          <w:sz w:val="24"/>
        </w:rPr>
      </w:pPr>
    </w:p>
    <w:p>
      <w:pPr>
        <w:spacing w:before="0"/>
        <w:ind w:left="1100" w:right="0" w:firstLine="0"/>
        <w:jc w:val="left"/>
        <w:rPr>
          <w:sz w:val="22"/>
        </w:rPr>
      </w:pPr>
      <w:r>
        <w:rPr>
          <w:sz w:val="22"/>
        </w:rPr>
        <w:t>Methicillin-resistant</w:t>
      </w:r>
      <w:r>
        <w:rPr>
          <w:spacing w:val="-12"/>
          <w:sz w:val="22"/>
        </w:rPr>
        <w:t> </w:t>
      </w:r>
      <w:r>
        <w:rPr>
          <w:i/>
          <w:sz w:val="22"/>
        </w:rPr>
        <w:t>Staphylococcus</w:t>
      </w:r>
      <w:r>
        <w:rPr>
          <w:i/>
          <w:spacing w:val="-10"/>
          <w:sz w:val="22"/>
        </w:rPr>
        <w:t> </w:t>
      </w:r>
      <w:r>
        <w:rPr>
          <w:i/>
          <w:sz w:val="22"/>
        </w:rPr>
        <w:t>aureus</w:t>
      </w:r>
      <w:r>
        <w:rPr>
          <w:i/>
          <w:spacing w:val="-10"/>
          <w:sz w:val="22"/>
        </w:rPr>
        <w:t> </w:t>
      </w:r>
      <w:r>
        <w:rPr>
          <w:spacing w:val="-2"/>
          <w:sz w:val="22"/>
        </w:rPr>
        <w:t>(MRSA)</w:t>
      </w:r>
    </w:p>
    <w:p>
      <w:pPr>
        <w:pStyle w:val="BodyText"/>
      </w:pPr>
    </w:p>
    <w:p>
      <w:pPr>
        <w:pStyle w:val="BodyText"/>
        <w:spacing w:before="10"/>
      </w:pPr>
    </w:p>
    <w:p>
      <w:pPr>
        <w:spacing w:before="0"/>
        <w:ind w:left="1100" w:right="0" w:firstLine="0"/>
        <w:jc w:val="left"/>
        <w:rPr>
          <w:sz w:val="22"/>
        </w:rPr>
      </w:pPr>
      <w:r>
        <w:rPr>
          <w:sz w:val="22"/>
        </w:rPr>
        <w:t>Vancomycin-resistant</w:t>
      </w:r>
      <w:r>
        <w:rPr>
          <w:spacing w:val="-13"/>
          <w:sz w:val="22"/>
        </w:rPr>
        <w:t> </w:t>
      </w:r>
      <w:r>
        <w:rPr>
          <w:i/>
          <w:sz w:val="22"/>
        </w:rPr>
        <w:t>Staphylococcus</w:t>
      </w:r>
      <w:r>
        <w:rPr>
          <w:i/>
          <w:spacing w:val="-12"/>
          <w:sz w:val="22"/>
        </w:rPr>
        <w:t> </w:t>
      </w:r>
      <w:r>
        <w:rPr>
          <w:i/>
          <w:sz w:val="22"/>
        </w:rPr>
        <w:t>aureus</w:t>
      </w:r>
      <w:r>
        <w:rPr>
          <w:i/>
          <w:spacing w:val="-11"/>
          <w:sz w:val="22"/>
        </w:rPr>
        <w:t> </w:t>
      </w:r>
      <w:r>
        <w:rPr>
          <w:spacing w:val="-2"/>
          <w:sz w:val="22"/>
        </w:rPr>
        <w:t>(VRSA)</w:t>
      </w:r>
    </w:p>
    <w:p>
      <w:pPr>
        <w:pStyle w:val="BodyText"/>
      </w:pPr>
    </w:p>
    <w:p>
      <w:pPr>
        <w:pStyle w:val="BodyText"/>
        <w:spacing w:before="13"/>
      </w:pPr>
    </w:p>
    <w:p>
      <w:pPr>
        <w:pStyle w:val="BodyText"/>
        <w:ind w:left="1100"/>
      </w:pPr>
      <w:r>
        <w:rPr>
          <w:spacing w:val="-2"/>
        </w:rPr>
        <w:t>Vancomycin-resistant</w:t>
      </w:r>
      <w:r>
        <w:rPr>
          <w:spacing w:val="16"/>
        </w:rPr>
        <w:t> </w:t>
      </w:r>
      <w:r>
        <w:rPr>
          <w:spacing w:val="-2"/>
        </w:rPr>
        <w:t>enterococci</w:t>
      </w:r>
      <w:r>
        <w:rPr>
          <w:spacing w:val="20"/>
        </w:rPr>
        <w:t> </w:t>
      </w:r>
      <w:r>
        <w:rPr>
          <w:spacing w:val="-2"/>
        </w:rPr>
        <w:t>(VRE)</w:t>
      </w:r>
    </w:p>
    <w:p>
      <w:pPr>
        <w:pStyle w:val="BodyText"/>
      </w:pPr>
    </w:p>
    <w:p>
      <w:pPr>
        <w:pStyle w:val="BodyText"/>
        <w:spacing w:before="11"/>
      </w:pPr>
    </w:p>
    <w:p>
      <w:pPr>
        <w:spacing w:line="480" w:lineRule="auto" w:before="0"/>
        <w:ind w:left="1100" w:right="975" w:firstLine="0"/>
        <w:jc w:val="left"/>
        <w:rPr>
          <w:sz w:val="22"/>
        </w:rPr>
      </w:pPr>
      <w:r>
        <w:rPr>
          <w:sz w:val="22"/>
        </w:rPr>
        <w:t>Extended-spectrum</w:t>
      </w:r>
      <w:r>
        <w:rPr>
          <w:spacing w:val="80"/>
          <w:sz w:val="22"/>
        </w:rPr>
        <w:t> </w:t>
      </w:r>
      <w:r>
        <w:rPr>
          <w:sz w:val="22"/>
        </w:rPr>
        <w:t>beta-lactamase</w:t>
      </w:r>
      <w:r>
        <w:rPr>
          <w:spacing w:val="80"/>
          <w:sz w:val="22"/>
        </w:rPr>
        <w:t> </w:t>
      </w:r>
      <w:r>
        <w:rPr>
          <w:sz w:val="22"/>
        </w:rPr>
        <w:t>(ESBL)-producing</w:t>
      </w:r>
      <w:r>
        <w:rPr>
          <w:spacing w:val="80"/>
          <w:sz w:val="22"/>
        </w:rPr>
        <w:t> </w:t>
      </w:r>
      <w:r>
        <w:rPr>
          <w:i/>
          <w:sz w:val="22"/>
        </w:rPr>
        <w:t>Enterobacteriaceae</w:t>
      </w:r>
      <w:r>
        <w:rPr>
          <w:i/>
          <w:spacing w:val="80"/>
          <w:sz w:val="22"/>
        </w:rPr>
        <w:t> </w:t>
      </w:r>
      <w:r>
        <w:rPr>
          <w:sz w:val="22"/>
        </w:rPr>
        <w:t>(examples</w:t>
      </w:r>
      <w:r>
        <w:rPr>
          <w:spacing w:val="80"/>
          <w:sz w:val="22"/>
        </w:rPr>
        <w:t> </w:t>
      </w:r>
      <w:r>
        <w:rPr>
          <w:sz w:val="22"/>
        </w:rPr>
        <w:t>of common </w:t>
      </w:r>
      <w:r>
        <w:rPr>
          <w:i/>
          <w:sz w:val="22"/>
        </w:rPr>
        <w:t>Enterobacteriaceae </w:t>
      </w:r>
      <w:r>
        <w:rPr>
          <w:sz w:val="22"/>
        </w:rPr>
        <w:t>are </w:t>
      </w:r>
      <w:r>
        <w:rPr>
          <w:i/>
          <w:sz w:val="22"/>
        </w:rPr>
        <w:t>Escherichia coli </w:t>
      </w:r>
      <w:r>
        <w:rPr>
          <w:sz w:val="22"/>
        </w:rPr>
        <w:t>and </w:t>
      </w:r>
      <w:r>
        <w:rPr>
          <w:i/>
          <w:sz w:val="22"/>
        </w:rPr>
        <w:t>Klebsiella pneumoniae</w:t>
      </w:r>
      <w:r>
        <w:rPr>
          <w:sz w:val="22"/>
        </w:rPr>
        <w:t>)</w:t>
      </w:r>
    </w:p>
    <w:p>
      <w:pPr>
        <w:pStyle w:val="BodyText"/>
        <w:spacing w:before="13"/>
      </w:pPr>
    </w:p>
    <w:p>
      <w:pPr>
        <w:spacing w:before="0"/>
        <w:ind w:left="1100" w:right="0" w:firstLine="0"/>
        <w:jc w:val="left"/>
        <w:rPr>
          <w:sz w:val="22"/>
        </w:rPr>
      </w:pPr>
      <w:r>
        <w:rPr>
          <w:sz w:val="22"/>
        </w:rPr>
        <w:t>Carbapenemase-producing</w:t>
      </w:r>
      <w:r>
        <w:rPr>
          <w:spacing w:val="-14"/>
          <w:sz w:val="22"/>
        </w:rPr>
        <w:t> </w:t>
      </w:r>
      <w:r>
        <w:rPr>
          <w:i/>
          <w:sz w:val="22"/>
        </w:rPr>
        <w:t>Enterobacteriaceae</w:t>
      </w:r>
      <w:r>
        <w:rPr>
          <w:i/>
          <w:spacing w:val="-11"/>
          <w:sz w:val="22"/>
        </w:rPr>
        <w:t> </w:t>
      </w:r>
      <w:r>
        <w:rPr>
          <w:sz w:val="22"/>
        </w:rPr>
        <w:t>(</w:t>
      </w:r>
      <w:r>
        <w:rPr>
          <w:i/>
          <w:sz w:val="22"/>
        </w:rPr>
        <w:t>e.g.</w:t>
      </w:r>
      <w:r>
        <w:rPr>
          <w:i/>
          <w:spacing w:val="-10"/>
          <w:sz w:val="22"/>
        </w:rPr>
        <w:t> </w:t>
      </w:r>
      <w:r>
        <w:rPr>
          <w:i/>
          <w:sz w:val="22"/>
        </w:rPr>
        <w:t>Klebsiella</w:t>
      </w:r>
      <w:r>
        <w:rPr>
          <w:i/>
          <w:spacing w:val="-10"/>
          <w:sz w:val="22"/>
        </w:rPr>
        <w:t> </w:t>
      </w:r>
      <w:r>
        <w:rPr>
          <w:i/>
          <w:spacing w:val="-2"/>
          <w:sz w:val="22"/>
        </w:rPr>
        <w:t>pneumoniae</w:t>
      </w:r>
      <w:r>
        <w:rPr>
          <w:spacing w:val="-2"/>
          <w:sz w:val="22"/>
        </w:rPr>
        <w:t>)</w:t>
      </w:r>
    </w:p>
    <w:p>
      <w:pPr>
        <w:pStyle w:val="BodyText"/>
      </w:pPr>
    </w:p>
    <w:p>
      <w:pPr>
        <w:pStyle w:val="BodyText"/>
        <w:spacing w:before="11"/>
      </w:pPr>
    </w:p>
    <w:p>
      <w:pPr>
        <w:spacing w:before="0"/>
        <w:ind w:left="1100" w:right="0" w:firstLine="0"/>
        <w:jc w:val="left"/>
        <w:rPr>
          <w:i/>
          <w:sz w:val="22"/>
        </w:rPr>
      </w:pPr>
      <w:r>
        <w:rPr>
          <w:sz w:val="22"/>
        </w:rPr>
        <w:t>Multidrug-resistant</w:t>
      </w:r>
      <w:r>
        <w:rPr>
          <w:spacing w:val="-13"/>
          <w:sz w:val="22"/>
        </w:rPr>
        <w:t> </w:t>
      </w:r>
      <w:r>
        <w:rPr>
          <w:i/>
          <w:sz w:val="22"/>
        </w:rPr>
        <w:t>Pseudomonas</w:t>
      </w:r>
      <w:r>
        <w:rPr>
          <w:i/>
          <w:spacing w:val="-10"/>
          <w:sz w:val="22"/>
        </w:rPr>
        <w:t> </w:t>
      </w:r>
      <w:r>
        <w:rPr>
          <w:i/>
          <w:spacing w:val="-2"/>
          <w:sz w:val="22"/>
        </w:rPr>
        <w:t>aeruginosa</w:t>
      </w:r>
    </w:p>
    <w:p>
      <w:pPr>
        <w:spacing w:after="0"/>
        <w:jc w:val="left"/>
        <w:rPr>
          <w:sz w:val="22"/>
        </w:rPr>
        <w:sectPr>
          <w:pgSz w:w="11910" w:h="16840"/>
          <w:pgMar w:header="0" w:footer="1055" w:top="1380" w:bottom="1240" w:left="1060" w:right="460"/>
        </w:sectPr>
      </w:pPr>
    </w:p>
    <w:p>
      <w:pPr>
        <w:spacing w:before="73"/>
        <w:ind w:left="1100" w:right="0" w:firstLine="0"/>
        <w:jc w:val="left"/>
        <w:rPr>
          <w:rFonts w:ascii="Times New Roman"/>
          <w:i/>
          <w:sz w:val="24"/>
        </w:rPr>
      </w:pPr>
      <w:r>
        <w:rPr>
          <w:rFonts w:ascii="Times New Roman"/>
          <w:i/>
          <w:sz w:val="24"/>
        </w:rPr>
        <w:t>Clostridium </w:t>
      </w:r>
      <w:r>
        <w:rPr>
          <w:rFonts w:ascii="Times New Roman"/>
          <w:i/>
          <w:spacing w:val="-2"/>
          <w:sz w:val="24"/>
        </w:rPr>
        <w:t>difficile</w:t>
      </w:r>
    </w:p>
    <w:p>
      <w:pPr>
        <w:pStyle w:val="BodyText"/>
        <w:rPr>
          <w:rFonts w:ascii="Times New Roman"/>
          <w:i/>
          <w:sz w:val="24"/>
        </w:rPr>
      </w:pPr>
    </w:p>
    <w:p>
      <w:pPr>
        <w:pStyle w:val="BodyText"/>
        <w:spacing w:before="10"/>
        <w:rPr>
          <w:rFonts w:ascii="Times New Roman"/>
          <w:i/>
          <w:sz w:val="24"/>
        </w:rPr>
      </w:pPr>
    </w:p>
    <w:p>
      <w:pPr>
        <w:spacing w:before="0"/>
        <w:ind w:left="1100" w:right="0" w:firstLine="0"/>
        <w:jc w:val="left"/>
        <w:rPr>
          <w:i/>
          <w:sz w:val="22"/>
        </w:rPr>
      </w:pPr>
      <w:hyperlink r:id="rId231">
        <w:r>
          <w:rPr>
            <w:sz w:val="22"/>
          </w:rPr>
          <w:t>Antibiotic-Resistant</w:t>
        </w:r>
        <w:r>
          <w:rPr>
            <w:spacing w:val="-12"/>
            <w:sz w:val="22"/>
          </w:rPr>
          <w:t> </w:t>
        </w:r>
        <w:r>
          <w:rPr>
            <w:i/>
            <w:sz w:val="22"/>
          </w:rPr>
          <w:t>Mycobacterium</w:t>
        </w:r>
        <w:r>
          <w:rPr>
            <w:i/>
            <w:spacing w:val="-12"/>
            <w:sz w:val="22"/>
          </w:rPr>
          <w:t> </w:t>
        </w:r>
        <w:r>
          <w:rPr>
            <w:i/>
            <w:sz w:val="22"/>
          </w:rPr>
          <w:t>tuberculosis</w:t>
        </w:r>
        <w:r>
          <w:rPr>
            <w:i/>
            <w:spacing w:val="-11"/>
            <w:sz w:val="22"/>
          </w:rPr>
          <w:t> </w:t>
        </w:r>
        <w:r>
          <w:rPr>
            <w:i/>
            <w:spacing w:val="-4"/>
            <w:sz w:val="22"/>
          </w:rPr>
          <w:t>(TB)</w:t>
        </w:r>
      </w:hyperlink>
    </w:p>
    <w:p>
      <w:pPr>
        <w:pStyle w:val="BodyText"/>
        <w:rPr>
          <w:i/>
        </w:rPr>
      </w:pPr>
    </w:p>
    <w:p>
      <w:pPr>
        <w:pStyle w:val="BodyText"/>
        <w:spacing w:before="11"/>
        <w:rPr>
          <w:i/>
        </w:rPr>
      </w:pPr>
    </w:p>
    <w:p>
      <w:pPr>
        <w:spacing w:before="0"/>
        <w:ind w:left="1100" w:right="0" w:firstLine="0"/>
        <w:jc w:val="left"/>
        <w:rPr>
          <w:sz w:val="22"/>
        </w:rPr>
      </w:pPr>
      <w:hyperlink r:id="rId232">
        <w:r>
          <w:rPr>
            <w:sz w:val="22"/>
          </w:rPr>
          <w:t>Multidrug-Resistant</w:t>
        </w:r>
        <w:r>
          <w:rPr>
            <w:spacing w:val="-9"/>
            <w:sz w:val="22"/>
          </w:rPr>
          <w:t> </w:t>
        </w:r>
        <w:r>
          <w:rPr>
            <w:i/>
            <w:sz w:val="22"/>
          </w:rPr>
          <w:t>Neisseria</w:t>
        </w:r>
        <w:r>
          <w:rPr>
            <w:i/>
            <w:spacing w:val="-11"/>
            <w:sz w:val="22"/>
          </w:rPr>
          <w:t> </w:t>
        </w:r>
        <w:r>
          <w:rPr>
            <w:i/>
            <w:sz w:val="22"/>
          </w:rPr>
          <w:t>gonorrhoeae</w:t>
        </w:r>
        <w:r>
          <w:rPr>
            <w:i/>
            <w:spacing w:val="-9"/>
            <w:sz w:val="22"/>
          </w:rPr>
          <w:t> </w:t>
        </w:r>
        <w:r>
          <w:rPr>
            <w:spacing w:val="-2"/>
            <w:sz w:val="22"/>
          </w:rPr>
          <w:t>(Gonorrhea)</w:t>
        </w:r>
      </w:hyperlink>
    </w:p>
    <w:p>
      <w:pPr>
        <w:pStyle w:val="BodyText"/>
      </w:pPr>
    </w:p>
    <w:p>
      <w:pPr>
        <w:pStyle w:val="BodyText"/>
        <w:spacing w:before="12"/>
      </w:pPr>
    </w:p>
    <w:p>
      <w:pPr>
        <w:pStyle w:val="Heading3"/>
        <w:numPr>
          <w:ilvl w:val="2"/>
          <w:numId w:val="1"/>
        </w:numPr>
        <w:tabs>
          <w:tab w:pos="1100" w:val="left" w:leader="none"/>
        </w:tabs>
        <w:spacing w:line="240" w:lineRule="auto" w:before="1" w:after="0"/>
        <w:ind w:left="1100" w:right="0" w:hanging="720"/>
        <w:jc w:val="left"/>
      </w:pPr>
      <w:r>
        <w:rPr/>
        <w:t>Mechanisms</w:t>
      </w:r>
      <w:r>
        <w:rPr>
          <w:spacing w:val="-6"/>
        </w:rPr>
        <w:t> </w:t>
      </w:r>
      <w:r>
        <w:rPr/>
        <w:t>of</w:t>
      </w:r>
      <w:r>
        <w:rPr>
          <w:spacing w:val="-5"/>
        </w:rPr>
        <w:t> </w:t>
      </w:r>
      <w:r>
        <w:rPr/>
        <w:t>antibiotic</w:t>
      </w:r>
      <w:r>
        <w:rPr>
          <w:spacing w:val="-6"/>
        </w:rPr>
        <w:t> </w:t>
      </w:r>
      <w:r>
        <w:rPr>
          <w:spacing w:val="-2"/>
        </w:rPr>
        <w:t>resistance</w:t>
      </w:r>
    </w:p>
    <w:p>
      <w:pPr>
        <w:pStyle w:val="BodyText"/>
        <w:spacing w:before="31"/>
        <w:rPr>
          <w:b/>
        </w:rPr>
      </w:pPr>
    </w:p>
    <w:p>
      <w:pPr>
        <w:pStyle w:val="BodyText"/>
        <w:ind w:left="1100"/>
      </w:pPr>
      <w:r>
        <w:rPr/>
        <w:t>Bacteria</w:t>
      </w:r>
      <w:r>
        <w:rPr>
          <w:spacing w:val="-7"/>
        </w:rPr>
        <w:t> </w:t>
      </w:r>
      <w:r>
        <w:rPr/>
        <w:t>may</w:t>
      </w:r>
      <w:r>
        <w:rPr>
          <w:spacing w:val="-3"/>
        </w:rPr>
        <w:t> </w:t>
      </w:r>
      <w:r>
        <w:rPr/>
        <w:t>demonstrate</w:t>
      </w:r>
      <w:r>
        <w:rPr>
          <w:spacing w:val="-4"/>
        </w:rPr>
        <w:t> </w:t>
      </w:r>
      <w:r>
        <w:rPr/>
        <w:t>any</w:t>
      </w:r>
      <w:r>
        <w:rPr>
          <w:spacing w:val="-3"/>
        </w:rPr>
        <w:t> </w:t>
      </w:r>
      <w:r>
        <w:rPr/>
        <w:t>of</w:t>
      </w:r>
      <w:r>
        <w:rPr>
          <w:spacing w:val="-6"/>
        </w:rPr>
        <w:t> </w:t>
      </w:r>
      <w:r>
        <w:rPr/>
        <w:t>the</w:t>
      </w:r>
      <w:r>
        <w:rPr>
          <w:spacing w:val="-2"/>
        </w:rPr>
        <w:t> </w:t>
      </w:r>
      <w:r>
        <w:rPr/>
        <w:t>Five</w:t>
      </w:r>
      <w:r>
        <w:rPr>
          <w:spacing w:val="-5"/>
        </w:rPr>
        <w:t> </w:t>
      </w:r>
      <w:r>
        <w:rPr/>
        <w:t>General</w:t>
      </w:r>
      <w:r>
        <w:rPr>
          <w:spacing w:val="-6"/>
        </w:rPr>
        <w:t> </w:t>
      </w:r>
      <w:r>
        <w:rPr/>
        <w:t>Mechanisms</w:t>
      </w:r>
      <w:r>
        <w:rPr>
          <w:spacing w:val="-4"/>
        </w:rPr>
        <w:t> </w:t>
      </w:r>
      <w:r>
        <w:rPr/>
        <w:t>of</w:t>
      </w:r>
      <w:r>
        <w:rPr>
          <w:spacing w:val="-3"/>
        </w:rPr>
        <w:t> </w:t>
      </w:r>
      <w:r>
        <w:rPr/>
        <w:t>Antibiotic</w:t>
      </w:r>
      <w:r>
        <w:rPr>
          <w:spacing w:val="-5"/>
        </w:rPr>
        <w:t> </w:t>
      </w:r>
      <w:r>
        <w:rPr>
          <w:spacing w:val="-2"/>
        </w:rPr>
        <w:t>Resistance:</w:t>
      </w:r>
    </w:p>
    <w:p>
      <w:pPr>
        <w:pStyle w:val="BodyText"/>
      </w:pPr>
    </w:p>
    <w:p>
      <w:pPr>
        <w:pStyle w:val="BodyText"/>
        <w:spacing w:before="11"/>
      </w:pPr>
    </w:p>
    <w:p>
      <w:pPr>
        <w:spacing w:before="0"/>
        <w:ind w:left="1100" w:right="0" w:firstLine="0"/>
        <w:jc w:val="left"/>
        <w:rPr>
          <w:sz w:val="22"/>
        </w:rPr>
      </w:pPr>
      <w:r>
        <w:rPr>
          <w:i/>
          <w:sz w:val="22"/>
        </w:rPr>
        <w:t>Lack</w:t>
      </w:r>
      <w:r>
        <w:rPr>
          <w:i/>
          <w:spacing w:val="-4"/>
          <w:sz w:val="22"/>
        </w:rPr>
        <w:t> </w:t>
      </w:r>
      <w:r>
        <w:rPr>
          <w:i/>
          <w:sz w:val="22"/>
        </w:rPr>
        <w:t>of</w:t>
      </w:r>
      <w:r>
        <w:rPr>
          <w:i/>
          <w:spacing w:val="-3"/>
          <w:sz w:val="22"/>
        </w:rPr>
        <w:t> </w:t>
      </w:r>
      <w:r>
        <w:rPr>
          <w:i/>
          <w:sz w:val="22"/>
        </w:rPr>
        <w:t>entry</w:t>
      </w:r>
      <w:r>
        <w:rPr>
          <w:sz w:val="22"/>
        </w:rPr>
        <w:t>;</w:t>
      </w:r>
      <w:r>
        <w:rPr>
          <w:spacing w:val="-4"/>
          <w:sz w:val="22"/>
        </w:rPr>
        <w:t> </w:t>
      </w:r>
      <w:r>
        <w:rPr>
          <w:sz w:val="22"/>
        </w:rPr>
        <w:t>Decreased</w:t>
      </w:r>
      <w:r>
        <w:rPr>
          <w:spacing w:val="-4"/>
          <w:sz w:val="22"/>
        </w:rPr>
        <w:t> </w:t>
      </w:r>
      <w:r>
        <w:rPr>
          <w:sz w:val="22"/>
        </w:rPr>
        <w:t>cell</w:t>
      </w:r>
      <w:r>
        <w:rPr>
          <w:spacing w:val="-3"/>
          <w:sz w:val="22"/>
        </w:rPr>
        <w:t> </w:t>
      </w:r>
      <w:r>
        <w:rPr>
          <w:spacing w:val="-2"/>
          <w:sz w:val="22"/>
        </w:rPr>
        <w:t>permeability</w:t>
      </w:r>
    </w:p>
    <w:p>
      <w:pPr>
        <w:pStyle w:val="BodyText"/>
      </w:pPr>
    </w:p>
    <w:p>
      <w:pPr>
        <w:pStyle w:val="BodyText"/>
        <w:spacing w:before="13"/>
      </w:pPr>
    </w:p>
    <w:p>
      <w:pPr>
        <w:spacing w:before="0"/>
        <w:ind w:left="1100" w:right="0" w:firstLine="0"/>
        <w:jc w:val="left"/>
        <w:rPr>
          <w:sz w:val="22"/>
        </w:rPr>
      </w:pPr>
      <w:r>
        <w:rPr>
          <w:i/>
          <w:sz w:val="22"/>
        </w:rPr>
        <w:t>Greater</w:t>
      </w:r>
      <w:r>
        <w:rPr>
          <w:i/>
          <w:spacing w:val="-4"/>
          <w:sz w:val="22"/>
        </w:rPr>
        <w:t> </w:t>
      </w:r>
      <w:r>
        <w:rPr>
          <w:i/>
          <w:sz w:val="22"/>
        </w:rPr>
        <w:t>exit</w:t>
      </w:r>
      <w:r>
        <w:rPr>
          <w:sz w:val="22"/>
        </w:rPr>
        <w:t>;</w:t>
      </w:r>
      <w:r>
        <w:rPr>
          <w:spacing w:val="-5"/>
          <w:sz w:val="22"/>
        </w:rPr>
        <w:t> </w:t>
      </w:r>
      <w:r>
        <w:rPr>
          <w:sz w:val="22"/>
        </w:rPr>
        <w:t>Active</w:t>
      </w:r>
      <w:r>
        <w:rPr>
          <w:spacing w:val="-3"/>
          <w:sz w:val="22"/>
        </w:rPr>
        <w:t> </w:t>
      </w:r>
      <w:r>
        <w:rPr>
          <w:spacing w:val="-2"/>
          <w:sz w:val="22"/>
        </w:rPr>
        <w:t>efflux</w:t>
      </w:r>
    </w:p>
    <w:p>
      <w:pPr>
        <w:pStyle w:val="BodyText"/>
      </w:pPr>
    </w:p>
    <w:p>
      <w:pPr>
        <w:pStyle w:val="BodyText"/>
        <w:spacing w:before="10"/>
      </w:pPr>
    </w:p>
    <w:p>
      <w:pPr>
        <w:spacing w:before="0"/>
        <w:ind w:left="1100" w:right="0" w:firstLine="0"/>
        <w:jc w:val="left"/>
        <w:rPr>
          <w:i/>
          <w:sz w:val="22"/>
        </w:rPr>
      </w:pPr>
      <w:r>
        <w:rPr>
          <w:i/>
          <w:sz w:val="22"/>
        </w:rPr>
        <w:t>Enzymatic</w:t>
      </w:r>
      <w:r>
        <w:rPr>
          <w:i/>
          <w:spacing w:val="-5"/>
          <w:sz w:val="22"/>
        </w:rPr>
        <w:t> </w:t>
      </w:r>
      <w:r>
        <w:rPr>
          <w:i/>
          <w:sz w:val="22"/>
        </w:rPr>
        <w:t>inactivation</w:t>
      </w:r>
      <w:r>
        <w:rPr>
          <w:i/>
          <w:spacing w:val="-4"/>
          <w:sz w:val="22"/>
        </w:rPr>
        <w:t> </w:t>
      </w:r>
      <w:r>
        <w:rPr>
          <w:i/>
          <w:sz w:val="22"/>
        </w:rPr>
        <w:t>of</w:t>
      </w:r>
      <w:r>
        <w:rPr>
          <w:i/>
          <w:spacing w:val="-4"/>
          <w:sz w:val="22"/>
        </w:rPr>
        <w:t> </w:t>
      </w:r>
      <w:r>
        <w:rPr>
          <w:i/>
          <w:sz w:val="22"/>
        </w:rPr>
        <w:t>the</w:t>
      </w:r>
      <w:r>
        <w:rPr>
          <w:i/>
          <w:spacing w:val="-3"/>
          <w:sz w:val="22"/>
        </w:rPr>
        <w:t> </w:t>
      </w:r>
      <w:r>
        <w:rPr>
          <w:i/>
          <w:spacing w:val="-2"/>
          <w:sz w:val="22"/>
        </w:rPr>
        <w:t>antibiotic</w:t>
      </w:r>
    </w:p>
    <w:p>
      <w:pPr>
        <w:pStyle w:val="BodyText"/>
        <w:rPr>
          <w:i/>
        </w:rPr>
      </w:pPr>
    </w:p>
    <w:p>
      <w:pPr>
        <w:pStyle w:val="BodyText"/>
        <w:spacing w:before="13"/>
        <w:rPr>
          <w:i/>
        </w:rPr>
      </w:pPr>
    </w:p>
    <w:p>
      <w:pPr>
        <w:spacing w:before="0"/>
        <w:ind w:left="1100" w:right="0" w:firstLine="0"/>
        <w:jc w:val="left"/>
        <w:rPr>
          <w:sz w:val="22"/>
        </w:rPr>
      </w:pPr>
      <w:r>
        <w:rPr>
          <w:i/>
          <w:sz w:val="22"/>
        </w:rPr>
        <w:t>Altered</w:t>
      </w:r>
      <w:r>
        <w:rPr>
          <w:i/>
          <w:spacing w:val="-6"/>
          <w:sz w:val="22"/>
        </w:rPr>
        <w:t> </w:t>
      </w:r>
      <w:r>
        <w:rPr>
          <w:i/>
          <w:sz w:val="22"/>
        </w:rPr>
        <w:t>target</w:t>
      </w:r>
      <w:r>
        <w:rPr>
          <w:sz w:val="22"/>
        </w:rPr>
        <w:t>;</w:t>
      </w:r>
      <w:r>
        <w:rPr>
          <w:spacing w:val="-5"/>
          <w:sz w:val="22"/>
        </w:rPr>
        <w:t> </w:t>
      </w:r>
      <w:r>
        <w:rPr>
          <w:sz w:val="22"/>
        </w:rPr>
        <w:t>Modification</w:t>
      </w:r>
      <w:r>
        <w:rPr>
          <w:spacing w:val="-4"/>
          <w:sz w:val="22"/>
        </w:rPr>
        <w:t> </w:t>
      </w:r>
      <w:r>
        <w:rPr>
          <w:sz w:val="22"/>
        </w:rPr>
        <w:t>of</w:t>
      </w:r>
      <w:r>
        <w:rPr>
          <w:spacing w:val="-3"/>
          <w:sz w:val="22"/>
        </w:rPr>
        <w:t> </w:t>
      </w:r>
      <w:r>
        <w:rPr>
          <w:sz w:val="22"/>
        </w:rPr>
        <w:t>drug</w:t>
      </w:r>
      <w:r>
        <w:rPr>
          <w:spacing w:val="-4"/>
          <w:sz w:val="22"/>
        </w:rPr>
        <w:t> </w:t>
      </w:r>
      <w:r>
        <w:rPr>
          <w:sz w:val="22"/>
        </w:rPr>
        <w:t>receptor</w:t>
      </w:r>
      <w:r>
        <w:rPr>
          <w:spacing w:val="-2"/>
          <w:sz w:val="22"/>
        </w:rPr>
        <w:t> </w:t>
      </w:r>
      <w:r>
        <w:rPr>
          <w:spacing w:val="-4"/>
          <w:sz w:val="22"/>
        </w:rPr>
        <w:t>site</w:t>
      </w:r>
    </w:p>
    <w:p>
      <w:pPr>
        <w:pStyle w:val="BodyText"/>
      </w:pPr>
    </w:p>
    <w:p>
      <w:pPr>
        <w:pStyle w:val="BodyText"/>
        <w:spacing w:before="11"/>
      </w:pPr>
    </w:p>
    <w:p>
      <w:pPr>
        <w:spacing w:before="0"/>
        <w:ind w:left="1100" w:right="0" w:firstLine="0"/>
        <w:jc w:val="left"/>
        <w:rPr>
          <w:i/>
          <w:sz w:val="22"/>
        </w:rPr>
      </w:pPr>
      <w:r>
        <w:rPr>
          <w:i/>
          <w:sz w:val="22"/>
        </w:rPr>
        <w:t>Synthesis</w:t>
      </w:r>
      <w:r>
        <w:rPr>
          <w:i/>
          <w:spacing w:val="-8"/>
          <w:sz w:val="22"/>
        </w:rPr>
        <w:t> </w:t>
      </w:r>
      <w:r>
        <w:rPr>
          <w:i/>
          <w:sz w:val="22"/>
        </w:rPr>
        <w:t>of</w:t>
      </w:r>
      <w:r>
        <w:rPr>
          <w:i/>
          <w:spacing w:val="-8"/>
          <w:sz w:val="22"/>
        </w:rPr>
        <w:t> </w:t>
      </w:r>
      <w:r>
        <w:rPr>
          <w:i/>
          <w:sz w:val="22"/>
        </w:rPr>
        <w:t>resistant</w:t>
      </w:r>
      <w:r>
        <w:rPr>
          <w:i/>
          <w:spacing w:val="-6"/>
          <w:sz w:val="22"/>
        </w:rPr>
        <w:t> </w:t>
      </w:r>
      <w:r>
        <w:rPr>
          <w:i/>
          <w:sz w:val="22"/>
        </w:rPr>
        <w:t>metabolic</w:t>
      </w:r>
      <w:r>
        <w:rPr>
          <w:i/>
          <w:spacing w:val="-6"/>
          <w:sz w:val="22"/>
        </w:rPr>
        <w:t> </w:t>
      </w:r>
      <w:r>
        <w:rPr>
          <w:i/>
          <w:spacing w:val="-2"/>
          <w:sz w:val="22"/>
        </w:rPr>
        <w:t>pathway</w:t>
      </w:r>
    </w:p>
    <w:p>
      <w:pPr>
        <w:pStyle w:val="BodyText"/>
        <w:rPr>
          <w:i/>
        </w:rPr>
      </w:pPr>
    </w:p>
    <w:p>
      <w:pPr>
        <w:pStyle w:val="BodyText"/>
        <w:spacing w:before="12"/>
        <w:rPr>
          <w:i/>
        </w:rPr>
      </w:pPr>
    </w:p>
    <w:p>
      <w:pPr>
        <w:pStyle w:val="BodyText"/>
        <w:ind w:left="1100"/>
      </w:pPr>
      <w:r>
        <w:rPr/>
        <w:t>These</w:t>
      </w:r>
      <w:r>
        <w:rPr>
          <w:spacing w:val="-8"/>
        </w:rPr>
        <w:t> </w:t>
      </w:r>
      <w:r>
        <w:rPr/>
        <w:t>mechanisms</w:t>
      </w:r>
      <w:r>
        <w:rPr>
          <w:spacing w:val="-3"/>
        </w:rPr>
        <w:t> </w:t>
      </w:r>
      <w:r>
        <w:rPr/>
        <w:t>can</w:t>
      </w:r>
      <w:r>
        <w:rPr>
          <w:spacing w:val="-5"/>
        </w:rPr>
        <w:t> </w:t>
      </w:r>
      <w:r>
        <w:rPr/>
        <w:t>be</w:t>
      </w:r>
      <w:r>
        <w:rPr>
          <w:spacing w:val="-6"/>
        </w:rPr>
        <w:t> </w:t>
      </w:r>
      <w:r>
        <w:rPr/>
        <w:t>grouped</w:t>
      </w:r>
      <w:r>
        <w:rPr>
          <w:spacing w:val="-3"/>
        </w:rPr>
        <w:t> </w:t>
      </w:r>
      <w:r>
        <w:rPr/>
        <w:t>into</w:t>
      </w:r>
      <w:r>
        <w:rPr>
          <w:spacing w:val="-3"/>
        </w:rPr>
        <w:t> </w:t>
      </w:r>
      <w:r>
        <w:rPr/>
        <w:t>three</w:t>
      </w:r>
      <w:r>
        <w:rPr>
          <w:spacing w:val="-2"/>
        </w:rPr>
        <w:t> </w:t>
      </w:r>
      <w:r>
        <w:rPr/>
        <w:t>broad</w:t>
      </w:r>
      <w:r>
        <w:rPr>
          <w:spacing w:val="-4"/>
        </w:rPr>
        <w:t> </w:t>
      </w:r>
      <w:r>
        <w:rPr>
          <w:spacing w:val="-2"/>
        </w:rPr>
        <w:t>categories:</w:t>
      </w:r>
    </w:p>
    <w:p>
      <w:pPr>
        <w:pStyle w:val="BodyText"/>
      </w:pPr>
    </w:p>
    <w:p>
      <w:pPr>
        <w:pStyle w:val="BodyText"/>
        <w:spacing w:before="6"/>
      </w:pPr>
    </w:p>
    <w:p>
      <w:pPr>
        <w:spacing w:before="0"/>
        <w:ind w:left="1100" w:right="0" w:firstLine="0"/>
        <w:jc w:val="left"/>
        <w:rPr>
          <w:rFonts w:ascii="Times New Roman"/>
          <w:sz w:val="24"/>
        </w:rPr>
      </w:pPr>
      <w:r>
        <w:rPr>
          <w:rFonts w:ascii="Times New Roman"/>
          <w:i/>
          <w:sz w:val="24"/>
        </w:rPr>
        <w:t>Permeability</w:t>
      </w:r>
      <w:r>
        <w:rPr>
          <w:rFonts w:ascii="Times New Roman"/>
          <w:i/>
          <w:spacing w:val="-5"/>
          <w:sz w:val="24"/>
        </w:rPr>
        <w:t> </w:t>
      </w:r>
      <w:r>
        <w:rPr>
          <w:rFonts w:ascii="Times New Roman"/>
          <w:i/>
          <w:spacing w:val="-2"/>
          <w:sz w:val="24"/>
        </w:rPr>
        <w:t>mechanisms</w:t>
      </w:r>
      <w:r>
        <w:rPr>
          <w:rFonts w:ascii="Times New Roman"/>
          <w:spacing w:val="-2"/>
          <w:sz w:val="24"/>
        </w:rPr>
        <w:t>:</w:t>
      </w:r>
    </w:p>
    <w:p>
      <w:pPr>
        <w:pStyle w:val="BodyText"/>
        <w:rPr>
          <w:rFonts w:ascii="Times New Roman"/>
          <w:sz w:val="24"/>
        </w:rPr>
      </w:pPr>
    </w:p>
    <w:p>
      <w:pPr>
        <w:spacing w:line="480" w:lineRule="auto" w:before="0"/>
        <w:ind w:left="1100" w:right="975" w:firstLine="0"/>
        <w:jc w:val="left"/>
        <w:rPr>
          <w:rFonts w:ascii="Times New Roman"/>
          <w:sz w:val="24"/>
        </w:rPr>
      </w:pPr>
      <w:r>
        <w:rPr>
          <w:rFonts w:ascii="Times New Roman"/>
          <w:i/>
          <w:sz w:val="24"/>
        </w:rPr>
        <w:t>Lack</w:t>
      </w:r>
      <w:r>
        <w:rPr>
          <w:rFonts w:ascii="Times New Roman"/>
          <w:i/>
          <w:spacing w:val="40"/>
          <w:sz w:val="24"/>
        </w:rPr>
        <w:t> </w:t>
      </w:r>
      <w:r>
        <w:rPr>
          <w:rFonts w:ascii="Times New Roman"/>
          <w:i/>
          <w:sz w:val="24"/>
        </w:rPr>
        <w:t>of</w:t>
      </w:r>
      <w:r>
        <w:rPr>
          <w:rFonts w:ascii="Times New Roman"/>
          <w:i/>
          <w:spacing w:val="40"/>
          <w:sz w:val="24"/>
        </w:rPr>
        <w:t> </w:t>
      </w:r>
      <w:r>
        <w:rPr>
          <w:rFonts w:ascii="Times New Roman"/>
          <w:i/>
          <w:sz w:val="24"/>
        </w:rPr>
        <w:t>entry</w:t>
      </w:r>
      <w:r>
        <w:rPr>
          <w:rFonts w:ascii="Times New Roman"/>
          <w:sz w:val="24"/>
        </w:rPr>
        <w:t>:</w:t>
      </w:r>
      <w:r>
        <w:rPr>
          <w:rFonts w:ascii="Times New Roman"/>
          <w:spacing w:val="40"/>
          <w:sz w:val="24"/>
        </w:rPr>
        <w:t> </w:t>
      </w:r>
      <w:r>
        <w:rPr>
          <w:rFonts w:ascii="Times New Roman"/>
          <w:sz w:val="24"/>
        </w:rPr>
        <w:t>Decreased</w:t>
      </w:r>
      <w:r>
        <w:rPr>
          <w:rFonts w:ascii="Times New Roman"/>
          <w:spacing w:val="40"/>
          <w:sz w:val="24"/>
        </w:rPr>
        <w:t> </w:t>
      </w:r>
      <w:r>
        <w:rPr>
          <w:rFonts w:ascii="Times New Roman"/>
          <w:sz w:val="24"/>
        </w:rPr>
        <w:t>cell</w:t>
      </w:r>
      <w:r>
        <w:rPr>
          <w:rFonts w:ascii="Times New Roman"/>
          <w:spacing w:val="40"/>
          <w:sz w:val="24"/>
        </w:rPr>
        <w:t> </w:t>
      </w:r>
      <w:r>
        <w:rPr>
          <w:rFonts w:ascii="Times New Roman"/>
          <w:sz w:val="24"/>
        </w:rPr>
        <w:t>permeability</w:t>
      </w:r>
      <w:r>
        <w:rPr>
          <w:rFonts w:ascii="Times New Roman"/>
          <w:spacing w:val="37"/>
          <w:sz w:val="24"/>
        </w:rPr>
        <w:t> </w:t>
      </w:r>
      <w:r>
        <w:rPr>
          <w:rFonts w:ascii="Times New Roman"/>
          <w:sz w:val="24"/>
        </w:rPr>
        <w:t>to</w:t>
      </w:r>
      <w:r>
        <w:rPr>
          <w:rFonts w:ascii="Times New Roman"/>
          <w:spacing w:val="40"/>
          <w:sz w:val="24"/>
        </w:rPr>
        <w:t> </w:t>
      </w:r>
      <w:r>
        <w:rPr>
          <w:rFonts w:ascii="Times New Roman"/>
          <w:sz w:val="24"/>
        </w:rPr>
        <w:t>the</w:t>
      </w:r>
      <w:r>
        <w:rPr>
          <w:rFonts w:ascii="Times New Roman"/>
          <w:spacing w:val="40"/>
          <w:sz w:val="24"/>
        </w:rPr>
        <w:t> </w:t>
      </w:r>
      <w:r>
        <w:rPr>
          <w:rFonts w:ascii="Times New Roman"/>
          <w:sz w:val="24"/>
        </w:rPr>
        <w:t>drug/antibiotic</w:t>
      </w:r>
      <w:r>
        <w:rPr>
          <w:rFonts w:ascii="Times New Roman"/>
          <w:spacing w:val="40"/>
          <w:sz w:val="24"/>
        </w:rPr>
        <w:t> </w:t>
      </w:r>
      <w:r>
        <w:rPr>
          <w:rFonts w:ascii="Times New Roman"/>
          <w:sz w:val="24"/>
        </w:rPr>
        <w:t>(Li</w:t>
      </w:r>
      <w:r>
        <w:rPr>
          <w:rFonts w:ascii="Times New Roman"/>
          <w:spacing w:val="40"/>
          <w:sz w:val="24"/>
        </w:rPr>
        <w:t> </w:t>
      </w:r>
      <w:r>
        <w:rPr>
          <w:rFonts w:ascii="Times New Roman"/>
          <w:sz w:val="24"/>
        </w:rPr>
        <w:t>and</w:t>
      </w:r>
      <w:r>
        <w:rPr>
          <w:rFonts w:ascii="Times New Roman"/>
          <w:spacing w:val="40"/>
          <w:sz w:val="24"/>
        </w:rPr>
        <w:t> </w:t>
      </w:r>
      <w:r>
        <w:rPr>
          <w:rFonts w:ascii="Times New Roman"/>
          <w:sz w:val="24"/>
        </w:rPr>
        <w:t>Nikadio, </w:t>
      </w:r>
      <w:r>
        <w:rPr>
          <w:rFonts w:ascii="Times New Roman"/>
          <w:spacing w:val="-2"/>
          <w:sz w:val="24"/>
        </w:rPr>
        <w:t>2009).</w:t>
      </w:r>
    </w:p>
    <w:p>
      <w:pPr>
        <w:spacing w:line="480" w:lineRule="auto" w:before="1"/>
        <w:ind w:left="1100" w:right="975" w:firstLine="0"/>
        <w:jc w:val="left"/>
        <w:rPr>
          <w:rFonts w:ascii="Times New Roman"/>
          <w:sz w:val="24"/>
        </w:rPr>
      </w:pPr>
      <w:r>
        <w:rPr>
          <w:rFonts w:ascii="Times New Roman"/>
          <w:i/>
          <w:sz w:val="24"/>
        </w:rPr>
        <w:t>Greater</w:t>
      </w:r>
      <w:r>
        <w:rPr>
          <w:rFonts w:ascii="Times New Roman"/>
          <w:i/>
          <w:spacing w:val="31"/>
          <w:sz w:val="24"/>
        </w:rPr>
        <w:t> </w:t>
      </w:r>
      <w:r>
        <w:rPr>
          <w:rFonts w:ascii="Times New Roman"/>
          <w:i/>
          <w:sz w:val="24"/>
        </w:rPr>
        <w:t>exit</w:t>
      </w:r>
      <w:r>
        <w:rPr>
          <w:rFonts w:ascii="Times New Roman"/>
          <w:sz w:val="24"/>
        </w:rPr>
        <w:t>;</w:t>
      </w:r>
      <w:r>
        <w:rPr>
          <w:rFonts w:ascii="Times New Roman"/>
          <w:spacing w:val="31"/>
          <w:sz w:val="24"/>
        </w:rPr>
        <w:t> </w:t>
      </w:r>
      <w:r>
        <w:rPr>
          <w:rFonts w:ascii="Times New Roman"/>
          <w:sz w:val="24"/>
        </w:rPr>
        <w:t>Active</w:t>
      </w:r>
      <w:r>
        <w:rPr>
          <w:rFonts w:ascii="Times New Roman"/>
          <w:spacing w:val="33"/>
          <w:sz w:val="24"/>
        </w:rPr>
        <w:t> </w:t>
      </w:r>
      <w:r>
        <w:rPr>
          <w:rFonts w:ascii="Times New Roman"/>
          <w:sz w:val="24"/>
        </w:rPr>
        <w:t>efflux:</w:t>
      </w:r>
      <w:r>
        <w:rPr>
          <w:rFonts w:ascii="Times New Roman"/>
          <w:spacing w:val="32"/>
          <w:sz w:val="24"/>
        </w:rPr>
        <w:t> </w:t>
      </w:r>
      <w:r>
        <w:rPr>
          <w:rFonts w:ascii="Times New Roman"/>
          <w:sz w:val="24"/>
        </w:rPr>
        <w:t>by</w:t>
      </w:r>
      <w:r>
        <w:rPr>
          <w:rFonts w:ascii="Times New Roman"/>
          <w:spacing w:val="26"/>
          <w:sz w:val="24"/>
        </w:rPr>
        <w:t> </w:t>
      </w:r>
      <w:r>
        <w:rPr>
          <w:rFonts w:ascii="Times New Roman"/>
          <w:sz w:val="24"/>
        </w:rPr>
        <w:t>increasing</w:t>
      </w:r>
      <w:r>
        <w:rPr>
          <w:rFonts w:ascii="Times New Roman"/>
          <w:spacing w:val="28"/>
          <w:sz w:val="24"/>
        </w:rPr>
        <w:t> </w:t>
      </w:r>
      <w:r>
        <w:rPr>
          <w:rFonts w:ascii="Times New Roman"/>
          <w:sz w:val="24"/>
        </w:rPr>
        <w:t>active</w:t>
      </w:r>
      <w:r>
        <w:rPr>
          <w:rFonts w:ascii="Times New Roman"/>
          <w:spacing w:val="33"/>
          <w:sz w:val="24"/>
        </w:rPr>
        <w:t> </w:t>
      </w:r>
      <w:hyperlink r:id="rId233">
        <w:r>
          <w:rPr>
            <w:rFonts w:ascii="Times New Roman"/>
            <w:sz w:val="24"/>
          </w:rPr>
          <w:t>efflux</w:t>
        </w:r>
      </w:hyperlink>
      <w:r>
        <w:rPr>
          <w:rFonts w:ascii="Times New Roman"/>
          <w:spacing w:val="35"/>
          <w:sz w:val="24"/>
        </w:rPr>
        <w:t> </w:t>
      </w:r>
      <w:r>
        <w:rPr>
          <w:rFonts w:ascii="Times New Roman"/>
          <w:sz w:val="24"/>
        </w:rPr>
        <w:t>(pumping</w:t>
      </w:r>
      <w:r>
        <w:rPr>
          <w:rFonts w:ascii="Times New Roman"/>
          <w:spacing w:val="28"/>
          <w:sz w:val="24"/>
        </w:rPr>
        <w:t> </w:t>
      </w:r>
      <w:r>
        <w:rPr>
          <w:rFonts w:ascii="Times New Roman"/>
          <w:sz w:val="24"/>
        </w:rPr>
        <w:t>out)</w:t>
      </w:r>
      <w:r>
        <w:rPr>
          <w:rFonts w:ascii="Times New Roman"/>
          <w:spacing w:val="31"/>
          <w:sz w:val="24"/>
        </w:rPr>
        <w:t> </w:t>
      </w:r>
      <w:r>
        <w:rPr>
          <w:rFonts w:ascii="Times New Roman"/>
          <w:sz w:val="24"/>
        </w:rPr>
        <w:t>of</w:t>
      </w:r>
      <w:r>
        <w:rPr>
          <w:rFonts w:ascii="Times New Roman"/>
          <w:spacing w:val="30"/>
          <w:sz w:val="24"/>
        </w:rPr>
        <w:t> </w:t>
      </w:r>
      <w:r>
        <w:rPr>
          <w:rFonts w:ascii="Times New Roman"/>
          <w:sz w:val="24"/>
        </w:rPr>
        <w:t>the</w:t>
      </w:r>
      <w:r>
        <w:rPr>
          <w:rFonts w:ascii="Times New Roman"/>
          <w:spacing w:val="30"/>
          <w:sz w:val="24"/>
        </w:rPr>
        <w:t> </w:t>
      </w:r>
      <w:r>
        <w:rPr>
          <w:rFonts w:ascii="Times New Roman"/>
          <w:sz w:val="24"/>
        </w:rPr>
        <w:t>drugs across the cell surface (Li and Nikadio, 2009)</w:t>
      </w:r>
    </w:p>
    <w:p>
      <w:pPr>
        <w:spacing w:before="0"/>
        <w:ind w:left="1100" w:right="0" w:firstLine="0"/>
        <w:jc w:val="left"/>
        <w:rPr>
          <w:rFonts w:ascii="Times New Roman"/>
          <w:sz w:val="24"/>
        </w:rPr>
      </w:pPr>
      <w:r>
        <w:rPr>
          <w:rFonts w:ascii="Times New Roman"/>
          <w:i/>
          <w:sz w:val="24"/>
        </w:rPr>
        <w:t>Enzymatic</w:t>
      </w:r>
      <w:r>
        <w:rPr>
          <w:rFonts w:ascii="Times New Roman"/>
          <w:i/>
          <w:spacing w:val="-1"/>
          <w:sz w:val="24"/>
        </w:rPr>
        <w:t> </w:t>
      </w:r>
      <w:r>
        <w:rPr>
          <w:rFonts w:ascii="Times New Roman"/>
          <w:i/>
          <w:sz w:val="24"/>
        </w:rPr>
        <w:t>inactivation</w:t>
      </w:r>
      <w:r>
        <w:rPr>
          <w:rFonts w:ascii="Times New Roman"/>
          <w:i/>
          <w:spacing w:val="-1"/>
          <w:sz w:val="24"/>
        </w:rPr>
        <w:t> </w:t>
      </w:r>
      <w:r>
        <w:rPr>
          <w:rFonts w:ascii="Times New Roman"/>
          <w:i/>
          <w:sz w:val="24"/>
        </w:rPr>
        <w:t>of</w:t>
      </w:r>
      <w:r>
        <w:rPr>
          <w:rFonts w:ascii="Times New Roman"/>
          <w:i/>
          <w:spacing w:val="-1"/>
          <w:sz w:val="24"/>
        </w:rPr>
        <w:t> </w:t>
      </w:r>
      <w:r>
        <w:rPr>
          <w:rFonts w:ascii="Times New Roman"/>
          <w:i/>
          <w:sz w:val="24"/>
        </w:rPr>
        <w:t>the</w:t>
      </w:r>
      <w:r>
        <w:rPr>
          <w:rFonts w:ascii="Times New Roman"/>
          <w:i/>
          <w:spacing w:val="-1"/>
          <w:sz w:val="24"/>
        </w:rPr>
        <w:t> </w:t>
      </w:r>
      <w:r>
        <w:rPr>
          <w:rFonts w:ascii="Times New Roman"/>
          <w:i/>
          <w:spacing w:val="-2"/>
          <w:sz w:val="24"/>
        </w:rPr>
        <w:t>antibiotic</w:t>
      </w:r>
      <w:r>
        <w:rPr>
          <w:rFonts w:ascii="Times New Roman"/>
          <w:spacing w:val="-2"/>
          <w:sz w:val="24"/>
        </w:rPr>
        <w:t>:</w:t>
      </w:r>
    </w:p>
    <w:p>
      <w:pPr>
        <w:pStyle w:val="BodyText"/>
        <w:rPr>
          <w:rFonts w:ascii="Times New Roman"/>
          <w:sz w:val="24"/>
        </w:rPr>
      </w:pPr>
    </w:p>
    <w:p>
      <w:pPr>
        <w:spacing w:before="0"/>
        <w:ind w:left="1100" w:right="0" w:firstLine="0"/>
        <w:jc w:val="left"/>
        <w:rPr>
          <w:rFonts w:ascii="Times New Roman"/>
          <w:sz w:val="24"/>
        </w:rPr>
      </w:pPr>
      <w:r>
        <w:rPr>
          <w:rFonts w:ascii="Times New Roman"/>
          <w:i/>
          <w:sz w:val="24"/>
        </w:rPr>
        <w:t>Altered</w:t>
      </w:r>
      <w:r>
        <w:rPr>
          <w:rFonts w:ascii="Times New Roman"/>
          <w:i/>
          <w:spacing w:val="-1"/>
          <w:sz w:val="24"/>
        </w:rPr>
        <w:t> </w:t>
      </w:r>
      <w:r>
        <w:rPr>
          <w:rFonts w:ascii="Times New Roman"/>
          <w:i/>
          <w:sz w:val="24"/>
        </w:rPr>
        <w:t>target</w:t>
      </w:r>
      <w:r>
        <w:rPr>
          <w:rFonts w:ascii="Times New Roman"/>
          <w:i/>
          <w:spacing w:val="-1"/>
          <w:sz w:val="24"/>
        </w:rPr>
        <w:t> </w:t>
      </w:r>
      <w:r>
        <w:rPr>
          <w:rFonts w:ascii="Times New Roman"/>
          <w:i/>
          <w:sz w:val="24"/>
        </w:rPr>
        <w:t>or </w:t>
      </w:r>
      <w:r>
        <w:rPr>
          <w:rFonts w:ascii="Times New Roman"/>
          <w:i/>
          <w:spacing w:val="-2"/>
          <w:sz w:val="24"/>
        </w:rPr>
        <w:t>pathway</w:t>
      </w:r>
      <w:r>
        <w:rPr>
          <w:rFonts w:ascii="Times New Roman"/>
          <w:spacing w:val="-2"/>
          <w:sz w:val="24"/>
        </w:rPr>
        <w:t>;</w:t>
      </w:r>
    </w:p>
    <w:p>
      <w:pPr>
        <w:pStyle w:val="BodyText"/>
        <w:rPr>
          <w:rFonts w:ascii="Times New Roman"/>
          <w:sz w:val="24"/>
        </w:rPr>
      </w:pPr>
    </w:p>
    <w:p>
      <w:pPr>
        <w:spacing w:line="480" w:lineRule="auto" w:before="0"/>
        <w:ind w:left="1100" w:right="975" w:firstLine="0"/>
        <w:jc w:val="left"/>
        <w:rPr>
          <w:rFonts w:ascii="Times New Roman" w:hAnsi="Times New Roman"/>
          <w:sz w:val="24"/>
        </w:rPr>
      </w:pPr>
      <w:r>
        <w:rPr>
          <w:rFonts w:ascii="Times New Roman" w:hAnsi="Times New Roman"/>
          <w:i/>
          <w:sz w:val="24"/>
        </w:rPr>
        <w:t>Altered target</w:t>
      </w:r>
      <w:r>
        <w:rPr>
          <w:rFonts w:ascii="Times New Roman" w:hAnsi="Times New Roman"/>
          <w:sz w:val="24"/>
        </w:rPr>
        <w:t>: for</w:t>
      </w:r>
      <w:r>
        <w:rPr>
          <w:rFonts w:ascii="Times New Roman" w:hAnsi="Times New Roman"/>
          <w:spacing w:val="-2"/>
          <w:sz w:val="24"/>
        </w:rPr>
        <w:t> </w:t>
      </w:r>
      <w:r>
        <w:rPr>
          <w:rFonts w:ascii="Times New Roman" w:hAnsi="Times New Roman"/>
          <w:sz w:val="24"/>
        </w:rPr>
        <w:t>example, alteration of </w:t>
      </w:r>
      <w:hyperlink r:id="rId234">
        <w:r>
          <w:rPr>
            <w:rFonts w:ascii="Times New Roman" w:hAnsi="Times New Roman"/>
            <w:sz w:val="24"/>
          </w:rPr>
          <w:t>PBP</w:t>
        </w:r>
      </w:hyperlink>
      <w:r>
        <w:rPr>
          <w:rFonts w:ascii="Times New Roman" w:hAnsi="Times New Roman"/>
          <w:sz w:val="24"/>
        </w:rPr>
        <w:t>—the</w:t>
      </w:r>
      <w:r>
        <w:rPr>
          <w:rFonts w:ascii="Times New Roman" w:hAnsi="Times New Roman"/>
          <w:spacing w:val="-1"/>
          <w:sz w:val="24"/>
        </w:rPr>
        <w:t> </w:t>
      </w:r>
      <w:r>
        <w:rPr>
          <w:rFonts w:ascii="Times New Roman" w:hAnsi="Times New Roman"/>
          <w:sz w:val="24"/>
        </w:rPr>
        <w:t>binding</w:t>
      </w:r>
      <w:r>
        <w:rPr>
          <w:rFonts w:ascii="Times New Roman" w:hAnsi="Times New Roman"/>
          <w:spacing w:val="-3"/>
          <w:sz w:val="24"/>
        </w:rPr>
        <w:t> </w:t>
      </w:r>
      <w:r>
        <w:rPr>
          <w:rFonts w:ascii="Times New Roman" w:hAnsi="Times New Roman"/>
          <w:sz w:val="24"/>
        </w:rPr>
        <w:t>target site</w:t>
      </w:r>
      <w:r>
        <w:rPr>
          <w:rFonts w:ascii="Times New Roman" w:hAnsi="Times New Roman"/>
          <w:spacing w:val="-1"/>
          <w:sz w:val="24"/>
        </w:rPr>
        <w:t> </w:t>
      </w:r>
      <w:r>
        <w:rPr>
          <w:rFonts w:ascii="Times New Roman" w:hAnsi="Times New Roman"/>
          <w:sz w:val="24"/>
        </w:rPr>
        <w:t>of</w:t>
      </w:r>
      <w:r>
        <w:rPr>
          <w:rFonts w:ascii="Times New Roman" w:hAnsi="Times New Roman"/>
          <w:spacing w:val="-1"/>
          <w:sz w:val="24"/>
        </w:rPr>
        <w:t> </w:t>
      </w:r>
      <w:r>
        <w:rPr>
          <w:rFonts w:ascii="Times New Roman" w:hAnsi="Times New Roman"/>
          <w:sz w:val="24"/>
        </w:rPr>
        <w:t>penicillins— in </w:t>
      </w:r>
      <w:hyperlink r:id="rId235">
        <w:r>
          <w:rPr>
            <w:rFonts w:ascii="Times New Roman" w:hAnsi="Times New Roman"/>
            <w:sz w:val="24"/>
          </w:rPr>
          <w:t>MRSA</w:t>
        </w:r>
      </w:hyperlink>
      <w:r>
        <w:rPr>
          <w:rFonts w:ascii="Times New Roman" w:hAnsi="Times New Roman"/>
          <w:sz w:val="24"/>
        </w:rPr>
        <w:t> and other penicillin-resistant bacteria.</w:t>
      </w:r>
    </w:p>
    <w:p>
      <w:pPr>
        <w:spacing w:after="0" w:line="480" w:lineRule="auto"/>
        <w:jc w:val="left"/>
        <w:rPr>
          <w:rFonts w:ascii="Times New Roman" w:hAnsi="Times New Roman"/>
          <w:sz w:val="24"/>
        </w:rPr>
        <w:sectPr>
          <w:pgSz w:w="11910" w:h="16840"/>
          <w:pgMar w:header="0" w:footer="1055" w:top="1340" w:bottom="1240" w:left="1060" w:right="460"/>
        </w:sectPr>
      </w:pPr>
    </w:p>
    <w:p>
      <w:pPr>
        <w:spacing w:line="480" w:lineRule="auto" w:before="73"/>
        <w:ind w:left="1100" w:right="978" w:firstLine="0"/>
        <w:jc w:val="both"/>
        <w:rPr>
          <w:rFonts w:ascii="Times New Roman" w:hAnsi="Times New Roman"/>
          <w:sz w:val="24"/>
        </w:rPr>
      </w:pPr>
      <w:r>
        <w:rPr>
          <w:rFonts w:ascii="Times New Roman" w:hAnsi="Times New Roman"/>
          <w:i/>
          <w:sz w:val="24"/>
        </w:rPr>
        <w:t>Modification of drug receptor site</w:t>
      </w:r>
      <w:r>
        <w:rPr>
          <w:rFonts w:ascii="Times New Roman" w:hAnsi="Times New Roman"/>
          <w:sz w:val="24"/>
        </w:rPr>
        <w:t>: for example, enzymatic deactivation of </w:t>
      </w:r>
      <w:hyperlink r:id="rId125">
        <w:r>
          <w:rPr>
            <w:rFonts w:ascii="Times New Roman" w:hAnsi="Times New Roman"/>
            <w:sz w:val="24"/>
          </w:rPr>
          <w:t>penicillin</w:t>
        </w:r>
      </w:hyperlink>
      <w:r>
        <w:rPr>
          <w:rFonts w:ascii="Times New Roman" w:hAnsi="Times New Roman"/>
          <w:spacing w:val="40"/>
          <w:sz w:val="24"/>
        </w:rPr>
        <w:t> </w:t>
      </w:r>
      <w:hyperlink r:id="rId125">
        <w:r>
          <w:rPr>
            <w:rFonts w:ascii="Times New Roman" w:hAnsi="Times New Roman"/>
            <w:sz w:val="24"/>
          </w:rPr>
          <w:t>G</w:t>
        </w:r>
      </w:hyperlink>
      <w:r>
        <w:rPr>
          <w:rFonts w:ascii="Times New Roman" w:hAnsi="Times New Roman"/>
          <w:sz w:val="24"/>
        </w:rPr>
        <w:t> in some penicillin-resistant bacteria through the production of </w:t>
      </w:r>
      <w:hyperlink r:id="rId236">
        <w:r>
          <w:rPr>
            <w:rFonts w:ascii="Times New Roman" w:hAnsi="Times New Roman"/>
            <w:sz w:val="24"/>
          </w:rPr>
          <w:t>β-lactamases</w:t>
        </w:r>
      </w:hyperlink>
      <w:r>
        <w:rPr>
          <w:rFonts w:ascii="Times New Roman" w:hAnsi="Times New Roman"/>
          <w:sz w:val="24"/>
        </w:rPr>
        <w:t>.</w:t>
      </w:r>
    </w:p>
    <w:p>
      <w:pPr>
        <w:spacing w:line="480" w:lineRule="auto" w:before="1"/>
        <w:ind w:left="1100" w:right="978" w:firstLine="0"/>
        <w:jc w:val="both"/>
        <w:rPr>
          <w:rFonts w:ascii="Times New Roman"/>
          <w:sz w:val="24"/>
        </w:rPr>
      </w:pPr>
      <w:r>
        <w:rPr>
          <w:rFonts w:ascii="Times New Roman"/>
          <w:i/>
          <w:sz w:val="24"/>
        </w:rPr>
        <w:t>Synthesis of resistant metabolic pathway</w:t>
      </w:r>
      <w:r>
        <w:rPr>
          <w:rFonts w:ascii="Times New Roman"/>
          <w:sz w:val="24"/>
        </w:rPr>
        <w:t>: for example, some </w:t>
      </w:r>
      <w:hyperlink r:id="rId237">
        <w:r>
          <w:rPr>
            <w:rFonts w:ascii="Times New Roman"/>
            <w:sz w:val="24"/>
          </w:rPr>
          <w:t>sulfonamide</w:t>
        </w:r>
      </w:hyperlink>
      <w:r>
        <w:rPr>
          <w:rFonts w:ascii="Times New Roman"/>
          <w:sz w:val="24"/>
        </w:rPr>
        <w:t>-resistant bacteria do not require </w:t>
      </w:r>
      <w:hyperlink r:id="rId238">
        <w:r>
          <w:rPr>
            <w:rFonts w:ascii="Times New Roman"/>
            <w:sz w:val="24"/>
          </w:rPr>
          <w:t>para-aminobenzoic acid</w:t>
        </w:r>
      </w:hyperlink>
      <w:r>
        <w:rPr>
          <w:rFonts w:ascii="Times New Roman"/>
          <w:sz w:val="24"/>
        </w:rPr>
        <w:t> (PABA), an important precursor for the synthesis of </w:t>
      </w:r>
      <w:hyperlink r:id="rId239">
        <w:r>
          <w:rPr>
            <w:rFonts w:ascii="Times New Roman"/>
            <w:sz w:val="24"/>
          </w:rPr>
          <w:t>folic acid</w:t>
        </w:r>
      </w:hyperlink>
      <w:r>
        <w:rPr>
          <w:rFonts w:ascii="Times New Roman"/>
          <w:sz w:val="24"/>
        </w:rPr>
        <w:t> and </w:t>
      </w:r>
      <w:hyperlink r:id="rId240">
        <w:r>
          <w:rPr>
            <w:rFonts w:ascii="Times New Roman"/>
            <w:sz w:val="24"/>
          </w:rPr>
          <w:t>nucleic acids</w:t>
        </w:r>
      </w:hyperlink>
      <w:r>
        <w:rPr>
          <w:rFonts w:ascii="Times New Roman"/>
          <w:sz w:val="24"/>
        </w:rPr>
        <w:t> in bacteria inhibited by sulfonamides, instead, like mammalian cells, they turn to using preformed folic acid.</w:t>
      </w:r>
    </w:p>
    <w:p>
      <w:pPr>
        <w:pStyle w:val="BodyText"/>
        <w:spacing w:before="5"/>
        <w:rPr>
          <w:rFonts w:ascii="Times New Roman"/>
          <w:sz w:val="24"/>
        </w:rPr>
      </w:pPr>
    </w:p>
    <w:p>
      <w:pPr>
        <w:spacing w:line="480" w:lineRule="auto" w:before="0"/>
        <w:ind w:left="1100" w:right="973" w:firstLine="720"/>
        <w:jc w:val="both"/>
        <w:rPr>
          <w:rFonts w:ascii="Times New Roman"/>
          <w:sz w:val="24"/>
        </w:rPr>
      </w:pPr>
      <w:hyperlink r:id="rId241">
        <w:r>
          <w:rPr>
            <w:rFonts w:ascii="Times New Roman"/>
            <w:sz w:val="24"/>
          </w:rPr>
          <w:t>Aminoglycoside</w:t>
        </w:r>
      </w:hyperlink>
      <w:r>
        <w:rPr>
          <w:rFonts w:ascii="Times New Roman"/>
          <w:sz w:val="24"/>
        </w:rPr>
        <w:t> antibiotics, such as </w:t>
      </w:r>
      <w:hyperlink r:id="rId242">
        <w:r>
          <w:rPr>
            <w:rFonts w:ascii="Times New Roman"/>
            <w:sz w:val="24"/>
          </w:rPr>
          <w:t>kanamycin</w:t>
        </w:r>
      </w:hyperlink>
      <w:r>
        <w:rPr>
          <w:rFonts w:ascii="Times New Roman"/>
          <w:sz w:val="24"/>
        </w:rPr>
        <w:t>, </w:t>
      </w:r>
      <w:hyperlink r:id="rId227">
        <w:r>
          <w:rPr>
            <w:rFonts w:ascii="Times New Roman"/>
            <w:sz w:val="24"/>
          </w:rPr>
          <w:t>gentamicin,</w:t>
        </w:r>
      </w:hyperlink>
      <w:r>
        <w:rPr>
          <w:rFonts w:ascii="Times New Roman"/>
          <w:sz w:val="24"/>
        </w:rPr>
        <w:t> </w:t>
      </w:r>
      <w:hyperlink r:id="rId243">
        <w:r>
          <w:rPr>
            <w:rFonts w:ascii="Times New Roman"/>
            <w:sz w:val="24"/>
          </w:rPr>
          <w:t>streptomycin</w:t>
        </w:r>
      </w:hyperlink>
      <w:r>
        <w:rPr>
          <w:rFonts w:ascii="Times New Roman"/>
          <w:sz w:val="24"/>
        </w:rPr>
        <w:t>, etc., were once effective against staphylococcal infections until strains evolved mechanisms to inhibit the aminoglycosides' action, which occurs via protonated</w:t>
      </w:r>
      <w:r>
        <w:rPr>
          <w:rFonts w:ascii="Times New Roman"/>
          <w:spacing w:val="80"/>
          <w:sz w:val="24"/>
        </w:rPr>
        <w:t> </w:t>
      </w:r>
      <w:r>
        <w:rPr>
          <w:rFonts w:ascii="Times New Roman"/>
          <w:sz w:val="24"/>
        </w:rPr>
        <w:t>amine and/or hydroxyl interactions with the </w:t>
      </w:r>
      <w:hyperlink r:id="rId244">
        <w:r>
          <w:rPr>
            <w:rFonts w:ascii="Times New Roman"/>
            <w:sz w:val="24"/>
          </w:rPr>
          <w:t>ribosomal RNA</w:t>
        </w:r>
      </w:hyperlink>
      <w:r>
        <w:rPr>
          <w:rFonts w:ascii="Times New Roman"/>
          <w:sz w:val="24"/>
        </w:rPr>
        <w:t> of the bacterial </w:t>
      </w:r>
      <w:hyperlink r:id="rId245">
        <w:r>
          <w:rPr>
            <w:rFonts w:ascii="Times New Roman"/>
            <w:sz w:val="24"/>
          </w:rPr>
          <w:t>30S</w:t>
        </w:r>
      </w:hyperlink>
      <w:r>
        <w:rPr>
          <w:rFonts w:ascii="Times New Roman"/>
          <w:sz w:val="24"/>
        </w:rPr>
        <w:t> </w:t>
      </w:r>
      <w:hyperlink r:id="rId245">
        <w:r>
          <w:rPr>
            <w:rFonts w:ascii="Times New Roman"/>
            <w:sz w:val="24"/>
          </w:rPr>
          <w:t>ribosomal subunit</w:t>
        </w:r>
      </w:hyperlink>
      <w:r>
        <w:rPr>
          <w:rFonts w:ascii="Times New Roman"/>
          <w:sz w:val="24"/>
        </w:rPr>
        <w:t> (Carter </w:t>
      </w:r>
      <w:r>
        <w:rPr>
          <w:rFonts w:ascii="Times New Roman"/>
          <w:i/>
          <w:sz w:val="24"/>
        </w:rPr>
        <w:t>et al., </w:t>
      </w:r>
      <w:r>
        <w:rPr>
          <w:rFonts w:ascii="Times New Roman"/>
          <w:sz w:val="24"/>
        </w:rPr>
        <w:t>2000). In </w:t>
      </w:r>
      <w:r>
        <w:rPr>
          <w:rFonts w:ascii="Times New Roman"/>
          <w:i/>
          <w:sz w:val="24"/>
        </w:rPr>
        <w:t>S. aureus</w:t>
      </w:r>
      <w:r>
        <w:rPr>
          <w:rFonts w:ascii="Times New Roman"/>
          <w:sz w:val="24"/>
        </w:rPr>
        <w:t>, the best-characterized aminoglycoside-modifying enzyme is aminoglycoside adenylyltransferase 4' IA (</w:t>
      </w:r>
      <w:r>
        <w:rPr>
          <w:rFonts w:ascii="Times New Roman"/>
          <w:i/>
          <w:sz w:val="24"/>
        </w:rPr>
        <w:t>ANT (4') IA</w:t>
      </w:r>
      <w:r>
        <w:rPr>
          <w:rFonts w:ascii="Times New Roman"/>
          <w:sz w:val="24"/>
        </w:rPr>
        <w:t>). This enzyme has been solved by </w:t>
      </w:r>
      <w:hyperlink r:id="rId246">
        <w:r>
          <w:rPr>
            <w:rFonts w:ascii="Times New Roman"/>
            <w:sz w:val="24"/>
          </w:rPr>
          <w:t>X-ray crystallography</w:t>
        </w:r>
      </w:hyperlink>
      <w:r>
        <w:rPr>
          <w:rFonts w:ascii="Times New Roman"/>
          <w:sz w:val="24"/>
        </w:rPr>
        <w:t> (Sakon </w:t>
      </w:r>
      <w:r>
        <w:rPr>
          <w:rFonts w:ascii="Times New Roman"/>
          <w:i/>
          <w:sz w:val="24"/>
        </w:rPr>
        <w:t>et al</w:t>
      </w:r>
      <w:r>
        <w:rPr>
          <w:rFonts w:ascii="Times New Roman"/>
          <w:sz w:val="24"/>
        </w:rPr>
        <w:t>., 1993).</w:t>
      </w:r>
    </w:p>
    <w:p>
      <w:pPr>
        <w:pStyle w:val="BodyText"/>
        <w:spacing w:before="3"/>
        <w:rPr>
          <w:rFonts w:ascii="Times New Roman"/>
          <w:sz w:val="24"/>
        </w:rPr>
      </w:pPr>
    </w:p>
    <w:p>
      <w:pPr>
        <w:spacing w:line="480" w:lineRule="auto" w:before="0"/>
        <w:ind w:left="1100" w:right="975" w:firstLine="720"/>
        <w:jc w:val="both"/>
        <w:rPr>
          <w:rFonts w:ascii="Times New Roman"/>
          <w:sz w:val="24"/>
        </w:rPr>
      </w:pPr>
      <w:r>
        <w:rPr>
          <w:rFonts w:ascii="Times New Roman"/>
          <w:sz w:val="24"/>
        </w:rPr>
        <w:t>Some types of </w:t>
      </w:r>
      <w:hyperlink r:id="rId233">
        <w:r>
          <w:rPr>
            <w:rFonts w:ascii="Times New Roman"/>
            <w:sz w:val="24"/>
          </w:rPr>
          <w:t>efflux</w:t>
        </w:r>
      </w:hyperlink>
      <w:r>
        <w:rPr>
          <w:rFonts w:ascii="Times New Roman"/>
          <w:sz w:val="24"/>
        </w:rPr>
        <w:t> pumps can act to decrease intracellular </w:t>
      </w:r>
      <w:hyperlink r:id="rId247">
        <w:r>
          <w:rPr>
            <w:rFonts w:ascii="Times New Roman"/>
            <w:sz w:val="24"/>
          </w:rPr>
          <w:t>quinolone</w:t>
        </w:r>
      </w:hyperlink>
      <w:r>
        <w:rPr>
          <w:rFonts w:ascii="Times New Roman"/>
          <w:sz w:val="24"/>
        </w:rPr>
        <w:t> concentration (Morita </w:t>
      </w:r>
      <w:r>
        <w:rPr>
          <w:rFonts w:ascii="Times New Roman"/>
          <w:i/>
          <w:sz w:val="24"/>
        </w:rPr>
        <w:t>et al</w:t>
      </w:r>
      <w:r>
        <w:rPr>
          <w:rFonts w:ascii="Times New Roman"/>
          <w:sz w:val="24"/>
        </w:rPr>
        <w:t>., 1998). In Gram-negative bacteria, plasmid-mediated resistance genes produce proteins that can bind to </w:t>
      </w:r>
      <w:hyperlink r:id="rId248">
        <w:r>
          <w:rPr>
            <w:rFonts w:ascii="Times New Roman"/>
            <w:sz w:val="24"/>
          </w:rPr>
          <w:t>DNA gyrase</w:t>
        </w:r>
      </w:hyperlink>
      <w:r>
        <w:rPr>
          <w:rFonts w:ascii="Times New Roman"/>
          <w:sz w:val="24"/>
        </w:rPr>
        <w:t>, protecting it from the action</w:t>
      </w:r>
      <w:r>
        <w:rPr>
          <w:rFonts w:ascii="Times New Roman"/>
          <w:spacing w:val="10"/>
          <w:sz w:val="24"/>
        </w:rPr>
        <w:t> </w:t>
      </w:r>
      <w:r>
        <w:rPr>
          <w:rFonts w:ascii="Times New Roman"/>
          <w:sz w:val="24"/>
        </w:rPr>
        <w:t>of</w:t>
      </w:r>
      <w:r>
        <w:rPr>
          <w:rFonts w:ascii="Times New Roman"/>
          <w:spacing w:val="10"/>
          <w:sz w:val="24"/>
        </w:rPr>
        <w:t> </w:t>
      </w:r>
      <w:r>
        <w:rPr>
          <w:rFonts w:ascii="Times New Roman"/>
          <w:sz w:val="24"/>
        </w:rPr>
        <w:t>quinolones.</w:t>
      </w:r>
      <w:r>
        <w:rPr>
          <w:rFonts w:ascii="Times New Roman"/>
          <w:spacing w:val="11"/>
          <w:sz w:val="24"/>
        </w:rPr>
        <w:t> </w:t>
      </w:r>
      <w:r>
        <w:rPr>
          <w:rFonts w:ascii="Times New Roman"/>
          <w:sz w:val="24"/>
        </w:rPr>
        <w:t>Finally,</w:t>
      </w:r>
      <w:r>
        <w:rPr>
          <w:rFonts w:ascii="Times New Roman"/>
          <w:spacing w:val="10"/>
          <w:sz w:val="24"/>
        </w:rPr>
        <w:t> </w:t>
      </w:r>
      <w:r>
        <w:rPr>
          <w:rFonts w:ascii="Times New Roman"/>
          <w:sz w:val="24"/>
        </w:rPr>
        <w:t>mutations</w:t>
      </w:r>
      <w:r>
        <w:rPr>
          <w:rFonts w:ascii="Times New Roman"/>
          <w:spacing w:val="11"/>
          <w:sz w:val="24"/>
        </w:rPr>
        <w:t> </w:t>
      </w:r>
      <w:r>
        <w:rPr>
          <w:rFonts w:ascii="Times New Roman"/>
          <w:sz w:val="24"/>
        </w:rPr>
        <w:t>at</w:t>
      </w:r>
      <w:r>
        <w:rPr>
          <w:rFonts w:ascii="Times New Roman"/>
          <w:spacing w:val="11"/>
          <w:sz w:val="24"/>
        </w:rPr>
        <w:t> </w:t>
      </w:r>
      <w:r>
        <w:rPr>
          <w:rFonts w:ascii="Times New Roman"/>
          <w:sz w:val="24"/>
        </w:rPr>
        <w:t>key</w:t>
      </w:r>
      <w:r>
        <w:rPr>
          <w:rFonts w:ascii="Times New Roman"/>
          <w:spacing w:val="6"/>
          <w:sz w:val="24"/>
        </w:rPr>
        <w:t> </w:t>
      </w:r>
      <w:r>
        <w:rPr>
          <w:rFonts w:ascii="Times New Roman"/>
          <w:sz w:val="24"/>
        </w:rPr>
        <w:t>sites</w:t>
      </w:r>
      <w:r>
        <w:rPr>
          <w:rFonts w:ascii="Times New Roman"/>
          <w:spacing w:val="11"/>
          <w:sz w:val="24"/>
        </w:rPr>
        <w:t> </w:t>
      </w:r>
      <w:r>
        <w:rPr>
          <w:rFonts w:ascii="Times New Roman"/>
          <w:sz w:val="24"/>
        </w:rPr>
        <w:t>in</w:t>
      </w:r>
      <w:r>
        <w:rPr>
          <w:rFonts w:ascii="Times New Roman"/>
          <w:spacing w:val="11"/>
          <w:sz w:val="24"/>
        </w:rPr>
        <w:t> </w:t>
      </w:r>
      <w:r>
        <w:rPr>
          <w:rFonts w:ascii="Times New Roman"/>
          <w:sz w:val="24"/>
        </w:rPr>
        <w:t>DNA</w:t>
      </w:r>
      <w:r>
        <w:rPr>
          <w:rFonts w:ascii="Times New Roman"/>
          <w:spacing w:val="10"/>
          <w:sz w:val="24"/>
        </w:rPr>
        <w:t> </w:t>
      </w:r>
      <w:r>
        <w:rPr>
          <w:rFonts w:ascii="Times New Roman"/>
          <w:sz w:val="24"/>
        </w:rPr>
        <w:t>gyrase</w:t>
      </w:r>
      <w:r>
        <w:rPr>
          <w:rFonts w:ascii="Times New Roman"/>
          <w:spacing w:val="9"/>
          <w:sz w:val="24"/>
        </w:rPr>
        <w:t> </w:t>
      </w:r>
      <w:r>
        <w:rPr>
          <w:rFonts w:ascii="Times New Roman"/>
          <w:sz w:val="24"/>
        </w:rPr>
        <w:t>or</w:t>
      </w:r>
      <w:r>
        <w:rPr>
          <w:rFonts w:ascii="Times New Roman"/>
          <w:spacing w:val="13"/>
          <w:sz w:val="24"/>
        </w:rPr>
        <w:t> </w:t>
      </w:r>
      <w:hyperlink r:id="rId249">
        <w:r>
          <w:rPr>
            <w:rFonts w:ascii="Times New Roman"/>
            <w:spacing w:val="-2"/>
            <w:sz w:val="24"/>
          </w:rPr>
          <w:t>topoisomerase</w:t>
        </w:r>
      </w:hyperlink>
    </w:p>
    <w:p>
      <w:pPr>
        <w:spacing w:line="480" w:lineRule="auto" w:before="1"/>
        <w:ind w:left="1100" w:right="973" w:firstLine="0"/>
        <w:jc w:val="both"/>
        <w:rPr>
          <w:rFonts w:ascii="Times New Roman"/>
          <w:sz w:val="24"/>
        </w:rPr>
      </w:pPr>
      <w:hyperlink r:id="rId249">
        <w:r>
          <w:rPr>
            <w:rFonts w:ascii="Times New Roman"/>
            <w:sz w:val="24"/>
          </w:rPr>
          <w:t>IV</w:t>
        </w:r>
      </w:hyperlink>
      <w:r>
        <w:rPr>
          <w:rFonts w:ascii="Times New Roman"/>
          <w:sz w:val="24"/>
        </w:rPr>
        <w:t> can decrease their binding affinity to quinolones, decreasing the drug's effectiveness</w:t>
      </w:r>
      <w:r>
        <w:rPr>
          <w:rFonts w:ascii="Times New Roman"/>
          <w:spacing w:val="-2"/>
          <w:sz w:val="24"/>
        </w:rPr>
        <w:t> </w:t>
      </w:r>
      <w:r>
        <w:rPr>
          <w:rFonts w:ascii="Times New Roman"/>
          <w:sz w:val="24"/>
        </w:rPr>
        <w:t>(Robicsek </w:t>
      </w:r>
      <w:r>
        <w:rPr>
          <w:rFonts w:ascii="Times New Roman"/>
          <w:i/>
          <w:sz w:val="24"/>
        </w:rPr>
        <w:t>et</w:t>
      </w:r>
      <w:r>
        <w:rPr>
          <w:rFonts w:ascii="Times New Roman"/>
          <w:i/>
          <w:spacing w:val="-2"/>
          <w:sz w:val="24"/>
        </w:rPr>
        <w:t> </w:t>
      </w:r>
      <w:r>
        <w:rPr>
          <w:rFonts w:ascii="Times New Roman"/>
          <w:i/>
          <w:sz w:val="24"/>
        </w:rPr>
        <w:t>al</w:t>
      </w:r>
      <w:r>
        <w:rPr>
          <w:rFonts w:ascii="Times New Roman"/>
          <w:sz w:val="24"/>
        </w:rPr>
        <w:t>.,</w:t>
      </w:r>
      <w:r>
        <w:rPr>
          <w:rFonts w:ascii="Times New Roman"/>
          <w:spacing w:val="-2"/>
          <w:sz w:val="24"/>
        </w:rPr>
        <w:t> </w:t>
      </w:r>
      <w:r>
        <w:rPr>
          <w:rFonts w:ascii="Times New Roman"/>
          <w:sz w:val="24"/>
        </w:rPr>
        <w:t>2006).</w:t>
      </w:r>
      <w:r>
        <w:rPr>
          <w:rFonts w:ascii="Times New Roman"/>
          <w:spacing w:val="-2"/>
          <w:sz w:val="24"/>
        </w:rPr>
        <w:t> </w:t>
      </w:r>
      <w:r>
        <w:rPr>
          <w:rFonts w:ascii="Times New Roman"/>
          <w:sz w:val="24"/>
        </w:rPr>
        <w:t>Research</w:t>
      </w:r>
      <w:r>
        <w:rPr>
          <w:rFonts w:ascii="Times New Roman"/>
          <w:spacing w:val="-2"/>
          <w:sz w:val="24"/>
        </w:rPr>
        <w:t> </w:t>
      </w:r>
      <w:r>
        <w:rPr>
          <w:rFonts w:ascii="Times New Roman"/>
          <w:sz w:val="24"/>
        </w:rPr>
        <w:t>has</w:t>
      </w:r>
      <w:r>
        <w:rPr>
          <w:rFonts w:ascii="Times New Roman"/>
          <w:spacing w:val="-2"/>
          <w:sz w:val="24"/>
        </w:rPr>
        <w:t> </w:t>
      </w:r>
      <w:r>
        <w:rPr>
          <w:rFonts w:ascii="Times New Roman"/>
          <w:sz w:val="24"/>
        </w:rPr>
        <w:t>shown</w:t>
      </w:r>
      <w:r>
        <w:rPr>
          <w:rFonts w:ascii="Times New Roman"/>
          <w:spacing w:val="-3"/>
          <w:sz w:val="24"/>
        </w:rPr>
        <w:t> </w:t>
      </w:r>
      <w:r>
        <w:rPr>
          <w:rFonts w:ascii="Times New Roman"/>
          <w:sz w:val="24"/>
        </w:rPr>
        <w:t>that,</w:t>
      </w:r>
      <w:r>
        <w:rPr>
          <w:rFonts w:ascii="Times New Roman"/>
          <w:spacing w:val="-2"/>
          <w:sz w:val="24"/>
        </w:rPr>
        <w:t> </w:t>
      </w:r>
      <w:r>
        <w:rPr>
          <w:rFonts w:ascii="Times New Roman"/>
          <w:sz w:val="24"/>
        </w:rPr>
        <w:t>bacterial</w:t>
      </w:r>
      <w:r>
        <w:rPr>
          <w:rFonts w:ascii="Times New Roman"/>
          <w:spacing w:val="-2"/>
          <w:sz w:val="24"/>
        </w:rPr>
        <w:t> </w:t>
      </w:r>
      <w:r>
        <w:rPr>
          <w:rFonts w:ascii="Times New Roman"/>
          <w:sz w:val="24"/>
        </w:rPr>
        <w:t>protein </w:t>
      </w:r>
      <w:hyperlink r:id="rId250">
        <w:r>
          <w:rPr>
            <w:rFonts w:ascii="Times New Roman"/>
            <w:sz w:val="24"/>
          </w:rPr>
          <w:t>LexA</w:t>
        </w:r>
      </w:hyperlink>
      <w:r>
        <w:rPr>
          <w:rFonts w:ascii="Times New Roman"/>
          <w:sz w:val="24"/>
        </w:rPr>
        <w:t> may play a key role in the acquisition of bacterial mutations giving resistance to quinolones and rifampicin (Cirz </w:t>
      </w:r>
      <w:r>
        <w:rPr>
          <w:rFonts w:ascii="Times New Roman"/>
          <w:i/>
          <w:sz w:val="24"/>
        </w:rPr>
        <w:t>et al</w:t>
      </w:r>
      <w:r>
        <w:rPr>
          <w:rFonts w:ascii="Times New Roman"/>
          <w:sz w:val="24"/>
        </w:rPr>
        <w:t>., 2005). However, the major mechanism of resistance involves the introduction of mutations in genes encoding penicillin-binding </w:t>
      </w:r>
      <w:r>
        <w:rPr>
          <w:rFonts w:ascii="Times New Roman"/>
          <w:spacing w:val="-2"/>
          <w:sz w:val="24"/>
        </w:rPr>
        <w:t>proteins.</w:t>
      </w:r>
    </w:p>
    <w:p>
      <w:pPr>
        <w:spacing w:after="0" w:line="480" w:lineRule="auto"/>
        <w:jc w:val="both"/>
        <w:rPr>
          <w:rFonts w:ascii="Times New Roman"/>
          <w:sz w:val="24"/>
        </w:rPr>
        <w:sectPr>
          <w:pgSz w:w="11910" w:h="16840"/>
          <w:pgMar w:header="0" w:footer="1055" w:top="1340" w:bottom="1240" w:left="1060" w:right="46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4"/>
        <w:rPr>
          <w:rFonts w:ascii="Times New Roman"/>
        </w:rPr>
      </w:pPr>
    </w:p>
    <w:p>
      <w:pPr>
        <w:pStyle w:val="Heading2"/>
        <w:jc w:val="center"/>
      </w:pPr>
      <w:r>
        <w:rPr/>
        <w:t>CHAPTER</w:t>
      </w:r>
      <w:r>
        <w:rPr>
          <w:spacing w:val="-7"/>
        </w:rPr>
        <w:t> </w:t>
      </w:r>
      <w:r>
        <w:rPr>
          <w:spacing w:val="-2"/>
        </w:rPr>
        <w:t>THREE</w:t>
      </w:r>
    </w:p>
    <w:p>
      <w:pPr>
        <w:pStyle w:val="BodyText"/>
        <w:spacing w:before="161"/>
        <w:rPr>
          <w:b/>
        </w:rPr>
      </w:pPr>
    </w:p>
    <w:p>
      <w:pPr>
        <w:pStyle w:val="ListParagraph"/>
        <w:numPr>
          <w:ilvl w:val="1"/>
          <w:numId w:val="2"/>
        </w:numPr>
        <w:tabs>
          <w:tab w:pos="3980" w:val="left" w:leader="none"/>
        </w:tabs>
        <w:spacing w:line="240" w:lineRule="auto" w:before="0" w:after="0"/>
        <w:ind w:left="3980" w:right="0" w:hanging="3600"/>
        <w:jc w:val="left"/>
        <w:rPr>
          <w:b/>
          <w:sz w:val="22"/>
        </w:rPr>
      </w:pPr>
      <w:r>
        <w:rPr>
          <w:b/>
          <w:sz w:val="22"/>
        </w:rPr>
        <w:t>Materials</w:t>
      </w:r>
      <w:r>
        <w:rPr>
          <w:b/>
          <w:spacing w:val="-5"/>
          <w:sz w:val="22"/>
        </w:rPr>
        <w:t> </w:t>
      </w:r>
      <w:r>
        <w:rPr>
          <w:b/>
          <w:sz w:val="22"/>
        </w:rPr>
        <w:t>and</w:t>
      </w:r>
      <w:r>
        <w:rPr>
          <w:b/>
          <w:spacing w:val="-4"/>
          <w:sz w:val="22"/>
        </w:rPr>
        <w:t> </w:t>
      </w:r>
      <w:r>
        <w:rPr>
          <w:b/>
          <w:spacing w:val="-2"/>
          <w:sz w:val="22"/>
        </w:rPr>
        <w:t>Methods</w:t>
      </w:r>
    </w:p>
    <w:p>
      <w:pPr>
        <w:pStyle w:val="BodyText"/>
        <w:spacing w:before="199"/>
        <w:rPr>
          <w:b/>
        </w:rPr>
      </w:pPr>
    </w:p>
    <w:p>
      <w:pPr>
        <w:pStyle w:val="Heading1"/>
        <w:numPr>
          <w:ilvl w:val="1"/>
          <w:numId w:val="2"/>
        </w:numPr>
        <w:tabs>
          <w:tab w:pos="4701" w:val="left" w:leader="none"/>
        </w:tabs>
        <w:spacing w:line="240" w:lineRule="auto" w:before="0" w:after="0"/>
        <w:ind w:left="4701" w:right="0" w:hanging="4321"/>
        <w:jc w:val="left"/>
      </w:pPr>
      <w:r>
        <w:rPr>
          <w:spacing w:val="-2"/>
        </w:rPr>
        <w:t>Materials</w:t>
      </w:r>
    </w:p>
    <w:p>
      <w:pPr>
        <w:pStyle w:val="BodyText"/>
        <w:spacing w:before="61"/>
        <w:rPr>
          <w:rFonts w:ascii="Times New Roman"/>
          <w:b/>
          <w:sz w:val="24"/>
        </w:rPr>
      </w:pPr>
    </w:p>
    <w:p>
      <w:pPr>
        <w:pStyle w:val="ListParagraph"/>
        <w:numPr>
          <w:ilvl w:val="2"/>
          <w:numId w:val="2"/>
        </w:numPr>
        <w:tabs>
          <w:tab w:pos="978" w:val="left" w:leader="none"/>
        </w:tabs>
        <w:spacing w:line="240" w:lineRule="auto" w:before="0" w:after="0"/>
        <w:ind w:left="978" w:right="0" w:hanging="598"/>
        <w:jc w:val="left"/>
        <w:rPr>
          <w:b/>
          <w:sz w:val="22"/>
        </w:rPr>
      </w:pPr>
      <w:r>
        <w:rPr>
          <w:b/>
          <w:spacing w:val="-2"/>
          <w:sz w:val="22"/>
        </w:rPr>
        <w:t>Equipment</w:t>
      </w:r>
    </w:p>
    <w:p>
      <w:pPr>
        <w:pStyle w:val="BodyText"/>
        <w:spacing w:before="20"/>
        <w:rPr>
          <w:b/>
        </w:rPr>
      </w:pPr>
    </w:p>
    <w:p>
      <w:pPr>
        <w:spacing w:line="480" w:lineRule="auto" w:before="0"/>
        <w:ind w:left="1100" w:right="975" w:firstLine="0"/>
        <w:jc w:val="both"/>
        <w:rPr>
          <w:rFonts w:ascii="Times New Roman"/>
          <w:sz w:val="24"/>
        </w:rPr>
      </w:pPr>
      <w:r>
        <w:rPr>
          <w:rFonts w:ascii="Times New Roman"/>
          <w:sz w:val="24"/>
        </w:rPr>
        <w:t>Microscope</w:t>
      </w:r>
      <w:r>
        <w:rPr>
          <w:rFonts w:ascii="Times New Roman"/>
          <w:spacing w:val="-4"/>
          <w:sz w:val="24"/>
        </w:rPr>
        <w:t> </w:t>
      </w:r>
      <w:r>
        <w:rPr>
          <w:rFonts w:ascii="Times New Roman"/>
          <w:sz w:val="24"/>
        </w:rPr>
        <w:t>(Wild</w:t>
      </w:r>
      <w:r>
        <w:rPr>
          <w:rFonts w:ascii="Times New Roman"/>
          <w:spacing w:val="-3"/>
          <w:sz w:val="24"/>
        </w:rPr>
        <w:t> </w:t>
      </w:r>
      <w:r>
        <w:rPr>
          <w:rFonts w:ascii="Times New Roman"/>
          <w:sz w:val="24"/>
        </w:rPr>
        <w:t>M11,</w:t>
      </w:r>
      <w:r>
        <w:rPr>
          <w:rFonts w:ascii="Times New Roman"/>
          <w:spacing w:val="-3"/>
          <w:sz w:val="24"/>
        </w:rPr>
        <w:t> </w:t>
      </w:r>
      <w:r>
        <w:rPr>
          <w:rFonts w:ascii="Times New Roman"/>
          <w:sz w:val="24"/>
        </w:rPr>
        <w:t>Switzerland),</w:t>
      </w:r>
      <w:r>
        <w:rPr>
          <w:rFonts w:ascii="Times New Roman"/>
          <w:spacing w:val="-3"/>
          <w:sz w:val="24"/>
        </w:rPr>
        <w:t> </w:t>
      </w:r>
      <w:r>
        <w:rPr>
          <w:rFonts w:ascii="Times New Roman"/>
          <w:sz w:val="24"/>
        </w:rPr>
        <w:t>Colony</w:t>
      </w:r>
      <w:r>
        <w:rPr>
          <w:rFonts w:ascii="Times New Roman"/>
          <w:spacing w:val="-8"/>
          <w:sz w:val="24"/>
        </w:rPr>
        <w:t> </w:t>
      </w:r>
      <w:r>
        <w:rPr>
          <w:rFonts w:ascii="Times New Roman"/>
          <w:sz w:val="24"/>
        </w:rPr>
        <w:t>counters</w:t>
      </w:r>
      <w:r>
        <w:rPr>
          <w:rFonts w:ascii="Times New Roman"/>
          <w:spacing w:val="-3"/>
          <w:sz w:val="24"/>
        </w:rPr>
        <w:t> </w:t>
      </w:r>
      <w:r>
        <w:rPr>
          <w:rFonts w:ascii="Times New Roman"/>
          <w:sz w:val="24"/>
        </w:rPr>
        <w:t>(NAPCO</w:t>
      </w:r>
      <w:r>
        <w:rPr>
          <w:rFonts w:ascii="Times New Roman"/>
          <w:spacing w:val="-3"/>
          <w:sz w:val="24"/>
        </w:rPr>
        <w:t> </w:t>
      </w:r>
      <w:r>
        <w:rPr>
          <w:rFonts w:ascii="Times New Roman"/>
          <w:sz w:val="24"/>
        </w:rPr>
        <w:t>Model</w:t>
      </w:r>
      <w:r>
        <w:rPr>
          <w:rFonts w:ascii="Times New Roman"/>
          <w:spacing w:val="-3"/>
          <w:sz w:val="24"/>
        </w:rPr>
        <w:t> </w:t>
      </w:r>
      <w:r>
        <w:rPr>
          <w:rFonts w:ascii="Times New Roman"/>
          <w:sz w:val="24"/>
        </w:rPr>
        <w:t>630</w:t>
      </w:r>
      <w:r>
        <w:rPr>
          <w:rFonts w:ascii="Times New Roman"/>
          <w:spacing w:val="-3"/>
          <w:sz w:val="24"/>
        </w:rPr>
        <w:t> </w:t>
      </w:r>
      <w:r>
        <w:rPr>
          <w:rFonts w:ascii="Times New Roman"/>
          <w:sz w:val="24"/>
        </w:rPr>
        <w:t>Portland, Oregon, U.S.A.), Refrigerator (NAPCO Model 630 Portland, Oregon, U.S.A.), Incubator (Natural appliance:Aheinicke Company Portland, Oregon- made in U.S.A.Model-630), Autoclave (Adelphi MFG Co Ltd,Portland autoclave), Electronic weighing</w:t>
      </w:r>
      <w:r>
        <w:rPr>
          <w:rFonts w:ascii="Times New Roman"/>
          <w:spacing w:val="24"/>
          <w:sz w:val="24"/>
        </w:rPr>
        <w:t> </w:t>
      </w:r>
      <w:r>
        <w:rPr>
          <w:rFonts w:ascii="Times New Roman"/>
          <w:sz w:val="24"/>
        </w:rPr>
        <w:t>balance(Top</w:t>
      </w:r>
      <w:r>
        <w:rPr>
          <w:rFonts w:ascii="Times New Roman"/>
          <w:spacing w:val="32"/>
          <w:sz w:val="24"/>
        </w:rPr>
        <w:t> </w:t>
      </w:r>
      <w:r>
        <w:rPr>
          <w:rFonts w:ascii="Times New Roman"/>
          <w:sz w:val="24"/>
        </w:rPr>
        <w:t>balance</w:t>
      </w:r>
      <w:r>
        <w:rPr>
          <w:rFonts w:ascii="Times New Roman"/>
          <w:spacing w:val="31"/>
          <w:sz w:val="24"/>
        </w:rPr>
        <w:t> </w:t>
      </w:r>
      <w:r>
        <w:rPr>
          <w:rFonts w:ascii="Times New Roman"/>
          <w:sz w:val="24"/>
        </w:rPr>
        <w:t>digital,</w:t>
      </w:r>
      <w:r>
        <w:rPr>
          <w:rFonts w:ascii="Times New Roman"/>
          <w:spacing w:val="32"/>
          <w:sz w:val="24"/>
        </w:rPr>
        <w:t> </w:t>
      </w:r>
      <w:r>
        <w:rPr>
          <w:rFonts w:ascii="Times New Roman"/>
          <w:sz w:val="24"/>
        </w:rPr>
        <w:t>U.S.A,</w:t>
      </w:r>
      <w:r>
        <w:rPr>
          <w:rFonts w:ascii="Times New Roman"/>
          <w:spacing w:val="29"/>
          <w:sz w:val="24"/>
        </w:rPr>
        <w:t> </w:t>
      </w:r>
      <w:r>
        <w:rPr>
          <w:rFonts w:ascii="Times New Roman"/>
          <w:sz w:val="24"/>
        </w:rPr>
        <w:t>Ohaus,</w:t>
      </w:r>
      <w:r>
        <w:rPr>
          <w:rFonts w:ascii="Times New Roman"/>
          <w:spacing w:val="30"/>
          <w:sz w:val="24"/>
        </w:rPr>
        <w:t> </w:t>
      </w:r>
      <w:r>
        <w:rPr>
          <w:rFonts w:ascii="Times New Roman"/>
          <w:sz w:val="24"/>
        </w:rPr>
        <w:t>PA313-model),</w:t>
      </w:r>
      <w:r>
        <w:rPr>
          <w:rFonts w:ascii="Times New Roman"/>
          <w:spacing w:val="32"/>
          <w:sz w:val="24"/>
        </w:rPr>
        <w:t> </w:t>
      </w:r>
      <w:r>
        <w:rPr>
          <w:rFonts w:ascii="Times New Roman"/>
          <w:sz w:val="24"/>
        </w:rPr>
        <w:t>Digital</w:t>
      </w:r>
      <w:r>
        <w:rPr>
          <w:rFonts w:ascii="Times New Roman"/>
          <w:spacing w:val="30"/>
          <w:sz w:val="24"/>
        </w:rPr>
        <w:t> </w:t>
      </w:r>
      <w:r>
        <w:rPr>
          <w:rFonts w:ascii="Times New Roman"/>
          <w:spacing w:val="-2"/>
          <w:sz w:val="24"/>
        </w:rPr>
        <w:t>Water</w:t>
      </w:r>
    </w:p>
    <w:p>
      <w:pPr>
        <w:spacing w:after="0" w:line="480" w:lineRule="auto"/>
        <w:jc w:val="both"/>
        <w:rPr>
          <w:rFonts w:ascii="Times New Roman"/>
          <w:sz w:val="24"/>
        </w:rPr>
        <w:sectPr>
          <w:pgSz w:w="11910" w:h="16840"/>
          <w:pgMar w:header="0" w:footer="1055" w:top="1920" w:bottom="1240" w:left="1060" w:right="460"/>
        </w:sectPr>
      </w:pPr>
    </w:p>
    <w:p>
      <w:pPr>
        <w:spacing w:line="482" w:lineRule="auto" w:before="73"/>
        <w:ind w:left="1100" w:right="979" w:firstLine="0"/>
        <w:jc w:val="both"/>
        <w:rPr>
          <w:rFonts w:ascii="Times New Roman"/>
          <w:sz w:val="24"/>
        </w:rPr>
      </w:pPr>
      <w:r>
        <w:rPr>
          <w:rFonts w:ascii="Times New Roman"/>
          <w:sz w:val="24"/>
        </w:rPr>
        <w:t>bath (Mc Donald Scientific International, England), Hot-Air-Oven (Baird and</w:t>
      </w:r>
      <w:r>
        <w:rPr>
          <w:rFonts w:ascii="Times New Roman"/>
          <w:spacing w:val="40"/>
          <w:sz w:val="24"/>
        </w:rPr>
        <w:t> </w:t>
      </w:r>
      <w:r>
        <w:rPr>
          <w:rFonts w:ascii="Times New Roman"/>
          <w:sz w:val="24"/>
        </w:rPr>
        <w:t>Tatlock, England) and Wire (or inoculating) loop (KD Surgicals, India).</w:t>
      </w:r>
    </w:p>
    <w:p>
      <w:pPr>
        <w:pStyle w:val="Heading3"/>
        <w:numPr>
          <w:ilvl w:val="2"/>
          <w:numId w:val="2"/>
        </w:numPr>
        <w:tabs>
          <w:tab w:pos="1100" w:val="left" w:leader="none"/>
        </w:tabs>
        <w:spacing w:line="240" w:lineRule="auto" w:before="199" w:after="0"/>
        <w:ind w:left="1100" w:right="0" w:hanging="720"/>
        <w:jc w:val="left"/>
      </w:pPr>
      <w:r>
        <w:rPr>
          <w:spacing w:val="-2"/>
        </w:rPr>
        <w:t>Glasswares</w:t>
      </w:r>
    </w:p>
    <w:p>
      <w:pPr>
        <w:pStyle w:val="BodyText"/>
        <w:spacing w:before="27"/>
        <w:rPr>
          <w:b/>
        </w:rPr>
      </w:pPr>
    </w:p>
    <w:p>
      <w:pPr>
        <w:pStyle w:val="BodyText"/>
        <w:spacing w:line="482" w:lineRule="auto"/>
        <w:ind w:left="1100" w:right="975"/>
        <w:jc w:val="both"/>
      </w:pPr>
      <w:r>
        <w:rPr/>
        <w:t>Petri-dishes (Pyrex, England), Test-tubes (Pyrex, England), Beakers (Pyrex, England), Conical flask (Pyrex, England) and Measuring cylinder (Pyrex, England).</w:t>
      </w:r>
    </w:p>
    <w:p>
      <w:pPr>
        <w:pStyle w:val="Heading3"/>
        <w:numPr>
          <w:ilvl w:val="2"/>
          <w:numId w:val="2"/>
        </w:numPr>
        <w:tabs>
          <w:tab w:pos="1100" w:val="left" w:leader="none"/>
        </w:tabs>
        <w:spacing w:line="240" w:lineRule="auto" w:before="195" w:after="0"/>
        <w:ind w:left="1100" w:right="0" w:hanging="720"/>
        <w:jc w:val="left"/>
      </w:pPr>
      <w:r>
        <w:rPr>
          <w:spacing w:val="-2"/>
        </w:rPr>
        <w:t>Reagents</w:t>
      </w:r>
    </w:p>
    <w:p>
      <w:pPr>
        <w:pStyle w:val="BodyText"/>
        <w:spacing w:before="159"/>
        <w:rPr>
          <w:b/>
        </w:rPr>
      </w:pPr>
    </w:p>
    <w:p>
      <w:pPr>
        <w:pStyle w:val="BodyText"/>
        <w:spacing w:line="480" w:lineRule="auto" w:before="1"/>
        <w:ind w:left="1100" w:right="973"/>
        <w:jc w:val="both"/>
      </w:pPr>
      <w:r>
        <w:rPr/>
        <w:t>Crystal</w:t>
      </w:r>
      <w:r>
        <w:rPr>
          <w:spacing w:val="-2"/>
        </w:rPr>
        <w:t> </w:t>
      </w:r>
      <w:r>
        <w:rPr/>
        <w:t>violet</w:t>
      </w:r>
      <w:r>
        <w:rPr>
          <w:spacing w:val="-2"/>
        </w:rPr>
        <w:t> </w:t>
      </w:r>
      <w:r>
        <w:rPr/>
        <w:t>(May and</w:t>
      </w:r>
      <w:r>
        <w:rPr>
          <w:spacing w:val="-3"/>
        </w:rPr>
        <w:t> </w:t>
      </w:r>
      <w:r>
        <w:rPr/>
        <w:t>Baker, England),</w:t>
      </w:r>
      <w:r>
        <w:rPr>
          <w:spacing w:val="-2"/>
        </w:rPr>
        <w:t> </w:t>
      </w:r>
      <w:r>
        <w:rPr/>
        <w:t>Lugol’s iodine</w:t>
      </w:r>
      <w:r>
        <w:rPr>
          <w:spacing w:val="-2"/>
        </w:rPr>
        <w:t> </w:t>
      </w:r>
      <w:r>
        <w:rPr/>
        <w:t>(May and Baker,</w:t>
      </w:r>
      <w:r>
        <w:rPr>
          <w:spacing w:val="-2"/>
        </w:rPr>
        <w:t> </w:t>
      </w:r>
      <w:r>
        <w:rPr/>
        <w:t>England), neutral red (May and Baker Ltd. Dagenham, England), oil immersion (BDH Chemicals, England), Potassium Hydroxide</w:t>
      </w:r>
      <w:r>
        <w:rPr>
          <w:spacing w:val="-2"/>
        </w:rPr>
        <w:t> </w:t>
      </w:r>
      <w:r>
        <w:rPr/>
        <w:t>(May</w:t>
      </w:r>
      <w:r>
        <w:rPr>
          <w:spacing w:val="-4"/>
        </w:rPr>
        <w:t> </w:t>
      </w:r>
      <w:r>
        <w:rPr/>
        <w:t>and</w:t>
      </w:r>
      <w:r>
        <w:rPr>
          <w:spacing w:val="-1"/>
        </w:rPr>
        <w:t> </w:t>
      </w:r>
      <w:r>
        <w:rPr/>
        <w:t>Baker,</w:t>
      </w:r>
      <w:r>
        <w:rPr>
          <w:spacing w:val="-2"/>
        </w:rPr>
        <w:t> </w:t>
      </w:r>
      <w:r>
        <w:rPr/>
        <w:t>England),</w:t>
      </w:r>
      <w:r>
        <w:rPr>
          <w:spacing w:val="-2"/>
        </w:rPr>
        <w:t> </w:t>
      </w:r>
      <w:r>
        <w:rPr/>
        <w:t>Methyl red</w:t>
      </w:r>
      <w:r>
        <w:rPr>
          <w:spacing w:val="-3"/>
        </w:rPr>
        <w:t> </w:t>
      </w:r>
      <w:r>
        <w:rPr/>
        <w:t>(May</w:t>
      </w:r>
      <w:r>
        <w:rPr>
          <w:spacing w:val="-1"/>
        </w:rPr>
        <w:t> </w:t>
      </w:r>
      <w:r>
        <w:rPr/>
        <w:t>and Baker,</w:t>
      </w:r>
      <w:r>
        <w:rPr>
          <w:spacing w:val="-2"/>
        </w:rPr>
        <w:t> </w:t>
      </w:r>
      <w:r>
        <w:rPr/>
        <w:t>England), Alpha Naphthol (Fisher Scientific, United Kingdom), Sodium deoxycholate (BDH, England), Hydrogen peroxide (SKG Pharma., Nigeria), Tween 80: (BDH, England) and Oxidase reagent/strip (Liofilchem s.r.l. Bacteriology products, Italy).</w:t>
      </w:r>
    </w:p>
    <w:p>
      <w:pPr>
        <w:pStyle w:val="Heading1"/>
        <w:numPr>
          <w:ilvl w:val="2"/>
          <w:numId w:val="2"/>
        </w:numPr>
        <w:tabs>
          <w:tab w:pos="1100" w:val="left" w:leader="none"/>
        </w:tabs>
        <w:spacing w:line="240" w:lineRule="auto" w:before="202" w:after="0"/>
        <w:ind w:left="1100" w:right="0" w:hanging="720"/>
        <w:jc w:val="left"/>
      </w:pPr>
      <w:r>
        <w:rPr/>
        <w:t>Culture</w:t>
      </w:r>
      <w:r>
        <w:rPr>
          <w:spacing w:val="-2"/>
        </w:rPr>
        <w:t> Media</w:t>
      </w:r>
    </w:p>
    <w:p>
      <w:pPr>
        <w:pStyle w:val="BodyText"/>
        <w:spacing w:before="199"/>
        <w:rPr>
          <w:rFonts w:ascii="Times New Roman"/>
          <w:b/>
          <w:sz w:val="24"/>
        </w:rPr>
      </w:pPr>
    </w:p>
    <w:p>
      <w:pPr>
        <w:pStyle w:val="BodyText"/>
        <w:spacing w:line="480" w:lineRule="auto"/>
        <w:ind w:left="1100" w:right="975"/>
        <w:jc w:val="both"/>
      </w:pPr>
      <w:r>
        <w:rPr/>
        <w:t>MacConkey Agar (Oxoid, England), Nutrient Agar (Biotec Laboratories, United Kingdom), Urea Agar Base (Oxoid, England), Cetrimide Agar (Merck, Germany), Simmon’s Citrate</w:t>
      </w:r>
      <w:r>
        <w:rPr>
          <w:spacing w:val="40"/>
        </w:rPr>
        <w:t> </w:t>
      </w:r>
      <w:r>
        <w:rPr/>
        <w:t>(Oxoid, England), Mueller-Hinton Agar (Oxoid, England), Nutrient Broth (Fluka, U.S.A.), Peptone water (Fluka, U.S.A.) and MRVP Broth (Oxoid, England).</w:t>
      </w:r>
    </w:p>
    <w:p>
      <w:pPr>
        <w:pStyle w:val="Heading3"/>
        <w:numPr>
          <w:ilvl w:val="2"/>
          <w:numId w:val="2"/>
        </w:numPr>
        <w:tabs>
          <w:tab w:pos="1096" w:val="left" w:leader="none"/>
        </w:tabs>
        <w:spacing w:line="240" w:lineRule="auto" w:before="202" w:after="0"/>
        <w:ind w:left="1096" w:right="0" w:hanging="716"/>
        <w:jc w:val="both"/>
      </w:pPr>
      <w:r>
        <w:rPr/>
        <w:t>Antibiotic</w:t>
      </w:r>
      <w:r>
        <w:rPr>
          <w:spacing w:val="-8"/>
        </w:rPr>
        <w:t> </w:t>
      </w:r>
      <w:r>
        <w:rPr>
          <w:spacing w:val="-2"/>
        </w:rPr>
        <w:t>Discs</w:t>
      </w:r>
    </w:p>
    <w:p>
      <w:pPr>
        <w:pStyle w:val="BodyText"/>
        <w:spacing w:before="197"/>
        <w:rPr>
          <w:b/>
        </w:rPr>
      </w:pPr>
    </w:p>
    <w:p>
      <w:pPr>
        <w:pStyle w:val="BodyText"/>
        <w:spacing w:line="480" w:lineRule="auto"/>
        <w:ind w:left="1100" w:right="972"/>
        <w:jc w:val="both"/>
      </w:pPr>
      <w:r>
        <w:rPr/>
        <w:t>Ceftriaxone 30µg (Oxoid, UK), Amoxicillin-Clavulanic Acid 20/10µg (Oxoid, UK), Gentamicin 10µg (Oxoid, UK), Levofloxacin 5µg (Oxoid, UK) and Azithromycin 15µg (Oxoid, UK). Other antibiotics used are Bacitracin (Liofilchem s.r.l. Bacteriology products, Italy) and Optochin (Liofilchem s.r.l. Bacteriology products, Italy).</w:t>
      </w:r>
    </w:p>
    <w:p>
      <w:pPr>
        <w:pStyle w:val="Heading1"/>
        <w:numPr>
          <w:ilvl w:val="2"/>
          <w:numId w:val="2"/>
        </w:numPr>
        <w:tabs>
          <w:tab w:pos="1099" w:val="left" w:leader="none"/>
        </w:tabs>
        <w:spacing w:line="240" w:lineRule="auto" w:before="202" w:after="0"/>
        <w:ind w:left="1099" w:right="0" w:hanging="719"/>
        <w:jc w:val="both"/>
      </w:pPr>
      <w:r>
        <w:rPr/>
        <w:t>Standard</w:t>
      </w:r>
      <w:r>
        <w:rPr>
          <w:spacing w:val="-1"/>
        </w:rPr>
        <w:t> </w:t>
      </w:r>
      <w:r>
        <w:rPr/>
        <w:t>Antibiotic</w:t>
      </w:r>
      <w:r>
        <w:rPr>
          <w:spacing w:val="-1"/>
        </w:rPr>
        <w:t> </w:t>
      </w:r>
      <w:r>
        <w:rPr>
          <w:spacing w:val="-2"/>
        </w:rPr>
        <w:t>Formulations</w:t>
      </w:r>
    </w:p>
    <w:p>
      <w:pPr>
        <w:spacing w:after="0" w:line="240" w:lineRule="auto"/>
        <w:jc w:val="both"/>
        <w:sectPr>
          <w:pgSz w:w="11910" w:h="16840"/>
          <w:pgMar w:header="0" w:footer="1055" w:top="1340" w:bottom="1240" w:left="1060" w:right="460"/>
        </w:sectPr>
      </w:pPr>
    </w:p>
    <w:p>
      <w:pPr>
        <w:spacing w:line="480" w:lineRule="auto" w:before="113"/>
        <w:ind w:left="1100" w:right="977" w:firstLine="0"/>
        <w:jc w:val="both"/>
        <w:rPr>
          <w:rFonts w:ascii="Times New Roman" w:hAnsi="Times New Roman"/>
          <w:sz w:val="24"/>
        </w:rPr>
      </w:pPr>
      <w:r>
        <w:rPr>
          <w:rFonts w:ascii="Times New Roman" w:hAnsi="Times New Roman"/>
          <w:sz w:val="24"/>
        </w:rPr>
        <w:t>Ceftriaxone 500mg (Evans Medical PLC, Nigeria), Augmentin</w:t>
      </w:r>
      <w:r>
        <w:rPr>
          <w:rFonts w:ascii="Times New Roman" w:hAnsi="Times New Roman"/>
          <w:sz w:val="24"/>
          <w:vertAlign w:val="superscript"/>
        </w:rPr>
        <w:t>®</w:t>
      </w:r>
      <w:r>
        <w:rPr>
          <w:rFonts w:ascii="Times New Roman" w:hAnsi="Times New Roman"/>
          <w:sz w:val="24"/>
          <w:vertAlign w:val="baseline"/>
        </w:rPr>
        <w:t> 650mg (Beecham Pharmaceuticals, Brentford, England), Gentamicin 80mg (Gentalek), Levofloxacin 500mg (Evans Medical PLC RC1161, Nigeria) and Azithromycin 250mg (Greenlife Pharmaceuticals Ltd., Nigeria).</w:t>
      </w:r>
    </w:p>
    <w:p>
      <w:pPr>
        <w:pStyle w:val="Heading1"/>
        <w:numPr>
          <w:ilvl w:val="2"/>
          <w:numId w:val="2"/>
        </w:numPr>
        <w:tabs>
          <w:tab w:pos="1099" w:val="left" w:leader="none"/>
        </w:tabs>
        <w:spacing w:line="240" w:lineRule="auto" w:before="8" w:after="0"/>
        <w:ind w:left="1099" w:right="0" w:hanging="719"/>
        <w:jc w:val="both"/>
      </w:pPr>
      <w:r>
        <w:rPr/>
        <w:t>Test</w:t>
      </w:r>
      <w:r>
        <w:rPr>
          <w:spacing w:val="-1"/>
        </w:rPr>
        <w:t> </w:t>
      </w:r>
      <w:r>
        <w:rPr/>
        <w:t>Organisms</w:t>
      </w:r>
      <w:r>
        <w:rPr>
          <w:spacing w:val="-1"/>
        </w:rPr>
        <w:t> </w:t>
      </w:r>
      <w:r>
        <w:rPr/>
        <w:t>(Clinical</w:t>
      </w:r>
      <w:r>
        <w:rPr>
          <w:spacing w:val="-1"/>
        </w:rPr>
        <w:t> </w:t>
      </w:r>
      <w:r>
        <w:rPr>
          <w:spacing w:val="-2"/>
        </w:rPr>
        <w:t>isolates)</w:t>
      </w:r>
    </w:p>
    <w:p>
      <w:pPr>
        <w:pStyle w:val="BodyText"/>
        <w:spacing w:before="197"/>
        <w:rPr>
          <w:rFonts w:ascii="Times New Roman"/>
          <w:b/>
          <w:sz w:val="24"/>
        </w:rPr>
      </w:pPr>
    </w:p>
    <w:p>
      <w:pPr>
        <w:spacing w:line="482" w:lineRule="auto" w:before="0"/>
        <w:ind w:left="1100" w:right="973" w:firstLine="0"/>
        <w:jc w:val="both"/>
        <w:rPr>
          <w:sz w:val="22"/>
        </w:rPr>
      </w:pPr>
      <w:r>
        <w:rPr>
          <w:i/>
          <w:sz w:val="22"/>
        </w:rPr>
        <w:t>Streptococcus pneumoniae</w:t>
      </w:r>
      <w:r>
        <w:rPr>
          <w:sz w:val="22"/>
        </w:rPr>
        <w:t>, </w:t>
      </w:r>
      <w:r>
        <w:rPr>
          <w:i/>
          <w:sz w:val="22"/>
        </w:rPr>
        <w:t>Streptococcus pyogene, Pseudomonas aeruginosa</w:t>
      </w:r>
      <w:r>
        <w:rPr>
          <w:sz w:val="22"/>
        </w:rPr>
        <w:t>, </w:t>
      </w:r>
      <w:r>
        <w:rPr>
          <w:i/>
          <w:sz w:val="22"/>
        </w:rPr>
        <w:t>Staphylococcus aureus, Klebsiella pneumoniae </w:t>
      </w:r>
      <w:r>
        <w:rPr>
          <w:sz w:val="22"/>
        </w:rPr>
        <w:t>and </w:t>
      </w:r>
      <w:r>
        <w:rPr>
          <w:i/>
          <w:sz w:val="22"/>
        </w:rPr>
        <w:t>Haemophilus influenzae</w:t>
      </w:r>
      <w:r>
        <w:rPr>
          <w:sz w:val="22"/>
        </w:rPr>
        <w:t>.</w:t>
      </w:r>
    </w:p>
    <w:p>
      <w:pPr>
        <w:pStyle w:val="BodyText"/>
      </w:pPr>
    </w:p>
    <w:p>
      <w:pPr>
        <w:pStyle w:val="BodyText"/>
      </w:pPr>
    </w:p>
    <w:p>
      <w:pPr>
        <w:pStyle w:val="BodyText"/>
        <w:spacing w:before="129"/>
      </w:pPr>
    </w:p>
    <w:p>
      <w:pPr>
        <w:pStyle w:val="Heading3"/>
        <w:numPr>
          <w:ilvl w:val="1"/>
          <w:numId w:val="2"/>
        </w:numPr>
        <w:tabs>
          <w:tab w:pos="3980" w:val="left" w:leader="none"/>
        </w:tabs>
        <w:spacing w:line="240" w:lineRule="auto" w:before="0" w:after="0"/>
        <w:ind w:left="3980" w:right="0" w:hanging="3600"/>
        <w:jc w:val="both"/>
      </w:pPr>
      <w:r>
        <w:rPr>
          <w:spacing w:val="-2"/>
        </w:rPr>
        <w:t>Methodology</w:t>
      </w:r>
    </w:p>
    <w:p>
      <w:pPr>
        <w:pStyle w:val="BodyText"/>
        <w:spacing w:before="200"/>
        <w:rPr>
          <w:b/>
        </w:rPr>
      </w:pPr>
    </w:p>
    <w:p>
      <w:pPr>
        <w:pStyle w:val="ListParagraph"/>
        <w:numPr>
          <w:ilvl w:val="2"/>
          <w:numId w:val="2"/>
        </w:numPr>
        <w:tabs>
          <w:tab w:pos="1096" w:val="left" w:leader="none"/>
        </w:tabs>
        <w:spacing w:line="240" w:lineRule="auto" w:before="0" w:after="0"/>
        <w:ind w:left="1096" w:right="0" w:hanging="716"/>
        <w:jc w:val="both"/>
        <w:rPr>
          <w:b/>
          <w:sz w:val="22"/>
        </w:rPr>
      </w:pPr>
      <w:r>
        <w:rPr>
          <w:b/>
          <w:sz w:val="22"/>
        </w:rPr>
        <w:t>Study</w:t>
      </w:r>
      <w:r>
        <w:rPr>
          <w:b/>
          <w:spacing w:val="-4"/>
          <w:sz w:val="22"/>
        </w:rPr>
        <w:t> Area</w:t>
      </w:r>
    </w:p>
    <w:p>
      <w:pPr>
        <w:pStyle w:val="BodyText"/>
        <w:spacing w:before="65"/>
        <w:rPr>
          <w:b/>
        </w:rPr>
      </w:pPr>
    </w:p>
    <w:p>
      <w:pPr>
        <w:pStyle w:val="BodyText"/>
        <w:spacing w:line="480" w:lineRule="auto"/>
        <w:ind w:left="1100" w:right="976"/>
        <w:jc w:val="both"/>
      </w:pPr>
      <w:r>
        <w:rPr/>
        <w:t>The study area was Zaria, Kaduna State, Nigeria. However, the research was conducted in</w:t>
      </w:r>
      <w:r>
        <w:rPr>
          <w:spacing w:val="40"/>
        </w:rPr>
        <w:t> </w:t>
      </w:r>
      <w:r>
        <w:rPr/>
        <w:t>the Faculty of Pharmaceutical Sciences, Department of Pharmaceutics and Pharmaceutical Microbiology, Ahmadu Bello University (A.B.U.), Zaria, Nigeria.</w:t>
      </w:r>
    </w:p>
    <w:p>
      <w:pPr>
        <w:pStyle w:val="Heading3"/>
        <w:numPr>
          <w:ilvl w:val="2"/>
          <w:numId w:val="2"/>
        </w:numPr>
        <w:tabs>
          <w:tab w:pos="1096" w:val="left" w:leader="none"/>
        </w:tabs>
        <w:spacing w:line="240" w:lineRule="auto" w:before="201" w:after="0"/>
        <w:ind w:left="1096" w:right="0" w:hanging="716"/>
        <w:jc w:val="both"/>
      </w:pPr>
      <w:r>
        <w:rPr/>
        <w:t>Collection</w:t>
      </w:r>
      <w:r>
        <w:rPr>
          <w:spacing w:val="-5"/>
        </w:rPr>
        <w:t> </w:t>
      </w:r>
      <w:r>
        <w:rPr/>
        <w:t>of</w:t>
      </w:r>
      <w:r>
        <w:rPr>
          <w:spacing w:val="-4"/>
        </w:rPr>
        <w:t> </w:t>
      </w:r>
      <w:r>
        <w:rPr>
          <w:spacing w:val="-2"/>
        </w:rPr>
        <w:t>Materials</w:t>
      </w:r>
    </w:p>
    <w:p>
      <w:pPr>
        <w:pStyle w:val="BodyText"/>
        <w:spacing w:before="63"/>
        <w:rPr>
          <w:b/>
        </w:rPr>
      </w:pPr>
    </w:p>
    <w:p>
      <w:pPr>
        <w:pStyle w:val="BodyText"/>
        <w:spacing w:line="482" w:lineRule="auto"/>
        <w:ind w:left="1100" w:right="981"/>
        <w:jc w:val="both"/>
      </w:pPr>
      <w:r>
        <w:rPr/>
        <w:t>Pure honey was collected from Taraba State. However, the lemon was obtained from the Staff quarters in Area-A, A.B.U., Zaria.</w:t>
      </w:r>
    </w:p>
    <w:p>
      <w:pPr>
        <w:pStyle w:val="ListParagraph"/>
        <w:numPr>
          <w:ilvl w:val="3"/>
          <w:numId w:val="2"/>
        </w:numPr>
        <w:tabs>
          <w:tab w:pos="1040" w:val="left" w:leader="none"/>
        </w:tabs>
        <w:spacing w:line="240" w:lineRule="auto" w:before="198" w:after="0"/>
        <w:ind w:left="1040" w:right="0" w:hanging="660"/>
        <w:jc w:val="left"/>
        <w:rPr>
          <w:i/>
          <w:sz w:val="22"/>
        </w:rPr>
      </w:pPr>
      <w:r>
        <w:rPr>
          <w:i/>
          <w:sz w:val="22"/>
        </w:rPr>
        <w:t>Preliminary</w:t>
      </w:r>
      <w:r>
        <w:rPr>
          <w:i/>
          <w:spacing w:val="-6"/>
          <w:sz w:val="22"/>
        </w:rPr>
        <w:t> </w:t>
      </w:r>
      <w:r>
        <w:rPr>
          <w:i/>
          <w:sz w:val="22"/>
        </w:rPr>
        <w:t>Test</w:t>
      </w:r>
      <w:r>
        <w:rPr>
          <w:i/>
          <w:spacing w:val="-4"/>
          <w:sz w:val="22"/>
        </w:rPr>
        <w:t> </w:t>
      </w:r>
      <w:r>
        <w:rPr>
          <w:i/>
          <w:sz w:val="22"/>
        </w:rPr>
        <w:t>for</w:t>
      </w:r>
      <w:r>
        <w:rPr>
          <w:i/>
          <w:spacing w:val="-5"/>
          <w:sz w:val="22"/>
        </w:rPr>
        <w:t> </w:t>
      </w:r>
      <w:r>
        <w:rPr>
          <w:i/>
          <w:sz w:val="22"/>
        </w:rPr>
        <w:t>the</w:t>
      </w:r>
      <w:r>
        <w:rPr>
          <w:i/>
          <w:spacing w:val="-3"/>
          <w:sz w:val="22"/>
        </w:rPr>
        <w:t> </w:t>
      </w:r>
      <w:r>
        <w:rPr>
          <w:i/>
          <w:sz w:val="22"/>
        </w:rPr>
        <w:t>Confirmation</w:t>
      </w:r>
      <w:r>
        <w:rPr>
          <w:i/>
          <w:spacing w:val="-5"/>
          <w:sz w:val="22"/>
        </w:rPr>
        <w:t> </w:t>
      </w:r>
      <w:r>
        <w:rPr>
          <w:i/>
          <w:sz w:val="22"/>
        </w:rPr>
        <w:t>of</w:t>
      </w:r>
      <w:r>
        <w:rPr>
          <w:i/>
          <w:spacing w:val="-5"/>
          <w:sz w:val="22"/>
        </w:rPr>
        <w:t> </w:t>
      </w:r>
      <w:r>
        <w:rPr>
          <w:i/>
          <w:sz w:val="22"/>
        </w:rPr>
        <w:t>the</w:t>
      </w:r>
      <w:r>
        <w:rPr>
          <w:i/>
          <w:spacing w:val="-5"/>
          <w:sz w:val="22"/>
        </w:rPr>
        <w:t> </w:t>
      </w:r>
      <w:r>
        <w:rPr>
          <w:i/>
          <w:sz w:val="22"/>
        </w:rPr>
        <w:t>Purity</w:t>
      </w:r>
      <w:r>
        <w:rPr>
          <w:i/>
          <w:spacing w:val="-3"/>
          <w:sz w:val="22"/>
        </w:rPr>
        <w:t> </w:t>
      </w:r>
      <w:r>
        <w:rPr>
          <w:i/>
          <w:sz w:val="22"/>
        </w:rPr>
        <w:t>of</w:t>
      </w:r>
      <w:r>
        <w:rPr>
          <w:i/>
          <w:spacing w:val="-6"/>
          <w:sz w:val="22"/>
        </w:rPr>
        <w:t> </w:t>
      </w:r>
      <w:r>
        <w:rPr>
          <w:i/>
          <w:sz w:val="22"/>
        </w:rPr>
        <w:t>the</w:t>
      </w:r>
      <w:r>
        <w:rPr>
          <w:i/>
          <w:spacing w:val="-3"/>
          <w:sz w:val="22"/>
        </w:rPr>
        <w:t> </w:t>
      </w:r>
      <w:r>
        <w:rPr>
          <w:i/>
          <w:spacing w:val="-2"/>
          <w:sz w:val="22"/>
        </w:rPr>
        <w:t>Honey</w:t>
      </w:r>
    </w:p>
    <w:p>
      <w:pPr>
        <w:pStyle w:val="BodyText"/>
        <w:spacing w:before="199"/>
        <w:rPr>
          <w:i/>
        </w:rPr>
      </w:pPr>
    </w:p>
    <w:p>
      <w:pPr>
        <w:pStyle w:val="BodyText"/>
        <w:ind w:left="1100"/>
        <w:jc w:val="both"/>
      </w:pPr>
      <w:r>
        <w:rPr/>
        <w:t>Basically</w:t>
      </w:r>
      <w:r>
        <w:rPr>
          <w:spacing w:val="-7"/>
        </w:rPr>
        <w:t> </w:t>
      </w:r>
      <w:r>
        <w:rPr/>
        <w:t>the</w:t>
      </w:r>
      <w:r>
        <w:rPr>
          <w:spacing w:val="-2"/>
        </w:rPr>
        <w:t> </w:t>
      </w:r>
      <w:r>
        <w:rPr/>
        <w:t>following</w:t>
      </w:r>
      <w:r>
        <w:rPr>
          <w:spacing w:val="-5"/>
        </w:rPr>
        <w:t> </w:t>
      </w:r>
      <w:r>
        <w:rPr/>
        <w:t>tests</w:t>
      </w:r>
      <w:r>
        <w:rPr>
          <w:spacing w:val="-2"/>
        </w:rPr>
        <w:t> </w:t>
      </w:r>
      <w:r>
        <w:rPr/>
        <w:t>were</w:t>
      </w:r>
      <w:r>
        <w:rPr>
          <w:spacing w:val="-3"/>
        </w:rPr>
        <w:t> </w:t>
      </w:r>
      <w:r>
        <w:rPr/>
        <w:t>used</w:t>
      </w:r>
      <w:r>
        <w:rPr>
          <w:spacing w:val="-5"/>
        </w:rPr>
        <w:t> </w:t>
      </w:r>
      <w:r>
        <w:rPr/>
        <w:t>to</w:t>
      </w:r>
      <w:r>
        <w:rPr>
          <w:spacing w:val="-4"/>
        </w:rPr>
        <w:t> </w:t>
      </w:r>
      <w:r>
        <w:rPr/>
        <w:t>ascertain</w:t>
      </w:r>
      <w:r>
        <w:rPr>
          <w:spacing w:val="-2"/>
        </w:rPr>
        <w:t> </w:t>
      </w:r>
      <w:r>
        <w:rPr/>
        <w:t>the</w:t>
      </w:r>
      <w:r>
        <w:rPr>
          <w:spacing w:val="-3"/>
        </w:rPr>
        <w:t> </w:t>
      </w:r>
      <w:r>
        <w:rPr/>
        <w:t>purity</w:t>
      </w:r>
      <w:r>
        <w:rPr>
          <w:spacing w:val="-4"/>
        </w:rPr>
        <w:t> </w:t>
      </w:r>
      <w:r>
        <w:rPr/>
        <w:t>of</w:t>
      </w:r>
      <w:r>
        <w:rPr>
          <w:spacing w:val="-5"/>
        </w:rPr>
        <w:t> </w:t>
      </w:r>
      <w:r>
        <w:rPr/>
        <w:t>the</w:t>
      </w:r>
      <w:r>
        <w:rPr>
          <w:spacing w:val="-2"/>
        </w:rPr>
        <w:t> </w:t>
      </w:r>
      <w:r>
        <w:rPr/>
        <w:t>honey</w:t>
      </w:r>
      <w:r>
        <w:rPr>
          <w:spacing w:val="-3"/>
        </w:rPr>
        <w:t> </w:t>
      </w:r>
      <w:r>
        <w:rPr>
          <w:spacing w:val="-2"/>
        </w:rPr>
        <w:t>used:</w:t>
      </w:r>
    </w:p>
    <w:p>
      <w:pPr>
        <w:pStyle w:val="BodyText"/>
        <w:spacing w:before="159"/>
      </w:pPr>
    </w:p>
    <w:p>
      <w:pPr>
        <w:pStyle w:val="BodyText"/>
        <w:spacing w:line="480" w:lineRule="auto"/>
        <w:ind w:left="1100" w:right="972"/>
        <w:jc w:val="both"/>
      </w:pPr>
      <w:r>
        <w:rPr>
          <w:i/>
        </w:rPr>
        <w:t>The Flame Test</w:t>
      </w:r>
      <w:r>
        <w:rPr/>
        <w:t>: This involves lighting up a cotton bud dipped into the honey with a match- stick flame; or lighting up a match-stick dipped into a honey.</w:t>
      </w:r>
    </w:p>
    <w:p>
      <w:pPr>
        <w:pStyle w:val="BodyText"/>
        <w:spacing w:before="6"/>
      </w:pPr>
    </w:p>
    <w:p>
      <w:pPr>
        <w:spacing w:line="480" w:lineRule="auto" w:before="0"/>
        <w:ind w:left="1100" w:right="983" w:firstLine="0"/>
        <w:jc w:val="both"/>
        <w:rPr>
          <w:rFonts w:ascii="Times New Roman"/>
          <w:sz w:val="24"/>
        </w:rPr>
      </w:pPr>
      <w:r>
        <w:rPr>
          <w:rFonts w:ascii="Times New Roman"/>
          <w:i/>
          <w:sz w:val="24"/>
        </w:rPr>
        <w:t>Dissolution Test</w:t>
      </w:r>
      <w:r>
        <w:rPr>
          <w:rFonts w:ascii="Times New Roman"/>
          <w:sz w:val="24"/>
        </w:rPr>
        <w:t>: This involves adding a tablespoon of honey into the water. If the honey</w:t>
      </w:r>
      <w:r>
        <w:rPr>
          <w:rFonts w:ascii="Times New Roman"/>
          <w:spacing w:val="3"/>
          <w:sz w:val="24"/>
        </w:rPr>
        <w:t> </w:t>
      </w:r>
      <w:r>
        <w:rPr>
          <w:rFonts w:ascii="Times New Roman"/>
          <w:sz w:val="24"/>
        </w:rPr>
        <w:t>is</w:t>
      </w:r>
      <w:r>
        <w:rPr>
          <w:rFonts w:ascii="Times New Roman"/>
          <w:spacing w:val="12"/>
          <w:sz w:val="24"/>
        </w:rPr>
        <w:t> </w:t>
      </w:r>
      <w:r>
        <w:rPr>
          <w:rFonts w:ascii="Times New Roman"/>
          <w:sz w:val="24"/>
        </w:rPr>
        <w:t>impure,</w:t>
      </w:r>
      <w:r>
        <w:rPr>
          <w:rFonts w:ascii="Times New Roman"/>
          <w:spacing w:val="10"/>
          <w:sz w:val="24"/>
        </w:rPr>
        <w:t> </w:t>
      </w:r>
      <w:r>
        <w:rPr>
          <w:rFonts w:ascii="Times New Roman"/>
          <w:sz w:val="24"/>
        </w:rPr>
        <w:t>it</w:t>
      </w:r>
      <w:r>
        <w:rPr>
          <w:rFonts w:ascii="Times New Roman"/>
          <w:spacing w:val="12"/>
          <w:sz w:val="24"/>
        </w:rPr>
        <w:t> </w:t>
      </w:r>
      <w:r>
        <w:rPr>
          <w:rFonts w:ascii="Times New Roman"/>
          <w:sz w:val="24"/>
        </w:rPr>
        <w:t>will</w:t>
      </w:r>
      <w:r>
        <w:rPr>
          <w:rFonts w:ascii="Times New Roman"/>
          <w:spacing w:val="11"/>
          <w:sz w:val="24"/>
        </w:rPr>
        <w:t> </w:t>
      </w:r>
      <w:r>
        <w:rPr>
          <w:rFonts w:ascii="Times New Roman"/>
          <w:sz w:val="24"/>
        </w:rPr>
        <w:t>dissolve</w:t>
      </w:r>
      <w:r>
        <w:rPr>
          <w:rFonts w:ascii="Times New Roman"/>
          <w:spacing w:val="11"/>
          <w:sz w:val="24"/>
        </w:rPr>
        <w:t> </w:t>
      </w:r>
      <w:r>
        <w:rPr>
          <w:rFonts w:ascii="Times New Roman"/>
          <w:sz w:val="24"/>
        </w:rPr>
        <w:t>in</w:t>
      </w:r>
      <w:r>
        <w:rPr>
          <w:rFonts w:ascii="Times New Roman"/>
          <w:spacing w:val="11"/>
          <w:sz w:val="24"/>
        </w:rPr>
        <w:t> </w:t>
      </w:r>
      <w:r>
        <w:rPr>
          <w:rFonts w:ascii="Times New Roman"/>
          <w:sz w:val="24"/>
        </w:rPr>
        <w:t>the</w:t>
      </w:r>
      <w:r>
        <w:rPr>
          <w:rFonts w:ascii="Times New Roman"/>
          <w:spacing w:val="11"/>
          <w:sz w:val="24"/>
        </w:rPr>
        <w:t> </w:t>
      </w:r>
      <w:r>
        <w:rPr>
          <w:rFonts w:ascii="Times New Roman"/>
          <w:sz w:val="24"/>
        </w:rPr>
        <w:t>water</w:t>
      </w:r>
      <w:r>
        <w:rPr>
          <w:rFonts w:ascii="Times New Roman"/>
          <w:spacing w:val="12"/>
          <w:sz w:val="24"/>
        </w:rPr>
        <w:t> </w:t>
      </w:r>
      <w:r>
        <w:rPr>
          <w:rFonts w:ascii="Times New Roman"/>
          <w:sz w:val="24"/>
        </w:rPr>
        <w:t>at</w:t>
      </w:r>
      <w:r>
        <w:rPr>
          <w:rFonts w:ascii="Times New Roman"/>
          <w:spacing w:val="11"/>
          <w:sz w:val="24"/>
        </w:rPr>
        <w:t> </w:t>
      </w:r>
      <w:r>
        <w:rPr>
          <w:rFonts w:ascii="Times New Roman"/>
          <w:sz w:val="24"/>
        </w:rPr>
        <w:t>top</w:t>
      </w:r>
      <w:r>
        <w:rPr>
          <w:rFonts w:ascii="Times New Roman"/>
          <w:spacing w:val="12"/>
          <w:sz w:val="24"/>
        </w:rPr>
        <w:t> </w:t>
      </w:r>
      <w:r>
        <w:rPr>
          <w:rFonts w:ascii="Times New Roman"/>
          <w:sz w:val="24"/>
        </w:rPr>
        <w:t>layer.</w:t>
      </w:r>
      <w:r>
        <w:rPr>
          <w:rFonts w:ascii="Times New Roman"/>
          <w:spacing w:val="12"/>
          <w:sz w:val="24"/>
        </w:rPr>
        <w:t> </w:t>
      </w:r>
      <w:r>
        <w:rPr>
          <w:rFonts w:ascii="Times New Roman"/>
          <w:sz w:val="24"/>
        </w:rPr>
        <w:t>If</w:t>
      </w:r>
      <w:r>
        <w:rPr>
          <w:rFonts w:ascii="Times New Roman"/>
          <w:spacing w:val="13"/>
          <w:sz w:val="24"/>
        </w:rPr>
        <w:t> </w:t>
      </w:r>
      <w:r>
        <w:rPr>
          <w:rFonts w:ascii="Times New Roman"/>
          <w:sz w:val="24"/>
        </w:rPr>
        <w:t>it</w:t>
      </w:r>
      <w:r>
        <w:rPr>
          <w:rFonts w:ascii="Times New Roman"/>
          <w:spacing w:val="11"/>
          <w:sz w:val="24"/>
        </w:rPr>
        <w:t> </w:t>
      </w:r>
      <w:r>
        <w:rPr>
          <w:rFonts w:ascii="Times New Roman"/>
          <w:sz w:val="24"/>
        </w:rPr>
        <w:t>is</w:t>
      </w:r>
      <w:r>
        <w:rPr>
          <w:rFonts w:ascii="Times New Roman"/>
          <w:spacing w:val="12"/>
          <w:sz w:val="24"/>
        </w:rPr>
        <w:t> </w:t>
      </w:r>
      <w:r>
        <w:rPr>
          <w:rFonts w:ascii="Times New Roman"/>
          <w:sz w:val="24"/>
        </w:rPr>
        <w:t>pure,</w:t>
      </w:r>
      <w:r>
        <w:rPr>
          <w:rFonts w:ascii="Times New Roman"/>
          <w:spacing w:val="10"/>
          <w:sz w:val="24"/>
        </w:rPr>
        <w:t> </w:t>
      </w:r>
      <w:r>
        <w:rPr>
          <w:rFonts w:ascii="Times New Roman"/>
          <w:sz w:val="24"/>
        </w:rPr>
        <w:t>the</w:t>
      </w:r>
      <w:r>
        <w:rPr>
          <w:rFonts w:ascii="Times New Roman"/>
          <w:spacing w:val="13"/>
          <w:sz w:val="24"/>
        </w:rPr>
        <w:t> </w:t>
      </w:r>
      <w:r>
        <w:rPr>
          <w:rFonts w:ascii="Times New Roman"/>
          <w:sz w:val="24"/>
        </w:rPr>
        <w:t>honey</w:t>
      </w:r>
      <w:r>
        <w:rPr>
          <w:rFonts w:ascii="Times New Roman"/>
          <w:spacing w:val="6"/>
          <w:sz w:val="24"/>
        </w:rPr>
        <w:t> </w:t>
      </w:r>
      <w:r>
        <w:rPr>
          <w:rFonts w:ascii="Times New Roman"/>
          <w:spacing w:val="-4"/>
          <w:sz w:val="24"/>
        </w:rPr>
        <w:t>will</w:t>
      </w:r>
    </w:p>
    <w:p>
      <w:pPr>
        <w:spacing w:after="0" w:line="480" w:lineRule="auto"/>
        <w:jc w:val="both"/>
        <w:rPr>
          <w:rFonts w:ascii="Times New Roman"/>
          <w:sz w:val="24"/>
        </w:rPr>
        <w:sectPr>
          <w:pgSz w:w="11910" w:h="16840"/>
          <w:pgMar w:header="0" w:footer="1055" w:top="1300" w:bottom="1240" w:left="1060" w:right="460"/>
        </w:sectPr>
      </w:pPr>
    </w:p>
    <w:p>
      <w:pPr>
        <w:spacing w:line="480" w:lineRule="auto" w:before="73"/>
        <w:ind w:left="1100" w:right="982" w:firstLine="0"/>
        <w:jc w:val="both"/>
        <w:rPr>
          <w:rFonts w:ascii="Times New Roman"/>
          <w:sz w:val="24"/>
        </w:rPr>
      </w:pPr>
      <w:r>
        <w:rPr>
          <w:rFonts w:ascii="Times New Roman"/>
          <w:sz w:val="24"/>
        </w:rPr>
        <w:t>stick together and sink as a solid lump to</w:t>
      </w:r>
      <w:r>
        <w:rPr>
          <w:rFonts w:ascii="Times New Roman"/>
          <w:spacing w:val="-1"/>
          <w:sz w:val="24"/>
        </w:rPr>
        <w:t> </w:t>
      </w:r>
      <w:r>
        <w:rPr>
          <w:rFonts w:ascii="Times New Roman"/>
          <w:sz w:val="24"/>
        </w:rPr>
        <w:t>the bottom of the glass. This is because pure honey does not immediately dissolve in water; you will notice that it takes a bit of effort to stir it in the water to dissolve the lumpy</w:t>
      </w:r>
      <w:r>
        <w:rPr>
          <w:rFonts w:ascii="Times New Roman"/>
          <w:spacing w:val="-3"/>
          <w:sz w:val="24"/>
        </w:rPr>
        <w:t> </w:t>
      </w:r>
      <w:r>
        <w:rPr>
          <w:rFonts w:ascii="Times New Roman"/>
          <w:sz w:val="24"/>
        </w:rPr>
        <w:t>bits, whereas sugar tends to dissolve easily in a jiggery as you drop them into the water.</w:t>
      </w:r>
    </w:p>
    <w:p>
      <w:pPr>
        <w:pStyle w:val="BodyText"/>
        <w:spacing w:before="5"/>
        <w:rPr>
          <w:rFonts w:ascii="Times New Roman"/>
          <w:sz w:val="24"/>
        </w:rPr>
      </w:pPr>
    </w:p>
    <w:p>
      <w:pPr>
        <w:spacing w:line="480" w:lineRule="auto" w:before="1"/>
        <w:ind w:left="1100" w:right="980" w:firstLine="0"/>
        <w:jc w:val="both"/>
        <w:rPr>
          <w:rFonts w:ascii="Times New Roman" w:hAnsi="Times New Roman"/>
          <w:sz w:val="24"/>
        </w:rPr>
      </w:pPr>
      <w:r>
        <w:rPr>
          <w:rFonts w:ascii="Times New Roman" w:hAnsi="Times New Roman"/>
          <w:i/>
          <w:sz w:val="24"/>
        </w:rPr>
        <w:t>Crystallization Test</w:t>
      </w:r>
      <w:r>
        <w:rPr>
          <w:rFonts w:ascii="Times New Roman" w:hAnsi="Times New Roman"/>
          <w:sz w:val="24"/>
        </w:rPr>
        <w:t>: This involves subjecting the honey sample to a very low temperature (refrigerating temperature). Even below 5 °C, pure honey will not crystallize and, thus, the original texture and flavor can be preserved indefinitely (Tomasik, 2004).</w:t>
      </w:r>
    </w:p>
    <w:p>
      <w:pPr>
        <w:pStyle w:val="BodyText"/>
        <w:spacing w:before="10"/>
        <w:rPr>
          <w:rFonts w:ascii="Times New Roman"/>
          <w:sz w:val="24"/>
        </w:rPr>
      </w:pPr>
    </w:p>
    <w:p>
      <w:pPr>
        <w:pStyle w:val="ListParagraph"/>
        <w:numPr>
          <w:ilvl w:val="3"/>
          <w:numId w:val="2"/>
        </w:numPr>
        <w:tabs>
          <w:tab w:pos="1098" w:val="left" w:leader="none"/>
        </w:tabs>
        <w:spacing w:line="240" w:lineRule="auto" w:before="0" w:after="0"/>
        <w:ind w:left="1098" w:right="0" w:hanging="718"/>
        <w:jc w:val="both"/>
        <w:rPr>
          <w:i/>
          <w:sz w:val="22"/>
        </w:rPr>
      </w:pPr>
      <w:r>
        <w:rPr>
          <w:i/>
          <w:sz w:val="22"/>
        </w:rPr>
        <w:t>The</w:t>
      </w:r>
      <w:r>
        <w:rPr>
          <w:i/>
          <w:spacing w:val="-6"/>
          <w:sz w:val="22"/>
        </w:rPr>
        <w:t> </w:t>
      </w:r>
      <w:r>
        <w:rPr>
          <w:i/>
          <w:sz w:val="22"/>
        </w:rPr>
        <w:t>Retrospective</w:t>
      </w:r>
      <w:r>
        <w:rPr>
          <w:i/>
          <w:spacing w:val="-4"/>
          <w:sz w:val="22"/>
        </w:rPr>
        <w:t> Study</w:t>
      </w:r>
    </w:p>
    <w:p>
      <w:pPr>
        <w:pStyle w:val="BodyText"/>
        <w:spacing w:before="197"/>
        <w:rPr>
          <w:i/>
        </w:rPr>
      </w:pPr>
    </w:p>
    <w:p>
      <w:pPr>
        <w:pStyle w:val="BodyText"/>
        <w:spacing w:line="482" w:lineRule="auto" w:before="1"/>
        <w:ind w:left="1100" w:right="981" w:firstLine="720"/>
        <w:jc w:val="both"/>
      </w:pPr>
      <w:r>
        <w:rPr/>
        <w:t>Ethical approval for the collection of samples was obtained from University Health Services (see appendix V).</w:t>
      </w:r>
    </w:p>
    <w:p>
      <w:pPr>
        <w:pStyle w:val="BodyText"/>
        <w:spacing w:line="480" w:lineRule="auto" w:before="195"/>
        <w:ind w:left="1100" w:right="974" w:firstLine="720"/>
        <w:jc w:val="both"/>
      </w:pPr>
      <w:r>
        <w:rPr/>
        <w:t>Patients’ records were obtained from the laboratory record books of Medical Microbiology Department, Ahmadu Bello University Zaria and Microbiology Department, Ahmadu Bello University Health Services Samaru Campus, Zaria. Information obtained include sex, age, types of samples collected, commonly isolated bacteria and common antibiotics they were susceptible or resistant to. The period observed was January, 2011 to February, 2012.</w:t>
      </w:r>
    </w:p>
    <w:p>
      <w:pPr>
        <w:pStyle w:val="Heading3"/>
        <w:numPr>
          <w:ilvl w:val="2"/>
          <w:numId w:val="2"/>
        </w:numPr>
        <w:tabs>
          <w:tab w:pos="1029" w:val="left" w:leader="none"/>
        </w:tabs>
        <w:spacing w:line="240" w:lineRule="auto" w:before="202" w:after="0"/>
        <w:ind w:left="1029" w:right="0" w:hanging="649"/>
        <w:jc w:val="both"/>
      </w:pPr>
      <w:r>
        <w:rPr/>
        <w:t>Isolation</w:t>
      </w:r>
      <w:r>
        <w:rPr>
          <w:spacing w:val="-9"/>
        </w:rPr>
        <w:t> </w:t>
      </w:r>
      <w:r>
        <w:rPr/>
        <w:t>and</w:t>
      </w:r>
      <w:r>
        <w:rPr>
          <w:spacing w:val="-6"/>
        </w:rPr>
        <w:t> </w:t>
      </w:r>
      <w:r>
        <w:rPr/>
        <w:t>Identification</w:t>
      </w:r>
      <w:r>
        <w:rPr>
          <w:spacing w:val="-7"/>
        </w:rPr>
        <w:t> </w:t>
      </w:r>
      <w:r>
        <w:rPr/>
        <w:t>of</w:t>
      </w:r>
      <w:r>
        <w:rPr>
          <w:spacing w:val="-6"/>
        </w:rPr>
        <w:t> </w:t>
      </w:r>
      <w:r>
        <w:rPr/>
        <w:t>Bacteria</w:t>
      </w:r>
      <w:r>
        <w:rPr>
          <w:spacing w:val="-6"/>
        </w:rPr>
        <w:t> </w:t>
      </w:r>
      <w:r>
        <w:rPr/>
        <w:t>from</w:t>
      </w:r>
      <w:r>
        <w:rPr>
          <w:spacing w:val="-7"/>
        </w:rPr>
        <w:t> </w:t>
      </w:r>
      <w:r>
        <w:rPr/>
        <w:t>Respiratory</w:t>
      </w:r>
      <w:r>
        <w:rPr>
          <w:spacing w:val="-7"/>
        </w:rPr>
        <w:t> </w:t>
      </w:r>
      <w:r>
        <w:rPr/>
        <w:t>Tract</w:t>
      </w:r>
      <w:r>
        <w:rPr>
          <w:spacing w:val="-5"/>
        </w:rPr>
        <w:t> </w:t>
      </w:r>
      <w:r>
        <w:rPr>
          <w:spacing w:val="-2"/>
        </w:rPr>
        <w:t>Infections</w:t>
      </w:r>
    </w:p>
    <w:p>
      <w:pPr>
        <w:pStyle w:val="BodyText"/>
        <w:spacing w:before="198"/>
        <w:rPr>
          <w:b/>
        </w:rPr>
      </w:pPr>
    </w:p>
    <w:p>
      <w:pPr>
        <w:pStyle w:val="BodyText"/>
        <w:spacing w:line="480" w:lineRule="auto"/>
        <w:ind w:left="1100" w:right="972" w:firstLine="720"/>
        <w:jc w:val="both"/>
      </w:pPr>
      <w:r>
        <w:rPr/>
        <w:t>Clinical isolates were collected from throat swab, ear swab, nasal secretions and sputum samples from patients presented with RTIs in Ahmadu Bello University Teaching Hospital (ABUTH), Zaria and Ahmadu Bello University Health Services (ABUHS) Samaru Campus, Zaria. The samples were then inoculated on Blood Agar, Chocolate agar,</w:t>
      </w:r>
      <w:r>
        <w:rPr>
          <w:spacing w:val="40"/>
        </w:rPr>
        <w:t> </w:t>
      </w:r>
      <w:r>
        <w:rPr/>
        <w:t>MacConkey</w:t>
      </w:r>
      <w:r>
        <w:rPr>
          <w:spacing w:val="35"/>
        </w:rPr>
        <w:t> </w:t>
      </w:r>
      <w:r>
        <w:rPr/>
        <w:t>agar</w:t>
      </w:r>
      <w:r>
        <w:rPr>
          <w:spacing w:val="34"/>
        </w:rPr>
        <w:t> </w:t>
      </w:r>
      <w:r>
        <w:rPr/>
        <w:t>and</w:t>
      </w:r>
      <w:r>
        <w:rPr>
          <w:spacing w:val="31"/>
        </w:rPr>
        <w:t> </w:t>
      </w:r>
      <w:r>
        <w:rPr/>
        <w:t>cetrimide</w:t>
      </w:r>
      <w:r>
        <w:rPr>
          <w:spacing w:val="35"/>
        </w:rPr>
        <w:t> </w:t>
      </w:r>
      <w:r>
        <w:rPr/>
        <w:t>agar,</w:t>
      </w:r>
      <w:r>
        <w:rPr>
          <w:spacing w:val="33"/>
        </w:rPr>
        <w:t> </w:t>
      </w:r>
      <w:r>
        <w:rPr/>
        <w:t>and</w:t>
      </w:r>
      <w:r>
        <w:rPr>
          <w:spacing w:val="34"/>
        </w:rPr>
        <w:t> </w:t>
      </w:r>
      <w:r>
        <w:rPr/>
        <w:t>the</w:t>
      </w:r>
      <w:r>
        <w:rPr>
          <w:spacing w:val="35"/>
        </w:rPr>
        <w:t> </w:t>
      </w:r>
      <w:r>
        <w:rPr/>
        <w:t>plates</w:t>
      </w:r>
      <w:r>
        <w:rPr>
          <w:spacing w:val="32"/>
        </w:rPr>
        <w:t> </w:t>
      </w:r>
      <w:r>
        <w:rPr/>
        <w:t>incubated</w:t>
      </w:r>
      <w:r>
        <w:rPr>
          <w:spacing w:val="34"/>
        </w:rPr>
        <w:t> </w:t>
      </w:r>
      <w:r>
        <w:rPr/>
        <w:t>at</w:t>
      </w:r>
      <w:r>
        <w:rPr>
          <w:spacing w:val="34"/>
        </w:rPr>
        <w:t> </w:t>
      </w:r>
      <w:r>
        <w:rPr/>
        <w:t>37</w:t>
      </w:r>
      <w:r>
        <w:rPr>
          <w:spacing w:val="41"/>
        </w:rPr>
        <w:t> </w:t>
      </w:r>
      <w:r>
        <w:rPr>
          <w:vertAlign w:val="superscript"/>
        </w:rPr>
        <w:t>0</w:t>
      </w:r>
      <w:r>
        <w:rPr>
          <w:vertAlign w:val="baseline"/>
        </w:rPr>
        <w:t>C</w:t>
      </w:r>
      <w:r>
        <w:rPr>
          <w:spacing w:val="35"/>
          <w:vertAlign w:val="baseline"/>
        </w:rPr>
        <w:t> </w:t>
      </w:r>
      <w:r>
        <w:rPr>
          <w:vertAlign w:val="baseline"/>
        </w:rPr>
        <w:t>for</w:t>
      </w:r>
      <w:r>
        <w:rPr>
          <w:spacing w:val="32"/>
          <w:vertAlign w:val="baseline"/>
        </w:rPr>
        <w:t> </w:t>
      </w:r>
      <w:r>
        <w:rPr>
          <w:vertAlign w:val="baseline"/>
        </w:rPr>
        <w:t>24-48</w:t>
      </w:r>
      <w:r>
        <w:rPr>
          <w:spacing w:val="36"/>
          <w:vertAlign w:val="baseline"/>
        </w:rPr>
        <w:t> </w:t>
      </w:r>
      <w:r>
        <w:rPr>
          <w:spacing w:val="-2"/>
          <w:vertAlign w:val="baseline"/>
        </w:rPr>
        <w:t>hours.</w:t>
      </w:r>
    </w:p>
    <w:p>
      <w:pPr>
        <w:spacing w:after="0" w:line="480" w:lineRule="auto"/>
        <w:jc w:val="both"/>
        <w:sectPr>
          <w:pgSz w:w="11910" w:h="16840"/>
          <w:pgMar w:header="0" w:footer="1055" w:top="1340" w:bottom="1240" w:left="1060" w:right="460"/>
        </w:sectPr>
      </w:pPr>
    </w:p>
    <w:p>
      <w:pPr>
        <w:pStyle w:val="BodyText"/>
        <w:spacing w:line="480" w:lineRule="auto" w:before="38"/>
        <w:ind w:left="1100" w:right="975"/>
        <w:jc w:val="both"/>
      </w:pPr>
      <w:r>
        <w:rPr/>
        <w:t>Initial identification of the growing microorganisms was done by colony morphology and Gram-Staining method. Pure colonies were sub-cultured on Blood agar, Nutrient agar and Chocolate agar media. Further identification or confirmation was carried out using Biochemical tests as recommended by Cheesbrough (2010).</w:t>
      </w:r>
    </w:p>
    <w:p>
      <w:pPr>
        <w:spacing w:before="204"/>
        <w:ind w:left="1100" w:right="0" w:firstLine="0"/>
        <w:jc w:val="both"/>
        <w:rPr>
          <w:sz w:val="22"/>
        </w:rPr>
      </w:pPr>
      <w:r>
        <w:rPr>
          <w:i/>
          <w:sz w:val="22"/>
        </w:rPr>
        <w:t>Culture</w:t>
      </w:r>
      <w:r>
        <w:rPr>
          <w:i/>
          <w:spacing w:val="-4"/>
          <w:sz w:val="22"/>
        </w:rPr>
        <w:t> </w:t>
      </w:r>
      <w:r>
        <w:rPr>
          <w:i/>
          <w:sz w:val="22"/>
        </w:rPr>
        <w:t>Media</w:t>
      </w:r>
      <w:r>
        <w:rPr>
          <w:i/>
          <w:spacing w:val="-4"/>
          <w:sz w:val="22"/>
        </w:rPr>
        <w:t> </w:t>
      </w:r>
      <w:r>
        <w:rPr>
          <w:i/>
          <w:spacing w:val="-2"/>
          <w:sz w:val="22"/>
        </w:rPr>
        <w:t>Preparation</w:t>
      </w:r>
      <w:r>
        <w:rPr>
          <w:spacing w:val="-2"/>
          <w:sz w:val="22"/>
        </w:rPr>
        <w:t>:</w:t>
      </w:r>
    </w:p>
    <w:p>
      <w:pPr>
        <w:pStyle w:val="BodyText"/>
        <w:spacing w:before="63"/>
      </w:pPr>
    </w:p>
    <w:p>
      <w:pPr>
        <w:pStyle w:val="BodyText"/>
        <w:spacing w:line="360" w:lineRule="auto"/>
        <w:ind w:left="1100" w:right="975" w:firstLine="720"/>
        <w:jc w:val="both"/>
      </w:pPr>
      <w:r>
        <w:rPr/>
        <w:t>The media were prepared according to the manufacturer’s direction, and sterilized</w:t>
      </w:r>
      <w:r>
        <w:rPr>
          <w:spacing w:val="40"/>
        </w:rPr>
        <w:t> </w:t>
      </w:r>
      <w:r>
        <w:rPr/>
        <w:t>at 121 </w:t>
      </w:r>
      <w:r>
        <w:rPr>
          <w:vertAlign w:val="superscript"/>
        </w:rPr>
        <w:t>0</w:t>
      </w:r>
      <w:r>
        <w:rPr>
          <w:vertAlign w:val="baseline"/>
        </w:rPr>
        <w:t>C for 15 minutes. The media were allowed to cool to about 47 </w:t>
      </w:r>
      <w:r>
        <w:rPr>
          <w:vertAlign w:val="superscript"/>
        </w:rPr>
        <w:t>0</w:t>
      </w:r>
      <w:r>
        <w:rPr>
          <w:vertAlign w:val="baseline"/>
        </w:rPr>
        <w:t>C and poured into sterile plates.</w:t>
      </w:r>
    </w:p>
    <w:p>
      <w:pPr>
        <w:spacing w:before="203"/>
        <w:ind w:left="1100" w:right="0" w:firstLine="0"/>
        <w:jc w:val="both"/>
        <w:rPr>
          <w:sz w:val="22"/>
        </w:rPr>
      </w:pPr>
      <w:r>
        <w:rPr>
          <w:i/>
          <w:sz w:val="22"/>
        </w:rPr>
        <w:t>Isolation</w:t>
      </w:r>
      <w:r>
        <w:rPr>
          <w:i/>
          <w:spacing w:val="-6"/>
          <w:sz w:val="22"/>
        </w:rPr>
        <w:t> </w:t>
      </w:r>
      <w:r>
        <w:rPr>
          <w:i/>
          <w:sz w:val="22"/>
        </w:rPr>
        <w:t>and</w:t>
      </w:r>
      <w:r>
        <w:rPr>
          <w:i/>
          <w:spacing w:val="-5"/>
          <w:sz w:val="22"/>
        </w:rPr>
        <w:t> </w:t>
      </w:r>
      <w:r>
        <w:rPr>
          <w:i/>
          <w:sz w:val="22"/>
        </w:rPr>
        <w:t>Purification</w:t>
      </w:r>
      <w:r>
        <w:rPr>
          <w:i/>
          <w:spacing w:val="-5"/>
          <w:sz w:val="22"/>
        </w:rPr>
        <w:t> </w:t>
      </w:r>
      <w:r>
        <w:rPr>
          <w:i/>
          <w:sz w:val="22"/>
        </w:rPr>
        <w:t>of</w:t>
      </w:r>
      <w:r>
        <w:rPr>
          <w:i/>
          <w:spacing w:val="-4"/>
          <w:sz w:val="22"/>
        </w:rPr>
        <w:t> </w:t>
      </w:r>
      <w:r>
        <w:rPr>
          <w:i/>
          <w:spacing w:val="-2"/>
          <w:sz w:val="22"/>
        </w:rPr>
        <w:t>Isolates</w:t>
      </w:r>
      <w:r>
        <w:rPr>
          <w:spacing w:val="-2"/>
          <w:sz w:val="22"/>
        </w:rPr>
        <w:t>:</w:t>
      </w:r>
    </w:p>
    <w:p>
      <w:pPr>
        <w:pStyle w:val="BodyText"/>
        <w:spacing w:before="63"/>
      </w:pPr>
    </w:p>
    <w:p>
      <w:pPr>
        <w:pStyle w:val="BodyText"/>
        <w:spacing w:line="362" w:lineRule="auto"/>
        <w:ind w:left="1100" w:right="980" w:firstLine="720"/>
        <w:jc w:val="both"/>
      </w:pPr>
      <w:r>
        <w:rPr/>
        <w:t>Pure colonies were isolated and inoculated into nutrient broth (5 ml),</w:t>
      </w:r>
      <w:r>
        <w:rPr>
          <w:spacing w:val="-1"/>
        </w:rPr>
        <w:t> </w:t>
      </w:r>
      <w:r>
        <w:rPr/>
        <w:t>and incubated at 37 </w:t>
      </w:r>
      <w:r>
        <w:rPr>
          <w:vertAlign w:val="superscript"/>
        </w:rPr>
        <w:t>0</w:t>
      </w:r>
      <w:r>
        <w:rPr>
          <w:vertAlign w:val="baseline"/>
        </w:rPr>
        <w:t>C for 24 hours.</w:t>
      </w:r>
    </w:p>
    <w:p>
      <w:pPr>
        <w:pStyle w:val="BodyText"/>
        <w:spacing w:line="480" w:lineRule="auto" w:before="195"/>
        <w:ind w:left="1100" w:right="973" w:firstLine="720"/>
        <w:jc w:val="both"/>
      </w:pPr>
      <w:r>
        <w:rPr/>
        <w:t>All organisms used were purified by sequentially streaking a loopful of the resulting overnight broth culture on dried surface of sterile Mannitol salt agar, Blood agar, Chocolate agar, Mac Conkey agar, and Cetrimide agar to give well distinct isolate colonies after incubation at 37 </w:t>
      </w:r>
      <w:r>
        <w:rPr>
          <w:vertAlign w:val="superscript"/>
        </w:rPr>
        <w:t>0</w:t>
      </w:r>
      <w:r>
        <w:rPr>
          <w:vertAlign w:val="baseline"/>
        </w:rPr>
        <w:t>C for 24-48 hrs. The discrete colonies were then picked and inoculated on nutrient agar slants for subsequent use (Stephen </w:t>
      </w:r>
      <w:r>
        <w:rPr>
          <w:i/>
          <w:vertAlign w:val="baseline"/>
        </w:rPr>
        <w:t>et al</w:t>
      </w:r>
      <w:r>
        <w:rPr>
          <w:vertAlign w:val="baseline"/>
        </w:rPr>
        <w:t>., 2004).</w:t>
      </w:r>
    </w:p>
    <w:p>
      <w:pPr>
        <w:spacing w:before="202"/>
        <w:ind w:left="1100" w:right="0" w:firstLine="0"/>
        <w:jc w:val="both"/>
        <w:rPr>
          <w:sz w:val="22"/>
        </w:rPr>
      </w:pPr>
      <w:r>
        <w:rPr>
          <w:i/>
          <w:sz w:val="22"/>
        </w:rPr>
        <w:t>Gram</w:t>
      </w:r>
      <w:r>
        <w:rPr>
          <w:i/>
          <w:spacing w:val="-3"/>
          <w:sz w:val="22"/>
        </w:rPr>
        <w:t> </w:t>
      </w:r>
      <w:r>
        <w:rPr>
          <w:i/>
          <w:spacing w:val="-2"/>
          <w:sz w:val="22"/>
        </w:rPr>
        <w:t>Staining</w:t>
      </w:r>
      <w:r>
        <w:rPr>
          <w:spacing w:val="-2"/>
          <w:sz w:val="22"/>
        </w:rPr>
        <w:t>:</w:t>
      </w:r>
    </w:p>
    <w:p>
      <w:pPr>
        <w:pStyle w:val="BodyText"/>
        <w:spacing w:before="197"/>
      </w:pPr>
    </w:p>
    <w:p>
      <w:pPr>
        <w:pStyle w:val="BodyText"/>
        <w:spacing w:line="482" w:lineRule="auto"/>
        <w:ind w:left="1100" w:right="975"/>
        <w:jc w:val="both"/>
      </w:pPr>
      <w:r>
        <w:rPr/>
        <w:t>The Gram staining was carried out in accordance with the standard method (Cheesbrough, </w:t>
      </w:r>
      <w:r>
        <w:rPr>
          <w:spacing w:val="-2"/>
        </w:rPr>
        <w:t>2010).</w:t>
      </w:r>
    </w:p>
    <w:p>
      <w:pPr>
        <w:pStyle w:val="Heading3"/>
        <w:numPr>
          <w:ilvl w:val="2"/>
          <w:numId w:val="2"/>
        </w:numPr>
        <w:tabs>
          <w:tab w:pos="1081" w:val="left" w:leader="none"/>
        </w:tabs>
        <w:spacing w:line="240" w:lineRule="auto" w:before="198" w:after="0"/>
        <w:ind w:left="1081" w:right="0" w:hanging="701"/>
        <w:jc w:val="left"/>
      </w:pPr>
      <w:r>
        <w:rPr/>
        <w:t>Biochemical</w:t>
      </w:r>
      <w:r>
        <w:rPr>
          <w:spacing w:val="-13"/>
        </w:rPr>
        <w:t> </w:t>
      </w:r>
      <w:r>
        <w:rPr>
          <w:spacing w:val="-4"/>
        </w:rPr>
        <w:t>Tests</w:t>
      </w:r>
    </w:p>
    <w:p>
      <w:pPr>
        <w:pStyle w:val="BodyText"/>
        <w:spacing w:before="197"/>
        <w:rPr>
          <w:b/>
        </w:rPr>
      </w:pPr>
    </w:p>
    <w:p>
      <w:pPr>
        <w:pStyle w:val="ListParagraph"/>
        <w:numPr>
          <w:ilvl w:val="3"/>
          <w:numId w:val="2"/>
        </w:numPr>
        <w:tabs>
          <w:tab w:pos="1098" w:val="left" w:leader="none"/>
        </w:tabs>
        <w:spacing w:line="240" w:lineRule="auto" w:before="0" w:after="0"/>
        <w:ind w:left="1098" w:right="0" w:hanging="718"/>
        <w:jc w:val="left"/>
        <w:rPr>
          <w:i/>
          <w:sz w:val="22"/>
        </w:rPr>
      </w:pPr>
      <w:r>
        <w:rPr>
          <w:i/>
          <w:sz w:val="22"/>
        </w:rPr>
        <w:t>Methyl</w:t>
      </w:r>
      <w:r>
        <w:rPr>
          <w:i/>
          <w:spacing w:val="-7"/>
          <w:sz w:val="22"/>
        </w:rPr>
        <w:t> </w:t>
      </w:r>
      <w:r>
        <w:rPr>
          <w:i/>
          <w:sz w:val="22"/>
        </w:rPr>
        <w:t>Red-Voges</w:t>
      </w:r>
      <w:r>
        <w:rPr>
          <w:i/>
          <w:spacing w:val="-7"/>
          <w:sz w:val="22"/>
        </w:rPr>
        <w:t> </w:t>
      </w:r>
      <w:r>
        <w:rPr>
          <w:i/>
          <w:sz w:val="22"/>
        </w:rPr>
        <w:t>Proskauer</w:t>
      </w:r>
      <w:r>
        <w:rPr>
          <w:i/>
          <w:spacing w:val="-4"/>
          <w:sz w:val="22"/>
        </w:rPr>
        <w:t> Test</w:t>
      </w:r>
    </w:p>
    <w:p>
      <w:pPr>
        <w:pStyle w:val="BodyText"/>
        <w:rPr>
          <w:i/>
        </w:rPr>
      </w:pPr>
    </w:p>
    <w:p>
      <w:pPr>
        <w:pStyle w:val="BodyText"/>
        <w:spacing w:before="94"/>
        <w:rPr>
          <w:i/>
        </w:rPr>
      </w:pPr>
    </w:p>
    <w:p>
      <w:pPr>
        <w:pStyle w:val="BodyText"/>
        <w:spacing w:before="1"/>
        <w:ind w:left="1100"/>
      </w:pPr>
      <w:r>
        <w:rPr>
          <w:spacing w:val="-2"/>
        </w:rPr>
        <w:t>Procedure:</w:t>
      </w:r>
    </w:p>
    <w:p>
      <w:pPr>
        <w:spacing w:after="0"/>
        <w:sectPr>
          <w:pgSz w:w="11910" w:h="16840"/>
          <w:pgMar w:header="0" w:footer="1055" w:top="1380" w:bottom="1240" w:left="1060" w:right="460"/>
        </w:sectPr>
      </w:pPr>
    </w:p>
    <w:p>
      <w:pPr>
        <w:spacing w:line="480" w:lineRule="auto" w:before="73"/>
        <w:ind w:left="1100" w:right="1114" w:firstLine="0"/>
        <w:jc w:val="left"/>
        <w:rPr>
          <w:rFonts w:ascii="Times New Roman"/>
          <w:sz w:val="24"/>
        </w:rPr>
      </w:pPr>
      <w:r>
        <w:rPr>
          <w:rFonts w:ascii="Times New Roman"/>
          <w:sz w:val="24"/>
        </w:rPr>
        <w:t>A</w:t>
      </w:r>
      <w:r>
        <w:rPr>
          <w:rFonts w:ascii="Times New Roman"/>
          <w:spacing w:val="-2"/>
          <w:sz w:val="24"/>
        </w:rPr>
        <w:t> </w:t>
      </w:r>
      <w:r>
        <w:rPr>
          <w:rFonts w:ascii="Times New Roman"/>
          <w:sz w:val="24"/>
        </w:rPr>
        <w:t>colony</w:t>
      </w:r>
      <w:r>
        <w:rPr>
          <w:rFonts w:ascii="Times New Roman"/>
          <w:spacing w:val="-7"/>
          <w:sz w:val="24"/>
        </w:rPr>
        <w:t> </w:t>
      </w:r>
      <w:r>
        <w:rPr>
          <w:rFonts w:ascii="Times New Roman"/>
          <w:sz w:val="24"/>
        </w:rPr>
        <w:t>of</w:t>
      </w:r>
      <w:r>
        <w:rPr>
          <w:rFonts w:ascii="Times New Roman"/>
          <w:spacing w:val="-2"/>
          <w:sz w:val="24"/>
        </w:rPr>
        <w:t> </w:t>
      </w:r>
      <w:r>
        <w:rPr>
          <w:rFonts w:ascii="Times New Roman"/>
          <w:sz w:val="24"/>
        </w:rPr>
        <w:t>the</w:t>
      </w:r>
      <w:r>
        <w:rPr>
          <w:rFonts w:ascii="Times New Roman"/>
          <w:spacing w:val="-4"/>
          <w:sz w:val="24"/>
        </w:rPr>
        <w:t> </w:t>
      </w:r>
      <w:r>
        <w:rPr>
          <w:rFonts w:ascii="Times New Roman"/>
          <w:sz w:val="24"/>
        </w:rPr>
        <w:t>test</w:t>
      </w:r>
      <w:r>
        <w:rPr>
          <w:rFonts w:ascii="Times New Roman"/>
          <w:spacing w:val="-2"/>
          <w:sz w:val="24"/>
        </w:rPr>
        <w:t> </w:t>
      </w:r>
      <w:r>
        <w:rPr>
          <w:rFonts w:ascii="Times New Roman"/>
          <w:sz w:val="24"/>
        </w:rPr>
        <w:t>organism</w:t>
      </w:r>
      <w:r>
        <w:rPr>
          <w:rFonts w:ascii="Times New Roman"/>
          <w:spacing w:val="-2"/>
          <w:sz w:val="24"/>
        </w:rPr>
        <w:t> </w:t>
      </w:r>
      <w:r>
        <w:rPr>
          <w:rFonts w:ascii="Times New Roman"/>
          <w:sz w:val="24"/>
        </w:rPr>
        <w:t>was</w:t>
      </w:r>
      <w:r>
        <w:rPr>
          <w:rFonts w:ascii="Times New Roman"/>
          <w:spacing w:val="-2"/>
          <w:sz w:val="24"/>
        </w:rPr>
        <w:t> </w:t>
      </w:r>
      <w:r>
        <w:rPr>
          <w:rFonts w:ascii="Times New Roman"/>
          <w:sz w:val="24"/>
        </w:rPr>
        <w:t>inoculated</w:t>
      </w:r>
      <w:r>
        <w:rPr>
          <w:rFonts w:ascii="Times New Roman"/>
          <w:spacing w:val="-2"/>
          <w:sz w:val="24"/>
        </w:rPr>
        <w:t> </w:t>
      </w:r>
      <w:r>
        <w:rPr>
          <w:rFonts w:ascii="Times New Roman"/>
          <w:sz w:val="24"/>
        </w:rPr>
        <w:t>into</w:t>
      </w:r>
      <w:r>
        <w:rPr>
          <w:rFonts w:ascii="Times New Roman"/>
          <w:spacing w:val="-2"/>
          <w:sz w:val="24"/>
        </w:rPr>
        <w:t> </w:t>
      </w:r>
      <w:r>
        <w:rPr>
          <w:rFonts w:ascii="Times New Roman"/>
          <w:sz w:val="24"/>
        </w:rPr>
        <w:t>5</w:t>
      </w:r>
      <w:r>
        <w:rPr>
          <w:rFonts w:ascii="Times New Roman"/>
          <w:spacing w:val="-2"/>
          <w:sz w:val="24"/>
        </w:rPr>
        <w:t> </w:t>
      </w:r>
      <w:r>
        <w:rPr>
          <w:rFonts w:ascii="Times New Roman"/>
          <w:sz w:val="24"/>
        </w:rPr>
        <w:t>ml</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MR-VP</w:t>
      </w:r>
      <w:r>
        <w:rPr>
          <w:rFonts w:ascii="Times New Roman"/>
          <w:spacing w:val="-2"/>
          <w:sz w:val="24"/>
        </w:rPr>
        <w:t> </w:t>
      </w:r>
      <w:r>
        <w:rPr>
          <w:rFonts w:ascii="Times New Roman"/>
          <w:sz w:val="24"/>
        </w:rPr>
        <w:t>broth</w:t>
      </w:r>
      <w:r>
        <w:rPr>
          <w:rFonts w:ascii="Times New Roman"/>
          <w:spacing w:val="-2"/>
          <w:sz w:val="24"/>
        </w:rPr>
        <w:t> </w:t>
      </w:r>
      <w:r>
        <w:rPr>
          <w:rFonts w:ascii="Times New Roman"/>
          <w:sz w:val="24"/>
        </w:rPr>
        <w:t>and incubated for 48-72 hours at 37 </w:t>
      </w:r>
      <w:r>
        <w:rPr>
          <w:rFonts w:ascii="Times New Roman"/>
          <w:sz w:val="24"/>
          <w:vertAlign w:val="superscript"/>
        </w:rPr>
        <w:t>0</w:t>
      </w:r>
      <w:r>
        <w:rPr>
          <w:rFonts w:ascii="Times New Roman"/>
          <w:sz w:val="24"/>
          <w:vertAlign w:val="baseline"/>
        </w:rPr>
        <w:t>C.</w:t>
      </w:r>
    </w:p>
    <w:p>
      <w:pPr>
        <w:spacing w:line="480" w:lineRule="auto" w:before="1"/>
        <w:ind w:left="1100" w:right="975" w:firstLine="0"/>
        <w:jc w:val="left"/>
        <w:rPr>
          <w:rFonts w:ascii="Times New Roman"/>
          <w:sz w:val="24"/>
        </w:rPr>
      </w:pPr>
      <w:r>
        <w:rPr>
          <w:rFonts w:ascii="Times New Roman"/>
          <w:sz w:val="24"/>
        </w:rPr>
        <w:t>After</w:t>
      </w:r>
      <w:r>
        <w:rPr>
          <w:rFonts w:ascii="Times New Roman"/>
          <w:spacing w:val="-5"/>
          <w:sz w:val="24"/>
        </w:rPr>
        <w:t> </w:t>
      </w:r>
      <w:r>
        <w:rPr>
          <w:rFonts w:ascii="Times New Roman"/>
          <w:sz w:val="24"/>
        </w:rPr>
        <w:t>this</w:t>
      </w:r>
      <w:r>
        <w:rPr>
          <w:rFonts w:ascii="Times New Roman"/>
          <w:spacing w:val="-3"/>
          <w:sz w:val="24"/>
        </w:rPr>
        <w:t> </w:t>
      </w:r>
      <w:r>
        <w:rPr>
          <w:rFonts w:ascii="Times New Roman"/>
          <w:sz w:val="24"/>
        </w:rPr>
        <w:t>period</w:t>
      </w:r>
      <w:r>
        <w:rPr>
          <w:rFonts w:ascii="Times New Roman"/>
          <w:spacing w:val="-3"/>
          <w:sz w:val="24"/>
        </w:rPr>
        <w:t> </w:t>
      </w:r>
      <w:r>
        <w:rPr>
          <w:rFonts w:ascii="Times New Roman"/>
          <w:sz w:val="24"/>
        </w:rPr>
        <w:t>of</w:t>
      </w:r>
      <w:r>
        <w:rPr>
          <w:rFonts w:ascii="Times New Roman"/>
          <w:spacing w:val="-3"/>
          <w:sz w:val="24"/>
        </w:rPr>
        <w:t> </w:t>
      </w:r>
      <w:r>
        <w:rPr>
          <w:rFonts w:ascii="Times New Roman"/>
          <w:sz w:val="24"/>
        </w:rPr>
        <w:t>incubation,</w:t>
      </w:r>
      <w:r>
        <w:rPr>
          <w:rFonts w:ascii="Times New Roman"/>
          <w:spacing w:val="-3"/>
          <w:sz w:val="24"/>
        </w:rPr>
        <w:t> </w:t>
      </w:r>
      <w:r>
        <w:rPr>
          <w:rFonts w:ascii="Times New Roman"/>
          <w:sz w:val="24"/>
        </w:rPr>
        <w:t>about</w:t>
      </w:r>
      <w:r>
        <w:rPr>
          <w:rFonts w:ascii="Times New Roman"/>
          <w:spacing w:val="-3"/>
          <w:sz w:val="24"/>
        </w:rPr>
        <w:t> </w:t>
      </w:r>
      <w:r>
        <w:rPr>
          <w:rFonts w:ascii="Times New Roman"/>
          <w:sz w:val="24"/>
        </w:rPr>
        <w:t>2</w:t>
      </w:r>
      <w:r>
        <w:rPr>
          <w:rFonts w:ascii="Times New Roman"/>
          <w:spacing w:val="-3"/>
          <w:sz w:val="24"/>
        </w:rPr>
        <w:t> </w:t>
      </w:r>
      <w:r>
        <w:rPr>
          <w:rFonts w:ascii="Times New Roman"/>
          <w:sz w:val="24"/>
        </w:rPr>
        <w:t>ml</w:t>
      </w:r>
      <w:r>
        <w:rPr>
          <w:rFonts w:ascii="Times New Roman"/>
          <w:spacing w:val="-3"/>
          <w:sz w:val="24"/>
        </w:rPr>
        <w:t> </w:t>
      </w:r>
      <w:r>
        <w:rPr>
          <w:rFonts w:ascii="Times New Roman"/>
          <w:sz w:val="24"/>
        </w:rPr>
        <w:t>of</w:t>
      </w:r>
      <w:r>
        <w:rPr>
          <w:rFonts w:ascii="Times New Roman"/>
          <w:spacing w:val="-3"/>
          <w:sz w:val="24"/>
        </w:rPr>
        <w:t> </w:t>
      </w:r>
      <w:r>
        <w:rPr>
          <w:rFonts w:ascii="Times New Roman"/>
          <w:sz w:val="24"/>
        </w:rPr>
        <w:t>the</w:t>
      </w:r>
      <w:r>
        <w:rPr>
          <w:rFonts w:ascii="Times New Roman"/>
          <w:spacing w:val="-4"/>
          <w:sz w:val="24"/>
        </w:rPr>
        <w:t> </w:t>
      </w:r>
      <w:r>
        <w:rPr>
          <w:rFonts w:ascii="Times New Roman"/>
          <w:sz w:val="24"/>
        </w:rPr>
        <w:t>inoculated</w:t>
      </w:r>
      <w:r>
        <w:rPr>
          <w:rFonts w:ascii="Times New Roman"/>
          <w:spacing w:val="-3"/>
          <w:sz w:val="24"/>
        </w:rPr>
        <w:t> </w:t>
      </w:r>
      <w:r>
        <w:rPr>
          <w:rFonts w:ascii="Times New Roman"/>
          <w:sz w:val="24"/>
        </w:rPr>
        <w:t>broth</w:t>
      </w:r>
      <w:r>
        <w:rPr>
          <w:rFonts w:ascii="Times New Roman"/>
          <w:spacing w:val="-3"/>
          <w:sz w:val="24"/>
        </w:rPr>
        <w:t> </w:t>
      </w:r>
      <w:r>
        <w:rPr>
          <w:rFonts w:ascii="Times New Roman"/>
          <w:sz w:val="24"/>
        </w:rPr>
        <w:t>was</w:t>
      </w:r>
      <w:r>
        <w:rPr>
          <w:rFonts w:ascii="Times New Roman"/>
          <w:spacing w:val="-3"/>
          <w:sz w:val="24"/>
        </w:rPr>
        <w:t> </w:t>
      </w:r>
      <w:r>
        <w:rPr>
          <w:rFonts w:ascii="Times New Roman"/>
          <w:sz w:val="24"/>
        </w:rPr>
        <w:t>transferred</w:t>
      </w:r>
      <w:r>
        <w:rPr>
          <w:rFonts w:ascii="Times New Roman"/>
          <w:spacing w:val="-3"/>
          <w:sz w:val="24"/>
        </w:rPr>
        <w:t> </w:t>
      </w:r>
      <w:r>
        <w:rPr>
          <w:rFonts w:ascii="Times New Roman"/>
          <w:sz w:val="24"/>
        </w:rPr>
        <w:t>to</w:t>
      </w:r>
      <w:r>
        <w:rPr>
          <w:rFonts w:ascii="Times New Roman"/>
          <w:spacing w:val="-3"/>
          <w:sz w:val="24"/>
        </w:rPr>
        <w:t> </w:t>
      </w:r>
      <w:r>
        <w:rPr>
          <w:rFonts w:ascii="Times New Roman"/>
          <w:sz w:val="24"/>
        </w:rPr>
        <w:t>a sterile test tube.</w:t>
      </w:r>
    </w:p>
    <w:p>
      <w:pPr>
        <w:spacing w:before="0"/>
        <w:ind w:left="1100" w:right="0" w:firstLine="0"/>
        <w:jc w:val="left"/>
        <w:rPr>
          <w:rFonts w:ascii="Times New Roman"/>
          <w:sz w:val="24"/>
        </w:rPr>
      </w:pPr>
      <w:r>
        <w:rPr>
          <w:rFonts w:ascii="Times New Roman"/>
          <w:sz w:val="24"/>
        </w:rPr>
        <w:t>To</w:t>
      </w:r>
      <w:r>
        <w:rPr>
          <w:rFonts w:ascii="Times New Roman"/>
          <w:spacing w:val="-2"/>
          <w:sz w:val="24"/>
        </w:rPr>
        <w:t> </w:t>
      </w:r>
      <w:r>
        <w:rPr>
          <w:rFonts w:ascii="Times New Roman"/>
          <w:sz w:val="24"/>
        </w:rPr>
        <w:t>this</w:t>
      </w:r>
      <w:r>
        <w:rPr>
          <w:rFonts w:ascii="Times New Roman"/>
          <w:spacing w:val="-1"/>
          <w:sz w:val="24"/>
        </w:rPr>
        <w:t> </w:t>
      </w:r>
      <w:r>
        <w:rPr>
          <w:rFonts w:ascii="Times New Roman"/>
          <w:sz w:val="24"/>
        </w:rPr>
        <w:t>small</w:t>
      </w:r>
      <w:r>
        <w:rPr>
          <w:rFonts w:ascii="Times New Roman"/>
          <w:spacing w:val="-1"/>
          <w:sz w:val="24"/>
        </w:rPr>
        <w:t> </w:t>
      </w:r>
      <w:r>
        <w:rPr>
          <w:rFonts w:ascii="Times New Roman"/>
          <w:sz w:val="24"/>
        </w:rPr>
        <w:t>quantity,</w:t>
      </w:r>
      <w:r>
        <w:rPr>
          <w:rFonts w:ascii="Times New Roman"/>
          <w:spacing w:val="-1"/>
          <w:sz w:val="24"/>
        </w:rPr>
        <w:t> </w:t>
      </w:r>
      <w:r>
        <w:rPr>
          <w:rFonts w:ascii="Times New Roman"/>
          <w:sz w:val="24"/>
        </w:rPr>
        <w:t>2-3</w:t>
      </w:r>
      <w:r>
        <w:rPr>
          <w:rFonts w:ascii="Times New Roman"/>
          <w:spacing w:val="-1"/>
          <w:sz w:val="24"/>
        </w:rPr>
        <w:t> </w:t>
      </w:r>
      <w:r>
        <w:rPr>
          <w:rFonts w:ascii="Times New Roman"/>
          <w:sz w:val="24"/>
        </w:rPr>
        <w:t>drops</w:t>
      </w:r>
      <w:r>
        <w:rPr>
          <w:rFonts w:ascii="Times New Roman"/>
          <w:spacing w:val="-1"/>
          <w:sz w:val="24"/>
        </w:rPr>
        <w:t> </w:t>
      </w:r>
      <w:r>
        <w:rPr>
          <w:rFonts w:ascii="Times New Roman"/>
          <w:sz w:val="24"/>
        </w:rPr>
        <w:t>of</w:t>
      </w:r>
      <w:r>
        <w:rPr>
          <w:rFonts w:ascii="Times New Roman"/>
          <w:spacing w:val="-1"/>
          <w:sz w:val="24"/>
        </w:rPr>
        <w:t> </w:t>
      </w:r>
      <w:r>
        <w:rPr>
          <w:rFonts w:ascii="Times New Roman"/>
          <w:sz w:val="24"/>
        </w:rPr>
        <w:t>methyl</w:t>
      </w:r>
      <w:r>
        <w:rPr>
          <w:rFonts w:ascii="Times New Roman"/>
          <w:spacing w:val="1"/>
          <w:sz w:val="24"/>
        </w:rPr>
        <w:t> </w:t>
      </w:r>
      <w:r>
        <w:rPr>
          <w:rFonts w:ascii="Times New Roman"/>
          <w:sz w:val="24"/>
        </w:rPr>
        <w:t>red</w:t>
      </w:r>
      <w:r>
        <w:rPr>
          <w:rFonts w:ascii="Times New Roman"/>
          <w:spacing w:val="-1"/>
          <w:sz w:val="24"/>
        </w:rPr>
        <w:t> </w:t>
      </w:r>
      <w:r>
        <w:rPr>
          <w:rFonts w:ascii="Times New Roman"/>
          <w:sz w:val="24"/>
        </w:rPr>
        <w:t>was</w:t>
      </w:r>
      <w:r>
        <w:rPr>
          <w:rFonts w:ascii="Times New Roman"/>
          <w:spacing w:val="-1"/>
          <w:sz w:val="24"/>
        </w:rPr>
        <w:t> </w:t>
      </w:r>
      <w:r>
        <w:rPr>
          <w:rFonts w:ascii="Times New Roman"/>
          <w:spacing w:val="-2"/>
          <w:sz w:val="24"/>
        </w:rPr>
        <w:t>added.</w:t>
      </w:r>
    </w:p>
    <w:p>
      <w:pPr>
        <w:pStyle w:val="BodyText"/>
        <w:rPr>
          <w:rFonts w:ascii="Times New Roman"/>
          <w:sz w:val="24"/>
        </w:rPr>
      </w:pPr>
    </w:p>
    <w:p>
      <w:pPr>
        <w:spacing w:line="480" w:lineRule="auto" w:before="0"/>
        <w:ind w:left="1100" w:right="975" w:firstLine="0"/>
        <w:jc w:val="left"/>
        <w:rPr>
          <w:rFonts w:ascii="Times New Roman"/>
          <w:sz w:val="24"/>
        </w:rPr>
      </w:pPr>
      <w:r>
        <w:rPr>
          <w:rFonts w:ascii="Times New Roman"/>
          <w:sz w:val="24"/>
        </w:rPr>
        <w:t>Development</w:t>
      </w:r>
      <w:r>
        <w:rPr>
          <w:rFonts w:ascii="Times New Roman"/>
          <w:spacing w:val="-4"/>
          <w:sz w:val="24"/>
        </w:rPr>
        <w:t> </w:t>
      </w:r>
      <w:r>
        <w:rPr>
          <w:rFonts w:ascii="Times New Roman"/>
          <w:sz w:val="24"/>
        </w:rPr>
        <w:t>of</w:t>
      </w:r>
      <w:r>
        <w:rPr>
          <w:rFonts w:ascii="Times New Roman"/>
          <w:spacing w:val="-4"/>
          <w:sz w:val="24"/>
        </w:rPr>
        <w:t> </w:t>
      </w:r>
      <w:r>
        <w:rPr>
          <w:rFonts w:ascii="Times New Roman"/>
          <w:sz w:val="24"/>
        </w:rPr>
        <w:t>a</w:t>
      </w:r>
      <w:r>
        <w:rPr>
          <w:rFonts w:ascii="Times New Roman"/>
          <w:spacing w:val="-4"/>
          <w:sz w:val="24"/>
        </w:rPr>
        <w:t> </w:t>
      </w:r>
      <w:r>
        <w:rPr>
          <w:rFonts w:ascii="Times New Roman"/>
          <w:sz w:val="24"/>
        </w:rPr>
        <w:t>red</w:t>
      </w:r>
      <w:r>
        <w:rPr>
          <w:rFonts w:ascii="Times New Roman"/>
          <w:spacing w:val="-2"/>
          <w:sz w:val="24"/>
        </w:rPr>
        <w:t> </w:t>
      </w:r>
      <w:r>
        <w:rPr>
          <w:rFonts w:ascii="Times New Roman"/>
          <w:sz w:val="24"/>
        </w:rPr>
        <w:t>colour</w:t>
      </w:r>
      <w:r>
        <w:rPr>
          <w:rFonts w:ascii="Times New Roman"/>
          <w:spacing w:val="-4"/>
          <w:sz w:val="24"/>
        </w:rPr>
        <w:t> </w:t>
      </w:r>
      <w:r>
        <w:rPr>
          <w:rFonts w:ascii="Times New Roman"/>
          <w:sz w:val="24"/>
        </w:rPr>
        <w:t>on</w:t>
      </w:r>
      <w:r>
        <w:rPr>
          <w:rFonts w:ascii="Times New Roman"/>
          <w:spacing w:val="-4"/>
          <w:sz w:val="24"/>
        </w:rPr>
        <w:t> </w:t>
      </w:r>
      <w:r>
        <w:rPr>
          <w:rFonts w:ascii="Times New Roman"/>
          <w:sz w:val="24"/>
        </w:rPr>
        <w:t>the</w:t>
      </w:r>
      <w:r>
        <w:rPr>
          <w:rFonts w:ascii="Times New Roman"/>
          <w:spacing w:val="-5"/>
          <w:sz w:val="24"/>
        </w:rPr>
        <w:t> </w:t>
      </w:r>
      <w:r>
        <w:rPr>
          <w:rFonts w:ascii="Times New Roman"/>
          <w:sz w:val="24"/>
        </w:rPr>
        <w:t>addition</w:t>
      </w:r>
      <w:r>
        <w:rPr>
          <w:rFonts w:ascii="Times New Roman"/>
          <w:spacing w:val="-4"/>
          <w:sz w:val="24"/>
        </w:rPr>
        <w:t> </w:t>
      </w:r>
      <w:r>
        <w:rPr>
          <w:rFonts w:ascii="Times New Roman"/>
          <w:sz w:val="24"/>
        </w:rPr>
        <w:t>of</w:t>
      </w:r>
      <w:r>
        <w:rPr>
          <w:rFonts w:ascii="Times New Roman"/>
          <w:spacing w:val="-4"/>
          <w:sz w:val="24"/>
        </w:rPr>
        <w:t> </w:t>
      </w:r>
      <w:r>
        <w:rPr>
          <w:rFonts w:ascii="Times New Roman"/>
          <w:sz w:val="24"/>
        </w:rPr>
        <w:t>the</w:t>
      </w:r>
      <w:r>
        <w:rPr>
          <w:rFonts w:ascii="Times New Roman"/>
          <w:spacing w:val="-3"/>
          <w:sz w:val="24"/>
        </w:rPr>
        <w:t> </w:t>
      </w:r>
      <w:r>
        <w:rPr>
          <w:rFonts w:ascii="Times New Roman"/>
          <w:sz w:val="24"/>
        </w:rPr>
        <w:t>indicator</w:t>
      </w:r>
      <w:r>
        <w:rPr>
          <w:rFonts w:ascii="Times New Roman"/>
          <w:spacing w:val="-4"/>
          <w:sz w:val="24"/>
        </w:rPr>
        <w:t> </w:t>
      </w:r>
      <w:r>
        <w:rPr>
          <w:rFonts w:ascii="Times New Roman"/>
          <w:sz w:val="24"/>
        </w:rPr>
        <w:t>signified</w:t>
      </w:r>
      <w:r>
        <w:rPr>
          <w:rFonts w:ascii="Times New Roman"/>
          <w:spacing w:val="-4"/>
          <w:sz w:val="24"/>
        </w:rPr>
        <w:t> </w:t>
      </w:r>
      <w:r>
        <w:rPr>
          <w:rFonts w:ascii="Times New Roman"/>
          <w:sz w:val="24"/>
        </w:rPr>
        <w:t>positive</w:t>
      </w:r>
      <w:r>
        <w:rPr>
          <w:rFonts w:ascii="Times New Roman"/>
          <w:spacing w:val="-5"/>
          <w:sz w:val="24"/>
        </w:rPr>
        <w:t> </w:t>
      </w:r>
      <w:r>
        <w:rPr>
          <w:rFonts w:ascii="Times New Roman"/>
          <w:sz w:val="24"/>
        </w:rPr>
        <w:t>methyl red test.</w:t>
      </w:r>
    </w:p>
    <w:p>
      <w:pPr>
        <w:spacing w:before="1"/>
        <w:ind w:left="1100" w:right="0" w:firstLine="0"/>
        <w:jc w:val="left"/>
        <w:rPr>
          <w:rFonts w:ascii="Times New Roman"/>
          <w:sz w:val="24"/>
        </w:rPr>
      </w:pPr>
      <w:r>
        <w:rPr>
          <w:rFonts w:ascii="Times New Roman"/>
          <w:sz w:val="24"/>
        </w:rPr>
        <w:t>A</w:t>
      </w:r>
      <w:r>
        <w:rPr>
          <w:rFonts w:ascii="Times New Roman"/>
          <w:spacing w:val="-3"/>
          <w:sz w:val="24"/>
        </w:rPr>
        <w:t> </w:t>
      </w:r>
      <w:r>
        <w:rPr>
          <w:rFonts w:ascii="Times New Roman"/>
          <w:sz w:val="24"/>
        </w:rPr>
        <w:t>yellow</w:t>
      </w:r>
      <w:r>
        <w:rPr>
          <w:rFonts w:ascii="Times New Roman"/>
          <w:spacing w:val="-1"/>
          <w:sz w:val="24"/>
        </w:rPr>
        <w:t> </w:t>
      </w:r>
      <w:r>
        <w:rPr>
          <w:rFonts w:ascii="Times New Roman"/>
          <w:sz w:val="24"/>
        </w:rPr>
        <w:t>colour</w:t>
      </w:r>
      <w:r>
        <w:rPr>
          <w:rFonts w:ascii="Times New Roman"/>
          <w:spacing w:val="-2"/>
          <w:sz w:val="24"/>
        </w:rPr>
        <w:t> </w:t>
      </w:r>
      <w:r>
        <w:rPr>
          <w:rFonts w:ascii="Times New Roman"/>
          <w:sz w:val="24"/>
        </w:rPr>
        <w:t>signified</w:t>
      </w:r>
      <w:r>
        <w:rPr>
          <w:rFonts w:ascii="Times New Roman"/>
          <w:spacing w:val="-1"/>
          <w:sz w:val="24"/>
        </w:rPr>
        <w:t> </w:t>
      </w:r>
      <w:r>
        <w:rPr>
          <w:rFonts w:ascii="Times New Roman"/>
          <w:sz w:val="24"/>
        </w:rPr>
        <w:t>a</w:t>
      </w:r>
      <w:r>
        <w:rPr>
          <w:rFonts w:ascii="Times New Roman"/>
          <w:spacing w:val="-3"/>
          <w:sz w:val="24"/>
        </w:rPr>
        <w:t> </w:t>
      </w:r>
      <w:r>
        <w:rPr>
          <w:rFonts w:ascii="Times New Roman"/>
          <w:sz w:val="24"/>
        </w:rPr>
        <w:t>negative</w:t>
      </w:r>
      <w:r>
        <w:rPr>
          <w:rFonts w:ascii="Times New Roman"/>
          <w:spacing w:val="-2"/>
          <w:sz w:val="24"/>
        </w:rPr>
        <w:t> test.</w:t>
      </w:r>
    </w:p>
    <w:p>
      <w:pPr>
        <w:spacing w:line="480" w:lineRule="auto" w:before="276"/>
        <w:ind w:left="1100" w:right="975" w:firstLine="0"/>
        <w:jc w:val="left"/>
        <w:rPr>
          <w:rFonts w:ascii="Times New Roman" w:hAnsi="Times New Roman"/>
          <w:sz w:val="24"/>
        </w:rPr>
      </w:pPr>
      <w:r>
        <w:rPr>
          <w:rFonts w:ascii="Times New Roman" w:hAnsi="Times New Roman"/>
          <w:sz w:val="24"/>
        </w:rPr>
        <w:t>To</w:t>
      </w:r>
      <w:r>
        <w:rPr>
          <w:rFonts w:ascii="Times New Roman" w:hAnsi="Times New Roman"/>
          <w:spacing w:val="-3"/>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rest</w:t>
      </w:r>
      <w:r>
        <w:rPr>
          <w:rFonts w:ascii="Times New Roman" w:hAnsi="Times New Roman"/>
          <w:spacing w:val="-3"/>
          <w:sz w:val="24"/>
        </w:rPr>
        <w:t> </w:t>
      </w:r>
      <w:r>
        <w:rPr>
          <w:rFonts w:ascii="Times New Roman" w:hAnsi="Times New Roman"/>
          <w:sz w:val="24"/>
        </w:rPr>
        <w:t>of</w:t>
      </w:r>
      <w:r>
        <w:rPr>
          <w:rFonts w:ascii="Times New Roman" w:hAnsi="Times New Roman"/>
          <w:spacing w:val="-3"/>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inoculated</w:t>
      </w:r>
      <w:r>
        <w:rPr>
          <w:rFonts w:ascii="Times New Roman" w:hAnsi="Times New Roman"/>
          <w:spacing w:val="-3"/>
          <w:sz w:val="24"/>
        </w:rPr>
        <w:t> </w:t>
      </w:r>
      <w:r>
        <w:rPr>
          <w:rFonts w:ascii="Times New Roman" w:hAnsi="Times New Roman"/>
          <w:sz w:val="24"/>
        </w:rPr>
        <w:t>broth</w:t>
      </w:r>
      <w:r>
        <w:rPr>
          <w:rFonts w:ascii="Times New Roman" w:hAnsi="Times New Roman"/>
          <w:spacing w:val="-3"/>
          <w:sz w:val="24"/>
        </w:rPr>
        <w:t> </w:t>
      </w:r>
      <w:r>
        <w:rPr>
          <w:rFonts w:ascii="Times New Roman" w:hAnsi="Times New Roman"/>
          <w:sz w:val="24"/>
        </w:rPr>
        <w:t>in</w:t>
      </w:r>
      <w:r>
        <w:rPr>
          <w:rFonts w:ascii="Times New Roman" w:hAnsi="Times New Roman"/>
          <w:spacing w:val="-3"/>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original</w:t>
      </w:r>
      <w:r>
        <w:rPr>
          <w:rFonts w:ascii="Times New Roman" w:hAnsi="Times New Roman"/>
          <w:spacing w:val="-3"/>
          <w:sz w:val="24"/>
        </w:rPr>
        <w:t> </w:t>
      </w:r>
      <w:r>
        <w:rPr>
          <w:rFonts w:ascii="Times New Roman" w:hAnsi="Times New Roman"/>
          <w:sz w:val="24"/>
        </w:rPr>
        <w:t>test</w:t>
      </w:r>
      <w:r>
        <w:rPr>
          <w:rFonts w:ascii="Times New Roman" w:hAnsi="Times New Roman"/>
          <w:spacing w:val="-3"/>
          <w:sz w:val="24"/>
        </w:rPr>
        <w:t> </w:t>
      </w:r>
      <w:r>
        <w:rPr>
          <w:rFonts w:ascii="Times New Roman" w:hAnsi="Times New Roman"/>
          <w:sz w:val="24"/>
        </w:rPr>
        <w:t>tube,</w:t>
      </w:r>
      <w:r>
        <w:rPr>
          <w:rFonts w:ascii="Times New Roman" w:hAnsi="Times New Roman"/>
          <w:spacing w:val="-3"/>
          <w:sz w:val="24"/>
        </w:rPr>
        <w:t> </w:t>
      </w:r>
      <w:r>
        <w:rPr>
          <w:rFonts w:ascii="Times New Roman" w:hAnsi="Times New Roman"/>
          <w:sz w:val="24"/>
        </w:rPr>
        <w:t>3</w:t>
      </w:r>
      <w:r>
        <w:rPr>
          <w:rFonts w:ascii="Times New Roman" w:hAnsi="Times New Roman"/>
          <w:spacing w:val="-3"/>
          <w:sz w:val="24"/>
        </w:rPr>
        <w:t> </w:t>
      </w:r>
      <w:r>
        <w:rPr>
          <w:rFonts w:ascii="Times New Roman" w:hAnsi="Times New Roman"/>
          <w:sz w:val="24"/>
        </w:rPr>
        <w:t>drops</w:t>
      </w:r>
      <w:r>
        <w:rPr>
          <w:rFonts w:ascii="Times New Roman" w:hAnsi="Times New Roman"/>
          <w:spacing w:val="-3"/>
          <w:sz w:val="24"/>
        </w:rPr>
        <w:t> </w:t>
      </w:r>
      <w:r>
        <w:rPr>
          <w:rFonts w:ascii="Times New Roman" w:hAnsi="Times New Roman"/>
          <w:sz w:val="24"/>
        </w:rPr>
        <w:t>of</w:t>
      </w:r>
      <w:r>
        <w:rPr>
          <w:rFonts w:ascii="Times New Roman" w:hAnsi="Times New Roman"/>
          <w:spacing w:val="-3"/>
          <w:sz w:val="24"/>
        </w:rPr>
        <w:t> </w:t>
      </w:r>
      <w:r>
        <w:rPr>
          <w:rFonts w:ascii="Times New Roman" w:hAnsi="Times New Roman"/>
          <w:sz w:val="24"/>
        </w:rPr>
        <w:t>5 %</w:t>
      </w:r>
      <w:r>
        <w:rPr>
          <w:rFonts w:ascii="Times New Roman" w:hAnsi="Times New Roman"/>
          <w:spacing w:val="-2"/>
          <w:sz w:val="24"/>
        </w:rPr>
        <w:t> </w:t>
      </w:r>
      <w:r>
        <w:rPr>
          <w:rFonts w:ascii="Times New Roman" w:hAnsi="Times New Roman"/>
          <w:sz w:val="24"/>
        </w:rPr>
        <w:t>α-Naphthol reagent was added, followed by 40 % KOH and shaken vigorously losing the cap of the test tube and placed in a sloping position.</w:t>
      </w:r>
    </w:p>
    <w:p>
      <w:pPr>
        <w:spacing w:line="480" w:lineRule="auto" w:before="0"/>
        <w:ind w:left="1100" w:right="975" w:firstLine="0"/>
        <w:jc w:val="left"/>
        <w:rPr>
          <w:rFonts w:ascii="Times New Roman"/>
          <w:sz w:val="24"/>
        </w:rPr>
      </w:pPr>
      <w:r>
        <w:rPr>
          <w:rFonts w:ascii="Times New Roman"/>
          <w:sz w:val="24"/>
        </w:rPr>
        <w:t>The</w:t>
      </w:r>
      <w:r>
        <w:rPr>
          <w:rFonts w:ascii="Times New Roman"/>
          <w:spacing w:val="-5"/>
          <w:sz w:val="24"/>
        </w:rPr>
        <w:t> </w:t>
      </w:r>
      <w:r>
        <w:rPr>
          <w:rFonts w:ascii="Times New Roman"/>
          <w:sz w:val="24"/>
        </w:rPr>
        <w:t>development</w:t>
      </w:r>
      <w:r>
        <w:rPr>
          <w:rFonts w:ascii="Times New Roman"/>
          <w:spacing w:val="-3"/>
          <w:sz w:val="24"/>
        </w:rPr>
        <w:t> </w:t>
      </w:r>
      <w:r>
        <w:rPr>
          <w:rFonts w:ascii="Times New Roman"/>
          <w:sz w:val="24"/>
        </w:rPr>
        <w:t>of</w:t>
      </w:r>
      <w:r>
        <w:rPr>
          <w:rFonts w:ascii="Times New Roman"/>
          <w:spacing w:val="-2"/>
          <w:sz w:val="24"/>
        </w:rPr>
        <w:t> </w:t>
      </w:r>
      <w:r>
        <w:rPr>
          <w:rFonts w:ascii="Times New Roman"/>
          <w:sz w:val="24"/>
        </w:rPr>
        <w:t>red</w:t>
      </w:r>
      <w:r>
        <w:rPr>
          <w:rFonts w:ascii="Times New Roman"/>
          <w:spacing w:val="-1"/>
          <w:sz w:val="24"/>
        </w:rPr>
        <w:t> </w:t>
      </w:r>
      <w:r>
        <w:rPr>
          <w:rFonts w:ascii="Times New Roman"/>
          <w:sz w:val="24"/>
        </w:rPr>
        <w:t>colour</w:t>
      </w:r>
      <w:r>
        <w:rPr>
          <w:rFonts w:ascii="Times New Roman"/>
          <w:spacing w:val="-3"/>
          <w:sz w:val="24"/>
        </w:rPr>
        <w:t> </w:t>
      </w:r>
      <w:r>
        <w:rPr>
          <w:rFonts w:ascii="Times New Roman"/>
          <w:sz w:val="24"/>
        </w:rPr>
        <w:t>starting</w:t>
      </w:r>
      <w:r>
        <w:rPr>
          <w:rFonts w:ascii="Times New Roman"/>
          <w:spacing w:val="-4"/>
          <w:sz w:val="24"/>
        </w:rPr>
        <w:t> </w:t>
      </w:r>
      <w:r>
        <w:rPr>
          <w:rFonts w:ascii="Times New Roman"/>
          <w:sz w:val="24"/>
        </w:rPr>
        <w:t>from</w:t>
      </w:r>
      <w:r>
        <w:rPr>
          <w:rFonts w:ascii="Times New Roman"/>
          <w:spacing w:val="-3"/>
          <w:sz w:val="24"/>
        </w:rPr>
        <w:t> </w:t>
      </w:r>
      <w:r>
        <w:rPr>
          <w:rFonts w:ascii="Times New Roman"/>
          <w:sz w:val="24"/>
        </w:rPr>
        <w:t>the</w:t>
      </w:r>
      <w:r>
        <w:rPr>
          <w:rFonts w:ascii="Times New Roman"/>
          <w:spacing w:val="-4"/>
          <w:sz w:val="24"/>
        </w:rPr>
        <w:t> </w:t>
      </w:r>
      <w:r>
        <w:rPr>
          <w:rFonts w:ascii="Times New Roman"/>
          <w:sz w:val="24"/>
        </w:rPr>
        <w:t>liquid</w:t>
      </w:r>
      <w:r>
        <w:rPr>
          <w:rFonts w:ascii="Times New Roman"/>
          <w:spacing w:val="-3"/>
          <w:sz w:val="24"/>
        </w:rPr>
        <w:t> </w:t>
      </w:r>
      <w:r>
        <w:rPr>
          <w:rFonts w:ascii="Times New Roman"/>
          <w:sz w:val="24"/>
        </w:rPr>
        <w:t>air</w:t>
      </w:r>
      <w:r>
        <w:rPr>
          <w:rFonts w:ascii="Times New Roman"/>
          <w:spacing w:val="-3"/>
          <w:sz w:val="24"/>
        </w:rPr>
        <w:t> </w:t>
      </w:r>
      <w:r>
        <w:rPr>
          <w:rFonts w:ascii="Times New Roman"/>
          <w:sz w:val="24"/>
        </w:rPr>
        <w:t>interphase</w:t>
      </w:r>
      <w:r>
        <w:rPr>
          <w:rFonts w:ascii="Times New Roman"/>
          <w:spacing w:val="-4"/>
          <w:sz w:val="24"/>
        </w:rPr>
        <w:t> </w:t>
      </w:r>
      <w:r>
        <w:rPr>
          <w:rFonts w:ascii="Times New Roman"/>
          <w:sz w:val="24"/>
        </w:rPr>
        <w:t>within</w:t>
      </w:r>
      <w:r>
        <w:rPr>
          <w:rFonts w:ascii="Times New Roman"/>
          <w:spacing w:val="-3"/>
          <w:sz w:val="24"/>
        </w:rPr>
        <w:t> </w:t>
      </w:r>
      <w:r>
        <w:rPr>
          <w:rFonts w:ascii="Times New Roman"/>
          <w:sz w:val="24"/>
        </w:rPr>
        <w:t>1hour indicated a VP positive test.</w:t>
      </w:r>
    </w:p>
    <w:p>
      <w:pPr>
        <w:spacing w:before="3"/>
        <w:ind w:left="1100" w:right="0" w:firstLine="0"/>
        <w:jc w:val="left"/>
        <w:rPr>
          <w:rFonts w:ascii="Times New Roman"/>
          <w:sz w:val="24"/>
        </w:rPr>
      </w:pPr>
      <w:r>
        <w:rPr>
          <w:rFonts w:ascii="Times New Roman"/>
          <w:sz w:val="24"/>
        </w:rPr>
        <w:t>No</w:t>
      </w:r>
      <w:r>
        <w:rPr>
          <w:rFonts w:ascii="Times New Roman"/>
          <w:spacing w:val="-3"/>
          <w:sz w:val="24"/>
        </w:rPr>
        <w:t> </w:t>
      </w:r>
      <w:r>
        <w:rPr>
          <w:rFonts w:ascii="Times New Roman"/>
          <w:sz w:val="24"/>
        </w:rPr>
        <w:t>colour</w:t>
      </w:r>
      <w:r>
        <w:rPr>
          <w:rFonts w:ascii="Times New Roman"/>
          <w:spacing w:val="-1"/>
          <w:sz w:val="24"/>
        </w:rPr>
        <w:t> </w:t>
      </w:r>
      <w:r>
        <w:rPr>
          <w:rFonts w:ascii="Times New Roman"/>
          <w:sz w:val="24"/>
        </w:rPr>
        <w:t>change</w:t>
      </w:r>
      <w:r>
        <w:rPr>
          <w:rFonts w:ascii="Times New Roman"/>
          <w:spacing w:val="-3"/>
          <w:sz w:val="24"/>
        </w:rPr>
        <w:t> </w:t>
      </w:r>
      <w:r>
        <w:rPr>
          <w:rFonts w:ascii="Times New Roman"/>
          <w:sz w:val="24"/>
        </w:rPr>
        <w:t>occurs</w:t>
      </w:r>
      <w:r>
        <w:rPr>
          <w:rFonts w:ascii="Times New Roman"/>
          <w:spacing w:val="1"/>
          <w:sz w:val="24"/>
        </w:rPr>
        <w:t> </w:t>
      </w:r>
      <w:r>
        <w:rPr>
          <w:rFonts w:ascii="Times New Roman"/>
          <w:sz w:val="24"/>
        </w:rPr>
        <w:t>signified</w:t>
      </w:r>
      <w:r>
        <w:rPr>
          <w:rFonts w:ascii="Times New Roman"/>
          <w:spacing w:val="-1"/>
          <w:sz w:val="24"/>
        </w:rPr>
        <w:t> </w:t>
      </w:r>
      <w:r>
        <w:rPr>
          <w:rFonts w:ascii="Times New Roman"/>
          <w:sz w:val="24"/>
        </w:rPr>
        <w:t>a</w:t>
      </w:r>
      <w:r>
        <w:rPr>
          <w:rFonts w:ascii="Times New Roman"/>
          <w:spacing w:val="-1"/>
          <w:sz w:val="24"/>
        </w:rPr>
        <w:t> </w:t>
      </w:r>
      <w:r>
        <w:rPr>
          <w:rFonts w:ascii="Times New Roman"/>
          <w:sz w:val="24"/>
        </w:rPr>
        <w:t>VP</w:t>
      </w:r>
      <w:r>
        <w:rPr>
          <w:rFonts w:ascii="Times New Roman"/>
          <w:spacing w:val="-1"/>
          <w:sz w:val="24"/>
        </w:rPr>
        <w:t> </w:t>
      </w:r>
      <w:r>
        <w:rPr>
          <w:rFonts w:ascii="Times New Roman"/>
          <w:sz w:val="24"/>
        </w:rPr>
        <w:t>negative</w:t>
      </w:r>
      <w:r>
        <w:rPr>
          <w:rFonts w:ascii="Times New Roman"/>
          <w:spacing w:val="-2"/>
          <w:sz w:val="24"/>
        </w:rPr>
        <w:t> test.</w:t>
      </w:r>
    </w:p>
    <w:p>
      <w:pPr>
        <w:pStyle w:val="BodyText"/>
        <w:spacing w:before="201"/>
        <w:rPr>
          <w:rFonts w:ascii="Times New Roman"/>
          <w:sz w:val="24"/>
        </w:rPr>
      </w:pPr>
    </w:p>
    <w:p>
      <w:pPr>
        <w:pStyle w:val="ListParagraph"/>
        <w:numPr>
          <w:ilvl w:val="3"/>
          <w:numId w:val="2"/>
        </w:numPr>
        <w:tabs>
          <w:tab w:pos="1041" w:val="left" w:leader="none"/>
        </w:tabs>
        <w:spacing w:line="240" w:lineRule="auto" w:before="0" w:after="0"/>
        <w:ind w:left="1041" w:right="0" w:hanging="661"/>
        <w:jc w:val="left"/>
        <w:rPr>
          <w:i/>
          <w:sz w:val="22"/>
        </w:rPr>
      </w:pPr>
      <w:r>
        <w:rPr>
          <w:i/>
          <w:sz w:val="22"/>
        </w:rPr>
        <w:t>Indole</w:t>
      </w:r>
      <w:r>
        <w:rPr>
          <w:i/>
          <w:spacing w:val="-7"/>
          <w:sz w:val="22"/>
        </w:rPr>
        <w:t> </w:t>
      </w:r>
      <w:r>
        <w:rPr>
          <w:i/>
          <w:spacing w:val="-4"/>
          <w:sz w:val="22"/>
        </w:rPr>
        <w:t>Test</w:t>
      </w:r>
    </w:p>
    <w:p>
      <w:pPr>
        <w:pStyle w:val="BodyText"/>
        <w:rPr>
          <w:i/>
        </w:rPr>
      </w:pPr>
    </w:p>
    <w:p>
      <w:pPr>
        <w:pStyle w:val="BodyText"/>
        <w:spacing w:before="92"/>
        <w:rPr>
          <w:i/>
        </w:rPr>
      </w:pPr>
    </w:p>
    <w:p>
      <w:pPr>
        <w:spacing w:before="0"/>
        <w:ind w:left="1131" w:right="0" w:firstLine="0"/>
        <w:jc w:val="left"/>
        <w:rPr>
          <w:rFonts w:ascii="Times New Roman"/>
          <w:sz w:val="24"/>
        </w:rPr>
      </w:pPr>
      <w:r>
        <w:rPr>
          <w:rFonts w:ascii="Times New Roman"/>
          <w:spacing w:val="-2"/>
          <w:sz w:val="24"/>
        </w:rPr>
        <w:t>Procedure:</w:t>
      </w:r>
    </w:p>
    <w:p>
      <w:pPr>
        <w:pStyle w:val="BodyText"/>
        <w:spacing w:before="79"/>
        <w:rPr>
          <w:rFonts w:ascii="Times New Roman"/>
          <w:sz w:val="24"/>
        </w:rPr>
      </w:pPr>
    </w:p>
    <w:p>
      <w:pPr>
        <w:spacing w:before="0"/>
        <w:ind w:left="1131" w:right="0"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organism</w:t>
      </w:r>
      <w:r>
        <w:rPr>
          <w:rFonts w:ascii="Times New Roman"/>
          <w:spacing w:val="-1"/>
          <w:sz w:val="24"/>
        </w:rPr>
        <w:t> </w:t>
      </w:r>
      <w:r>
        <w:rPr>
          <w:rFonts w:ascii="Times New Roman"/>
          <w:sz w:val="24"/>
        </w:rPr>
        <w:t>was</w:t>
      </w:r>
      <w:r>
        <w:rPr>
          <w:rFonts w:ascii="Times New Roman"/>
          <w:spacing w:val="2"/>
          <w:sz w:val="24"/>
        </w:rPr>
        <w:t> </w:t>
      </w:r>
      <w:r>
        <w:rPr>
          <w:rFonts w:ascii="Times New Roman"/>
          <w:sz w:val="24"/>
        </w:rPr>
        <w:t>grown in</w:t>
      </w:r>
      <w:r>
        <w:rPr>
          <w:rFonts w:ascii="Times New Roman"/>
          <w:spacing w:val="-1"/>
          <w:sz w:val="24"/>
        </w:rPr>
        <w:t> </w:t>
      </w:r>
      <w:r>
        <w:rPr>
          <w:rFonts w:ascii="Times New Roman"/>
          <w:sz w:val="24"/>
        </w:rPr>
        <w:t>5 ml</w:t>
      </w:r>
      <w:r>
        <w:rPr>
          <w:rFonts w:ascii="Times New Roman"/>
          <w:spacing w:val="-1"/>
          <w:sz w:val="24"/>
        </w:rPr>
        <w:t> </w:t>
      </w:r>
      <w:r>
        <w:rPr>
          <w:rFonts w:ascii="Times New Roman"/>
          <w:sz w:val="24"/>
        </w:rPr>
        <w:t>peptone</w:t>
      </w:r>
      <w:r>
        <w:rPr>
          <w:rFonts w:ascii="Times New Roman"/>
          <w:spacing w:val="-2"/>
          <w:sz w:val="24"/>
        </w:rPr>
        <w:t> </w:t>
      </w:r>
      <w:r>
        <w:rPr>
          <w:rFonts w:ascii="Times New Roman"/>
          <w:sz w:val="24"/>
        </w:rPr>
        <w:t>water</w:t>
      </w:r>
      <w:r>
        <w:rPr>
          <w:rFonts w:ascii="Times New Roman"/>
          <w:spacing w:val="-2"/>
          <w:sz w:val="24"/>
        </w:rPr>
        <w:t> </w:t>
      </w:r>
      <w:r>
        <w:rPr>
          <w:rFonts w:ascii="Times New Roman"/>
          <w:sz w:val="24"/>
        </w:rPr>
        <w:t>for</w:t>
      </w:r>
      <w:r>
        <w:rPr>
          <w:rFonts w:ascii="Times New Roman"/>
          <w:spacing w:val="-1"/>
          <w:sz w:val="24"/>
        </w:rPr>
        <w:t> </w:t>
      </w:r>
      <w:r>
        <w:rPr>
          <w:rFonts w:ascii="Times New Roman"/>
          <w:sz w:val="24"/>
        </w:rPr>
        <w:t>24 </w:t>
      </w:r>
      <w:r>
        <w:rPr>
          <w:rFonts w:ascii="Times New Roman"/>
          <w:spacing w:val="-2"/>
          <w:sz w:val="24"/>
        </w:rPr>
        <w:t>hours.</w:t>
      </w:r>
    </w:p>
    <w:p>
      <w:pPr>
        <w:pStyle w:val="BodyText"/>
        <w:spacing w:before="1"/>
        <w:rPr>
          <w:rFonts w:ascii="Times New Roman"/>
          <w:sz w:val="24"/>
        </w:rPr>
      </w:pPr>
    </w:p>
    <w:p>
      <w:pPr>
        <w:spacing w:line="480" w:lineRule="auto" w:before="0"/>
        <w:ind w:left="1131" w:right="1114" w:firstLine="0"/>
        <w:jc w:val="left"/>
        <w:rPr>
          <w:rFonts w:ascii="Times New Roman" w:hAnsi="Times New Roman"/>
          <w:sz w:val="24"/>
        </w:rPr>
      </w:pPr>
      <w:r>
        <w:rPr>
          <w:rFonts w:ascii="Times New Roman" w:hAnsi="Times New Roman"/>
          <w:sz w:val="24"/>
        </w:rPr>
        <w:t>After the 24 hours of incubation, 3-4 drops of Kovac’s indole reagent was added. The</w:t>
      </w:r>
      <w:r>
        <w:rPr>
          <w:rFonts w:ascii="Times New Roman" w:hAnsi="Times New Roman"/>
          <w:spacing w:val="-5"/>
          <w:sz w:val="24"/>
        </w:rPr>
        <w:t> </w:t>
      </w:r>
      <w:r>
        <w:rPr>
          <w:rFonts w:ascii="Times New Roman" w:hAnsi="Times New Roman"/>
          <w:sz w:val="24"/>
        </w:rPr>
        <w:t>development</w:t>
      </w:r>
      <w:r>
        <w:rPr>
          <w:rFonts w:ascii="Times New Roman" w:hAnsi="Times New Roman"/>
          <w:spacing w:val="-3"/>
          <w:sz w:val="24"/>
        </w:rPr>
        <w:t> </w:t>
      </w:r>
      <w:r>
        <w:rPr>
          <w:rFonts w:ascii="Times New Roman" w:hAnsi="Times New Roman"/>
          <w:sz w:val="24"/>
        </w:rPr>
        <w:t>of</w:t>
      </w:r>
      <w:r>
        <w:rPr>
          <w:rFonts w:ascii="Times New Roman" w:hAnsi="Times New Roman"/>
          <w:spacing w:val="-2"/>
          <w:sz w:val="24"/>
        </w:rPr>
        <w:t> </w:t>
      </w:r>
      <w:r>
        <w:rPr>
          <w:rFonts w:ascii="Times New Roman" w:hAnsi="Times New Roman"/>
          <w:sz w:val="24"/>
        </w:rPr>
        <w:t>a</w:t>
      </w:r>
      <w:r>
        <w:rPr>
          <w:rFonts w:ascii="Times New Roman" w:hAnsi="Times New Roman"/>
          <w:spacing w:val="-4"/>
          <w:sz w:val="24"/>
        </w:rPr>
        <w:t> </w:t>
      </w:r>
      <w:r>
        <w:rPr>
          <w:rFonts w:ascii="Times New Roman" w:hAnsi="Times New Roman"/>
          <w:sz w:val="24"/>
        </w:rPr>
        <w:t>red</w:t>
      </w:r>
      <w:r>
        <w:rPr>
          <w:rFonts w:ascii="Times New Roman" w:hAnsi="Times New Roman"/>
          <w:spacing w:val="-3"/>
          <w:sz w:val="24"/>
        </w:rPr>
        <w:t> </w:t>
      </w:r>
      <w:r>
        <w:rPr>
          <w:rFonts w:ascii="Times New Roman" w:hAnsi="Times New Roman"/>
          <w:sz w:val="24"/>
        </w:rPr>
        <w:t>colour</w:t>
      </w:r>
      <w:r>
        <w:rPr>
          <w:rFonts w:ascii="Times New Roman" w:hAnsi="Times New Roman"/>
          <w:spacing w:val="-3"/>
          <w:sz w:val="24"/>
        </w:rPr>
        <w:t> </w:t>
      </w:r>
      <w:r>
        <w:rPr>
          <w:rFonts w:ascii="Times New Roman" w:hAnsi="Times New Roman"/>
          <w:sz w:val="24"/>
        </w:rPr>
        <w:t>in</w:t>
      </w:r>
      <w:r>
        <w:rPr>
          <w:rFonts w:ascii="Times New Roman" w:hAnsi="Times New Roman"/>
          <w:spacing w:val="-3"/>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reagent</w:t>
      </w:r>
      <w:r>
        <w:rPr>
          <w:rFonts w:ascii="Times New Roman" w:hAnsi="Times New Roman"/>
          <w:spacing w:val="-3"/>
          <w:sz w:val="24"/>
        </w:rPr>
        <w:t> </w:t>
      </w:r>
      <w:r>
        <w:rPr>
          <w:rFonts w:ascii="Times New Roman" w:hAnsi="Times New Roman"/>
          <w:sz w:val="24"/>
        </w:rPr>
        <w:t>layer</w:t>
      </w:r>
      <w:r>
        <w:rPr>
          <w:rFonts w:ascii="Times New Roman" w:hAnsi="Times New Roman"/>
          <w:spacing w:val="-2"/>
          <w:sz w:val="24"/>
        </w:rPr>
        <w:t> </w:t>
      </w:r>
      <w:r>
        <w:rPr>
          <w:rFonts w:ascii="Times New Roman" w:hAnsi="Times New Roman"/>
          <w:sz w:val="24"/>
        </w:rPr>
        <w:t>above</w:t>
      </w:r>
      <w:r>
        <w:rPr>
          <w:rFonts w:ascii="Times New Roman" w:hAnsi="Times New Roman"/>
          <w:spacing w:val="-4"/>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broth</w:t>
      </w:r>
      <w:r>
        <w:rPr>
          <w:rFonts w:ascii="Times New Roman" w:hAnsi="Times New Roman"/>
          <w:spacing w:val="-3"/>
          <w:sz w:val="24"/>
        </w:rPr>
        <w:t> </w:t>
      </w:r>
      <w:r>
        <w:rPr>
          <w:rFonts w:ascii="Times New Roman" w:hAnsi="Times New Roman"/>
          <w:sz w:val="24"/>
        </w:rPr>
        <w:t>within</w:t>
      </w:r>
      <w:r>
        <w:rPr>
          <w:rFonts w:ascii="Times New Roman" w:hAnsi="Times New Roman"/>
          <w:spacing w:val="-3"/>
          <w:sz w:val="24"/>
        </w:rPr>
        <w:t> </w:t>
      </w:r>
      <w:r>
        <w:rPr>
          <w:rFonts w:ascii="Times New Roman" w:hAnsi="Times New Roman"/>
          <w:sz w:val="24"/>
        </w:rPr>
        <w:t>1minute indicated a positive reaction.</w:t>
      </w:r>
    </w:p>
    <w:p>
      <w:pPr>
        <w:spacing w:before="3"/>
        <w:ind w:left="1131" w:right="0" w:firstLine="0"/>
        <w:jc w:val="left"/>
        <w:rPr>
          <w:rFonts w:ascii="Times New Roman"/>
          <w:sz w:val="24"/>
        </w:rPr>
      </w:pPr>
      <w:r>
        <w:rPr>
          <w:rFonts w:ascii="Times New Roman"/>
          <w:sz w:val="24"/>
        </w:rPr>
        <w:t>In</w:t>
      </w:r>
      <w:r>
        <w:rPr>
          <w:rFonts w:ascii="Times New Roman"/>
          <w:spacing w:val="-2"/>
          <w:sz w:val="24"/>
        </w:rPr>
        <w:t> </w:t>
      </w:r>
      <w:r>
        <w:rPr>
          <w:rFonts w:ascii="Times New Roman"/>
          <w:sz w:val="24"/>
        </w:rPr>
        <w:t>a</w:t>
      </w:r>
      <w:r>
        <w:rPr>
          <w:rFonts w:ascii="Times New Roman"/>
          <w:spacing w:val="-3"/>
          <w:sz w:val="24"/>
        </w:rPr>
        <w:t> </w:t>
      </w:r>
      <w:r>
        <w:rPr>
          <w:rFonts w:ascii="Times New Roman"/>
          <w:sz w:val="24"/>
        </w:rPr>
        <w:t>negative</w:t>
      </w:r>
      <w:r>
        <w:rPr>
          <w:rFonts w:ascii="Times New Roman"/>
          <w:spacing w:val="-1"/>
          <w:sz w:val="24"/>
        </w:rPr>
        <w:t> </w:t>
      </w:r>
      <w:r>
        <w:rPr>
          <w:rFonts w:ascii="Times New Roman"/>
          <w:sz w:val="24"/>
        </w:rPr>
        <w:t>reaction,</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indole</w:t>
      </w:r>
      <w:r>
        <w:rPr>
          <w:rFonts w:ascii="Times New Roman"/>
          <w:spacing w:val="-2"/>
          <w:sz w:val="24"/>
        </w:rPr>
        <w:t> </w:t>
      </w:r>
      <w:r>
        <w:rPr>
          <w:rFonts w:ascii="Times New Roman"/>
          <w:sz w:val="24"/>
        </w:rPr>
        <w:t>reagent</w:t>
      </w:r>
      <w:r>
        <w:rPr>
          <w:rFonts w:ascii="Times New Roman"/>
          <w:spacing w:val="-2"/>
          <w:sz w:val="24"/>
        </w:rPr>
        <w:t> </w:t>
      </w:r>
      <w:r>
        <w:rPr>
          <w:rFonts w:ascii="Times New Roman"/>
          <w:sz w:val="24"/>
        </w:rPr>
        <w:t>retained its yellow</w:t>
      </w:r>
      <w:r>
        <w:rPr>
          <w:rFonts w:ascii="Times New Roman"/>
          <w:spacing w:val="-1"/>
          <w:sz w:val="24"/>
        </w:rPr>
        <w:t> </w:t>
      </w:r>
      <w:r>
        <w:rPr>
          <w:rFonts w:ascii="Times New Roman"/>
          <w:spacing w:val="-2"/>
          <w:sz w:val="24"/>
        </w:rPr>
        <w:t>colour.</w:t>
      </w:r>
    </w:p>
    <w:p>
      <w:pPr>
        <w:pStyle w:val="BodyText"/>
        <w:spacing w:before="204"/>
        <w:rPr>
          <w:rFonts w:ascii="Times New Roman"/>
          <w:sz w:val="24"/>
        </w:rPr>
      </w:pPr>
    </w:p>
    <w:p>
      <w:pPr>
        <w:pStyle w:val="ListParagraph"/>
        <w:numPr>
          <w:ilvl w:val="3"/>
          <w:numId w:val="2"/>
        </w:numPr>
        <w:tabs>
          <w:tab w:pos="1041" w:val="left" w:leader="none"/>
        </w:tabs>
        <w:spacing w:line="240" w:lineRule="auto" w:before="0" w:after="0"/>
        <w:ind w:left="1041" w:right="0" w:hanging="661"/>
        <w:jc w:val="left"/>
        <w:rPr>
          <w:i/>
          <w:sz w:val="22"/>
        </w:rPr>
      </w:pPr>
      <w:r>
        <w:rPr>
          <w:i/>
          <w:sz w:val="22"/>
        </w:rPr>
        <w:t>Bacitracin</w:t>
      </w:r>
      <w:r>
        <w:rPr>
          <w:i/>
          <w:spacing w:val="-9"/>
          <w:sz w:val="22"/>
        </w:rPr>
        <w:t> </w:t>
      </w:r>
      <w:r>
        <w:rPr>
          <w:i/>
          <w:sz w:val="22"/>
        </w:rPr>
        <w:t>Sensitivity</w:t>
      </w:r>
      <w:r>
        <w:rPr>
          <w:i/>
          <w:spacing w:val="-5"/>
          <w:sz w:val="22"/>
        </w:rPr>
        <w:t> </w:t>
      </w:r>
      <w:r>
        <w:rPr>
          <w:i/>
          <w:spacing w:val="-4"/>
          <w:sz w:val="22"/>
        </w:rPr>
        <w:t>Test</w:t>
      </w:r>
    </w:p>
    <w:p>
      <w:pPr>
        <w:pStyle w:val="BodyText"/>
        <w:rPr>
          <w:i/>
        </w:rPr>
      </w:pPr>
    </w:p>
    <w:p>
      <w:pPr>
        <w:pStyle w:val="BodyText"/>
        <w:spacing w:before="92"/>
        <w:rPr>
          <w:i/>
        </w:rPr>
      </w:pPr>
    </w:p>
    <w:p>
      <w:pPr>
        <w:pStyle w:val="BodyText"/>
        <w:ind w:left="1100"/>
      </w:pPr>
      <w:r>
        <w:rPr>
          <w:spacing w:val="-2"/>
        </w:rPr>
        <w:t>Procedure:</w:t>
      </w:r>
    </w:p>
    <w:p>
      <w:pPr>
        <w:spacing w:after="0"/>
        <w:sectPr>
          <w:pgSz w:w="11910" w:h="16840"/>
          <w:pgMar w:header="0" w:footer="1055" w:top="1340" w:bottom="1240" w:left="1060" w:right="460"/>
        </w:sectPr>
      </w:pPr>
    </w:p>
    <w:p>
      <w:pPr>
        <w:spacing w:before="62"/>
        <w:ind w:left="1100" w:right="0" w:firstLine="0"/>
        <w:jc w:val="left"/>
        <w:rPr>
          <w:rFonts w:ascii="Times New Roman"/>
          <w:sz w:val="24"/>
        </w:rPr>
      </w:pPr>
      <w:r>
        <w:rPr>
          <w:rFonts w:ascii="Times New Roman"/>
          <w:sz w:val="24"/>
        </w:rPr>
        <w:t>Plates</w:t>
      </w:r>
      <w:r>
        <w:rPr>
          <w:rFonts w:ascii="Times New Roman"/>
          <w:spacing w:val="-4"/>
          <w:sz w:val="24"/>
        </w:rPr>
        <w:t> </w:t>
      </w:r>
      <w:r>
        <w:rPr>
          <w:rFonts w:ascii="Times New Roman"/>
          <w:sz w:val="24"/>
        </w:rPr>
        <w:t>of</w:t>
      </w:r>
      <w:r>
        <w:rPr>
          <w:rFonts w:ascii="Times New Roman"/>
          <w:spacing w:val="-1"/>
          <w:sz w:val="24"/>
        </w:rPr>
        <w:t> </w:t>
      </w:r>
      <w:r>
        <w:rPr>
          <w:rFonts w:ascii="Times New Roman"/>
          <w:sz w:val="24"/>
        </w:rPr>
        <w:t>blood</w:t>
      </w:r>
      <w:r>
        <w:rPr>
          <w:rFonts w:ascii="Times New Roman"/>
          <w:spacing w:val="-1"/>
          <w:sz w:val="24"/>
        </w:rPr>
        <w:t> </w:t>
      </w:r>
      <w:r>
        <w:rPr>
          <w:rFonts w:ascii="Times New Roman"/>
          <w:sz w:val="24"/>
        </w:rPr>
        <w:t>agar</w:t>
      </w:r>
      <w:r>
        <w:rPr>
          <w:rFonts w:ascii="Times New Roman"/>
          <w:spacing w:val="-1"/>
          <w:sz w:val="24"/>
        </w:rPr>
        <w:t> </w:t>
      </w:r>
      <w:r>
        <w:rPr>
          <w:rFonts w:ascii="Times New Roman"/>
          <w:sz w:val="24"/>
        </w:rPr>
        <w:t>were</w:t>
      </w:r>
      <w:r>
        <w:rPr>
          <w:rFonts w:ascii="Times New Roman"/>
          <w:spacing w:val="-1"/>
          <w:sz w:val="24"/>
        </w:rPr>
        <w:t> </w:t>
      </w:r>
      <w:r>
        <w:rPr>
          <w:rFonts w:ascii="Times New Roman"/>
          <w:sz w:val="24"/>
        </w:rPr>
        <w:t>streaked</w:t>
      </w:r>
      <w:r>
        <w:rPr>
          <w:rFonts w:ascii="Times New Roman"/>
          <w:spacing w:val="-1"/>
          <w:sz w:val="24"/>
        </w:rPr>
        <w:t> </w:t>
      </w:r>
      <w:r>
        <w:rPr>
          <w:rFonts w:ascii="Times New Roman"/>
          <w:sz w:val="24"/>
        </w:rPr>
        <w:t>with</w:t>
      </w:r>
      <w:r>
        <w:rPr>
          <w:rFonts w:ascii="Times New Roman"/>
          <w:spacing w:val="-1"/>
          <w:sz w:val="24"/>
        </w:rPr>
        <w:t> </w:t>
      </w:r>
      <w:r>
        <w:rPr>
          <w:rFonts w:ascii="Times New Roman"/>
          <w:sz w:val="24"/>
        </w:rPr>
        <w:t>the</w:t>
      </w:r>
      <w:r>
        <w:rPr>
          <w:rFonts w:ascii="Times New Roman"/>
          <w:spacing w:val="-1"/>
          <w:sz w:val="24"/>
        </w:rPr>
        <w:t> </w:t>
      </w:r>
      <w:r>
        <w:rPr>
          <w:rFonts w:ascii="Times New Roman"/>
          <w:sz w:val="24"/>
        </w:rPr>
        <w:t>culture</w:t>
      </w:r>
      <w:r>
        <w:rPr>
          <w:rFonts w:ascii="Times New Roman"/>
          <w:spacing w:val="3"/>
          <w:sz w:val="24"/>
        </w:rPr>
        <w:t> </w:t>
      </w:r>
      <w:r>
        <w:rPr>
          <w:rFonts w:ascii="Times New Roman"/>
          <w:sz w:val="24"/>
        </w:rPr>
        <w:t>under</w:t>
      </w:r>
      <w:r>
        <w:rPr>
          <w:rFonts w:ascii="Times New Roman"/>
          <w:spacing w:val="-1"/>
          <w:sz w:val="24"/>
        </w:rPr>
        <w:t> </w:t>
      </w:r>
      <w:r>
        <w:rPr>
          <w:rFonts w:ascii="Times New Roman"/>
          <w:sz w:val="24"/>
        </w:rPr>
        <w:t>test</w:t>
      </w:r>
      <w:r>
        <w:rPr>
          <w:rFonts w:ascii="Times New Roman"/>
          <w:spacing w:val="-1"/>
          <w:sz w:val="24"/>
        </w:rPr>
        <w:t> </w:t>
      </w:r>
      <w:r>
        <w:rPr>
          <w:rFonts w:ascii="Times New Roman"/>
          <w:sz w:val="24"/>
        </w:rPr>
        <w:t>for confluent</w:t>
      </w:r>
      <w:r>
        <w:rPr>
          <w:rFonts w:ascii="Times New Roman"/>
          <w:spacing w:val="1"/>
          <w:sz w:val="24"/>
        </w:rPr>
        <w:t> </w:t>
      </w:r>
      <w:r>
        <w:rPr>
          <w:rFonts w:ascii="Times New Roman"/>
          <w:spacing w:val="-2"/>
          <w:sz w:val="24"/>
        </w:rPr>
        <w:t>growth.</w:t>
      </w:r>
    </w:p>
    <w:p>
      <w:pPr>
        <w:pStyle w:val="BodyText"/>
        <w:rPr>
          <w:rFonts w:ascii="Times New Roman"/>
          <w:sz w:val="24"/>
        </w:rPr>
      </w:pPr>
    </w:p>
    <w:p>
      <w:pPr>
        <w:spacing w:line="480" w:lineRule="auto" w:before="0"/>
        <w:ind w:left="1100" w:right="975" w:firstLine="0"/>
        <w:jc w:val="left"/>
        <w:rPr>
          <w:rFonts w:ascii="Times New Roman"/>
          <w:sz w:val="24"/>
        </w:rPr>
      </w:pPr>
      <w:r>
        <w:rPr>
          <w:rFonts w:ascii="Times New Roman"/>
          <w:sz w:val="24"/>
        </w:rPr>
        <w:t>A</w:t>
      </w:r>
      <w:r>
        <w:rPr>
          <w:rFonts w:ascii="Times New Roman"/>
          <w:spacing w:val="-3"/>
          <w:sz w:val="24"/>
        </w:rPr>
        <w:t> </w:t>
      </w:r>
      <w:r>
        <w:rPr>
          <w:rFonts w:ascii="Times New Roman"/>
          <w:sz w:val="24"/>
        </w:rPr>
        <w:t>bacitracin</w:t>
      </w:r>
      <w:r>
        <w:rPr>
          <w:rFonts w:ascii="Times New Roman"/>
          <w:spacing w:val="-3"/>
          <w:sz w:val="24"/>
        </w:rPr>
        <w:t> </w:t>
      </w:r>
      <w:r>
        <w:rPr>
          <w:rFonts w:ascii="Times New Roman"/>
          <w:sz w:val="24"/>
        </w:rPr>
        <w:t>disc</w:t>
      </w:r>
      <w:r>
        <w:rPr>
          <w:rFonts w:ascii="Times New Roman"/>
          <w:spacing w:val="-2"/>
          <w:sz w:val="24"/>
        </w:rPr>
        <w:t> </w:t>
      </w:r>
      <w:r>
        <w:rPr>
          <w:rFonts w:ascii="Times New Roman"/>
          <w:sz w:val="24"/>
        </w:rPr>
        <w:t>was</w:t>
      </w:r>
      <w:r>
        <w:rPr>
          <w:rFonts w:ascii="Times New Roman"/>
          <w:spacing w:val="-3"/>
          <w:sz w:val="24"/>
        </w:rPr>
        <w:t> </w:t>
      </w:r>
      <w:r>
        <w:rPr>
          <w:rFonts w:ascii="Times New Roman"/>
          <w:sz w:val="24"/>
        </w:rPr>
        <w:t>placed</w:t>
      </w:r>
      <w:r>
        <w:rPr>
          <w:rFonts w:ascii="Times New Roman"/>
          <w:spacing w:val="-3"/>
          <w:sz w:val="24"/>
        </w:rPr>
        <w:t> </w:t>
      </w:r>
      <w:r>
        <w:rPr>
          <w:rFonts w:ascii="Times New Roman"/>
          <w:sz w:val="24"/>
        </w:rPr>
        <w:t>in</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centre</w:t>
      </w:r>
      <w:r>
        <w:rPr>
          <w:rFonts w:ascii="Times New Roman"/>
          <w:spacing w:val="-1"/>
          <w:sz w:val="24"/>
        </w:rPr>
        <w:t> </w:t>
      </w:r>
      <w:r>
        <w:rPr>
          <w:rFonts w:ascii="Times New Roman"/>
          <w:sz w:val="24"/>
        </w:rPr>
        <w:t>of</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streaked</w:t>
      </w:r>
      <w:r>
        <w:rPr>
          <w:rFonts w:ascii="Times New Roman"/>
          <w:spacing w:val="-1"/>
          <w:sz w:val="24"/>
        </w:rPr>
        <w:t> </w:t>
      </w:r>
      <w:r>
        <w:rPr>
          <w:rFonts w:ascii="Times New Roman"/>
          <w:sz w:val="24"/>
        </w:rPr>
        <w:t>area</w:t>
      </w:r>
      <w:r>
        <w:rPr>
          <w:rFonts w:ascii="Times New Roman"/>
          <w:spacing w:val="-2"/>
          <w:sz w:val="24"/>
        </w:rPr>
        <w:t> </w:t>
      </w:r>
      <w:r>
        <w:rPr>
          <w:rFonts w:ascii="Times New Roman"/>
          <w:sz w:val="24"/>
        </w:rPr>
        <w:t>and</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plates</w:t>
      </w:r>
      <w:r>
        <w:rPr>
          <w:rFonts w:ascii="Times New Roman"/>
          <w:spacing w:val="-3"/>
          <w:sz w:val="24"/>
        </w:rPr>
        <w:t> </w:t>
      </w:r>
      <w:r>
        <w:rPr>
          <w:rFonts w:ascii="Times New Roman"/>
          <w:sz w:val="24"/>
        </w:rPr>
        <w:t>incubated in candle jar at 37 </w:t>
      </w:r>
      <w:r>
        <w:rPr>
          <w:rFonts w:ascii="Times New Roman"/>
          <w:sz w:val="24"/>
          <w:vertAlign w:val="superscript"/>
        </w:rPr>
        <w:t>0</w:t>
      </w:r>
      <w:r>
        <w:rPr>
          <w:rFonts w:ascii="Times New Roman"/>
          <w:sz w:val="24"/>
          <w:vertAlign w:val="baseline"/>
        </w:rPr>
        <w:t>C.</w:t>
      </w:r>
    </w:p>
    <w:p>
      <w:pPr>
        <w:spacing w:before="1"/>
        <w:ind w:left="1100" w:right="0"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plates</w:t>
      </w:r>
      <w:r>
        <w:rPr>
          <w:rFonts w:ascii="Times New Roman"/>
          <w:spacing w:val="-1"/>
          <w:sz w:val="24"/>
        </w:rPr>
        <w:t> </w:t>
      </w:r>
      <w:r>
        <w:rPr>
          <w:rFonts w:ascii="Times New Roman"/>
          <w:sz w:val="24"/>
        </w:rPr>
        <w:t>were</w:t>
      </w:r>
      <w:r>
        <w:rPr>
          <w:rFonts w:ascii="Times New Roman"/>
          <w:spacing w:val="-2"/>
          <w:sz w:val="24"/>
        </w:rPr>
        <w:t> </w:t>
      </w:r>
      <w:r>
        <w:rPr>
          <w:rFonts w:ascii="Times New Roman"/>
          <w:sz w:val="24"/>
        </w:rPr>
        <w:t>observed</w:t>
      </w:r>
      <w:r>
        <w:rPr>
          <w:rFonts w:ascii="Times New Roman"/>
          <w:spacing w:val="1"/>
          <w:sz w:val="24"/>
        </w:rPr>
        <w:t> </w:t>
      </w:r>
      <w:r>
        <w:rPr>
          <w:rFonts w:ascii="Times New Roman"/>
          <w:sz w:val="24"/>
        </w:rPr>
        <w:t>after</w:t>
      </w:r>
      <w:r>
        <w:rPr>
          <w:rFonts w:ascii="Times New Roman"/>
          <w:spacing w:val="-1"/>
          <w:sz w:val="24"/>
        </w:rPr>
        <w:t> </w:t>
      </w:r>
      <w:r>
        <w:rPr>
          <w:rFonts w:ascii="Times New Roman"/>
          <w:sz w:val="24"/>
        </w:rPr>
        <w:t>24 hours</w:t>
      </w:r>
      <w:r>
        <w:rPr>
          <w:rFonts w:ascii="Times New Roman"/>
          <w:spacing w:val="-1"/>
          <w:sz w:val="24"/>
        </w:rPr>
        <w:t> </w:t>
      </w:r>
      <w:r>
        <w:rPr>
          <w:rFonts w:ascii="Times New Roman"/>
          <w:sz w:val="24"/>
        </w:rPr>
        <w:t>of </w:t>
      </w:r>
      <w:r>
        <w:rPr>
          <w:rFonts w:ascii="Times New Roman"/>
          <w:spacing w:val="-2"/>
          <w:sz w:val="24"/>
        </w:rPr>
        <w:t>incubation.</w:t>
      </w:r>
    </w:p>
    <w:p>
      <w:pPr>
        <w:spacing w:line="482" w:lineRule="auto" w:before="276"/>
        <w:ind w:left="1100" w:right="975" w:firstLine="0"/>
        <w:jc w:val="left"/>
        <w:rPr>
          <w:rFonts w:ascii="Times New Roman"/>
          <w:sz w:val="24"/>
        </w:rPr>
      </w:pPr>
      <w:r>
        <w:rPr>
          <w:rFonts w:ascii="Times New Roman"/>
          <w:sz w:val="24"/>
        </w:rPr>
        <w:t>A</w:t>
      </w:r>
      <w:r>
        <w:rPr>
          <w:rFonts w:ascii="Times New Roman"/>
          <w:spacing w:val="-3"/>
          <w:sz w:val="24"/>
        </w:rPr>
        <w:t> </w:t>
      </w:r>
      <w:r>
        <w:rPr>
          <w:rFonts w:ascii="Times New Roman"/>
          <w:sz w:val="24"/>
        </w:rPr>
        <w:t>wide</w:t>
      </w:r>
      <w:r>
        <w:rPr>
          <w:rFonts w:ascii="Times New Roman"/>
          <w:spacing w:val="-3"/>
          <w:sz w:val="24"/>
        </w:rPr>
        <w:t> </w:t>
      </w:r>
      <w:r>
        <w:rPr>
          <w:rFonts w:ascii="Times New Roman"/>
          <w:sz w:val="24"/>
        </w:rPr>
        <w:t>zone</w:t>
      </w:r>
      <w:r>
        <w:rPr>
          <w:rFonts w:ascii="Times New Roman"/>
          <w:spacing w:val="-4"/>
          <w:sz w:val="24"/>
        </w:rPr>
        <w:t> </w:t>
      </w:r>
      <w:r>
        <w:rPr>
          <w:rFonts w:ascii="Times New Roman"/>
          <w:sz w:val="24"/>
        </w:rPr>
        <w:t>of</w:t>
      </w:r>
      <w:r>
        <w:rPr>
          <w:rFonts w:ascii="Times New Roman"/>
          <w:spacing w:val="-3"/>
          <w:sz w:val="24"/>
        </w:rPr>
        <w:t> </w:t>
      </w:r>
      <w:r>
        <w:rPr>
          <w:rFonts w:ascii="Times New Roman"/>
          <w:sz w:val="24"/>
        </w:rPr>
        <w:t>inhibition</w:t>
      </w:r>
      <w:r>
        <w:rPr>
          <w:rFonts w:ascii="Times New Roman"/>
          <w:spacing w:val="-3"/>
          <w:sz w:val="24"/>
        </w:rPr>
        <w:t> </w:t>
      </w:r>
      <w:r>
        <w:rPr>
          <w:rFonts w:ascii="Times New Roman"/>
          <w:sz w:val="24"/>
        </w:rPr>
        <w:t>indicated</w:t>
      </w:r>
      <w:r>
        <w:rPr>
          <w:rFonts w:ascii="Times New Roman"/>
          <w:spacing w:val="-3"/>
          <w:sz w:val="24"/>
        </w:rPr>
        <w:t> </w:t>
      </w:r>
      <w:r>
        <w:rPr>
          <w:rFonts w:ascii="Times New Roman"/>
          <w:sz w:val="24"/>
        </w:rPr>
        <w:t>a</w:t>
      </w:r>
      <w:r>
        <w:rPr>
          <w:rFonts w:ascii="Times New Roman"/>
          <w:spacing w:val="-5"/>
          <w:sz w:val="24"/>
        </w:rPr>
        <w:t> </w:t>
      </w:r>
      <w:r>
        <w:rPr>
          <w:rFonts w:ascii="Times New Roman"/>
          <w:sz w:val="24"/>
        </w:rPr>
        <w:t>positive</w:t>
      </w:r>
      <w:r>
        <w:rPr>
          <w:rFonts w:ascii="Times New Roman"/>
          <w:spacing w:val="-4"/>
          <w:sz w:val="24"/>
        </w:rPr>
        <w:t> </w:t>
      </w:r>
      <w:r>
        <w:rPr>
          <w:rFonts w:ascii="Times New Roman"/>
          <w:sz w:val="24"/>
        </w:rPr>
        <w:t>test</w:t>
      </w:r>
      <w:r>
        <w:rPr>
          <w:rFonts w:ascii="Times New Roman"/>
          <w:spacing w:val="-3"/>
          <w:sz w:val="24"/>
        </w:rPr>
        <w:t> </w:t>
      </w:r>
      <w:r>
        <w:rPr>
          <w:rFonts w:ascii="Times New Roman"/>
          <w:sz w:val="24"/>
        </w:rPr>
        <w:t>(i.e.</w:t>
      </w:r>
      <w:r>
        <w:rPr>
          <w:rFonts w:ascii="Times New Roman"/>
          <w:spacing w:val="-3"/>
          <w:sz w:val="24"/>
        </w:rPr>
        <w:t> </w:t>
      </w:r>
      <w:r>
        <w:rPr>
          <w:rFonts w:ascii="Times New Roman"/>
          <w:sz w:val="24"/>
        </w:rPr>
        <w:t>sensitivity</w:t>
      </w:r>
      <w:r>
        <w:rPr>
          <w:rFonts w:ascii="Times New Roman"/>
          <w:spacing w:val="-8"/>
          <w:sz w:val="24"/>
        </w:rPr>
        <w:t> </w:t>
      </w:r>
      <w:r>
        <w:rPr>
          <w:rFonts w:ascii="Times New Roman"/>
          <w:sz w:val="24"/>
        </w:rPr>
        <w:t>to</w:t>
      </w:r>
      <w:r>
        <w:rPr>
          <w:rFonts w:ascii="Times New Roman"/>
          <w:spacing w:val="-3"/>
          <w:sz w:val="24"/>
        </w:rPr>
        <w:t> </w:t>
      </w:r>
      <w:r>
        <w:rPr>
          <w:rFonts w:ascii="Times New Roman"/>
          <w:sz w:val="24"/>
        </w:rPr>
        <w:t>bacitracin). Absence of a zone of inhibition indicated a negative result.</w:t>
      </w:r>
    </w:p>
    <w:p>
      <w:pPr>
        <w:pStyle w:val="ListParagraph"/>
        <w:numPr>
          <w:ilvl w:val="3"/>
          <w:numId w:val="2"/>
        </w:numPr>
        <w:tabs>
          <w:tab w:pos="1098" w:val="left" w:leader="none"/>
        </w:tabs>
        <w:spacing w:line="240" w:lineRule="auto" w:before="201" w:after="0"/>
        <w:ind w:left="1098" w:right="0" w:hanging="718"/>
        <w:jc w:val="left"/>
        <w:rPr>
          <w:i/>
          <w:sz w:val="22"/>
        </w:rPr>
      </w:pPr>
      <w:r>
        <w:rPr>
          <w:i/>
          <w:sz w:val="22"/>
        </w:rPr>
        <w:t>Urease</w:t>
      </w:r>
      <w:r>
        <w:rPr>
          <w:i/>
          <w:spacing w:val="-3"/>
          <w:sz w:val="22"/>
        </w:rPr>
        <w:t> </w:t>
      </w:r>
      <w:r>
        <w:rPr>
          <w:i/>
          <w:spacing w:val="-4"/>
          <w:sz w:val="22"/>
        </w:rPr>
        <w:t>Test</w:t>
      </w:r>
    </w:p>
    <w:p>
      <w:pPr>
        <w:pStyle w:val="BodyText"/>
        <w:spacing w:before="226"/>
        <w:rPr>
          <w:i/>
        </w:rPr>
      </w:pPr>
    </w:p>
    <w:p>
      <w:pPr>
        <w:spacing w:before="0"/>
        <w:ind w:left="1100" w:right="0" w:firstLine="0"/>
        <w:jc w:val="left"/>
        <w:rPr>
          <w:rFonts w:ascii="Times New Roman"/>
          <w:sz w:val="24"/>
        </w:rPr>
      </w:pPr>
      <w:r>
        <w:rPr>
          <w:rFonts w:ascii="Times New Roman"/>
          <w:spacing w:val="-2"/>
          <w:sz w:val="24"/>
        </w:rPr>
        <w:t>Procedure:</w:t>
      </w:r>
    </w:p>
    <w:p>
      <w:pPr>
        <w:pStyle w:val="BodyText"/>
        <w:spacing w:before="82"/>
        <w:rPr>
          <w:rFonts w:ascii="Times New Roman"/>
          <w:sz w:val="24"/>
        </w:rPr>
      </w:pPr>
    </w:p>
    <w:p>
      <w:pPr>
        <w:spacing w:line="480" w:lineRule="auto" w:before="0"/>
        <w:ind w:left="1100" w:right="975" w:firstLine="0"/>
        <w:jc w:val="left"/>
        <w:rPr>
          <w:rFonts w:ascii="Times New Roman"/>
          <w:sz w:val="24"/>
        </w:rPr>
      </w:pPr>
      <w:r>
        <w:rPr>
          <w:rFonts w:ascii="Times New Roman"/>
          <w:sz w:val="24"/>
        </w:rPr>
        <w:t>The</w:t>
      </w:r>
      <w:r>
        <w:rPr>
          <w:rFonts w:ascii="Times New Roman"/>
          <w:spacing w:val="40"/>
          <w:sz w:val="24"/>
        </w:rPr>
        <w:t> </w:t>
      </w:r>
      <w:r>
        <w:rPr>
          <w:rFonts w:ascii="Times New Roman"/>
          <w:sz w:val="24"/>
        </w:rPr>
        <w:t>test</w:t>
      </w:r>
      <w:r>
        <w:rPr>
          <w:rFonts w:ascii="Times New Roman"/>
          <w:spacing w:val="40"/>
          <w:sz w:val="24"/>
        </w:rPr>
        <w:t> </w:t>
      </w:r>
      <w:r>
        <w:rPr>
          <w:rFonts w:ascii="Times New Roman"/>
          <w:sz w:val="24"/>
        </w:rPr>
        <w:t>organism</w:t>
      </w:r>
      <w:r>
        <w:rPr>
          <w:rFonts w:ascii="Times New Roman"/>
          <w:spacing w:val="40"/>
          <w:sz w:val="24"/>
        </w:rPr>
        <w:t> </w:t>
      </w:r>
      <w:r>
        <w:rPr>
          <w:rFonts w:ascii="Times New Roman"/>
          <w:sz w:val="24"/>
        </w:rPr>
        <w:t>was</w:t>
      </w:r>
      <w:r>
        <w:rPr>
          <w:rFonts w:ascii="Times New Roman"/>
          <w:spacing w:val="40"/>
          <w:sz w:val="24"/>
        </w:rPr>
        <w:t> </w:t>
      </w:r>
      <w:r>
        <w:rPr>
          <w:rFonts w:ascii="Times New Roman"/>
          <w:sz w:val="24"/>
        </w:rPr>
        <w:t>inoculated</w:t>
      </w:r>
      <w:r>
        <w:rPr>
          <w:rFonts w:ascii="Times New Roman"/>
          <w:spacing w:val="40"/>
          <w:sz w:val="24"/>
        </w:rPr>
        <w:t> </w:t>
      </w:r>
      <w:r>
        <w:rPr>
          <w:rFonts w:ascii="Times New Roman"/>
          <w:sz w:val="24"/>
        </w:rPr>
        <w:t>into</w:t>
      </w:r>
      <w:r>
        <w:rPr>
          <w:rFonts w:ascii="Times New Roman"/>
          <w:spacing w:val="40"/>
          <w:sz w:val="24"/>
        </w:rPr>
        <w:t> </w:t>
      </w:r>
      <w:r>
        <w:rPr>
          <w:rFonts w:ascii="Times New Roman"/>
          <w:sz w:val="24"/>
        </w:rPr>
        <w:t>Christerifens</w:t>
      </w:r>
      <w:r>
        <w:rPr>
          <w:rFonts w:ascii="Times New Roman"/>
          <w:spacing w:val="40"/>
          <w:sz w:val="24"/>
        </w:rPr>
        <w:t> </w:t>
      </w:r>
      <w:r>
        <w:rPr>
          <w:rFonts w:ascii="Times New Roman"/>
          <w:sz w:val="24"/>
        </w:rPr>
        <w:t>Urea</w:t>
      </w:r>
      <w:r>
        <w:rPr>
          <w:rFonts w:ascii="Times New Roman"/>
          <w:spacing w:val="40"/>
          <w:sz w:val="24"/>
        </w:rPr>
        <w:t> </w:t>
      </w:r>
      <w:r>
        <w:rPr>
          <w:rFonts w:ascii="Times New Roman"/>
          <w:sz w:val="24"/>
        </w:rPr>
        <w:t>Agar</w:t>
      </w:r>
      <w:r>
        <w:rPr>
          <w:rFonts w:ascii="Times New Roman"/>
          <w:spacing w:val="40"/>
          <w:sz w:val="24"/>
        </w:rPr>
        <w:t> </w:t>
      </w:r>
      <w:r>
        <w:rPr>
          <w:rFonts w:ascii="Times New Roman"/>
          <w:sz w:val="24"/>
        </w:rPr>
        <w:t>slant</w:t>
      </w:r>
      <w:r>
        <w:rPr>
          <w:rFonts w:ascii="Times New Roman"/>
          <w:spacing w:val="40"/>
          <w:sz w:val="24"/>
        </w:rPr>
        <w:t> </w:t>
      </w:r>
      <w:r>
        <w:rPr>
          <w:rFonts w:ascii="Times New Roman"/>
          <w:sz w:val="24"/>
        </w:rPr>
        <w:t>(originally</w:t>
      </w:r>
      <w:r>
        <w:rPr>
          <w:rFonts w:ascii="Times New Roman"/>
          <w:spacing w:val="80"/>
          <w:sz w:val="24"/>
        </w:rPr>
        <w:t> </w:t>
      </w:r>
      <w:r>
        <w:rPr>
          <w:rFonts w:ascii="Times New Roman"/>
          <w:sz w:val="24"/>
        </w:rPr>
        <w:t>yellow in color).</w:t>
      </w:r>
    </w:p>
    <w:p>
      <w:pPr>
        <w:spacing w:before="0"/>
        <w:ind w:left="1100" w:right="0" w:firstLine="0"/>
        <w:jc w:val="left"/>
        <w:rPr>
          <w:rFonts w:ascii="Times New Roman"/>
          <w:sz w:val="24"/>
        </w:rPr>
      </w:pPr>
      <w:r>
        <w:rPr>
          <w:rFonts w:ascii="Times New Roman"/>
          <w:sz w:val="24"/>
        </w:rPr>
        <w:t>This</w:t>
      </w:r>
      <w:r>
        <w:rPr>
          <w:rFonts w:ascii="Times New Roman"/>
          <w:spacing w:val="-1"/>
          <w:sz w:val="24"/>
        </w:rPr>
        <w:t> </w:t>
      </w:r>
      <w:r>
        <w:rPr>
          <w:rFonts w:ascii="Times New Roman"/>
          <w:sz w:val="24"/>
        </w:rPr>
        <w:t>was then</w:t>
      </w:r>
      <w:r>
        <w:rPr>
          <w:rFonts w:ascii="Times New Roman"/>
          <w:spacing w:val="-1"/>
          <w:sz w:val="24"/>
        </w:rPr>
        <w:t> </w:t>
      </w:r>
      <w:r>
        <w:rPr>
          <w:rFonts w:ascii="Times New Roman"/>
          <w:sz w:val="24"/>
        </w:rPr>
        <w:t>incubated</w:t>
      </w:r>
      <w:r>
        <w:rPr>
          <w:rFonts w:ascii="Times New Roman"/>
          <w:spacing w:val="1"/>
          <w:sz w:val="24"/>
        </w:rPr>
        <w:t> </w:t>
      </w:r>
      <w:r>
        <w:rPr>
          <w:rFonts w:ascii="Times New Roman"/>
          <w:sz w:val="24"/>
        </w:rPr>
        <w:t>at 37 </w:t>
      </w:r>
      <w:r>
        <w:rPr>
          <w:rFonts w:ascii="Times New Roman"/>
          <w:sz w:val="24"/>
          <w:vertAlign w:val="superscript"/>
        </w:rPr>
        <w:t>0</w:t>
      </w:r>
      <w:r>
        <w:rPr>
          <w:rFonts w:ascii="Times New Roman"/>
          <w:sz w:val="24"/>
          <w:vertAlign w:val="baseline"/>
        </w:rPr>
        <w:t>C for</w:t>
      </w:r>
      <w:r>
        <w:rPr>
          <w:rFonts w:ascii="Times New Roman"/>
          <w:spacing w:val="-2"/>
          <w:sz w:val="24"/>
          <w:vertAlign w:val="baseline"/>
        </w:rPr>
        <w:t> </w:t>
      </w:r>
      <w:r>
        <w:rPr>
          <w:rFonts w:ascii="Times New Roman"/>
          <w:sz w:val="24"/>
          <w:vertAlign w:val="baseline"/>
        </w:rPr>
        <w:t>24-48</w:t>
      </w:r>
      <w:r>
        <w:rPr>
          <w:rFonts w:ascii="Times New Roman"/>
          <w:spacing w:val="-1"/>
          <w:sz w:val="24"/>
          <w:vertAlign w:val="baseline"/>
        </w:rPr>
        <w:t> </w:t>
      </w:r>
      <w:r>
        <w:rPr>
          <w:rFonts w:ascii="Times New Roman"/>
          <w:spacing w:val="-2"/>
          <w:sz w:val="24"/>
          <w:vertAlign w:val="baseline"/>
        </w:rPr>
        <w:t>hours.</w:t>
      </w:r>
    </w:p>
    <w:p>
      <w:pPr>
        <w:pStyle w:val="BodyText"/>
        <w:rPr>
          <w:rFonts w:ascii="Times New Roman"/>
          <w:sz w:val="24"/>
        </w:rPr>
      </w:pPr>
    </w:p>
    <w:p>
      <w:pPr>
        <w:spacing w:line="480" w:lineRule="auto" w:before="0"/>
        <w:ind w:left="1100" w:right="975" w:firstLine="0"/>
        <w:jc w:val="left"/>
        <w:rPr>
          <w:rFonts w:ascii="Times New Roman"/>
          <w:sz w:val="24"/>
        </w:rPr>
      </w:pPr>
      <w:r>
        <w:rPr>
          <w:rFonts w:ascii="Times New Roman"/>
          <w:sz w:val="24"/>
        </w:rPr>
        <w:t>After</w:t>
      </w:r>
      <w:r>
        <w:rPr>
          <w:rFonts w:ascii="Times New Roman"/>
          <w:spacing w:val="29"/>
          <w:sz w:val="24"/>
        </w:rPr>
        <w:t> </w:t>
      </w:r>
      <w:r>
        <w:rPr>
          <w:rFonts w:ascii="Times New Roman"/>
          <w:sz w:val="24"/>
        </w:rPr>
        <w:t>the</w:t>
      </w:r>
      <w:r>
        <w:rPr>
          <w:rFonts w:ascii="Times New Roman"/>
          <w:spacing w:val="32"/>
          <w:sz w:val="24"/>
        </w:rPr>
        <w:t> </w:t>
      </w:r>
      <w:r>
        <w:rPr>
          <w:rFonts w:ascii="Times New Roman"/>
          <w:sz w:val="24"/>
        </w:rPr>
        <w:t>period</w:t>
      </w:r>
      <w:r>
        <w:rPr>
          <w:rFonts w:ascii="Times New Roman"/>
          <w:spacing w:val="30"/>
          <w:sz w:val="24"/>
        </w:rPr>
        <w:t> </w:t>
      </w:r>
      <w:r>
        <w:rPr>
          <w:rFonts w:ascii="Times New Roman"/>
          <w:sz w:val="24"/>
        </w:rPr>
        <w:t>of</w:t>
      </w:r>
      <w:r>
        <w:rPr>
          <w:rFonts w:ascii="Times New Roman"/>
          <w:spacing w:val="29"/>
          <w:sz w:val="24"/>
        </w:rPr>
        <w:t> </w:t>
      </w:r>
      <w:r>
        <w:rPr>
          <w:rFonts w:ascii="Times New Roman"/>
          <w:sz w:val="24"/>
        </w:rPr>
        <w:t>incubation,</w:t>
      </w:r>
      <w:r>
        <w:rPr>
          <w:rFonts w:ascii="Times New Roman"/>
          <w:spacing w:val="30"/>
          <w:sz w:val="24"/>
        </w:rPr>
        <w:t> </w:t>
      </w:r>
      <w:r>
        <w:rPr>
          <w:rFonts w:ascii="Times New Roman"/>
          <w:sz w:val="24"/>
        </w:rPr>
        <w:t>color</w:t>
      </w:r>
      <w:r>
        <w:rPr>
          <w:rFonts w:ascii="Times New Roman"/>
          <w:spacing w:val="30"/>
          <w:sz w:val="24"/>
        </w:rPr>
        <w:t> </w:t>
      </w:r>
      <w:r>
        <w:rPr>
          <w:rFonts w:ascii="Times New Roman"/>
          <w:sz w:val="24"/>
        </w:rPr>
        <w:t>changes</w:t>
      </w:r>
      <w:r>
        <w:rPr>
          <w:rFonts w:ascii="Times New Roman"/>
          <w:spacing w:val="30"/>
          <w:sz w:val="24"/>
        </w:rPr>
        <w:t> </w:t>
      </w:r>
      <w:r>
        <w:rPr>
          <w:rFonts w:ascii="Times New Roman"/>
          <w:sz w:val="24"/>
        </w:rPr>
        <w:t>were</w:t>
      </w:r>
      <w:r>
        <w:rPr>
          <w:rFonts w:ascii="Times New Roman"/>
          <w:spacing w:val="28"/>
          <w:sz w:val="24"/>
        </w:rPr>
        <w:t> </w:t>
      </w:r>
      <w:r>
        <w:rPr>
          <w:rFonts w:ascii="Times New Roman"/>
          <w:sz w:val="24"/>
        </w:rPr>
        <w:t>noted</w:t>
      </w:r>
      <w:r>
        <w:rPr>
          <w:rFonts w:ascii="Times New Roman"/>
          <w:spacing w:val="32"/>
          <w:sz w:val="24"/>
        </w:rPr>
        <w:t> </w:t>
      </w:r>
      <w:r>
        <w:rPr>
          <w:rFonts w:ascii="Times New Roman"/>
          <w:sz w:val="24"/>
        </w:rPr>
        <w:t>(yellow</w:t>
      </w:r>
      <w:r>
        <w:rPr>
          <w:rFonts w:ascii="Times New Roman"/>
          <w:spacing w:val="29"/>
          <w:sz w:val="24"/>
        </w:rPr>
        <w:t> </w:t>
      </w:r>
      <w:r>
        <w:rPr>
          <w:rFonts w:ascii="Times New Roman"/>
          <w:sz w:val="24"/>
        </w:rPr>
        <w:t>to</w:t>
      </w:r>
      <w:r>
        <w:rPr>
          <w:rFonts w:ascii="Times New Roman"/>
          <w:spacing w:val="30"/>
          <w:sz w:val="24"/>
        </w:rPr>
        <w:t> </w:t>
      </w:r>
      <w:r>
        <w:rPr>
          <w:rFonts w:ascii="Times New Roman"/>
          <w:sz w:val="24"/>
        </w:rPr>
        <w:t>pink</w:t>
      </w:r>
      <w:r>
        <w:rPr>
          <w:rFonts w:ascii="Times New Roman"/>
          <w:spacing w:val="30"/>
          <w:sz w:val="24"/>
        </w:rPr>
        <w:t> </w:t>
      </w:r>
      <w:r>
        <w:rPr>
          <w:rFonts w:ascii="Times New Roman"/>
          <w:sz w:val="24"/>
        </w:rPr>
        <w:t>indicated positive test).</w:t>
      </w:r>
    </w:p>
    <w:p>
      <w:pPr>
        <w:spacing w:before="3"/>
        <w:ind w:left="1100" w:right="0" w:firstLine="0"/>
        <w:jc w:val="left"/>
        <w:rPr>
          <w:rFonts w:ascii="Times New Roman"/>
          <w:sz w:val="24"/>
        </w:rPr>
      </w:pPr>
      <w:r>
        <w:rPr>
          <w:rFonts w:ascii="Times New Roman"/>
          <w:sz w:val="24"/>
        </w:rPr>
        <w:t>In</w:t>
      </w:r>
      <w:r>
        <w:rPr>
          <w:rFonts w:ascii="Times New Roman"/>
          <w:spacing w:val="-4"/>
          <w:sz w:val="24"/>
        </w:rPr>
        <w:t> </w:t>
      </w:r>
      <w:r>
        <w:rPr>
          <w:rFonts w:ascii="Times New Roman"/>
          <w:sz w:val="24"/>
        </w:rPr>
        <w:t>negative</w:t>
      </w:r>
      <w:r>
        <w:rPr>
          <w:rFonts w:ascii="Times New Roman"/>
          <w:spacing w:val="-3"/>
          <w:sz w:val="24"/>
        </w:rPr>
        <w:t> </w:t>
      </w:r>
      <w:r>
        <w:rPr>
          <w:rFonts w:ascii="Times New Roman"/>
          <w:sz w:val="24"/>
        </w:rPr>
        <w:t>test,</w:t>
      </w:r>
      <w:r>
        <w:rPr>
          <w:rFonts w:ascii="Times New Roman"/>
          <w:spacing w:val="-1"/>
          <w:sz w:val="24"/>
        </w:rPr>
        <w:t> </w:t>
      </w:r>
      <w:r>
        <w:rPr>
          <w:rFonts w:ascii="Times New Roman"/>
          <w:sz w:val="24"/>
        </w:rPr>
        <w:t>the</w:t>
      </w:r>
      <w:r>
        <w:rPr>
          <w:rFonts w:ascii="Times New Roman"/>
          <w:spacing w:val="-1"/>
          <w:sz w:val="24"/>
        </w:rPr>
        <w:t> </w:t>
      </w:r>
      <w:r>
        <w:rPr>
          <w:rFonts w:ascii="Times New Roman"/>
          <w:sz w:val="24"/>
        </w:rPr>
        <w:t>agar retained</w:t>
      </w:r>
      <w:r>
        <w:rPr>
          <w:rFonts w:ascii="Times New Roman"/>
          <w:spacing w:val="-2"/>
          <w:sz w:val="24"/>
        </w:rPr>
        <w:t> </w:t>
      </w:r>
      <w:r>
        <w:rPr>
          <w:rFonts w:ascii="Times New Roman"/>
          <w:sz w:val="24"/>
        </w:rPr>
        <w:t>its</w:t>
      </w:r>
      <w:r>
        <w:rPr>
          <w:rFonts w:ascii="Times New Roman"/>
          <w:spacing w:val="-1"/>
          <w:sz w:val="24"/>
        </w:rPr>
        <w:t> </w:t>
      </w:r>
      <w:r>
        <w:rPr>
          <w:rFonts w:ascii="Times New Roman"/>
          <w:spacing w:val="-2"/>
          <w:sz w:val="24"/>
        </w:rPr>
        <w:t>color.</w:t>
      </w:r>
    </w:p>
    <w:p>
      <w:pPr>
        <w:pStyle w:val="BodyText"/>
        <w:spacing w:before="202"/>
        <w:rPr>
          <w:rFonts w:ascii="Times New Roman"/>
          <w:sz w:val="24"/>
        </w:rPr>
      </w:pPr>
    </w:p>
    <w:p>
      <w:pPr>
        <w:pStyle w:val="ListParagraph"/>
        <w:numPr>
          <w:ilvl w:val="3"/>
          <w:numId w:val="2"/>
        </w:numPr>
        <w:tabs>
          <w:tab w:pos="1098" w:val="left" w:leader="none"/>
        </w:tabs>
        <w:spacing w:line="240" w:lineRule="auto" w:before="0" w:after="0"/>
        <w:ind w:left="1098" w:right="0" w:hanging="718"/>
        <w:jc w:val="left"/>
        <w:rPr>
          <w:i/>
          <w:sz w:val="22"/>
        </w:rPr>
      </w:pPr>
      <w:r>
        <w:rPr>
          <w:i/>
          <w:sz w:val="22"/>
        </w:rPr>
        <w:t>Optochin</w:t>
      </w:r>
      <w:r>
        <w:rPr>
          <w:i/>
          <w:spacing w:val="-8"/>
          <w:sz w:val="22"/>
        </w:rPr>
        <w:t> </w:t>
      </w:r>
      <w:r>
        <w:rPr>
          <w:i/>
          <w:sz w:val="22"/>
        </w:rPr>
        <w:t>Sensitivity</w:t>
      </w:r>
      <w:r>
        <w:rPr>
          <w:i/>
          <w:spacing w:val="-5"/>
          <w:sz w:val="22"/>
        </w:rPr>
        <w:t> </w:t>
      </w:r>
      <w:r>
        <w:rPr>
          <w:i/>
          <w:spacing w:val="-4"/>
          <w:sz w:val="22"/>
        </w:rPr>
        <w:t>Test</w:t>
      </w:r>
    </w:p>
    <w:p>
      <w:pPr>
        <w:pStyle w:val="BodyText"/>
        <w:rPr>
          <w:i/>
        </w:rPr>
      </w:pPr>
    </w:p>
    <w:p>
      <w:pPr>
        <w:pStyle w:val="BodyText"/>
        <w:spacing w:before="94"/>
        <w:rPr>
          <w:i/>
        </w:rPr>
      </w:pPr>
    </w:p>
    <w:p>
      <w:pPr>
        <w:pStyle w:val="BodyText"/>
        <w:ind w:left="1100"/>
      </w:pPr>
      <w:r>
        <w:rPr>
          <w:spacing w:val="-2"/>
        </w:rPr>
        <w:t>Procedure:</w:t>
      </w:r>
    </w:p>
    <w:p>
      <w:pPr>
        <w:pStyle w:val="BodyText"/>
      </w:pPr>
    </w:p>
    <w:p>
      <w:pPr>
        <w:pStyle w:val="BodyText"/>
        <w:spacing w:before="90"/>
      </w:pPr>
    </w:p>
    <w:p>
      <w:pPr>
        <w:spacing w:line="480" w:lineRule="auto" w:before="0"/>
        <w:ind w:left="1100" w:right="1005" w:firstLine="0"/>
        <w:jc w:val="left"/>
        <w:rPr>
          <w:rFonts w:ascii="Times New Roman"/>
          <w:sz w:val="24"/>
        </w:rPr>
      </w:pPr>
      <w:r>
        <w:rPr>
          <w:rFonts w:ascii="Times New Roman"/>
          <w:sz w:val="24"/>
        </w:rPr>
        <w:t>Plates of blood agar were streaked with the culture under test for confluent growth.</w:t>
      </w:r>
      <w:r>
        <w:rPr>
          <w:rFonts w:ascii="Times New Roman"/>
          <w:spacing w:val="40"/>
          <w:sz w:val="24"/>
        </w:rPr>
        <w:t> </w:t>
      </w:r>
      <w:r>
        <w:rPr>
          <w:rFonts w:ascii="Times New Roman"/>
          <w:sz w:val="24"/>
        </w:rPr>
        <w:t>An</w:t>
      </w:r>
      <w:r>
        <w:rPr>
          <w:rFonts w:ascii="Times New Roman"/>
          <w:spacing w:val="65"/>
          <w:sz w:val="24"/>
        </w:rPr>
        <w:t> </w:t>
      </w:r>
      <w:r>
        <w:rPr>
          <w:rFonts w:ascii="Times New Roman"/>
          <w:sz w:val="24"/>
        </w:rPr>
        <w:t>optochin</w:t>
      </w:r>
      <w:r>
        <w:rPr>
          <w:rFonts w:ascii="Times New Roman"/>
          <w:spacing w:val="66"/>
          <w:sz w:val="24"/>
        </w:rPr>
        <w:t> </w:t>
      </w:r>
      <w:r>
        <w:rPr>
          <w:rFonts w:ascii="Times New Roman"/>
          <w:sz w:val="24"/>
        </w:rPr>
        <w:t>disc</w:t>
      </w:r>
      <w:r>
        <w:rPr>
          <w:rFonts w:ascii="Times New Roman"/>
          <w:spacing w:val="68"/>
          <w:sz w:val="24"/>
        </w:rPr>
        <w:t> </w:t>
      </w:r>
      <w:r>
        <w:rPr>
          <w:rFonts w:ascii="Times New Roman"/>
          <w:sz w:val="24"/>
        </w:rPr>
        <w:t>was</w:t>
      </w:r>
      <w:r>
        <w:rPr>
          <w:rFonts w:ascii="Times New Roman"/>
          <w:spacing w:val="71"/>
          <w:sz w:val="24"/>
        </w:rPr>
        <w:t> </w:t>
      </w:r>
      <w:r>
        <w:rPr>
          <w:rFonts w:ascii="Times New Roman"/>
          <w:sz w:val="24"/>
        </w:rPr>
        <w:t>placed</w:t>
      </w:r>
      <w:r>
        <w:rPr>
          <w:rFonts w:ascii="Times New Roman"/>
          <w:spacing w:val="66"/>
          <w:sz w:val="24"/>
        </w:rPr>
        <w:t> </w:t>
      </w:r>
      <w:r>
        <w:rPr>
          <w:rFonts w:ascii="Times New Roman"/>
          <w:sz w:val="24"/>
        </w:rPr>
        <w:t>in</w:t>
      </w:r>
      <w:r>
        <w:rPr>
          <w:rFonts w:ascii="Times New Roman"/>
          <w:spacing w:val="69"/>
          <w:sz w:val="24"/>
        </w:rPr>
        <w:t> </w:t>
      </w:r>
      <w:r>
        <w:rPr>
          <w:rFonts w:ascii="Times New Roman"/>
          <w:sz w:val="24"/>
        </w:rPr>
        <w:t>the</w:t>
      </w:r>
      <w:r>
        <w:rPr>
          <w:rFonts w:ascii="Times New Roman"/>
          <w:spacing w:val="68"/>
          <w:sz w:val="24"/>
        </w:rPr>
        <w:t> </w:t>
      </w:r>
      <w:r>
        <w:rPr>
          <w:rFonts w:ascii="Times New Roman"/>
          <w:sz w:val="24"/>
        </w:rPr>
        <w:t>centre</w:t>
      </w:r>
      <w:r>
        <w:rPr>
          <w:rFonts w:ascii="Times New Roman"/>
          <w:spacing w:val="71"/>
          <w:sz w:val="24"/>
        </w:rPr>
        <w:t> </w:t>
      </w:r>
      <w:r>
        <w:rPr>
          <w:rFonts w:ascii="Times New Roman"/>
          <w:sz w:val="24"/>
        </w:rPr>
        <w:t>of</w:t>
      </w:r>
      <w:r>
        <w:rPr>
          <w:rFonts w:ascii="Times New Roman"/>
          <w:spacing w:val="67"/>
          <w:sz w:val="24"/>
        </w:rPr>
        <w:t> </w:t>
      </w:r>
      <w:r>
        <w:rPr>
          <w:rFonts w:ascii="Times New Roman"/>
          <w:sz w:val="24"/>
        </w:rPr>
        <w:t>the</w:t>
      </w:r>
      <w:r>
        <w:rPr>
          <w:rFonts w:ascii="Times New Roman"/>
          <w:spacing w:val="65"/>
          <w:sz w:val="24"/>
        </w:rPr>
        <w:t> </w:t>
      </w:r>
      <w:r>
        <w:rPr>
          <w:rFonts w:ascii="Times New Roman"/>
          <w:sz w:val="24"/>
        </w:rPr>
        <w:t>streaked</w:t>
      </w:r>
      <w:r>
        <w:rPr>
          <w:rFonts w:ascii="Times New Roman"/>
          <w:spacing w:val="68"/>
          <w:sz w:val="24"/>
        </w:rPr>
        <w:t> </w:t>
      </w:r>
      <w:r>
        <w:rPr>
          <w:rFonts w:ascii="Times New Roman"/>
          <w:sz w:val="24"/>
        </w:rPr>
        <w:t>area</w:t>
      </w:r>
      <w:r>
        <w:rPr>
          <w:rFonts w:ascii="Times New Roman"/>
          <w:spacing w:val="67"/>
          <w:sz w:val="24"/>
        </w:rPr>
        <w:t> </w:t>
      </w:r>
      <w:r>
        <w:rPr>
          <w:rFonts w:ascii="Times New Roman"/>
          <w:sz w:val="24"/>
        </w:rPr>
        <w:t>and</w:t>
      </w:r>
      <w:r>
        <w:rPr>
          <w:rFonts w:ascii="Times New Roman"/>
          <w:spacing w:val="68"/>
          <w:sz w:val="24"/>
        </w:rPr>
        <w:t> </w:t>
      </w:r>
      <w:r>
        <w:rPr>
          <w:rFonts w:ascii="Times New Roman"/>
          <w:sz w:val="24"/>
        </w:rPr>
        <w:t>the</w:t>
      </w:r>
      <w:r>
        <w:rPr>
          <w:rFonts w:ascii="Times New Roman"/>
          <w:spacing w:val="65"/>
          <w:sz w:val="24"/>
        </w:rPr>
        <w:t> </w:t>
      </w:r>
      <w:r>
        <w:rPr>
          <w:rFonts w:ascii="Times New Roman"/>
          <w:sz w:val="24"/>
        </w:rPr>
        <w:t>plates incubated in candle jar at 37 </w:t>
      </w:r>
      <w:r>
        <w:rPr>
          <w:rFonts w:ascii="Times New Roman"/>
          <w:sz w:val="24"/>
          <w:vertAlign w:val="superscript"/>
        </w:rPr>
        <w:t>0</w:t>
      </w:r>
      <w:r>
        <w:rPr>
          <w:rFonts w:ascii="Times New Roman"/>
          <w:sz w:val="24"/>
          <w:vertAlign w:val="baseline"/>
        </w:rPr>
        <w:t>C.</w:t>
      </w:r>
    </w:p>
    <w:p>
      <w:pPr>
        <w:spacing w:before="0"/>
        <w:ind w:left="1100" w:right="0"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plates</w:t>
      </w:r>
      <w:r>
        <w:rPr>
          <w:rFonts w:ascii="Times New Roman"/>
          <w:spacing w:val="-1"/>
          <w:sz w:val="24"/>
        </w:rPr>
        <w:t> </w:t>
      </w:r>
      <w:r>
        <w:rPr>
          <w:rFonts w:ascii="Times New Roman"/>
          <w:sz w:val="24"/>
        </w:rPr>
        <w:t>were</w:t>
      </w:r>
      <w:r>
        <w:rPr>
          <w:rFonts w:ascii="Times New Roman"/>
          <w:spacing w:val="-2"/>
          <w:sz w:val="24"/>
        </w:rPr>
        <w:t> </w:t>
      </w:r>
      <w:r>
        <w:rPr>
          <w:rFonts w:ascii="Times New Roman"/>
          <w:sz w:val="24"/>
        </w:rPr>
        <w:t>observed</w:t>
      </w:r>
      <w:r>
        <w:rPr>
          <w:rFonts w:ascii="Times New Roman"/>
          <w:spacing w:val="1"/>
          <w:sz w:val="24"/>
        </w:rPr>
        <w:t> </w:t>
      </w:r>
      <w:r>
        <w:rPr>
          <w:rFonts w:ascii="Times New Roman"/>
          <w:sz w:val="24"/>
        </w:rPr>
        <w:t>after</w:t>
      </w:r>
      <w:r>
        <w:rPr>
          <w:rFonts w:ascii="Times New Roman"/>
          <w:spacing w:val="-1"/>
          <w:sz w:val="24"/>
        </w:rPr>
        <w:t> </w:t>
      </w:r>
      <w:r>
        <w:rPr>
          <w:rFonts w:ascii="Times New Roman"/>
          <w:sz w:val="24"/>
        </w:rPr>
        <w:t>24 hours</w:t>
      </w:r>
      <w:r>
        <w:rPr>
          <w:rFonts w:ascii="Times New Roman"/>
          <w:spacing w:val="-1"/>
          <w:sz w:val="24"/>
        </w:rPr>
        <w:t> </w:t>
      </w:r>
      <w:r>
        <w:rPr>
          <w:rFonts w:ascii="Times New Roman"/>
          <w:sz w:val="24"/>
        </w:rPr>
        <w:t>of </w:t>
      </w:r>
      <w:r>
        <w:rPr>
          <w:rFonts w:ascii="Times New Roman"/>
          <w:spacing w:val="-2"/>
          <w:sz w:val="24"/>
        </w:rPr>
        <w:t>incubation.</w:t>
      </w:r>
    </w:p>
    <w:p>
      <w:pPr>
        <w:pStyle w:val="BodyText"/>
        <w:rPr>
          <w:rFonts w:ascii="Times New Roman"/>
          <w:sz w:val="24"/>
        </w:rPr>
      </w:pPr>
    </w:p>
    <w:p>
      <w:pPr>
        <w:spacing w:line="480" w:lineRule="auto" w:before="0"/>
        <w:ind w:left="1100" w:right="975" w:firstLine="0"/>
        <w:jc w:val="left"/>
        <w:rPr>
          <w:rFonts w:ascii="Times New Roman"/>
          <w:sz w:val="24"/>
        </w:rPr>
      </w:pPr>
      <w:r>
        <w:rPr>
          <w:rFonts w:ascii="Times New Roman"/>
          <w:sz w:val="24"/>
        </w:rPr>
        <w:t>A</w:t>
      </w:r>
      <w:r>
        <w:rPr>
          <w:rFonts w:ascii="Times New Roman"/>
          <w:spacing w:val="-3"/>
          <w:sz w:val="24"/>
        </w:rPr>
        <w:t> </w:t>
      </w:r>
      <w:r>
        <w:rPr>
          <w:rFonts w:ascii="Times New Roman"/>
          <w:sz w:val="24"/>
        </w:rPr>
        <w:t>wide</w:t>
      </w:r>
      <w:r>
        <w:rPr>
          <w:rFonts w:ascii="Times New Roman"/>
          <w:spacing w:val="-3"/>
          <w:sz w:val="24"/>
        </w:rPr>
        <w:t> </w:t>
      </w:r>
      <w:r>
        <w:rPr>
          <w:rFonts w:ascii="Times New Roman"/>
          <w:sz w:val="24"/>
        </w:rPr>
        <w:t>zone</w:t>
      </w:r>
      <w:r>
        <w:rPr>
          <w:rFonts w:ascii="Times New Roman"/>
          <w:spacing w:val="-3"/>
          <w:sz w:val="24"/>
        </w:rPr>
        <w:t> </w:t>
      </w:r>
      <w:r>
        <w:rPr>
          <w:rFonts w:ascii="Times New Roman"/>
          <w:sz w:val="24"/>
        </w:rPr>
        <w:t>of</w:t>
      </w:r>
      <w:r>
        <w:rPr>
          <w:rFonts w:ascii="Times New Roman"/>
          <w:spacing w:val="-3"/>
          <w:sz w:val="24"/>
        </w:rPr>
        <w:t> </w:t>
      </w:r>
      <w:r>
        <w:rPr>
          <w:rFonts w:ascii="Times New Roman"/>
          <w:sz w:val="24"/>
        </w:rPr>
        <w:t>inhibition</w:t>
      </w:r>
      <w:r>
        <w:rPr>
          <w:rFonts w:ascii="Times New Roman"/>
          <w:spacing w:val="-3"/>
          <w:sz w:val="24"/>
        </w:rPr>
        <w:t> </w:t>
      </w:r>
      <w:r>
        <w:rPr>
          <w:rFonts w:ascii="Times New Roman"/>
          <w:sz w:val="24"/>
        </w:rPr>
        <w:t>indicated</w:t>
      </w:r>
      <w:r>
        <w:rPr>
          <w:rFonts w:ascii="Times New Roman"/>
          <w:spacing w:val="-3"/>
          <w:sz w:val="24"/>
        </w:rPr>
        <w:t> </w:t>
      </w:r>
      <w:r>
        <w:rPr>
          <w:rFonts w:ascii="Times New Roman"/>
          <w:sz w:val="24"/>
        </w:rPr>
        <w:t>a</w:t>
      </w:r>
      <w:r>
        <w:rPr>
          <w:rFonts w:ascii="Times New Roman"/>
          <w:spacing w:val="-4"/>
          <w:sz w:val="24"/>
        </w:rPr>
        <w:t> </w:t>
      </w:r>
      <w:r>
        <w:rPr>
          <w:rFonts w:ascii="Times New Roman"/>
          <w:sz w:val="24"/>
        </w:rPr>
        <w:t>positive</w:t>
      </w:r>
      <w:r>
        <w:rPr>
          <w:rFonts w:ascii="Times New Roman"/>
          <w:spacing w:val="-3"/>
          <w:sz w:val="24"/>
        </w:rPr>
        <w:t> </w:t>
      </w:r>
      <w:r>
        <w:rPr>
          <w:rFonts w:ascii="Times New Roman"/>
          <w:sz w:val="24"/>
        </w:rPr>
        <w:t>test</w:t>
      </w:r>
      <w:r>
        <w:rPr>
          <w:rFonts w:ascii="Times New Roman"/>
          <w:spacing w:val="-3"/>
          <w:sz w:val="24"/>
        </w:rPr>
        <w:t> </w:t>
      </w:r>
      <w:r>
        <w:rPr>
          <w:rFonts w:ascii="Times New Roman"/>
          <w:sz w:val="24"/>
        </w:rPr>
        <w:t>(i.e.</w:t>
      </w:r>
      <w:r>
        <w:rPr>
          <w:rFonts w:ascii="Times New Roman"/>
          <w:spacing w:val="-3"/>
          <w:sz w:val="24"/>
        </w:rPr>
        <w:t> </w:t>
      </w:r>
      <w:r>
        <w:rPr>
          <w:rFonts w:ascii="Times New Roman"/>
          <w:sz w:val="24"/>
        </w:rPr>
        <w:t>sensitivity</w:t>
      </w:r>
      <w:r>
        <w:rPr>
          <w:rFonts w:ascii="Times New Roman"/>
          <w:spacing w:val="-7"/>
          <w:sz w:val="24"/>
        </w:rPr>
        <w:t> </w:t>
      </w:r>
      <w:r>
        <w:rPr>
          <w:rFonts w:ascii="Times New Roman"/>
          <w:sz w:val="24"/>
        </w:rPr>
        <w:t>to</w:t>
      </w:r>
      <w:r>
        <w:rPr>
          <w:rFonts w:ascii="Times New Roman"/>
          <w:spacing w:val="-3"/>
          <w:sz w:val="24"/>
        </w:rPr>
        <w:t> </w:t>
      </w:r>
      <w:r>
        <w:rPr>
          <w:rFonts w:ascii="Times New Roman"/>
          <w:sz w:val="24"/>
        </w:rPr>
        <w:t>optochin). Absence of a zone of inhibition indicated a negative result.</w:t>
      </w:r>
    </w:p>
    <w:p>
      <w:pPr>
        <w:spacing w:after="0" w:line="480" w:lineRule="auto"/>
        <w:jc w:val="left"/>
        <w:rPr>
          <w:rFonts w:ascii="Times New Roman"/>
          <w:sz w:val="24"/>
        </w:rPr>
        <w:sectPr>
          <w:pgSz w:w="11910" w:h="16840"/>
          <w:pgMar w:header="0" w:footer="1055" w:top="1800" w:bottom="1240" w:left="1060" w:right="460"/>
        </w:sectPr>
      </w:pPr>
    </w:p>
    <w:p>
      <w:pPr>
        <w:pStyle w:val="ListParagraph"/>
        <w:numPr>
          <w:ilvl w:val="3"/>
          <w:numId w:val="2"/>
        </w:numPr>
        <w:tabs>
          <w:tab w:pos="1042" w:val="left" w:leader="none"/>
        </w:tabs>
        <w:spacing w:line="240" w:lineRule="auto" w:before="250" w:after="0"/>
        <w:ind w:left="1042" w:right="0" w:hanging="662"/>
        <w:jc w:val="left"/>
        <w:rPr>
          <w:i/>
          <w:sz w:val="22"/>
        </w:rPr>
      </w:pPr>
      <w:r>
        <w:rPr>
          <w:i/>
          <w:sz w:val="22"/>
        </w:rPr>
        <w:t>Bile</w:t>
      </w:r>
      <w:r>
        <w:rPr>
          <w:i/>
          <w:spacing w:val="-9"/>
          <w:sz w:val="22"/>
        </w:rPr>
        <w:t> </w:t>
      </w:r>
      <w:r>
        <w:rPr>
          <w:i/>
          <w:sz w:val="22"/>
        </w:rPr>
        <w:t>solubility</w:t>
      </w:r>
      <w:r>
        <w:rPr>
          <w:i/>
          <w:spacing w:val="-3"/>
          <w:sz w:val="22"/>
        </w:rPr>
        <w:t> </w:t>
      </w:r>
      <w:r>
        <w:rPr>
          <w:i/>
          <w:spacing w:val="-4"/>
          <w:sz w:val="22"/>
        </w:rPr>
        <w:t>test</w:t>
      </w:r>
    </w:p>
    <w:p>
      <w:pPr>
        <w:pStyle w:val="BodyText"/>
        <w:spacing w:before="161"/>
        <w:rPr>
          <w:i/>
        </w:rPr>
      </w:pPr>
    </w:p>
    <w:p>
      <w:pPr>
        <w:tabs>
          <w:tab w:pos="9079" w:val="left" w:leader="none"/>
        </w:tabs>
        <w:spacing w:line="480" w:lineRule="auto" w:before="0"/>
        <w:ind w:left="1100" w:right="978" w:firstLine="0"/>
        <w:jc w:val="left"/>
        <w:rPr>
          <w:sz w:val="22"/>
        </w:rPr>
      </w:pPr>
      <w:r>
        <w:rPr>
          <w:sz w:val="22"/>
        </w:rPr>
        <w:t>This helps to differentiate </w:t>
      </w:r>
      <w:r>
        <w:rPr>
          <w:i/>
          <w:sz w:val="22"/>
        </w:rPr>
        <w:t>Streptococcus pneumoniae</w:t>
      </w:r>
      <w:r>
        <w:rPr>
          <w:sz w:val="22"/>
        </w:rPr>
        <w:t>, which is soluble in bile and</w:t>
        <w:tab/>
      </w:r>
      <w:r>
        <w:rPr>
          <w:spacing w:val="-4"/>
          <w:sz w:val="22"/>
        </w:rPr>
        <w:t>bile </w:t>
      </w:r>
      <w:r>
        <w:rPr>
          <w:sz w:val="22"/>
        </w:rPr>
        <w:t>salts, from other </w:t>
      </w:r>
      <w:r>
        <w:rPr>
          <w:i/>
          <w:sz w:val="22"/>
        </w:rPr>
        <w:t>alpha-haemolytic Streptococci </w:t>
      </w:r>
      <w:r>
        <w:rPr>
          <w:sz w:val="22"/>
        </w:rPr>
        <w:t>(</w:t>
      </w:r>
      <w:r>
        <w:rPr>
          <w:i/>
          <w:sz w:val="22"/>
        </w:rPr>
        <w:t>Viridans Streptococci</w:t>
      </w:r>
      <w:r>
        <w:rPr>
          <w:sz w:val="22"/>
        </w:rPr>
        <w:t>) which are insoluble.</w:t>
      </w:r>
    </w:p>
    <w:p>
      <w:pPr>
        <w:spacing w:before="159"/>
        <w:ind w:left="978" w:right="0" w:firstLine="0"/>
        <w:jc w:val="left"/>
        <w:rPr>
          <w:sz w:val="22"/>
        </w:rPr>
      </w:pPr>
      <w:r>
        <w:rPr>
          <w:i/>
          <w:sz w:val="22"/>
        </w:rPr>
        <w:t>Tube</w:t>
      </w:r>
      <w:r>
        <w:rPr>
          <w:i/>
          <w:spacing w:val="-3"/>
          <w:sz w:val="22"/>
        </w:rPr>
        <w:t> </w:t>
      </w:r>
      <w:r>
        <w:rPr>
          <w:i/>
          <w:spacing w:val="-2"/>
          <w:sz w:val="22"/>
        </w:rPr>
        <w:t>method</w:t>
      </w:r>
      <w:r>
        <w:rPr>
          <w:spacing w:val="-2"/>
          <w:sz w:val="22"/>
        </w:rPr>
        <w:t>:</w:t>
      </w:r>
    </w:p>
    <w:p>
      <w:pPr>
        <w:pStyle w:val="BodyText"/>
        <w:spacing w:before="160"/>
      </w:pPr>
    </w:p>
    <w:p>
      <w:pPr>
        <w:pStyle w:val="BodyText"/>
        <w:spacing w:line="480" w:lineRule="auto"/>
        <w:ind w:left="1100" w:right="975"/>
      </w:pPr>
      <w:r>
        <w:rPr/>
        <w:t>Although the bile solubility test can be performed by testing colonies directly on a culture</w:t>
      </w:r>
      <w:r>
        <w:rPr>
          <w:spacing w:val="80"/>
        </w:rPr>
        <w:t> </w:t>
      </w:r>
      <w:r>
        <w:rPr/>
        <w:t>plate or on</w:t>
      </w:r>
      <w:r>
        <w:rPr>
          <w:spacing w:val="-2"/>
        </w:rPr>
        <w:t> </w:t>
      </w:r>
      <w:r>
        <w:rPr/>
        <w:t>a slide, a tube technique is recommended</w:t>
      </w:r>
      <w:r>
        <w:rPr>
          <w:spacing w:val="-1"/>
        </w:rPr>
        <w:t> </w:t>
      </w:r>
      <w:r>
        <w:rPr/>
        <w:t>because the results are easier to read:</w:t>
      </w:r>
    </w:p>
    <w:p>
      <w:pPr>
        <w:pStyle w:val="BodyText"/>
        <w:spacing w:line="480" w:lineRule="auto" w:before="162"/>
        <w:ind w:left="1100"/>
      </w:pPr>
      <w:r>
        <w:rPr/>
        <w:t>Several</w:t>
      </w:r>
      <w:r>
        <w:rPr>
          <w:spacing w:val="40"/>
        </w:rPr>
        <w:t> </w:t>
      </w:r>
      <w:r>
        <w:rPr/>
        <w:t>colonies</w:t>
      </w:r>
      <w:r>
        <w:rPr>
          <w:spacing w:val="40"/>
        </w:rPr>
        <w:t> </w:t>
      </w:r>
      <w:r>
        <w:rPr/>
        <w:t>of</w:t>
      </w:r>
      <w:r>
        <w:rPr>
          <w:spacing w:val="40"/>
        </w:rPr>
        <w:t> </w:t>
      </w:r>
      <w:r>
        <w:rPr/>
        <w:t>the</w:t>
      </w:r>
      <w:r>
        <w:rPr>
          <w:spacing w:val="40"/>
        </w:rPr>
        <w:t> </w:t>
      </w:r>
      <w:r>
        <w:rPr/>
        <w:t>test</w:t>
      </w:r>
      <w:r>
        <w:rPr>
          <w:spacing w:val="40"/>
        </w:rPr>
        <w:t> </w:t>
      </w:r>
      <w:r>
        <w:rPr/>
        <w:t>organism</w:t>
      </w:r>
      <w:r>
        <w:rPr>
          <w:spacing w:val="40"/>
        </w:rPr>
        <w:t> </w:t>
      </w:r>
      <w:r>
        <w:rPr/>
        <w:t>were</w:t>
      </w:r>
      <w:r>
        <w:rPr>
          <w:spacing w:val="40"/>
        </w:rPr>
        <w:t> </w:t>
      </w:r>
      <w:r>
        <w:rPr/>
        <w:t>emulsified</w:t>
      </w:r>
      <w:r>
        <w:rPr>
          <w:spacing w:val="40"/>
        </w:rPr>
        <w:t> </w:t>
      </w:r>
      <w:r>
        <w:rPr/>
        <w:t>in</w:t>
      </w:r>
      <w:r>
        <w:rPr>
          <w:spacing w:val="40"/>
        </w:rPr>
        <w:t> </w:t>
      </w:r>
      <w:r>
        <w:rPr/>
        <w:t>a</w:t>
      </w:r>
      <w:r>
        <w:rPr>
          <w:spacing w:val="40"/>
        </w:rPr>
        <w:t> </w:t>
      </w:r>
      <w:r>
        <w:rPr/>
        <w:t>tube</w:t>
      </w:r>
      <w:r>
        <w:rPr>
          <w:spacing w:val="40"/>
        </w:rPr>
        <w:t> </w:t>
      </w:r>
      <w:r>
        <w:rPr/>
        <w:t>containing</w:t>
      </w:r>
      <w:r>
        <w:rPr>
          <w:spacing w:val="40"/>
        </w:rPr>
        <w:t> </w:t>
      </w:r>
      <w:r>
        <w:rPr/>
        <w:t>2</w:t>
      </w:r>
      <w:r>
        <w:rPr>
          <w:spacing w:val="40"/>
        </w:rPr>
        <w:t> </w:t>
      </w:r>
      <w:r>
        <w:rPr/>
        <w:t>ml</w:t>
      </w:r>
      <w:r>
        <w:rPr>
          <w:spacing w:val="40"/>
        </w:rPr>
        <w:t> </w:t>
      </w:r>
      <w:r>
        <w:rPr/>
        <w:t>sterile physiological saline, to give a turbid suspension.</w:t>
      </w:r>
    </w:p>
    <w:p>
      <w:pPr>
        <w:pStyle w:val="BodyText"/>
        <w:spacing w:before="162"/>
        <w:ind w:left="1040"/>
      </w:pPr>
      <w:r>
        <w:rPr/>
        <w:t>The</w:t>
      </w:r>
      <w:r>
        <w:rPr>
          <w:spacing w:val="-6"/>
        </w:rPr>
        <w:t> </w:t>
      </w:r>
      <w:r>
        <w:rPr/>
        <w:t>suspension</w:t>
      </w:r>
      <w:r>
        <w:rPr>
          <w:spacing w:val="-6"/>
        </w:rPr>
        <w:t> </w:t>
      </w:r>
      <w:r>
        <w:rPr/>
        <w:t>was</w:t>
      </w:r>
      <w:r>
        <w:rPr>
          <w:spacing w:val="-6"/>
        </w:rPr>
        <w:t> </w:t>
      </w:r>
      <w:r>
        <w:rPr/>
        <w:t>divided</w:t>
      </w:r>
      <w:r>
        <w:rPr>
          <w:spacing w:val="-3"/>
        </w:rPr>
        <w:t> </w:t>
      </w:r>
      <w:r>
        <w:rPr/>
        <w:t>into</w:t>
      </w:r>
      <w:r>
        <w:rPr>
          <w:spacing w:val="-5"/>
        </w:rPr>
        <w:t> </w:t>
      </w:r>
      <w:r>
        <w:rPr/>
        <w:t>two</w:t>
      </w:r>
      <w:r>
        <w:rPr>
          <w:spacing w:val="-2"/>
        </w:rPr>
        <w:t> </w:t>
      </w:r>
      <w:r>
        <w:rPr/>
        <w:t>test</w:t>
      </w:r>
      <w:r>
        <w:rPr>
          <w:spacing w:val="-5"/>
        </w:rPr>
        <w:t> </w:t>
      </w:r>
      <w:r>
        <w:rPr>
          <w:spacing w:val="-2"/>
        </w:rPr>
        <w:t>tubes.</w:t>
      </w:r>
    </w:p>
    <w:p>
      <w:pPr>
        <w:pStyle w:val="BodyText"/>
        <w:spacing w:before="197"/>
      </w:pPr>
    </w:p>
    <w:p>
      <w:pPr>
        <w:pStyle w:val="BodyText"/>
        <w:ind w:left="1040"/>
      </w:pPr>
      <w:r>
        <w:rPr/>
        <w:t>To</w:t>
      </w:r>
      <w:r>
        <w:rPr>
          <w:spacing w:val="-4"/>
        </w:rPr>
        <w:t> </w:t>
      </w:r>
      <w:r>
        <w:rPr/>
        <w:t>one</w:t>
      </w:r>
      <w:r>
        <w:rPr>
          <w:spacing w:val="-3"/>
        </w:rPr>
        <w:t> </w:t>
      </w:r>
      <w:r>
        <w:rPr/>
        <w:t>tube,</w:t>
      </w:r>
      <w:r>
        <w:rPr>
          <w:spacing w:val="-3"/>
        </w:rPr>
        <w:t> </w:t>
      </w:r>
      <w:r>
        <w:rPr/>
        <w:t>2</w:t>
      </w:r>
      <w:r>
        <w:rPr>
          <w:spacing w:val="-4"/>
        </w:rPr>
        <w:t> </w:t>
      </w:r>
      <w:r>
        <w:rPr/>
        <w:t>drops</w:t>
      </w:r>
      <w:r>
        <w:rPr>
          <w:spacing w:val="-5"/>
        </w:rPr>
        <w:t> </w:t>
      </w:r>
      <w:r>
        <w:rPr/>
        <w:t>of</w:t>
      </w:r>
      <w:r>
        <w:rPr>
          <w:spacing w:val="-5"/>
        </w:rPr>
        <w:t> </w:t>
      </w:r>
      <w:r>
        <w:rPr/>
        <w:t>sodium</w:t>
      </w:r>
      <w:r>
        <w:rPr>
          <w:spacing w:val="-2"/>
        </w:rPr>
        <w:t> </w:t>
      </w:r>
      <w:r>
        <w:rPr/>
        <w:t>deoxycholate</w:t>
      </w:r>
      <w:r>
        <w:rPr>
          <w:spacing w:val="-3"/>
        </w:rPr>
        <w:t> </w:t>
      </w:r>
      <w:r>
        <w:rPr/>
        <w:t>reagent</w:t>
      </w:r>
      <w:r>
        <w:rPr>
          <w:spacing w:val="-3"/>
        </w:rPr>
        <w:t> </w:t>
      </w:r>
      <w:r>
        <w:rPr/>
        <w:t>were</w:t>
      </w:r>
      <w:r>
        <w:rPr>
          <w:spacing w:val="-2"/>
        </w:rPr>
        <w:t> </w:t>
      </w:r>
      <w:r>
        <w:rPr/>
        <w:t>added</w:t>
      </w:r>
      <w:r>
        <w:rPr>
          <w:spacing w:val="-6"/>
        </w:rPr>
        <w:t> </w:t>
      </w:r>
      <w:r>
        <w:rPr/>
        <w:t>and</w:t>
      </w:r>
      <w:r>
        <w:rPr>
          <w:spacing w:val="-4"/>
        </w:rPr>
        <w:t> </w:t>
      </w:r>
      <w:r>
        <w:rPr>
          <w:spacing w:val="-2"/>
        </w:rPr>
        <w:t>mixed.</w:t>
      </w:r>
    </w:p>
    <w:p>
      <w:pPr>
        <w:pStyle w:val="BodyText"/>
        <w:spacing w:before="161"/>
      </w:pPr>
    </w:p>
    <w:p>
      <w:pPr>
        <w:pStyle w:val="BodyText"/>
        <w:spacing w:line="477" w:lineRule="auto" w:before="1"/>
        <w:ind w:left="1100" w:right="975"/>
      </w:pPr>
      <w:r>
        <w:rPr/>
        <w:t>To</w:t>
      </w:r>
      <w:r>
        <w:rPr>
          <w:spacing w:val="40"/>
        </w:rPr>
        <w:t> </w:t>
      </w:r>
      <w:r>
        <w:rPr/>
        <w:t>the</w:t>
      </w:r>
      <w:r>
        <w:rPr>
          <w:spacing w:val="40"/>
        </w:rPr>
        <w:t> </w:t>
      </w:r>
      <w:r>
        <w:rPr/>
        <w:t>other</w:t>
      </w:r>
      <w:r>
        <w:rPr>
          <w:spacing w:val="40"/>
        </w:rPr>
        <w:t> </w:t>
      </w:r>
      <w:r>
        <w:rPr/>
        <w:t>tube</w:t>
      </w:r>
      <w:r>
        <w:rPr>
          <w:spacing w:val="40"/>
        </w:rPr>
        <w:t> </w:t>
      </w:r>
      <w:r>
        <w:rPr/>
        <w:t>(negative</w:t>
      </w:r>
      <w:r>
        <w:rPr>
          <w:spacing w:val="40"/>
        </w:rPr>
        <w:t> </w:t>
      </w:r>
      <w:r>
        <w:rPr/>
        <w:t>control);</w:t>
      </w:r>
      <w:r>
        <w:rPr>
          <w:spacing w:val="40"/>
        </w:rPr>
        <w:t> </w:t>
      </w:r>
      <w:r>
        <w:rPr/>
        <w:t>2</w:t>
      </w:r>
      <w:r>
        <w:rPr>
          <w:spacing w:val="40"/>
        </w:rPr>
        <w:t> </w:t>
      </w:r>
      <w:r>
        <w:rPr/>
        <w:t>drops</w:t>
      </w:r>
      <w:r>
        <w:rPr>
          <w:spacing w:val="40"/>
        </w:rPr>
        <w:t> </w:t>
      </w:r>
      <w:r>
        <w:rPr/>
        <w:t>of</w:t>
      </w:r>
      <w:r>
        <w:rPr>
          <w:spacing w:val="40"/>
        </w:rPr>
        <w:t> </w:t>
      </w:r>
      <w:r>
        <w:rPr/>
        <w:t>sterile</w:t>
      </w:r>
      <w:r>
        <w:rPr>
          <w:spacing w:val="40"/>
        </w:rPr>
        <w:t> </w:t>
      </w:r>
      <w:r>
        <w:rPr/>
        <w:t>distilled</w:t>
      </w:r>
      <w:r>
        <w:rPr>
          <w:spacing w:val="40"/>
        </w:rPr>
        <w:t> </w:t>
      </w:r>
      <w:r>
        <w:rPr/>
        <w:t>water</w:t>
      </w:r>
      <w:r>
        <w:rPr>
          <w:spacing w:val="40"/>
        </w:rPr>
        <w:t> </w:t>
      </w:r>
      <w:r>
        <w:rPr/>
        <w:t>were</w:t>
      </w:r>
      <w:r>
        <w:rPr>
          <w:spacing w:val="40"/>
        </w:rPr>
        <w:t> </w:t>
      </w:r>
      <w:r>
        <w:rPr/>
        <w:t>added</w:t>
      </w:r>
      <w:r>
        <w:rPr>
          <w:spacing w:val="40"/>
        </w:rPr>
        <w:t> </w:t>
      </w:r>
      <w:r>
        <w:rPr/>
        <w:t>and </w:t>
      </w:r>
      <w:r>
        <w:rPr>
          <w:spacing w:val="-2"/>
        </w:rPr>
        <w:t>mixed.</w:t>
      </w:r>
    </w:p>
    <w:p>
      <w:pPr>
        <w:pStyle w:val="BodyText"/>
        <w:spacing w:before="164"/>
        <w:ind w:left="1040"/>
      </w:pPr>
      <w:r>
        <w:rPr/>
        <w:t>Both</w:t>
      </w:r>
      <w:r>
        <w:rPr>
          <w:spacing w:val="-4"/>
        </w:rPr>
        <w:t> </w:t>
      </w:r>
      <w:r>
        <w:rPr/>
        <w:t>tubes</w:t>
      </w:r>
      <w:r>
        <w:rPr>
          <w:spacing w:val="-5"/>
        </w:rPr>
        <w:t> </w:t>
      </w:r>
      <w:r>
        <w:rPr/>
        <w:t>were</w:t>
      </w:r>
      <w:r>
        <w:rPr>
          <w:spacing w:val="-3"/>
        </w:rPr>
        <w:t> </w:t>
      </w:r>
      <w:r>
        <w:rPr/>
        <w:t>incubated</w:t>
      </w:r>
      <w:r>
        <w:rPr>
          <w:spacing w:val="-4"/>
        </w:rPr>
        <w:t> </w:t>
      </w:r>
      <w:r>
        <w:rPr/>
        <w:t>at</w:t>
      </w:r>
      <w:r>
        <w:rPr>
          <w:spacing w:val="-5"/>
        </w:rPr>
        <w:t> </w:t>
      </w:r>
      <w:r>
        <w:rPr/>
        <w:t>37</w:t>
      </w:r>
      <w:r>
        <w:rPr>
          <w:spacing w:val="1"/>
        </w:rPr>
        <w:t> </w:t>
      </w:r>
      <w:r>
        <w:rPr>
          <w:vertAlign w:val="superscript"/>
        </w:rPr>
        <w:t>0</w:t>
      </w:r>
      <w:r>
        <w:rPr>
          <w:vertAlign w:val="baseline"/>
        </w:rPr>
        <w:t>C</w:t>
      </w:r>
      <w:r>
        <w:rPr>
          <w:spacing w:val="-3"/>
          <w:vertAlign w:val="baseline"/>
        </w:rPr>
        <w:t> </w:t>
      </w:r>
      <w:r>
        <w:rPr>
          <w:vertAlign w:val="baseline"/>
        </w:rPr>
        <w:t>for</w:t>
      </w:r>
      <w:r>
        <w:rPr>
          <w:spacing w:val="-6"/>
          <w:vertAlign w:val="baseline"/>
        </w:rPr>
        <w:t> </w:t>
      </w:r>
      <w:r>
        <w:rPr>
          <w:vertAlign w:val="baseline"/>
        </w:rPr>
        <w:t>10–15</w:t>
      </w:r>
      <w:r>
        <w:rPr>
          <w:spacing w:val="-5"/>
          <w:vertAlign w:val="baseline"/>
        </w:rPr>
        <w:t> </w:t>
      </w:r>
      <w:r>
        <w:rPr>
          <w:spacing w:val="-2"/>
          <w:vertAlign w:val="baseline"/>
        </w:rPr>
        <w:t>minutes.</w:t>
      </w:r>
    </w:p>
    <w:p>
      <w:pPr>
        <w:pStyle w:val="BodyText"/>
        <w:spacing w:before="159"/>
      </w:pPr>
    </w:p>
    <w:p>
      <w:pPr>
        <w:pStyle w:val="BodyText"/>
        <w:spacing w:line="624" w:lineRule="auto"/>
        <w:ind w:left="1040" w:right="1639"/>
      </w:pPr>
      <w:r>
        <w:rPr/>
        <w:t>Clearing</w:t>
      </w:r>
      <w:r>
        <w:rPr>
          <w:spacing w:val="-6"/>
        </w:rPr>
        <w:t> </w:t>
      </w:r>
      <w:r>
        <w:rPr/>
        <w:t>of</w:t>
      </w:r>
      <w:r>
        <w:rPr>
          <w:spacing w:val="-3"/>
        </w:rPr>
        <w:t> </w:t>
      </w:r>
      <w:r>
        <w:rPr/>
        <w:t>turbidity</w:t>
      </w:r>
      <w:r>
        <w:rPr>
          <w:spacing w:val="-3"/>
        </w:rPr>
        <w:t> </w:t>
      </w:r>
      <w:r>
        <w:rPr/>
        <w:t>was</w:t>
      </w:r>
      <w:r>
        <w:rPr>
          <w:spacing w:val="-3"/>
        </w:rPr>
        <w:t> </w:t>
      </w:r>
      <w:r>
        <w:rPr/>
        <w:t>observed</w:t>
      </w:r>
      <w:r>
        <w:rPr>
          <w:spacing w:val="-6"/>
        </w:rPr>
        <w:t> </w:t>
      </w:r>
      <w:r>
        <w:rPr/>
        <w:t>in</w:t>
      </w:r>
      <w:r>
        <w:rPr>
          <w:spacing w:val="-3"/>
        </w:rPr>
        <w:t> </w:t>
      </w:r>
      <w:r>
        <w:rPr/>
        <w:t>the</w:t>
      </w:r>
      <w:r>
        <w:rPr>
          <w:spacing w:val="-5"/>
        </w:rPr>
        <w:t> </w:t>
      </w:r>
      <w:r>
        <w:rPr/>
        <w:t>tube</w:t>
      </w:r>
      <w:r>
        <w:rPr>
          <w:spacing w:val="-3"/>
        </w:rPr>
        <w:t> </w:t>
      </w:r>
      <w:r>
        <w:rPr/>
        <w:t>containing</w:t>
      </w:r>
      <w:r>
        <w:rPr>
          <w:spacing w:val="-4"/>
        </w:rPr>
        <w:t> </w:t>
      </w:r>
      <w:r>
        <w:rPr/>
        <w:t>the</w:t>
      </w:r>
      <w:r>
        <w:rPr>
          <w:spacing w:val="-3"/>
        </w:rPr>
        <w:t> </w:t>
      </w:r>
      <w:r>
        <w:rPr/>
        <w:t>sodium</w:t>
      </w:r>
      <w:r>
        <w:rPr>
          <w:spacing w:val="-2"/>
        </w:rPr>
        <w:t> </w:t>
      </w:r>
      <w:r>
        <w:rPr/>
        <w:t>deoxycholate. The test tube with cleared turbidity indicated a positive result.</w:t>
      </w:r>
    </w:p>
    <w:p>
      <w:pPr>
        <w:pStyle w:val="ListParagraph"/>
        <w:numPr>
          <w:ilvl w:val="3"/>
          <w:numId w:val="2"/>
        </w:numPr>
        <w:tabs>
          <w:tab w:pos="1041" w:val="left" w:leader="none"/>
        </w:tabs>
        <w:spacing w:line="267" w:lineRule="exact" w:before="0" w:after="0"/>
        <w:ind w:left="1041" w:right="0" w:hanging="661"/>
        <w:jc w:val="left"/>
        <w:rPr>
          <w:i/>
          <w:sz w:val="22"/>
        </w:rPr>
      </w:pPr>
      <w:r>
        <w:rPr>
          <w:i/>
          <w:sz w:val="22"/>
        </w:rPr>
        <w:t>Catalase</w:t>
      </w:r>
      <w:r>
        <w:rPr>
          <w:i/>
          <w:spacing w:val="-6"/>
          <w:sz w:val="22"/>
        </w:rPr>
        <w:t> </w:t>
      </w:r>
      <w:r>
        <w:rPr>
          <w:i/>
          <w:spacing w:val="-4"/>
          <w:sz w:val="22"/>
        </w:rPr>
        <w:t>test</w:t>
      </w:r>
    </w:p>
    <w:p>
      <w:pPr>
        <w:pStyle w:val="BodyText"/>
        <w:spacing w:before="161"/>
        <w:rPr>
          <w:i/>
        </w:rPr>
      </w:pPr>
    </w:p>
    <w:p>
      <w:pPr>
        <w:pStyle w:val="BodyText"/>
        <w:ind w:left="1100"/>
      </w:pPr>
      <w:r>
        <w:rPr/>
        <w:t>This</w:t>
      </w:r>
      <w:r>
        <w:rPr>
          <w:spacing w:val="18"/>
        </w:rPr>
        <w:t> </w:t>
      </w:r>
      <w:r>
        <w:rPr/>
        <w:t>test</w:t>
      </w:r>
      <w:r>
        <w:rPr>
          <w:spacing w:val="17"/>
        </w:rPr>
        <w:t> </w:t>
      </w:r>
      <w:r>
        <w:rPr/>
        <w:t>is</w:t>
      </w:r>
      <w:r>
        <w:rPr>
          <w:spacing w:val="18"/>
        </w:rPr>
        <w:t> </w:t>
      </w:r>
      <w:r>
        <w:rPr/>
        <w:t>used</w:t>
      </w:r>
      <w:r>
        <w:rPr>
          <w:spacing w:val="18"/>
        </w:rPr>
        <w:t> </w:t>
      </w:r>
      <w:r>
        <w:rPr/>
        <w:t>to</w:t>
      </w:r>
      <w:r>
        <w:rPr>
          <w:spacing w:val="20"/>
        </w:rPr>
        <w:t> </w:t>
      </w:r>
      <w:r>
        <w:rPr/>
        <w:t>differentiate</w:t>
      </w:r>
      <w:r>
        <w:rPr>
          <w:spacing w:val="19"/>
        </w:rPr>
        <w:t> </w:t>
      </w:r>
      <w:r>
        <w:rPr/>
        <w:t>those</w:t>
      </w:r>
      <w:r>
        <w:rPr>
          <w:spacing w:val="19"/>
        </w:rPr>
        <w:t> </w:t>
      </w:r>
      <w:r>
        <w:rPr/>
        <w:t>bacteria</w:t>
      </w:r>
      <w:r>
        <w:rPr>
          <w:spacing w:val="16"/>
        </w:rPr>
        <w:t> </w:t>
      </w:r>
      <w:r>
        <w:rPr/>
        <w:t>that</w:t>
      </w:r>
      <w:r>
        <w:rPr>
          <w:spacing w:val="16"/>
        </w:rPr>
        <w:t> </w:t>
      </w:r>
      <w:r>
        <w:rPr/>
        <w:t>produce</w:t>
      </w:r>
      <w:r>
        <w:rPr>
          <w:spacing w:val="19"/>
        </w:rPr>
        <w:t> </w:t>
      </w:r>
      <w:r>
        <w:rPr/>
        <w:t>the</w:t>
      </w:r>
      <w:r>
        <w:rPr>
          <w:spacing w:val="16"/>
        </w:rPr>
        <w:t> </w:t>
      </w:r>
      <w:r>
        <w:rPr/>
        <w:t>enzyme</w:t>
      </w:r>
      <w:r>
        <w:rPr>
          <w:spacing w:val="17"/>
        </w:rPr>
        <w:t> </w:t>
      </w:r>
      <w:r>
        <w:rPr/>
        <w:t>catalase,</w:t>
      </w:r>
      <w:r>
        <w:rPr>
          <w:spacing w:val="19"/>
        </w:rPr>
        <w:t> </w:t>
      </w:r>
      <w:r>
        <w:rPr/>
        <w:t>such</w:t>
      </w:r>
      <w:r>
        <w:rPr>
          <w:spacing w:val="18"/>
        </w:rPr>
        <w:t> </w:t>
      </w:r>
      <w:r>
        <w:rPr>
          <w:spacing w:val="-5"/>
        </w:rPr>
        <w:t>as</w:t>
      </w:r>
    </w:p>
    <w:p>
      <w:pPr>
        <w:pStyle w:val="BodyText"/>
        <w:spacing w:before="1"/>
      </w:pPr>
    </w:p>
    <w:p>
      <w:pPr>
        <w:spacing w:line="621" w:lineRule="auto" w:before="0"/>
        <w:ind w:left="1040" w:right="2308" w:firstLine="60"/>
        <w:jc w:val="left"/>
        <w:rPr>
          <w:sz w:val="22"/>
        </w:rPr>
      </w:pPr>
      <w:r>
        <w:rPr>
          <w:i/>
          <w:sz w:val="22"/>
        </w:rPr>
        <w:t>Staphylococci</w:t>
      </w:r>
      <w:r>
        <w:rPr>
          <w:sz w:val="22"/>
        </w:rPr>
        <w:t>,</w:t>
      </w:r>
      <w:r>
        <w:rPr>
          <w:spacing w:val="-5"/>
          <w:sz w:val="22"/>
        </w:rPr>
        <w:t> </w:t>
      </w:r>
      <w:r>
        <w:rPr>
          <w:sz w:val="22"/>
        </w:rPr>
        <w:t>from</w:t>
      </w:r>
      <w:r>
        <w:rPr>
          <w:spacing w:val="-4"/>
          <w:sz w:val="22"/>
        </w:rPr>
        <w:t> </w:t>
      </w:r>
      <w:r>
        <w:rPr>
          <w:sz w:val="22"/>
        </w:rPr>
        <w:t>non-catalase</w:t>
      </w:r>
      <w:r>
        <w:rPr>
          <w:spacing w:val="-5"/>
          <w:sz w:val="22"/>
        </w:rPr>
        <w:t> </w:t>
      </w:r>
      <w:r>
        <w:rPr>
          <w:sz w:val="22"/>
        </w:rPr>
        <w:t>producing</w:t>
      </w:r>
      <w:r>
        <w:rPr>
          <w:spacing w:val="-6"/>
          <w:sz w:val="22"/>
        </w:rPr>
        <w:t> </w:t>
      </w:r>
      <w:r>
        <w:rPr>
          <w:sz w:val="22"/>
        </w:rPr>
        <w:t>bacteria</w:t>
      </w:r>
      <w:r>
        <w:rPr>
          <w:spacing w:val="-5"/>
          <w:sz w:val="22"/>
        </w:rPr>
        <w:t> </w:t>
      </w:r>
      <w:r>
        <w:rPr>
          <w:sz w:val="22"/>
        </w:rPr>
        <w:t>such</w:t>
      </w:r>
      <w:r>
        <w:rPr>
          <w:spacing w:val="-5"/>
          <w:sz w:val="22"/>
        </w:rPr>
        <w:t> </w:t>
      </w:r>
      <w:r>
        <w:rPr>
          <w:sz w:val="22"/>
        </w:rPr>
        <w:t>as</w:t>
      </w:r>
      <w:r>
        <w:rPr>
          <w:spacing w:val="-5"/>
          <w:sz w:val="22"/>
        </w:rPr>
        <w:t> </w:t>
      </w:r>
      <w:r>
        <w:rPr>
          <w:i/>
          <w:sz w:val="22"/>
        </w:rPr>
        <w:t>Streptococci</w:t>
      </w:r>
      <w:r>
        <w:rPr>
          <w:sz w:val="22"/>
        </w:rPr>
        <w:t>. </w:t>
      </w:r>
      <w:r>
        <w:rPr>
          <w:spacing w:val="-2"/>
          <w:sz w:val="22"/>
        </w:rPr>
        <w:t>Method:</w:t>
      </w:r>
    </w:p>
    <w:p>
      <w:pPr>
        <w:pStyle w:val="BodyText"/>
        <w:spacing w:before="1"/>
        <w:ind w:left="1040"/>
      </w:pPr>
      <w:r>
        <w:rPr/>
        <w:t>About</w:t>
      </w:r>
      <w:r>
        <w:rPr>
          <w:spacing w:val="-5"/>
        </w:rPr>
        <w:t> </w:t>
      </w:r>
      <w:r>
        <w:rPr/>
        <w:t>2–3</w:t>
      </w:r>
      <w:r>
        <w:rPr>
          <w:spacing w:val="-4"/>
        </w:rPr>
        <w:t> </w:t>
      </w:r>
      <w:r>
        <w:rPr/>
        <w:t>ml</w:t>
      </w:r>
      <w:r>
        <w:rPr>
          <w:spacing w:val="-5"/>
        </w:rPr>
        <w:t> </w:t>
      </w:r>
      <w:r>
        <w:rPr/>
        <w:t>of</w:t>
      </w:r>
      <w:r>
        <w:rPr>
          <w:spacing w:val="-4"/>
        </w:rPr>
        <w:t> </w:t>
      </w:r>
      <w:r>
        <w:rPr/>
        <w:t>6</w:t>
      </w:r>
      <w:r>
        <w:rPr>
          <w:spacing w:val="-1"/>
        </w:rPr>
        <w:t> </w:t>
      </w:r>
      <w:r>
        <w:rPr/>
        <w:t>%</w:t>
      </w:r>
      <w:r>
        <w:rPr>
          <w:spacing w:val="-4"/>
        </w:rPr>
        <w:t> </w:t>
      </w:r>
      <w:r>
        <w:rPr/>
        <w:t>hydrogen</w:t>
      </w:r>
      <w:r>
        <w:rPr>
          <w:spacing w:val="-2"/>
        </w:rPr>
        <w:t> </w:t>
      </w:r>
      <w:r>
        <w:rPr/>
        <w:t>peroxide</w:t>
      </w:r>
      <w:r>
        <w:rPr>
          <w:spacing w:val="-5"/>
        </w:rPr>
        <w:t> </w:t>
      </w:r>
      <w:r>
        <w:rPr/>
        <w:t>solution</w:t>
      </w:r>
      <w:r>
        <w:rPr>
          <w:spacing w:val="-5"/>
        </w:rPr>
        <w:t> </w:t>
      </w:r>
      <w:r>
        <w:rPr/>
        <w:t>was</w:t>
      </w:r>
      <w:r>
        <w:rPr>
          <w:spacing w:val="-3"/>
        </w:rPr>
        <w:t> </w:t>
      </w:r>
      <w:r>
        <w:rPr/>
        <w:t>poured</w:t>
      </w:r>
      <w:r>
        <w:rPr>
          <w:spacing w:val="-2"/>
        </w:rPr>
        <w:t> </w:t>
      </w:r>
      <w:r>
        <w:rPr/>
        <w:t>into</w:t>
      </w:r>
      <w:r>
        <w:rPr>
          <w:spacing w:val="-2"/>
        </w:rPr>
        <w:t> </w:t>
      </w:r>
      <w:r>
        <w:rPr/>
        <w:t>a</w:t>
      </w:r>
      <w:r>
        <w:rPr>
          <w:spacing w:val="-4"/>
        </w:rPr>
        <w:t> </w:t>
      </w:r>
      <w:r>
        <w:rPr/>
        <w:t>test</w:t>
      </w:r>
      <w:r>
        <w:rPr>
          <w:spacing w:val="-1"/>
        </w:rPr>
        <w:t> </w:t>
      </w:r>
      <w:r>
        <w:rPr>
          <w:spacing w:val="-2"/>
        </w:rPr>
        <w:t>tube.</w:t>
      </w:r>
    </w:p>
    <w:p>
      <w:pPr>
        <w:spacing w:after="0"/>
        <w:sectPr>
          <w:pgSz w:w="11910" w:h="16840"/>
          <w:pgMar w:header="0" w:footer="1055" w:top="1920" w:bottom="1240" w:left="1060" w:right="460"/>
        </w:sectPr>
      </w:pPr>
    </w:p>
    <w:p>
      <w:pPr>
        <w:pStyle w:val="BodyText"/>
        <w:spacing w:line="480" w:lineRule="auto" w:before="38"/>
        <w:ind w:left="1100" w:right="973"/>
        <w:jc w:val="both"/>
      </w:pPr>
      <w:r>
        <w:rPr/>
        <w:t>Sterile glass rod was used to remove several colonies of the test organism and</w:t>
      </w:r>
      <w:r>
        <w:rPr>
          <w:spacing w:val="80"/>
        </w:rPr>
        <w:t> </w:t>
      </w:r>
      <w:r>
        <w:rPr/>
        <w:t>immersed in the hydrogen peroxide solution.</w:t>
      </w:r>
    </w:p>
    <w:p>
      <w:pPr>
        <w:pStyle w:val="BodyText"/>
        <w:spacing w:before="160"/>
        <w:ind w:left="1040"/>
        <w:jc w:val="both"/>
      </w:pPr>
      <w:r>
        <w:rPr/>
        <w:t>Immediate</w:t>
      </w:r>
      <w:r>
        <w:rPr>
          <w:spacing w:val="-7"/>
        </w:rPr>
        <w:t> </w:t>
      </w:r>
      <w:r>
        <w:rPr/>
        <w:t>bubbling</w:t>
      </w:r>
      <w:r>
        <w:rPr>
          <w:spacing w:val="-6"/>
        </w:rPr>
        <w:t> </w:t>
      </w:r>
      <w:r>
        <w:rPr/>
        <w:t>was</w:t>
      </w:r>
      <w:r>
        <w:rPr>
          <w:spacing w:val="-5"/>
        </w:rPr>
        <w:t> </w:t>
      </w:r>
      <w:r>
        <w:rPr/>
        <w:t>observed</w:t>
      </w:r>
      <w:r>
        <w:rPr>
          <w:spacing w:val="-7"/>
        </w:rPr>
        <w:t> </w:t>
      </w:r>
      <w:r>
        <w:rPr/>
        <w:t>for</w:t>
      </w:r>
      <w:r>
        <w:rPr>
          <w:spacing w:val="-8"/>
        </w:rPr>
        <w:t> </w:t>
      </w:r>
      <w:r>
        <w:rPr/>
        <w:t>catalase</w:t>
      </w:r>
      <w:r>
        <w:rPr>
          <w:spacing w:val="-5"/>
        </w:rPr>
        <w:t> </w:t>
      </w:r>
      <w:r>
        <w:rPr/>
        <w:t>positive</w:t>
      </w:r>
      <w:r>
        <w:rPr>
          <w:spacing w:val="-6"/>
        </w:rPr>
        <w:t> </w:t>
      </w:r>
      <w:r>
        <w:rPr>
          <w:spacing w:val="-2"/>
        </w:rPr>
        <w:t>organism.</w:t>
      </w:r>
    </w:p>
    <w:p>
      <w:pPr>
        <w:pStyle w:val="BodyText"/>
        <w:spacing w:before="161"/>
      </w:pPr>
    </w:p>
    <w:p>
      <w:pPr>
        <w:pStyle w:val="ListParagraph"/>
        <w:numPr>
          <w:ilvl w:val="3"/>
          <w:numId w:val="2"/>
        </w:numPr>
        <w:tabs>
          <w:tab w:pos="1041" w:val="left" w:leader="none"/>
        </w:tabs>
        <w:spacing w:line="240" w:lineRule="auto" w:before="0" w:after="0"/>
        <w:ind w:left="1041" w:right="0" w:hanging="661"/>
        <w:jc w:val="left"/>
        <w:rPr>
          <w:i/>
          <w:sz w:val="22"/>
        </w:rPr>
      </w:pPr>
      <w:r>
        <w:rPr>
          <w:i/>
          <w:sz w:val="22"/>
        </w:rPr>
        <w:t>Citrate</w:t>
      </w:r>
      <w:r>
        <w:rPr>
          <w:i/>
          <w:spacing w:val="-9"/>
          <w:sz w:val="22"/>
        </w:rPr>
        <w:t> </w:t>
      </w:r>
      <w:r>
        <w:rPr>
          <w:i/>
          <w:sz w:val="22"/>
        </w:rPr>
        <w:t>utilization</w:t>
      </w:r>
      <w:r>
        <w:rPr>
          <w:i/>
          <w:spacing w:val="-5"/>
          <w:sz w:val="22"/>
        </w:rPr>
        <w:t> </w:t>
      </w:r>
      <w:r>
        <w:rPr>
          <w:i/>
          <w:spacing w:val="-4"/>
          <w:sz w:val="22"/>
        </w:rPr>
        <w:t>test</w:t>
      </w:r>
    </w:p>
    <w:p>
      <w:pPr>
        <w:pStyle w:val="BodyText"/>
        <w:spacing w:before="159"/>
        <w:rPr>
          <w:i/>
        </w:rPr>
      </w:pPr>
    </w:p>
    <w:p>
      <w:pPr>
        <w:pStyle w:val="BodyText"/>
        <w:spacing w:line="480" w:lineRule="auto"/>
        <w:ind w:left="1100" w:right="972"/>
        <w:jc w:val="both"/>
      </w:pPr>
      <w:r>
        <w:rPr/>
        <w:t>This test is one of several techniques used occasionally to assist in the identification</w:t>
      </w:r>
      <w:r>
        <w:rPr>
          <w:spacing w:val="40"/>
        </w:rPr>
        <w:t>  </w:t>
      </w:r>
      <w:r>
        <w:rPr/>
        <w:t>of </w:t>
      </w:r>
      <w:r>
        <w:rPr>
          <w:i/>
        </w:rPr>
        <w:t>Enterobacteria</w:t>
      </w:r>
      <w:r>
        <w:rPr/>
        <w:t>. The test is based on the ability of an organism to use citrate as its only</w:t>
      </w:r>
      <w:r>
        <w:rPr>
          <w:spacing w:val="40"/>
        </w:rPr>
        <w:t> </w:t>
      </w:r>
      <w:r>
        <w:rPr/>
        <w:t>source of carbon.</w:t>
      </w:r>
    </w:p>
    <w:p>
      <w:pPr>
        <w:pStyle w:val="BodyText"/>
        <w:spacing w:before="161"/>
        <w:ind w:left="1040"/>
        <w:jc w:val="both"/>
      </w:pPr>
      <w:r>
        <w:rPr/>
        <w:t>Method</w:t>
      </w:r>
      <w:r>
        <w:rPr>
          <w:spacing w:val="-8"/>
        </w:rPr>
        <w:t> </w:t>
      </w:r>
      <w:r>
        <w:rPr/>
        <w:t>using</w:t>
      </w:r>
      <w:r>
        <w:rPr>
          <w:spacing w:val="-5"/>
        </w:rPr>
        <w:t> </w:t>
      </w:r>
      <w:r>
        <w:rPr/>
        <w:t>Simmon’s</w:t>
      </w:r>
      <w:r>
        <w:rPr>
          <w:spacing w:val="-4"/>
        </w:rPr>
        <w:t> </w:t>
      </w:r>
      <w:r>
        <w:rPr/>
        <w:t>citrate</w:t>
      </w:r>
      <w:r>
        <w:rPr>
          <w:spacing w:val="-3"/>
        </w:rPr>
        <w:t> </w:t>
      </w:r>
      <w:r>
        <w:rPr>
          <w:spacing w:val="-4"/>
        </w:rPr>
        <w:t>agar:</w:t>
      </w:r>
    </w:p>
    <w:p>
      <w:pPr>
        <w:pStyle w:val="BodyText"/>
        <w:spacing w:before="161"/>
      </w:pPr>
    </w:p>
    <w:p>
      <w:pPr>
        <w:pStyle w:val="BodyText"/>
        <w:ind w:left="1100"/>
        <w:jc w:val="both"/>
      </w:pPr>
      <w:r>
        <w:rPr/>
        <w:t>Slopes</w:t>
      </w:r>
      <w:r>
        <w:rPr>
          <w:spacing w:val="-8"/>
        </w:rPr>
        <w:t> </w:t>
      </w:r>
      <w:r>
        <w:rPr/>
        <w:t>of</w:t>
      </w:r>
      <w:r>
        <w:rPr>
          <w:spacing w:val="-3"/>
        </w:rPr>
        <w:t> </w:t>
      </w:r>
      <w:r>
        <w:rPr/>
        <w:t>the</w:t>
      </w:r>
      <w:r>
        <w:rPr>
          <w:spacing w:val="-5"/>
        </w:rPr>
        <w:t> </w:t>
      </w:r>
      <w:r>
        <w:rPr/>
        <w:t>medium</w:t>
      </w:r>
      <w:r>
        <w:rPr>
          <w:spacing w:val="-5"/>
        </w:rPr>
        <w:t> </w:t>
      </w:r>
      <w:r>
        <w:rPr/>
        <w:t>were</w:t>
      </w:r>
      <w:r>
        <w:rPr>
          <w:spacing w:val="-5"/>
        </w:rPr>
        <w:t> </w:t>
      </w:r>
      <w:r>
        <w:rPr/>
        <w:t>prepared</w:t>
      </w:r>
      <w:r>
        <w:rPr>
          <w:spacing w:val="-4"/>
        </w:rPr>
        <w:t> </w:t>
      </w:r>
      <w:r>
        <w:rPr/>
        <w:t>in</w:t>
      </w:r>
      <w:r>
        <w:rPr>
          <w:spacing w:val="-3"/>
        </w:rPr>
        <w:t> </w:t>
      </w:r>
      <w:r>
        <w:rPr/>
        <w:t>bijou</w:t>
      </w:r>
      <w:r>
        <w:rPr>
          <w:spacing w:val="-5"/>
        </w:rPr>
        <w:t> </w:t>
      </w:r>
      <w:r>
        <w:rPr/>
        <w:t>bottles</w:t>
      </w:r>
      <w:r>
        <w:rPr>
          <w:spacing w:val="-5"/>
        </w:rPr>
        <w:t> </w:t>
      </w:r>
      <w:r>
        <w:rPr/>
        <w:t>as</w:t>
      </w:r>
      <w:r>
        <w:rPr>
          <w:spacing w:val="-3"/>
        </w:rPr>
        <w:t> </w:t>
      </w:r>
      <w:r>
        <w:rPr/>
        <w:t>recommended</w:t>
      </w:r>
      <w:r>
        <w:rPr>
          <w:spacing w:val="-3"/>
        </w:rPr>
        <w:t> </w:t>
      </w:r>
      <w:r>
        <w:rPr/>
        <w:t>by</w:t>
      </w:r>
      <w:r>
        <w:rPr>
          <w:spacing w:val="-1"/>
        </w:rPr>
        <w:t> </w:t>
      </w:r>
      <w:r>
        <w:rPr/>
        <w:t>the</w:t>
      </w:r>
      <w:r>
        <w:rPr>
          <w:spacing w:val="-5"/>
        </w:rPr>
        <w:t> </w:t>
      </w:r>
      <w:r>
        <w:rPr>
          <w:spacing w:val="-2"/>
        </w:rPr>
        <w:t>manufacturer.</w:t>
      </w:r>
    </w:p>
    <w:p>
      <w:pPr>
        <w:pStyle w:val="BodyText"/>
        <w:spacing w:before="159"/>
      </w:pPr>
    </w:p>
    <w:p>
      <w:pPr>
        <w:pStyle w:val="BodyText"/>
        <w:spacing w:line="480" w:lineRule="auto"/>
        <w:ind w:left="1100" w:right="974"/>
        <w:jc w:val="both"/>
      </w:pPr>
      <w:r>
        <w:rPr/>
        <w:t>A sterile straight wire-loop was used to first streak the slope with a saline suspension of the test organism and then the butt was stabbed.</w:t>
      </w:r>
    </w:p>
    <w:p>
      <w:pPr>
        <w:pStyle w:val="BodyText"/>
        <w:spacing w:before="160"/>
        <w:ind w:left="1040"/>
        <w:jc w:val="both"/>
      </w:pPr>
      <w:r>
        <w:rPr/>
        <w:t>This</w:t>
      </w:r>
      <w:r>
        <w:rPr>
          <w:spacing w:val="-6"/>
        </w:rPr>
        <w:t> </w:t>
      </w:r>
      <w:r>
        <w:rPr/>
        <w:t>was</w:t>
      </w:r>
      <w:r>
        <w:rPr>
          <w:spacing w:val="-3"/>
        </w:rPr>
        <w:t> </w:t>
      </w:r>
      <w:r>
        <w:rPr/>
        <w:t>then</w:t>
      </w:r>
      <w:r>
        <w:rPr>
          <w:spacing w:val="-3"/>
        </w:rPr>
        <w:t> </w:t>
      </w:r>
      <w:r>
        <w:rPr/>
        <w:t>incubated</w:t>
      </w:r>
      <w:r>
        <w:rPr>
          <w:spacing w:val="-4"/>
        </w:rPr>
        <w:t> </w:t>
      </w:r>
      <w:r>
        <w:rPr/>
        <w:t>at</w:t>
      </w:r>
      <w:r>
        <w:rPr>
          <w:spacing w:val="-3"/>
        </w:rPr>
        <w:t> </w:t>
      </w:r>
      <w:r>
        <w:rPr/>
        <w:t>37 </w:t>
      </w:r>
      <w:r>
        <w:rPr>
          <w:vertAlign w:val="superscript"/>
        </w:rPr>
        <w:t>0</w:t>
      </w:r>
      <w:r>
        <w:rPr>
          <w:vertAlign w:val="baseline"/>
        </w:rPr>
        <w:t>C</w:t>
      </w:r>
      <w:r>
        <w:rPr>
          <w:spacing w:val="-3"/>
          <w:vertAlign w:val="baseline"/>
        </w:rPr>
        <w:t> </w:t>
      </w:r>
      <w:r>
        <w:rPr>
          <w:vertAlign w:val="baseline"/>
        </w:rPr>
        <w:t>for</w:t>
      </w:r>
      <w:r>
        <w:rPr>
          <w:spacing w:val="-3"/>
          <w:vertAlign w:val="baseline"/>
        </w:rPr>
        <w:t> </w:t>
      </w:r>
      <w:r>
        <w:rPr>
          <w:vertAlign w:val="baseline"/>
        </w:rPr>
        <w:t>48</w:t>
      </w:r>
      <w:r>
        <w:rPr>
          <w:spacing w:val="-3"/>
          <w:vertAlign w:val="baseline"/>
        </w:rPr>
        <w:t> </w:t>
      </w:r>
      <w:r>
        <w:rPr>
          <w:spacing w:val="-2"/>
          <w:vertAlign w:val="baseline"/>
        </w:rPr>
        <w:t>hours.</w:t>
      </w:r>
    </w:p>
    <w:p>
      <w:pPr>
        <w:pStyle w:val="BodyText"/>
        <w:spacing w:before="161"/>
      </w:pPr>
    </w:p>
    <w:p>
      <w:pPr>
        <w:pStyle w:val="BodyText"/>
        <w:spacing w:line="480" w:lineRule="auto"/>
        <w:ind w:left="1100" w:right="975"/>
        <w:jc w:val="both"/>
      </w:pPr>
      <w:r>
        <w:rPr/>
        <w:t>A bright blue colour in the</w:t>
      </w:r>
      <w:r>
        <w:rPr>
          <w:spacing w:val="-1"/>
        </w:rPr>
        <w:t> </w:t>
      </w:r>
      <w:r>
        <w:rPr/>
        <w:t>medium (i.e. change in the</w:t>
      </w:r>
      <w:r>
        <w:rPr>
          <w:spacing w:val="-1"/>
        </w:rPr>
        <w:t> </w:t>
      </w:r>
      <w:r>
        <w:rPr/>
        <w:t>color of</w:t>
      </w:r>
      <w:r>
        <w:rPr>
          <w:spacing w:val="-1"/>
        </w:rPr>
        <w:t> </w:t>
      </w:r>
      <w:r>
        <w:rPr/>
        <w:t>the medium from</w:t>
      </w:r>
      <w:r>
        <w:rPr>
          <w:spacing w:val="80"/>
        </w:rPr>
        <w:t>  </w:t>
      </w:r>
      <w:r>
        <w:rPr/>
        <w:t>green to bright blue) indicated the presence of citrate positive organism.</w:t>
      </w:r>
    </w:p>
    <w:p>
      <w:pPr>
        <w:pStyle w:val="ListParagraph"/>
        <w:numPr>
          <w:ilvl w:val="3"/>
          <w:numId w:val="2"/>
        </w:numPr>
        <w:tabs>
          <w:tab w:pos="1041" w:val="left" w:leader="none"/>
        </w:tabs>
        <w:spacing w:line="240" w:lineRule="auto" w:before="159" w:after="0"/>
        <w:ind w:left="1041" w:right="0" w:hanging="661"/>
        <w:jc w:val="left"/>
        <w:rPr>
          <w:i/>
          <w:sz w:val="22"/>
        </w:rPr>
      </w:pPr>
      <w:r>
        <w:rPr>
          <w:i/>
          <w:sz w:val="22"/>
        </w:rPr>
        <w:t>Coagulase</w:t>
      </w:r>
      <w:r>
        <w:rPr>
          <w:i/>
          <w:spacing w:val="-10"/>
          <w:sz w:val="22"/>
        </w:rPr>
        <w:t> </w:t>
      </w:r>
      <w:r>
        <w:rPr>
          <w:i/>
          <w:spacing w:val="-4"/>
          <w:sz w:val="22"/>
        </w:rPr>
        <w:t>test</w:t>
      </w:r>
    </w:p>
    <w:p>
      <w:pPr>
        <w:pStyle w:val="BodyText"/>
        <w:spacing w:before="161"/>
        <w:rPr>
          <w:i/>
        </w:rPr>
      </w:pPr>
    </w:p>
    <w:p>
      <w:pPr>
        <w:pStyle w:val="BodyText"/>
        <w:spacing w:line="621" w:lineRule="auto" w:before="1"/>
        <w:ind w:left="980" w:right="2308" w:hanging="3"/>
      </w:pPr>
      <w:r>
        <w:rPr/>
        <w:t>This</w:t>
      </w:r>
      <w:r>
        <w:rPr>
          <w:spacing w:val="-3"/>
        </w:rPr>
        <w:t> </w:t>
      </w:r>
      <w:r>
        <w:rPr/>
        <w:t>test</w:t>
      </w:r>
      <w:r>
        <w:rPr>
          <w:spacing w:val="-5"/>
        </w:rPr>
        <w:t> </w:t>
      </w:r>
      <w:r>
        <w:rPr/>
        <w:t>was</w:t>
      </w:r>
      <w:r>
        <w:rPr>
          <w:spacing w:val="-3"/>
        </w:rPr>
        <w:t> </w:t>
      </w:r>
      <w:r>
        <w:rPr/>
        <w:t>used</w:t>
      </w:r>
      <w:r>
        <w:rPr>
          <w:spacing w:val="-3"/>
        </w:rPr>
        <w:t> </w:t>
      </w:r>
      <w:r>
        <w:rPr/>
        <w:t>to</w:t>
      </w:r>
      <w:r>
        <w:rPr>
          <w:spacing w:val="-2"/>
        </w:rPr>
        <w:t> </w:t>
      </w:r>
      <w:r>
        <w:rPr/>
        <w:t>identify</w:t>
      </w:r>
      <w:r>
        <w:rPr>
          <w:spacing w:val="-2"/>
        </w:rPr>
        <w:t> </w:t>
      </w:r>
      <w:r>
        <w:rPr>
          <w:i/>
        </w:rPr>
        <w:t>S.</w:t>
      </w:r>
      <w:r>
        <w:rPr>
          <w:i/>
          <w:spacing w:val="-3"/>
        </w:rPr>
        <w:t> </w:t>
      </w:r>
      <w:r>
        <w:rPr>
          <w:i/>
        </w:rPr>
        <w:t>aureus</w:t>
      </w:r>
      <w:r>
        <w:rPr>
          <w:i/>
          <w:spacing w:val="-5"/>
        </w:rPr>
        <w:t> </w:t>
      </w:r>
      <w:r>
        <w:rPr/>
        <w:t>which</w:t>
      </w:r>
      <w:r>
        <w:rPr>
          <w:spacing w:val="-5"/>
        </w:rPr>
        <w:t> </w:t>
      </w:r>
      <w:r>
        <w:rPr/>
        <w:t>produces</w:t>
      </w:r>
      <w:r>
        <w:rPr>
          <w:spacing w:val="-5"/>
        </w:rPr>
        <w:t> </w:t>
      </w:r>
      <w:r>
        <w:rPr/>
        <w:t>the</w:t>
      </w:r>
      <w:r>
        <w:rPr>
          <w:spacing w:val="-5"/>
        </w:rPr>
        <w:t> </w:t>
      </w:r>
      <w:r>
        <w:rPr/>
        <w:t>enzyme</w:t>
      </w:r>
      <w:r>
        <w:rPr>
          <w:spacing w:val="-3"/>
        </w:rPr>
        <w:t> </w:t>
      </w:r>
      <w:r>
        <w:rPr/>
        <w:t>coagulase. Slide test method (detects bound coagulase):</w:t>
      </w:r>
    </w:p>
    <w:p>
      <w:pPr>
        <w:pStyle w:val="ListParagraph"/>
        <w:numPr>
          <w:ilvl w:val="4"/>
          <w:numId w:val="2"/>
        </w:numPr>
        <w:tabs>
          <w:tab w:pos="1293" w:val="left" w:leader="none"/>
        </w:tabs>
        <w:spacing w:line="240" w:lineRule="auto" w:before="3" w:after="0"/>
        <w:ind w:left="1293" w:right="0" w:hanging="315"/>
        <w:jc w:val="left"/>
        <w:rPr>
          <w:sz w:val="22"/>
        </w:rPr>
      </w:pPr>
      <w:r>
        <w:rPr>
          <w:sz w:val="22"/>
        </w:rPr>
        <w:t>A</w:t>
      </w:r>
      <w:r>
        <w:rPr>
          <w:spacing w:val="-5"/>
          <w:sz w:val="22"/>
        </w:rPr>
        <w:t> </w:t>
      </w:r>
      <w:r>
        <w:rPr>
          <w:sz w:val="22"/>
        </w:rPr>
        <w:t>drop</w:t>
      </w:r>
      <w:r>
        <w:rPr>
          <w:spacing w:val="-5"/>
          <w:sz w:val="22"/>
        </w:rPr>
        <w:t> </w:t>
      </w:r>
      <w:r>
        <w:rPr>
          <w:sz w:val="22"/>
        </w:rPr>
        <w:t>of</w:t>
      </w:r>
      <w:r>
        <w:rPr>
          <w:spacing w:val="-3"/>
          <w:sz w:val="22"/>
        </w:rPr>
        <w:t> </w:t>
      </w:r>
      <w:r>
        <w:rPr>
          <w:sz w:val="22"/>
        </w:rPr>
        <w:t>sterile</w:t>
      </w:r>
      <w:r>
        <w:rPr>
          <w:spacing w:val="-4"/>
          <w:sz w:val="22"/>
        </w:rPr>
        <w:t> </w:t>
      </w:r>
      <w:r>
        <w:rPr>
          <w:sz w:val="22"/>
        </w:rPr>
        <w:t>distilled</w:t>
      </w:r>
      <w:r>
        <w:rPr>
          <w:spacing w:val="-2"/>
          <w:sz w:val="22"/>
        </w:rPr>
        <w:t> </w:t>
      </w:r>
      <w:r>
        <w:rPr>
          <w:sz w:val="22"/>
        </w:rPr>
        <w:t>water</w:t>
      </w:r>
      <w:r>
        <w:rPr>
          <w:spacing w:val="-5"/>
          <w:sz w:val="22"/>
        </w:rPr>
        <w:t> </w:t>
      </w:r>
      <w:r>
        <w:rPr>
          <w:sz w:val="22"/>
        </w:rPr>
        <w:t>was</w:t>
      </w:r>
      <w:r>
        <w:rPr>
          <w:spacing w:val="-2"/>
          <w:sz w:val="22"/>
        </w:rPr>
        <w:t> </w:t>
      </w:r>
      <w:r>
        <w:rPr>
          <w:sz w:val="22"/>
        </w:rPr>
        <w:t>placed</w:t>
      </w:r>
      <w:r>
        <w:rPr>
          <w:spacing w:val="-5"/>
          <w:sz w:val="22"/>
        </w:rPr>
        <w:t> </w:t>
      </w:r>
      <w:r>
        <w:rPr>
          <w:sz w:val="22"/>
        </w:rPr>
        <w:t>on</w:t>
      </w:r>
      <w:r>
        <w:rPr>
          <w:spacing w:val="-1"/>
          <w:sz w:val="22"/>
        </w:rPr>
        <w:t> </w:t>
      </w:r>
      <w:r>
        <w:rPr>
          <w:sz w:val="22"/>
        </w:rPr>
        <w:t>two</w:t>
      </w:r>
      <w:r>
        <w:rPr>
          <w:spacing w:val="-3"/>
          <w:sz w:val="22"/>
        </w:rPr>
        <w:t> </w:t>
      </w:r>
      <w:r>
        <w:rPr>
          <w:sz w:val="22"/>
        </w:rPr>
        <w:t>separate</w:t>
      </w:r>
      <w:r>
        <w:rPr>
          <w:spacing w:val="-2"/>
          <w:sz w:val="22"/>
        </w:rPr>
        <w:t> slides.</w:t>
      </w:r>
    </w:p>
    <w:p>
      <w:pPr>
        <w:pStyle w:val="BodyText"/>
        <w:spacing w:before="159"/>
      </w:pPr>
    </w:p>
    <w:p>
      <w:pPr>
        <w:pStyle w:val="ListParagraph"/>
        <w:numPr>
          <w:ilvl w:val="4"/>
          <w:numId w:val="2"/>
        </w:numPr>
        <w:tabs>
          <w:tab w:pos="1319" w:val="left" w:leader="none"/>
          <w:tab w:pos="8477" w:val="left" w:leader="none"/>
        </w:tabs>
        <w:spacing w:line="480" w:lineRule="auto" w:before="0" w:after="0"/>
        <w:ind w:left="1100" w:right="973" w:firstLine="0"/>
        <w:jc w:val="left"/>
        <w:rPr>
          <w:sz w:val="22"/>
        </w:rPr>
      </w:pPr>
      <w:r>
        <w:rPr>
          <w:sz w:val="22"/>
        </w:rPr>
        <w:t>A colony of the test organism (previously checked by Gram staining) was</w:t>
        <w:tab/>
      </w:r>
      <w:r>
        <w:rPr>
          <w:spacing w:val="-2"/>
          <w:sz w:val="22"/>
        </w:rPr>
        <w:t>emulsified </w:t>
      </w:r>
      <w:r>
        <w:rPr>
          <w:sz w:val="22"/>
        </w:rPr>
        <w:t>in each of the drops to make two thick suspensions.</w:t>
      </w:r>
    </w:p>
    <w:p>
      <w:pPr>
        <w:pStyle w:val="ListParagraph"/>
        <w:numPr>
          <w:ilvl w:val="4"/>
          <w:numId w:val="2"/>
        </w:numPr>
        <w:tabs>
          <w:tab w:pos="1293" w:val="left" w:leader="none"/>
        </w:tabs>
        <w:spacing w:line="240" w:lineRule="auto" w:before="160" w:after="0"/>
        <w:ind w:left="1293" w:right="0" w:hanging="315"/>
        <w:jc w:val="left"/>
        <w:rPr>
          <w:sz w:val="22"/>
        </w:rPr>
      </w:pPr>
      <w:r>
        <w:rPr>
          <w:sz w:val="22"/>
        </w:rPr>
        <w:t>A</w:t>
      </w:r>
      <w:r>
        <w:rPr>
          <w:spacing w:val="-3"/>
          <w:sz w:val="22"/>
        </w:rPr>
        <w:t> </w:t>
      </w:r>
      <w:r>
        <w:rPr>
          <w:sz w:val="22"/>
        </w:rPr>
        <w:t>loopful</w:t>
      </w:r>
      <w:r>
        <w:rPr>
          <w:spacing w:val="-4"/>
          <w:sz w:val="22"/>
        </w:rPr>
        <w:t> </w:t>
      </w:r>
      <w:r>
        <w:rPr>
          <w:sz w:val="22"/>
        </w:rPr>
        <w:t>of</w:t>
      </w:r>
      <w:r>
        <w:rPr>
          <w:spacing w:val="-3"/>
          <w:sz w:val="22"/>
        </w:rPr>
        <w:t> </w:t>
      </w:r>
      <w:r>
        <w:rPr>
          <w:sz w:val="22"/>
        </w:rPr>
        <w:t>plasma</w:t>
      </w:r>
      <w:r>
        <w:rPr>
          <w:spacing w:val="-4"/>
          <w:sz w:val="22"/>
        </w:rPr>
        <w:t> </w:t>
      </w:r>
      <w:r>
        <w:rPr>
          <w:sz w:val="22"/>
        </w:rPr>
        <w:t>was</w:t>
      </w:r>
      <w:r>
        <w:rPr>
          <w:spacing w:val="-3"/>
          <w:sz w:val="22"/>
        </w:rPr>
        <w:t> </w:t>
      </w:r>
      <w:r>
        <w:rPr>
          <w:sz w:val="22"/>
        </w:rPr>
        <w:t>added</w:t>
      </w:r>
      <w:r>
        <w:rPr>
          <w:spacing w:val="-5"/>
          <w:sz w:val="22"/>
        </w:rPr>
        <w:t> </w:t>
      </w:r>
      <w:r>
        <w:rPr>
          <w:sz w:val="22"/>
        </w:rPr>
        <w:t>to</w:t>
      </w:r>
      <w:r>
        <w:rPr>
          <w:spacing w:val="-4"/>
          <w:sz w:val="22"/>
        </w:rPr>
        <w:t> </w:t>
      </w:r>
      <w:r>
        <w:rPr>
          <w:sz w:val="22"/>
        </w:rPr>
        <w:t>one</w:t>
      </w:r>
      <w:r>
        <w:rPr>
          <w:spacing w:val="-4"/>
          <w:sz w:val="22"/>
        </w:rPr>
        <w:t> </w:t>
      </w:r>
      <w:r>
        <w:rPr>
          <w:sz w:val="22"/>
        </w:rPr>
        <w:t>of</w:t>
      </w:r>
      <w:r>
        <w:rPr>
          <w:spacing w:val="-6"/>
          <w:sz w:val="22"/>
        </w:rPr>
        <w:t> </w:t>
      </w:r>
      <w:r>
        <w:rPr>
          <w:sz w:val="22"/>
        </w:rPr>
        <w:t>the</w:t>
      </w:r>
      <w:r>
        <w:rPr>
          <w:spacing w:val="-2"/>
          <w:sz w:val="22"/>
        </w:rPr>
        <w:t> </w:t>
      </w:r>
      <w:r>
        <w:rPr>
          <w:sz w:val="22"/>
        </w:rPr>
        <w:t>suspensions,</w:t>
      </w:r>
      <w:r>
        <w:rPr>
          <w:spacing w:val="-3"/>
          <w:sz w:val="22"/>
        </w:rPr>
        <w:t> </w:t>
      </w:r>
      <w:r>
        <w:rPr>
          <w:sz w:val="22"/>
        </w:rPr>
        <w:t>and</w:t>
      </w:r>
      <w:r>
        <w:rPr>
          <w:spacing w:val="-6"/>
          <w:sz w:val="22"/>
        </w:rPr>
        <w:t> </w:t>
      </w:r>
      <w:r>
        <w:rPr>
          <w:sz w:val="22"/>
        </w:rPr>
        <w:t>mixed</w:t>
      </w:r>
      <w:r>
        <w:rPr>
          <w:spacing w:val="-5"/>
          <w:sz w:val="22"/>
        </w:rPr>
        <w:t> </w:t>
      </w:r>
      <w:r>
        <w:rPr>
          <w:spacing w:val="-2"/>
          <w:sz w:val="22"/>
        </w:rPr>
        <w:t>gently.</w:t>
      </w:r>
    </w:p>
    <w:p>
      <w:pPr>
        <w:spacing w:after="0" w:line="240" w:lineRule="auto"/>
        <w:jc w:val="left"/>
        <w:rPr>
          <w:sz w:val="22"/>
        </w:rPr>
        <w:sectPr>
          <w:pgSz w:w="11910" w:h="16840"/>
          <w:pgMar w:header="0" w:footer="1055" w:top="1380" w:bottom="1240" w:left="1060" w:right="460"/>
        </w:sectPr>
      </w:pPr>
    </w:p>
    <w:p>
      <w:pPr>
        <w:pStyle w:val="ListParagraph"/>
        <w:numPr>
          <w:ilvl w:val="4"/>
          <w:numId w:val="2"/>
        </w:numPr>
        <w:tabs>
          <w:tab w:pos="1384" w:val="left" w:leader="none"/>
          <w:tab w:pos="8525" w:val="left" w:leader="none"/>
        </w:tabs>
        <w:spacing w:line="480" w:lineRule="auto" w:before="38" w:after="0"/>
        <w:ind w:left="1100" w:right="974" w:firstLine="0"/>
        <w:jc w:val="left"/>
        <w:rPr>
          <w:sz w:val="22"/>
        </w:rPr>
      </w:pPr>
      <w:r>
        <w:rPr>
          <w:sz w:val="22"/>
        </w:rPr>
        <w:t>Clumping of the organisms within 10 seconds, indicates the presence of</w:t>
        <w:tab/>
      </w:r>
      <w:r>
        <w:rPr>
          <w:spacing w:val="-2"/>
          <w:sz w:val="22"/>
        </w:rPr>
        <w:t>coagulase </w:t>
      </w:r>
      <w:r>
        <w:rPr>
          <w:sz w:val="22"/>
        </w:rPr>
        <w:t>positive organism.</w:t>
      </w:r>
    </w:p>
    <w:p>
      <w:pPr>
        <w:pStyle w:val="ListParagraph"/>
        <w:numPr>
          <w:ilvl w:val="4"/>
          <w:numId w:val="2"/>
        </w:numPr>
        <w:tabs>
          <w:tab w:pos="1420" w:val="left" w:leader="none"/>
          <w:tab w:pos="9089" w:val="left" w:leader="none"/>
        </w:tabs>
        <w:spacing w:line="480" w:lineRule="auto" w:before="160" w:after="0"/>
        <w:ind w:left="1100" w:right="974" w:firstLine="0"/>
        <w:jc w:val="left"/>
        <w:rPr>
          <w:sz w:val="22"/>
        </w:rPr>
      </w:pPr>
      <w:r>
        <w:rPr>
          <w:sz w:val="22"/>
        </w:rPr>
        <w:t>No</w:t>
      </w:r>
      <w:r>
        <w:rPr>
          <w:spacing w:val="40"/>
          <w:sz w:val="22"/>
        </w:rPr>
        <w:t> </w:t>
      </w:r>
      <w:r>
        <w:rPr>
          <w:sz w:val="22"/>
        </w:rPr>
        <w:t>plasma was added to</w:t>
      </w:r>
      <w:r>
        <w:rPr>
          <w:spacing w:val="40"/>
          <w:sz w:val="22"/>
        </w:rPr>
        <w:t> </w:t>
      </w:r>
      <w:r>
        <w:rPr>
          <w:sz w:val="22"/>
        </w:rPr>
        <w:t>the second suspension. This was used to</w:t>
      </w:r>
      <w:r>
        <w:rPr>
          <w:spacing w:val="40"/>
          <w:sz w:val="22"/>
        </w:rPr>
        <w:t> </w:t>
      </w:r>
      <w:r>
        <w:rPr>
          <w:sz w:val="22"/>
        </w:rPr>
        <w:t>differentiate</w:t>
        <w:tab/>
      </w:r>
      <w:r>
        <w:rPr>
          <w:spacing w:val="-4"/>
          <w:sz w:val="22"/>
        </w:rPr>
        <w:t>any </w:t>
      </w:r>
      <w:r>
        <w:rPr>
          <w:sz w:val="22"/>
        </w:rPr>
        <w:t>granular appearance of the organism from true coagulase clumping.</w:t>
      </w:r>
    </w:p>
    <w:p>
      <w:pPr>
        <w:pStyle w:val="BodyText"/>
        <w:spacing w:before="162"/>
        <w:ind w:left="978"/>
      </w:pPr>
      <w:r>
        <w:rPr/>
        <w:t>Tube</w:t>
      </w:r>
      <w:r>
        <w:rPr>
          <w:spacing w:val="-3"/>
        </w:rPr>
        <w:t> </w:t>
      </w:r>
      <w:r>
        <w:rPr/>
        <w:t>test</w:t>
      </w:r>
      <w:r>
        <w:rPr>
          <w:spacing w:val="-5"/>
        </w:rPr>
        <w:t> </w:t>
      </w:r>
      <w:r>
        <w:rPr/>
        <w:t>method</w:t>
      </w:r>
      <w:r>
        <w:rPr>
          <w:spacing w:val="-6"/>
        </w:rPr>
        <w:t> </w:t>
      </w:r>
      <w:r>
        <w:rPr/>
        <w:t>(detects</w:t>
      </w:r>
      <w:r>
        <w:rPr>
          <w:spacing w:val="-2"/>
        </w:rPr>
        <w:t> </w:t>
      </w:r>
      <w:r>
        <w:rPr/>
        <w:t>free</w:t>
      </w:r>
      <w:r>
        <w:rPr>
          <w:spacing w:val="-2"/>
        </w:rPr>
        <w:t> coagulase):</w:t>
      </w:r>
    </w:p>
    <w:p>
      <w:pPr>
        <w:pStyle w:val="BodyText"/>
        <w:spacing w:before="158"/>
      </w:pPr>
    </w:p>
    <w:p>
      <w:pPr>
        <w:pStyle w:val="ListParagraph"/>
        <w:numPr>
          <w:ilvl w:val="0"/>
          <w:numId w:val="3"/>
        </w:numPr>
        <w:tabs>
          <w:tab w:pos="1195" w:val="left" w:leader="none"/>
        </w:tabs>
        <w:spacing w:line="240" w:lineRule="auto" w:before="1" w:after="0"/>
        <w:ind w:left="1195" w:right="0" w:hanging="217"/>
        <w:jc w:val="left"/>
        <w:rPr>
          <w:sz w:val="22"/>
        </w:rPr>
      </w:pPr>
      <w:r>
        <w:rPr>
          <w:sz w:val="22"/>
        </w:rPr>
        <w:t>Three</w:t>
      </w:r>
      <w:r>
        <w:rPr>
          <w:spacing w:val="-4"/>
          <w:sz w:val="22"/>
        </w:rPr>
        <w:t> </w:t>
      </w:r>
      <w:r>
        <w:rPr>
          <w:sz w:val="22"/>
        </w:rPr>
        <w:t>small</w:t>
      </w:r>
      <w:r>
        <w:rPr>
          <w:spacing w:val="-6"/>
          <w:sz w:val="22"/>
        </w:rPr>
        <w:t> </w:t>
      </w:r>
      <w:r>
        <w:rPr>
          <w:sz w:val="22"/>
        </w:rPr>
        <w:t>test</w:t>
      </w:r>
      <w:r>
        <w:rPr>
          <w:spacing w:val="-4"/>
          <w:sz w:val="22"/>
        </w:rPr>
        <w:t> </w:t>
      </w:r>
      <w:r>
        <w:rPr>
          <w:sz w:val="22"/>
        </w:rPr>
        <w:t>tubes</w:t>
      </w:r>
      <w:r>
        <w:rPr>
          <w:spacing w:val="-2"/>
          <w:sz w:val="22"/>
        </w:rPr>
        <w:t> </w:t>
      </w:r>
      <w:r>
        <w:rPr>
          <w:sz w:val="22"/>
        </w:rPr>
        <w:t>were</w:t>
      </w:r>
      <w:r>
        <w:rPr>
          <w:spacing w:val="-4"/>
          <w:sz w:val="22"/>
        </w:rPr>
        <w:t> </w:t>
      </w:r>
      <w:r>
        <w:rPr>
          <w:sz w:val="22"/>
        </w:rPr>
        <w:t>labeled</w:t>
      </w:r>
      <w:r>
        <w:rPr>
          <w:spacing w:val="-3"/>
          <w:sz w:val="22"/>
        </w:rPr>
        <w:t> </w:t>
      </w:r>
      <w:r>
        <w:rPr>
          <w:sz w:val="22"/>
        </w:rPr>
        <w:t>as</w:t>
      </w:r>
      <w:r>
        <w:rPr>
          <w:spacing w:val="-3"/>
          <w:sz w:val="22"/>
        </w:rPr>
        <w:t> </w:t>
      </w:r>
      <w:r>
        <w:rPr>
          <w:spacing w:val="-2"/>
          <w:sz w:val="22"/>
        </w:rPr>
        <w:t>follows:</w:t>
      </w:r>
    </w:p>
    <w:p>
      <w:pPr>
        <w:pStyle w:val="BodyText"/>
        <w:spacing w:before="159"/>
      </w:pPr>
    </w:p>
    <w:p>
      <w:pPr>
        <w:pStyle w:val="BodyText"/>
        <w:ind w:left="978"/>
      </w:pPr>
      <w:r>
        <w:rPr/>
        <w:t>T=Test</w:t>
      </w:r>
      <w:r>
        <w:rPr>
          <w:spacing w:val="-6"/>
        </w:rPr>
        <w:t> </w:t>
      </w:r>
      <w:r>
        <w:rPr/>
        <w:t>organism</w:t>
      </w:r>
      <w:r>
        <w:rPr>
          <w:spacing w:val="-2"/>
        </w:rPr>
        <w:t> </w:t>
      </w:r>
      <w:r>
        <w:rPr/>
        <w:t>(18–24</w:t>
      </w:r>
      <w:r>
        <w:rPr>
          <w:spacing w:val="-6"/>
        </w:rPr>
        <w:t> </w:t>
      </w:r>
      <w:r>
        <w:rPr/>
        <w:t>h</w:t>
      </w:r>
      <w:r>
        <w:rPr>
          <w:spacing w:val="-3"/>
        </w:rPr>
        <w:t> </w:t>
      </w:r>
      <w:r>
        <w:rPr/>
        <w:t>broth</w:t>
      </w:r>
      <w:r>
        <w:rPr>
          <w:spacing w:val="-3"/>
        </w:rPr>
        <w:t> </w:t>
      </w:r>
      <w:r>
        <w:rPr>
          <w:spacing w:val="-2"/>
        </w:rPr>
        <w:t>culture).</w:t>
      </w:r>
    </w:p>
    <w:p>
      <w:pPr>
        <w:pStyle w:val="BodyText"/>
        <w:spacing w:before="161"/>
      </w:pPr>
    </w:p>
    <w:p>
      <w:pPr>
        <w:pStyle w:val="BodyText"/>
        <w:spacing w:line="621" w:lineRule="auto"/>
        <w:ind w:left="980" w:right="3485" w:hanging="3"/>
      </w:pPr>
      <w:r>
        <w:rPr/>
        <w:t>Pos=Positive</w:t>
      </w:r>
      <w:r>
        <w:rPr>
          <w:spacing w:val="-4"/>
        </w:rPr>
        <w:t> </w:t>
      </w:r>
      <w:r>
        <w:rPr/>
        <w:t>control</w:t>
      </w:r>
      <w:r>
        <w:rPr>
          <w:spacing w:val="-7"/>
        </w:rPr>
        <w:t> </w:t>
      </w:r>
      <w:r>
        <w:rPr/>
        <w:t>(18–24</w:t>
      </w:r>
      <w:r>
        <w:rPr>
          <w:spacing w:val="-4"/>
        </w:rPr>
        <w:t> </w:t>
      </w:r>
      <w:r>
        <w:rPr/>
        <w:t>h</w:t>
      </w:r>
      <w:r>
        <w:rPr>
          <w:spacing w:val="-6"/>
        </w:rPr>
        <w:t> </w:t>
      </w:r>
      <w:r>
        <w:rPr>
          <w:i/>
        </w:rPr>
        <w:t>S.</w:t>
      </w:r>
      <w:r>
        <w:rPr>
          <w:i/>
          <w:spacing w:val="-4"/>
        </w:rPr>
        <w:t> </w:t>
      </w:r>
      <w:r>
        <w:rPr>
          <w:i/>
        </w:rPr>
        <w:t>aureus</w:t>
      </w:r>
      <w:r>
        <w:rPr>
          <w:i/>
          <w:spacing w:val="-3"/>
        </w:rPr>
        <w:t> </w:t>
      </w:r>
      <w:r>
        <w:rPr/>
        <w:t>broth</w:t>
      </w:r>
      <w:r>
        <w:rPr>
          <w:spacing w:val="-4"/>
        </w:rPr>
        <w:t> </w:t>
      </w:r>
      <w:r>
        <w:rPr/>
        <w:t>culture). Neg=Negative control (sterile broth).</w:t>
      </w:r>
    </w:p>
    <w:p>
      <w:pPr>
        <w:pStyle w:val="ListParagraph"/>
        <w:numPr>
          <w:ilvl w:val="0"/>
          <w:numId w:val="3"/>
        </w:numPr>
        <w:tabs>
          <w:tab w:pos="1192" w:val="left" w:leader="none"/>
        </w:tabs>
        <w:spacing w:line="240" w:lineRule="auto" w:before="4" w:after="0"/>
        <w:ind w:left="1192" w:right="0" w:hanging="214"/>
        <w:jc w:val="left"/>
        <w:rPr>
          <w:sz w:val="22"/>
        </w:rPr>
      </w:pPr>
      <w:r>
        <w:rPr>
          <w:sz w:val="22"/>
        </w:rPr>
        <w:t>0.2</w:t>
      </w:r>
      <w:r>
        <w:rPr>
          <w:spacing w:val="-5"/>
          <w:sz w:val="22"/>
        </w:rPr>
        <w:t> </w:t>
      </w:r>
      <w:r>
        <w:rPr>
          <w:sz w:val="22"/>
        </w:rPr>
        <w:t>ml</w:t>
      </w:r>
      <w:r>
        <w:rPr>
          <w:spacing w:val="-4"/>
          <w:sz w:val="22"/>
        </w:rPr>
        <w:t> </w:t>
      </w:r>
      <w:r>
        <w:rPr>
          <w:sz w:val="22"/>
        </w:rPr>
        <w:t>of</w:t>
      </w:r>
      <w:r>
        <w:rPr>
          <w:spacing w:val="-3"/>
          <w:sz w:val="22"/>
        </w:rPr>
        <w:t> </w:t>
      </w:r>
      <w:r>
        <w:rPr>
          <w:sz w:val="22"/>
        </w:rPr>
        <w:t>plasma</w:t>
      </w:r>
      <w:r>
        <w:rPr>
          <w:spacing w:val="-4"/>
          <w:sz w:val="22"/>
        </w:rPr>
        <w:t> </w:t>
      </w:r>
      <w:r>
        <w:rPr>
          <w:sz w:val="22"/>
        </w:rPr>
        <w:t>was</w:t>
      </w:r>
      <w:r>
        <w:rPr>
          <w:spacing w:val="-2"/>
          <w:sz w:val="22"/>
        </w:rPr>
        <w:t> </w:t>
      </w:r>
      <w:r>
        <w:rPr>
          <w:sz w:val="22"/>
        </w:rPr>
        <w:t>pipetted</w:t>
      </w:r>
      <w:r>
        <w:rPr>
          <w:spacing w:val="-4"/>
          <w:sz w:val="22"/>
        </w:rPr>
        <w:t> </w:t>
      </w:r>
      <w:r>
        <w:rPr>
          <w:sz w:val="22"/>
        </w:rPr>
        <w:t>into</w:t>
      </w:r>
      <w:r>
        <w:rPr>
          <w:spacing w:val="-1"/>
          <w:sz w:val="22"/>
        </w:rPr>
        <w:t> </w:t>
      </w:r>
      <w:r>
        <w:rPr>
          <w:sz w:val="22"/>
        </w:rPr>
        <w:t>each</w:t>
      </w:r>
      <w:r>
        <w:rPr>
          <w:spacing w:val="-3"/>
          <w:sz w:val="22"/>
        </w:rPr>
        <w:t> </w:t>
      </w:r>
      <w:r>
        <w:rPr>
          <w:spacing w:val="-4"/>
          <w:sz w:val="22"/>
        </w:rPr>
        <w:t>tube.</w:t>
      </w:r>
    </w:p>
    <w:p>
      <w:pPr>
        <w:pStyle w:val="BodyText"/>
        <w:spacing w:before="158"/>
      </w:pPr>
    </w:p>
    <w:p>
      <w:pPr>
        <w:pStyle w:val="ListParagraph"/>
        <w:numPr>
          <w:ilvl w:val="0"/>
          <w:numId w:val="3"/>
        </w:numPr>
        <w:tabs>
          <w:tab w:pos="1192" w:val="left" w:leader="none"/>
        </w:tabs>
        <w:spacing w:line="240" w:lineRule="auto" w:before="1" w:after="0"/>
        <w:ind w:left="1192" w:right="0" w:hanging="214"/>
        <w:jc w:val="left"/>
        <w:rPr>
          <w:sz w:val="22"/>
        </w:rPr>
      </w:pPr>
      <w:r>
        <w:rPr>
          <w:sz w:val="22"/>
        </w:rPr>
        <w:t>0.8</w:t>
      </w:r>
      <w:r>
        <w:rPr>
          <w:spacing w:val="-7"/>
          <w:sz w:val="22"/>
        </w:rPr>
        <w:t> </w:t>
      </w:r>
      <w:r>
        <w:rPr>
          <w:sz w:val="22"/>
        </w:rPr>
        <w:t>ml</w:t>
      </w:r>
      <w:r>
        <w:rPr>
          <w:spacing w:val="-4"/>
          <w:sz w:val="22"/>
        </w:rPr>
        <w:t> </w:t>
      </w:r>
      <w:r>
        <w:rPr>
          <w:sz w:val="22"/>
        </w:rPr>
        <w:t>of</w:t>
      </w:r>
      <w:r>
        <w:rPr>
          <w:spacing w:val="-2"/>
          <w:sz w:val="22"/>
        </w:rPr>
        <w:t> </w:t>
      </w:r>
      <w:r>
        <w:rPr>
          <w:sz w:val="22"/>
        </w:rPr>
        <w:t>the</w:t>
      </w:r>
      <w:r>
        <w:rPr>
          <w:spacing w:val="-2"/>
          <w:sz w:val="22"/>
        </w:rPr>
        <w:t> </w:t>
      </w:r>
      <w:r>
        <w:rPr>
          <w:sz w:val="22"/>
        </w:rPr>
        <w:t>test</w:t>
      </w:r>
      <w:r>
        <w:rPr>
          <w:spacing w:val="-5"/>
          <w:sz w:val="22"/>
        </w:rPr>
        <w:t> </w:t>
      </w:r>
      <w:r>
        <w:rPr>
          <w:sz w:val="22"/>
        </w:rPr>
        <w:t>organism</w:t>
      </w:r>
      <w:r>
        <w:rPr>
          <w:spacing w:val="-4"/>
          <w:sz w:val="22"/>
        </w:rPr>
        <w:t> </w:t>
      </w:r>
      <w:r>
        <w:rPr>
          <w:sz w:val="22"/>
        </w:rPr>
        <w:t>‘broth</w:t>
      </w:r>
      <w:r>
        <w:rPr>
          <w:spacing w:val="-2"/>
          <w:sz w:val="22"/>
        </w:rPr>
        <w:t> </w:t>
      </w:r>
      <w:r>
        <w:rPr>
          <w:sz w:val="22"/>
        </w:rPr>
        <w:t>culture’</w:t>
      </w:r>
      <w:r>
        <w:rPr>
          <w:spacing w:val="-5"/>
          <w:sz w:val="22"/>
        </w:rPr>
        <w:t> </w:t>
      </w:r>
      <w:r>
        <w:rPr>
          <w:sz w:val="22"/>
        </w:rPr>
        <w:t>was</w:t>
      </w:r>
      <w:r>
        <w:rPr>
          <w:spacing w:val="-3"/>
          <w:sz w:val="22"/>
        </w:rPr>
        <w:t> </w:t>
      </w:r>
      <w:r>
        <w:rPr>
          <w:sz w:val="22"/>
        </w:rPr>
        <w:t>added</w:t>
      </w:r>
      <w:r>
        <w:rPr>
          <w:spacing w:val="-2"/>
          <w:sz w:val="22"/>
        </w:rPr>
        <w:t> </w:t>
      </w:r>
      <w:r>
        <w:rPr>
          <w:sz w:val="22"/>
        </w:rPr>
        <w:t>to</w:t>
      </w:r>
      <w:r>
        <w:rPr>
          <w:spacing w:val="-1"/>
          <w:sz w:val="22"/>
        </w:rPr>
        <w:t> </w:t>
      </w:r>
      <w:r>
        <w:rPr>
          <w:sz w:val="22"/>
        </w:rPr>
        <w:t>tube</w:t>
      </w:r>
      <w:r>
        <w:rPr>
          <w:spacing w:val="-4"/>
          <w:sz w:val="22"/>
        </w:rPr>
        <w:t> </w:t>
      </w:r>
      <w:r>
        <w:rPr>
          <w:spacing w:val="-5"/>
          <w:sz w:val="22"/>
        </w:rPr>
        <w:t>T.</w:t>
      </w:r>
    </w:p>
    <w:p>
      <w:pPr>
        <w:pStyle w:val="BodyText"/>
        <w:spacing w:before="161"/>
      </w:pPr>
    </w:p>
    <w:p>
      <w:pPr>
        <w:pStyle w:val="ListParagraph"/>
        <w:numPr>
          <w:ilvl w:val="1"/>
          <w:numId w:val="3"/>
        </w:numPr>
        <w:tabs>
          <w:tab w:pos="1210" w:val="left" w:leader="none"/>
        </w:tabs>
        <w:spacing w:line="240" w:lineRule="auto" w:before="0" w:after="0"/>
        <w:ind w:left="1210" w:right="0" w:hanging="232"/>
        <w:jc w:val="left"/>
        <w:rPr>
          <w:sz w:val="22"/>
        </w:rPr>
      </w:pPr>
      <w:r>
        <w:rPr>
          <w:sz w:val="22"/>
        </w:rPr>
        <w:t>0.8</w:t>
      </w:r>
      <w:r>
        <w:rPr>
          <w:spacing w:val="-7"/>
          <w:sz w:val="22"/>
        </w:rPr>
        <w:t> </w:t>
      </w:r>
      <w:r>
        <w:rPr>
          <w:sz w:val="22"/>
        </w:rPr>
        <w:t>ml</w:t>
      </w:r>
      <w:r>
        <w:rPr>
          <w:spacing w:val="-5"/>
          <w:sz w:val="22"/>
        </w:rPr>
        <w:t> </w:t>
      </w:r>
      <w:r>
        <w:rPr>
          <w:sz w:val="22"/>
        </w:rPr>
        <w:t>of</w:t>
      </w:r>
      <w:r>
        <w:rPr>
          <w:spacing w:val="-3"/>
          <w:sz w:val="22"/>
        </w:rPr>
        <w:t> </w:t>
      </w:r>
      <w:r>
        <w:rPr>
          <w:sz w:val="22"/>
        </w:rPr>
        <w:t>the </w:t>
      </w:r>
      <w:r>
        <w:rPr>
          <w:i/>
          <w:sz w:val="22"/>
        </w:rPr>
        <w:t>S.</w:t>
      </w:r>
      <w:r>
        <w:rPr>
          <w:i/>
          <w:spacing w:val="-6"/>
          <w:sz w:val="22"/>
        </w:rPr>
        <w:t> </w:t>
      </w:r>
      <w:r>
        <w:rPr>
          <w:i/>
          <w:sz w:val="22"/>
        </w:rPr>
        <w:t>aureus</w:t>
      </w:r>
      <w:r>
        <w:rPr>
          <w:i/>
          <w:spacing w:val="-3"/>
          <w:sz w:val="22"/>
        </w:rPr>
        <w:t> </w:t>
      </w:r>
      <w:r>
        <w:rPr>
          <w:sz w:val="22"/>
        </w:rPr>
        <w:t>culture</w:t>
      </w:r>
      <w:r>
        <w:rPr>
          <w:spacing w:val="-3"/>
          <w:sz w:val="22"/>
        </w:rPr>
        <w:t> </w:t>
      </w:r>
      <w:r>
        <w:rPr>
          <w:sz w:val="22"/>
        </w:rPr>
        <w:t>(control)</w:t>
      </w:r>
      <w:r>
        <w:rPr>
          <w:spacing w:val="-5"/>
          <w:sz w:val="22"/>
        </w:rPr>
        <w:t> </w:t>
      </w:r>
      <w:r>
        <w:rPr>
          <w:sz w:val="22"/>
        </w:rPr>
        <w:t>was</w:t>
      </w:r>
      <w:r>
        <w:rPr>
          <w:spacing w:val="-4"/>
          <w:sz w:val="22"/>
        </w:rPr>
        <w:t> </w:t>
      </w:r>
      <w:r>
        <w:rPr>
          <w:sz w:val="22"/>
        </w:rPr>
        <w:t>added</w:t>
      </w:r>
      <w:r>
        <w:rPr>
          <w:spacing w:val="-3"/>
          <w:sz w:val="22"/>
        </w:rPr>
        <w:t> </w:t>
      </w:r>
      <w:r>
        <w:rPr>
          <w:sz w:val="22"/>
        </w:rPr>
        <w:t>to</w:t>
      </w:r>
      <w:r>
        <w:rPr>
          <w:spacing w:val="-4"/>
          <w:sz w:val="22"/>
        </w:rPr>
        <w:t> </w:t>
      </w:r>
      <w:r>
        <w:rPr>
          <w:sz w:val="22"/>
        </w:rPr>
        <w:t>the</w:t>
      </w:r>
      <w:r>
        <w:rPr>
          <w:spacing w:val="-3"/>
          <w:sz w:val="22"/>
        </w:rPr>
        <w:t> </w:t>
      </w:r>
      <w:r>
        <w:rPr>
          <w:sz w:val="22"/>
        </w:rPr>
        <w:t>tube</w:t>
      </w:r>
      <w:r>
        <w:rPr>
          <w:spacing w:val="-3"/>
          <w:sz w:val="22"/>
        </w:rPr>
        <w:t> </w:t>
      </w:r>
      <w:r>
        <w:rPr>
          <w:sz w:val="22"/>
        </w:rPr>
        <w:t>labeled</w:t>
      </w:r>
      <w:r>
        <w:rPr>
          <w:spacing w:val="-5"/>
          <w:sz w:val="22"/>
        </w:rPr>
        <w:t> </w:t>
      </w:r>
      <w:r>
        <w:rPr>
          <w:spacing w:val="-2"/>
          <w:sz w:val="22"/>
        </w:rPr>
        <w:t>‘Pos’.</w:t>
      </w:r>
    </w:p>
    <w:p>
      <w:pPr>
        <w:pStyle w:val="BodyText"/>
        <w:spacing w:before="159"/>
      </w:pPr>
    </w:p>
    <w:p>
      <w:pPr>
        <w:pStyle w:val="ListParagraph"/>
        <w:numPr>
          <w:ilvl w:val="1"/>
          <w:numId w:val="3"/>
        </w:numPr>
        <w:tabs>
          <w:tab w:pos="1259" w:val="left" w:leader="none"/>
        </w:tabs>
        <w:spacing w:line="240" w:lineRule="auto" w:before="0" w:after="0"/>
        <w:ind w:left="1259" w:right="0" w:hanging="281"/>
        <w:jc w:val="left"/>
        <w:rPr>
          <w:sz w:val="22"/>
        </w:rPr>
      </w:pPr>
      <w:r>
        <w:rPr>
          <w:sz w:val="22"/>
        </w:rPr>
        <w:t>0.8</w:t>
      </w:r>
      <w:r>
        <w:rPr>
          <w:spacing w:val="-7"/>
          <w:sz w:val="22"/>
        </w:rPr>
        <w:t> </w:t>
      </w:r>
      <w:r>
        <w:rPr>
          <w:sz w:val="22"/>
        </w:rPr>
        <w:t>ml</w:t>
      </w:r>
      <w:r>
        <w:rPr>
          <w:spacing w:val="-4"/>
          <w:sz w:val="22"/>
        </w:rPr>
        <w:t> </w:t>
      </w:r>
      <w:r>
        <w:rPr>
          <w:sz w:val="22"/>
        </w:rPr>
        <w:t>of</w:t>
      </w:r>
      <w:r>
        <w:rPr>
          <w:spacing w:val="-3"/>
          <w:sz w:val="22"/>
        </w:rPr>
        <w:t> </w:t>
      </w:r>
      <w:r>
        <w:rPr>
          <w:sz w:val="22"/>
        </w:rPr>
        <w:t>sterile</w:t>
      </w:r>
      <w:r>
        <w:rPr>
          <w:spacing w:val="-4"/>
          <w:sz w:val="22"/>
        </w:rPr>
        <w:t> </w:t>
      </w:r>
      <w:r>
        <w:rPr>
          <w:sz w:val="22"/>
        </w:rPr>
        <w:t>broth</w:t>
      </w:r>
      <w:r>
        <w:rPr>
          <w:spacing w:val="-6"/>
          <w:sz w:val="22"/>
        </w:rPr>
        <w:t> </w:t>
      </w:r>
      <w:r>
        <w:rPr>
          <w:sz w:val="22"/>
        </w:rPr>
        <w:t>was</w:t>
      </w:r>
      <w:r>
        <w:rPr>
          <w:spacing w:val="-2"/>
          <w:sz w:val="22"/>
        </w:rPr>
        <w:t> </w:t>
      </w:r>
      <w:r>
        <w:rPr>
          <w:sz w:val="22"/>
        </w:rPr>
        <w:t>added</w:t>
      </w:r>
      <w:r>
        <w:rPr>
          <w:spacing w:val="-6"/>
          <w:sz w:val="22"/>
        </w:rPr>
        <w:t> </w:t>
      </w:r>
      <w:r>
        <w:rPr>
          <w:sz w:val="22"/>
        </w:rPr>
        <w:t>to</w:t>
      </w:r>
      <w:r>
        <w:rPr>
          <w:spacing w:val="-3"/>
          <w:sz w:val="22"/>
        </w:rPr>
        <w:t> </w:t>
      </w:r>
      <w:r>
        <w:rPr>
          <w:sz w:val="22"/>
        </w:rPr>
        <w:t>the</w:t>
      </w:r>
      <w:r>
        <w:rPr>
          <w:spacing w:val="-5"/>
          <w:sz w:val="22"/>
        </w:rPr>
        <w:t> </w:t>
      </w:r>
      <w:r>
        <w:rPr>
          <w:sz w:val="22"/>
        </w:rPr>
        <w:t>tube</w:t>
      </w:r>
      <w:r>
        <w:rPr>
          <w:spacing w:val="-4"/>
          <w:sz w:val="22"/>
        </w:rPr>
        <w:t> </w:t>
      </w:r>
      <w:r>
        <w:rPr>
          <w:sz w:val="22"/>
        </w:rPr>
        <w:t>labeled</w:t>
      </w:r>
      <w:r>
        <w:rPr>
          <w:spacing w:val="-2"/>
          <w:sz w:val="22"/>
        </w:rPr>
        <w:t> ‘Neg’.</w:t>
      </w:r>
    </w:p>
    <w:p>
      <w:pPr>
        <w:pStyle w:val="BodyText"/>
        <w:spacing w:before="161"/>
      </w:pPr>
    </w:p>
    <w:p>
      <w:pPr>
        <w:pStyle w:val="ListParagraph"/>
        <w:numPr>
          <w:ilvl w:val="0"/>
          <w:numId w:val="3"/>
        </w:numPr>
        <w:tabs>
          <w:tab w:pos="1346" w:val="left" w:leader="none"/>
        </w:tabs>
        <w:spacing w:line="480" w:lineRule="auto" w:before="1" w:after="0"/>
        <w:ind w:left="1100" w:right="973" w:firstLine="0"/>
        <w:jc w:val="both"/>
        <w:rPr>
          <w:sz w:val="22"/>
        </w:rPr>
      </w:pPr>
      <w:r>
        <w:rPr>
          <w:sz w:val="22"/>
        </w:rPr>
        <w:t>After mixing gently, the three tubes were incubated at 37 </w:t>
      </w:r>
      <w:r>
        <w:rPr>
          <w:sz w:val="22"/>
          <w:vertAlign w:val="superscript"/>
        </w:rPr>
        <w:t>0</w:t>
      </w:r>
      <w:r>
        <w:rPr>
          <w:sz w:val="22"/>
          <w:vertAlign w:val="baseline"/>
        </w:rPr>
        <w:t>C. This was examined</w:t>
      </w:r>
      <w:r>
        <w:rPr>
          <w:spacing w:val="80"/>
          <w:sz w:val="22"/>
          <w:vertAlign w:val="baseline"/>
        </w:rPr>
        <w:t> </w:t>
      </w:r>
      <w:r>
        <w:rPr>
          <w:sz w:val="22"/>
          <w:vertAlign w:val="baseline"/>
        </w:rPr>
        <w:t>for clotting after 1 hour. If no clotting has occurred, it was examine after 3 hours. If the test is still negative, the tubes were kept at room temperature overnight and examined again.</w:t>
      </w:r>
    </w:p>
    <w:p>
      <w:pPr>
        <w:pStyle w:val="ListParagraph"/>
        <w:numPr>
          <w:ilvl w:val="3"/>
          <w:numId w:val="2"/>
        </w:numPr>
        <w:tabs>
          <w:tab w:pos="1152" w:val="left" w:leader="none"/>
        </w:tabs>
        <w:spacing w:line="240" w:lineRule="auto" w:before="160" w:after="0"/>
        <w:ind w:left="1152" w:right="0" w:hanging="772"/>
        <w:jc w:val="both"/>
        <w:rPr>
          <w:i/>
          <w:sz w:val="22"/>
        </w:rPr>
      </w:pPr>
      <w:r>
        <w:rPr>
          <w:i/>
          <w:sz w:val="22"/>
        </w:rPr>
        <w:t>Oxidase</w:t>
      </w:r>
      <w:r>
        <w:rPr>
          <w:i/>
          <w:spacing w:val="-8"/>
          <w:sz w:val="22"/>
        </w:rPr>
        <w:t> </w:t>
      </w:r>
      <w:r>
        <w:rPr>
          <w:i/>
          <w:spacing w:val="-4"/>
          <w:sz w:val="22"/>
        </w:rPr>
        <w:t>test</w:t>
      </w:r>
    </w:p>
    <w:p>
      <w:pPr>
        <w:pStyle w:val="BodyText"/>
        <w:spacing w:before="159"/>
        <w:rPr>
          <w:i/>
        </w:rPr>
      </w:pPr>
    </w:p>
    <w:p>
      <w:pPr>
        <w:pStyle w:val="BodyText"/>
        <w:ind w:left="980"/>
      </w:pPr>
      <w:r>
        <w:rPr/>
        <w:t>Cytochrome</w:t>
      </w:r>
      <w:r>
        <w:rPr>
          <w:spacing w:val="-8"/>
        </w:rPr>
        <w:t> </w:t>
      </w:r>
      <w:r>
        <w:rPr/>
        <w:t>oxidase</w:t>
      </w:r>
      <w:r>
        <w:rPr>
          <w:spacing w:val="-7"/>
        </w:rPr>
        <w:t> </w:t>
      </w:r>
      <w:r>
        <w:rPr>
          <w:spacing w:val="-4"/>
        </w:rPr>
        <w:t>test:</w:t>
      </w:r>
    </w:p>
    <w:p>
      <w:pPr>
        <w:pStyle w:val="BodyText"/>
        <w:spacing w:before="161"/>
      </w:pPr>
    </w:p>
    <w:p>
      <w:pPr>
        <w:tabs>
          <w:tab w:pos="8825" w:val="left" w:leader="none"/>
        </w:tabs>
        <w:spacing w:line="477" w:lineRule="auto" w:before="0"/>
        <w:ind w:left="1100" w:right="975" w:firstLine="0"/>
        <w:jc w:val="left"/>
        <w:rPr>
          <w:sz w:val="22"/>
        </w:rPr>
      </w:pPr>
      <w:r>
        <w:rPr>
          <w:sz w:val="22"/>
        </w:rPr>
        <w:t>The oxidase test was used to assist in the identification of </w:t>
      </w:r>
      <w:r>
        <w:rPr>
          <w:i/>
          <w:sz w:val="22"/>
        </w:rPr>
        <w:t>Pseudomonas</w:t>
      </w:r>
      <w:r>
        <w:rPr>
          <w:sz w:val="22"/>
        </w:rPr>
        <w:t>, </w:t>
      </w:r>
      <w:r>
        <w:rPr>
          <w:i/>
          <w:sz w:val="22"/>
        </w:rPr>
        <w:t>Neisseria</w:t>
      </w:r>
      <w:r>
        <w:rPr>
          <w:sz w:val="22"/>
        </w:rPr>
        <w:t>,</w:t>
        <w:tab/>
      </w:r>
      <w:r>
        <w:rPr>
          <w:i/>
          <w:spacing w:val="-2"/>
          <w:sz w:val="22"/>
        </w:rPr>
        <w:t>Vibrio</w:t>
      </w:r>
      <w:r>
        <w:rPr>
          <w:spacing w:val="-2"/>
          <w:sz w:val="22"/>
        </w:rPr>
        <w:t>, </w:t>
      </w:r>
      <w:r>
        <w:rPr>
          <w:i/>
          <w:sz w:val="22"/>
        </w:rPr>
        <w:t>Brucella</w:t>
      </w:r>
      <w:r>
        <w:rPr>
          <w:sz w:val="22"/>
        </w:rPr>
        <w:t>, and </w:t>
      </w:r>
      <w:r>
        <w:rPr>
          <w:i/>
          <w:sz w:val="22"/>
        </w:rPr>
        <w:t>Pasteurella </w:t>
      </w:r>
      <w:r>
        <w:rPr>
          <w:sz w:val="22"/>
        </w:rPr>
        <w:t>species, all of which produce the enzyme cytochrome oxidase.</w:t>
      </w:r>
    </w:p>
    <w:p>
      <w:pPr>
        <w:spacing w:before="165"/>
        <w:ind w:left="978" w:right="0" w:firstLine="0"/>
        <w:jc w:val="left"/>
        <w:rPr>
          <w:sz w:val="22"/>
        </w:rPr>
      </w:pPr>
      <w:r>
        <w:rPr>
          <w:i/>
          <w:sz w:val="22"/>
        </w:rPr>
        <w:t>Method</w:t>
      </w:r>
      <w:r>
        <w:rPr>
          <w:i/>
          <w:spacing w:val="-6"/>
          <w:sz w:val="22"/>
        </w:rPr>
        <w:t> </w:t>
      </w:r>
      <w:r>
        <w:rPr>
          <w:i/>
          <w:sz w:val="22"/>
        </w:rPr>
        <w:t>using</w:t>
      </w:r>
      <w:r>
        <w:rPr>
          <w:i/>
          <w:spacing w:val="-5"/>
          <w:sz w:val="22"/>
        </w:rPr>
        <w:t> </w:t>
      </w:r>
      <w:r>
        <w:rPr>
          <w:i/>
          <w:sz w:val="22"/>
        </w:rPr>
        <w:t>an</w:t>
      </w:r>
      <w:r>
        <w:rPr>
          <w:i/>
          <w:spacing w:val="-5"/>
          <w:sz w:val="22"/>
        </w:rPr>
        <w:t> </w:t>
      </w:r>
      <w:r>
        <w:rPr>
          <w:i/>
          <w:sz w:val="22"/>
        </w:rPr>
        <w:t>oxidase</w:t>
      </w:r>
      <w:r>
        <w:rPr>
          <w:i/>
          <w:spacing w:val="-4"/>
          <w:sz w:val="22"/>
        </w:rPr>
        <w:t> </w:t>
      </w:r>
      <w:r>
        <w:rPr>
          <w:i/>
          <w:sz w:val="22"/>
        </w:rPr>
        <w:t>reagent</w:t>
      </w:r>
      <w:r>
        <w:rPr>
          <w:i/>
          <w:spacing w:val="-6"/>
          <w:sz w:val="22"/>
        </w:rPr>
        <w:t> </w:t>
      </w:r>
      <w:r>
        <w:rPr>
          <w:i/>
          <w:spacing w:val="-2"/>
          <w:sz w:val="22"/>
        </w:rPr>
        <w:t>strips</w:t>
      </w:r>
      <w:r>
        <w:rPr>
          <w:spacing w:val="-2"/>
          <w:sz w:val="22"/>
        </w:rPr>
        <w:t>:</w:t>
      </w:r>
    </w:p>
    <w:p>
      <w:pPr>
        <w:spacing w:after="0"/>
        <w:jc w:val="left"/>
        <w:rPr>
          <w:sz w:val="22"/>
        </w:rPr>
        <w:sectPr>
          <w:pgSz w:w="11910" w:h="16840"/>
          <w:pgMar w:header="0" w:footer="1055" w:top="1380" w:bottom="1240" w:left="1060" w:right="460"/>
        </w:sectPr>
      </w:pPr>
    </w:p>
    <w:p>
      <w:pPr>
        <w:pStyle w:val="ListParagraph"/>
        <w:numPr>
          <w:ilvl w:val="4"/>
          <w:numId w:val="2"/>
        </w:numPr>
        <w:tabs>
          <w:tab w:pos="1195" w:val="left" w:leader="none"/>
        </w:tabs>
        <w:spacing w:line="240" w:lineRule="auto" w:before="38" w:after="0"/>
        <w:ind w:left="1195" w:right="0" w:hanging="217"/>
        <w:jc w:val="left"/>
        <w:rPr>
          <w:sz w:val="22"/>
        </w:rPr>
      </w:pPr>
      <w:r>
        <w:rPr>
          <w:sz w:val="22"/>
        </w:rPr>
        <w:t>The</w:t>
      </w:r>
      <w:r>
        <w:rPr>
          <w:spacing w:val="-3"/>
          <w:sz w:val="22"/>
        </w:rPr>
        <w:t> </w:t>
      </w:r>
      <w:r>
        <w:rPr>
          <w:sz w:val="22"/>
        </w:rPr>
        <w:t>strip</w:t>
      </w:r>
      <w:r>
        <w:rPr>
          <w:spacing w:val="-6"/>
          <w:sz w:val="22"/>
        </w:rPr>
        <w:t> </w:t>
      </w:r>
      <w:r>
        <w:rPr>
          <w:sz w:val="22"/>
        </w:rPr>
        <w:t>was</w:t>
      </w:r>
      <w:r>
        <w:rPr>
          <w:spacing w:val="-5"/>
          <w:sz w:val="22"/>
        </w:rPr>
        <w:t> </w:t>
      </w:r>
      <w:r>
        <w:rPr>
          <w:sz w:val="22"/>
        </w:rPr>
        <w:t>moistened</w:t>
      </w:r>
      <w:r>
        <w:rPr>
          <w:spacing w:val="-6"/>
          <w:sz w:val="22"/>
        </w:rPr>
        <w:t> </w:t>
      </w:r>
      <w:r>
        <w:rPr>
          <w:sz w:val="22"/>
        </w:rPr>
        <w:t>with</w:t>
      </w:r>
      <w:r>
        <w:rPr>
          <w:spacing w:val="-3"/>
          <w:sz w:val="22"/>
        </w:rPr>
        <w:t> </w:t>
      </w:r>
      <w:r>
        <w:rPr>
          <w:sz w:val="22"/>
        </w:rPr>
        <w:t>a</w:t>
      </w:r>
      <w:r>
        <w:rPr>
          <w:spacing w:val="-3"/>
          <w:sz w:val="22"/>
        </w:rPr>
        <w:t> </w:t>
      </w:r>
      <w:r>
        <w:rPr>
          <w:sz w:val="22"/>
        </w:rPr>
        <w:t>drop</w:t>
      </w:r>
      <w:r>
        <w:rPr>
          <w:spacing w:val="-6"/>
          <w:sz w:val="22"/>
        </w:rPr>
        <w:t> </w:t>
      </w:r>
      <w:r>
        <w:rPr>
          <w:sz w:val="22"/>
        </w:rPr>
        <w:t>of</w:t>
      </w:r>
      <w:r>
        <w:rPr>
          <w:spacing w:val="-3"/>
          <w:sz w:val="22"/>
        </w:rPr>
        <w:t> </w:t>
      </w:r>
      <w:r>
        <w:rPr>
          <w:sz w:val="22"/>
        </w:rPr>
        <w:t>sterile</w:t>
      </w:r>
      <w:r>
        <w:rPr>
          <w:spacing w:val="-2"/>
          <w:sz w:val="22"/>
        </w:rPr>
        <w:t> water.</w:t>
      </w:r>
    </w:p>
    <w:p>
      <w:pPr>
        <w:pStyle w:val="BodyText"/>
        <w:spacing w:before="159"/>
      </w:pPr>
    </w:p>
    <w:p>
      <w:pPr>
        <w:pStyle w:val="ListParagraph"/>
        <w:numPr>
          <w:ilvl w:val="4"/>
          <w:numId w:val="2"/>
        </w:numPr>
        <w:tabs>
          <w:tab w:pos="1317" w:val="left" w:leader="none"/>
          <w:tab w:pos="8757" w:val="left" w:leader="none"/>
        </w:tabs>
        <w:spacing w:line="480" w:lineRule="auto" w:before="1" w:after="0"/>
        <w:ind w:left="1100" w:right="978" w:firstLine="0"/>
        <w:jc w:val="left"/>
        <w:rPr>
          <w:sz w:val="22"/>
        </w:rPr>
      </w:pPr>
      <w:r>
        <w:rPr>
          <w:sz w:val="22"/>
        </w:rPr>
        <w:t>A piece of sterile glass rod was used to remove a colony of the test organism and</w:t>
        <w:tab/>
      </w:r>
      <w:r>
        <w:rPr>
          <w:spacing w:val="-2"/>
          <w:sz w:val="22"/>
        </w:rPr>
        <w:t>rubbed </w:t>
      </w:r>
      <w:r>
        <w:rPr>
          <w:sz w:val="22"/>
        </w:rPr>
        <w:t>on the strip.</w:t>
      </w:r>
    </w:p>
    <w:p>
      <w:pPr>
        <w:pStyle w:val="ListParagraph"/>
        <w:numPr>
          <w:ilvl w:val="4"/>
          <w:numId w:val="2"/>
        </w:numPr>
        <w:tabs>
          <w:tab w:pos="1317" w:val="left" w:leader="none"/>
        </w:tabs>
        <w:spacing w:line="240" w:lineRule="auto" w:before="161" w:after="0"/>
        <w:ind w:left="1317" w:right="0" w:hanging="217"/>
        <w:jc w:val="left"/>
        <w:rPr>
          <w:sz w:val="22"/>
        </w:rPr>
      </w:pPr>
      <w:r>
        <w:rPr>
          <w:sz w:val="22"/>
        </w:rPr>
        <w:t>Red-purple</w:t>
      </w:r>
      <w:r>
        <w:rPr>
          <w:spacing w:val="-7"/>
          <w:sz w:val="22"/>
        </w:rPr>
        <w:t> </w:t>
      </w:r>
      <w:r>
        <w:rPr>
          <w:sz w:val="22"/>
        </w:rPr>
        <w:t>colour</w:t>
      </w:r>
      <w:r>
        <w:rPr>
          <w:spacing w:val="-4"/>
          <w:sz w:val="22"/>
        </w:rPr>
        <w:t> </w:t>
      </w:r>
      <w:r>
        <w:rPr>
          <w:sz w:val="22"/>
        </w:rPr>
        <w:t>within</w:t>
      </w:r>
      <w:r>
        <w:rPr>
          <w:spacing w:val="-5"/>
          <w:sz w:val="22"/>
        </w:rPr>
        <w:t> </w:t>
      </w:r>
      <w:r>
        <w:rPr>
          <w:sz w:val="22"/>
        </w:rPr>
        <w:t>20</w:t>
      </w:r>
      <w:r>
        <w:rPr>
          <w:spacing w:val="-6"/>
          <w:sz w:val="22"/>
        </w:rPr>
        <w:t> </w:t>
      </w:r>
      <w:r>
        <w:rPr>
          <w:sz w:val="22"/>
        </w:rPr>
        <w:t>seconds</w:t>
      </w:r>
      <w:r>
        <w:rPr>
          <w:spacing w:val="-4"/>
          <w:sz w:val="22"/>
        </w:rPr>
        <w:t> </w:t>
      </w:r>
      <w:r>
        <w:rPr>
          <w:sz w:val="22"/>
        </w:rPr>
        <w:t>indicates</w:t>
      </w:r>
      <w:r>
        <w:rPr>
          <w:spacing w:val="-3"/>
          <w:sz w:val="22"/>
        </w:rPr>
        <w:t> </w:t>
      </w:r>
      <w:r>
        <w:rPr>
          <w:sz w:val="22"/>
        </w:rPr>
        <w:t>the</w:t>
      </w:r>
      <w:r>
        <w:rPr>
          <w:spacing w:val="-4"/>
          <w:sz w:val="22"/>
        </w:rPr>
        <w:t> </w:t>
      </w:r>
      <w:r>
        <w:rPr>
          <w:sz w:val="22"/>
        </w:rPr>
        <w:t>presence</w:t>
      </w:r>
      <w:r>
        <w:rPr>
          <w:spacing w:val="-6"/>
          <w:sz w:val="22"/>
        </w:rPr>
        <w:t> </w:t>
      </w:r>
      <w:r>
        <w:rPr>
          <w:sz w:val="22"/>
        </w:rPr>
        <w:t>of</w:t>
      </w:r>
      <w:r>
        <w:rPr>
          <w:spacing w:val="-7"/>
          <w:sz w:val="22"/>
        </w:rPr>
        <w:t> </w:t>
      </w:r>
      <w:r>
        <w:rPr>
          <w:sz w:val="22"/>
        </w:rPr>
        <w:t>oxidase</w:t>
      </w:r>
      <w:r>
        <w:rPr>
          <w:spacing w:val="-4"/>
          <w:sz w:val="22"/>
        </w:rPr>
        <w:t> </w:t>
      </w:r>
      <w:r>
        <w:rPr>
          <w:sz w:val="22"/>
        </w:rPr>
        <w:t>positive</w:t>
      </w:r>
      <w:r>
        <w:rPr>
          <w:spacing w:val="-5"/>
          <w:sz w:val="22"/>
        </w:rPr>
        <w:t> </w:t>
      </w:r>
      <w:r>
        <w:rPr>
          <w:spacing w:val="-2"/>
          <w:sz w:val="22"/>
        </w:rPr>
        <w:t>organism.</w:t>
      </w:r>
    </w:p>
    <w:p>
      <w:pPr>
        <w:pStyle w:val="BodyText"/>
        <w:spacing w:before="159"/>
      </w:pPr>
    </w:p>
    <w:p>
      <w:pPr>
        <w:pStyle w:val="Heading3"/>
        <w:numPr>
          <w:ilvl w:val="2"/>
          <w:numId w:val="2"/>
        </w:numPr>
        <w:tabs>
          <w:tab w:pos="1033" w:val="left" w:leader="none"/>
        </w:tabs>
        <w:spacing w:line="240" w:lineRule="auto" w:before="0" w:after="0"/>
        <w:ind w:left="1033" w:right="0" w:hanging="653"/>
        <w:jc w:val="left"/>
      </w:pPr>
      <w:r>
        <w:rPr/>
        <w:t>Antibacterial</w:t>
      </w:r>
      <w:r>
        <w:rPr>
          <w:spacing w:val="-9"/>
        </w:rPr>
        <w:t> </w:t>
      </w:r>
      <w:r>
        <w:rPr/>
        <w:t>Activity</w:t>
      </w:r>
      <w:r>
        <w:rPr>
          <w:spacing w:val="-8"/>
        </w:rPr>
        <w:t> </w:t>
      </w:r>
      <w:r>
        <w:rPr>
          <w:spacing w:val="-2"/>
        </w:rPr>
        <w:t>Testing</w:t>
      </w:r>
    </w:p>
    <w:p>
      <w:pPr>
        <w:pStyle w:val="BodyText"/>
        <w:spacing w:before="161"/>
        <w:rPr>
          <w:b/>
        </w:rPr>
      </w:pPr>
    </w:p>
    <w:p>
      <w:pPr>
        <w:pStyle w:val="ListParagraph"/>
        <w:numPr>
          <w:ilvl w:val="3"/>
          <w:numId w:val="2"/>
        </w:numPr>
        <w:tabs>
          <w:tab w:pos="1040" w:val="left" w:leader="none"/>
        </w:tabs>
        <w:spacing w:line="240" w:lineRule="auto" w:before="0" w:after="0"/>
        <w:ind w:left="1040" w:right="0" w:hanging="660"/>
        <w:jc w:val="left"/>
        <w:rPr>
          <w:i/>
          <w:sz w:val="22"/>
        </w:rPr>
      </w:pPr>
      <w:r>
        <w:rPr>
          <w:i/>
          <w:sz w:val="22"/>
        </w:rPr>
        <w:t>Standardization</w:t>
      </w:r>
      <w:r>
        <w:rPr>
          <w:i/>
          <w:spacing w:val="-8"/>
          <w:sz w:val="22"/>
        </w:rPr>
        <w:t> </w:t>
      </w:r>
      <w:r>
        <w:rPr>
          <w:i/>
          <w:sz w:val="22"/>
        </w:rPr>
        <w:t>of</w:t>
      </w:r>
      <w:r>
        <w:rPr>
          <w:i/>
          <w:spacing w:val="-6"/>
          <w:sz w:val="22"/>
        </w:rPr>
        <w:t> </w:t>
      </w:r>
      <w:r>
        <w:rPr>
          <w:i/>
          <w:spacing w:val="-2"/>
          <w:sz w:val="22"/>
        </w:rPr>
        <w:t>inocula</w:t>
      </w:r>
    </w:p>
    <w:p>
      <w:pPr>
        <w:pStyle w:val="BodyText"/>
        <w:spacing w:before="160"/>
        <w:rPr>
          <w:i/>
        </w:rPr>
      </w:pPr>
    </w:p>
    <w:p>
      <w:pPr>
        <w:pStyle w:val="BodyText"/>
        <w:spacing w:line="482" w:lineRule="auto"/>
        <w:ind w:left="1100" w:right="974" w:firstLine="720"/>
        <w:jc w:val="both"/>
      </w:pPr>
      <w:r>
        <w:rPr/>
        <w:t>Overnight cultures of the test organisms were diluted in sterile normal saline to match 0.5 Mc Farland turbidity as used by (Samie </w:t>
      </w:r>
      <w:r>
        <w:rPr>
          <w:i/>
        </w:rPr>
        <w:t>et al., </w:t>
      </w:r>
      <w:r>
        <w:rPr/>
        <w:t>2005). At this point, the organisms should be at a concentrations of approximately 10</w:t>
      </w:r>
      <w:r>
        <w:rPr>
          <w:vertAlign w:val="superscript"/>
        </w:rPr>
        <w:t>5</w:t>
      </w:r>
      <w:r>
        <w:rPr>
          <w:spacing w:val="-11"/>
          <w:vertAlign w:val="baseline"/>
        </w:rPr>
        <w:t> </w:t>
      </w:r>
      <w:r>
        <w:rPr>
          <w:vertAlign w:val="baseline"/>
        </w:rPr>
        <w:t>to 10</w:t>
      </w:r>
      <w:r>
        <w:rPr>
          <w:vertAlign w:val="superscript"/>
        </w:rPr>
        <w:t>6</w:t>
      </w:r>
      <w:r>
        <w:rPr>
          <w:spacing w:val="-11"/>
          <w:vertAlign w:val="baseline"/>
        </w:rPr>
        <w:t> </w:t>
      </w:r>
      <w:r>
        <w:rPr>
          <w:vertAlign w:val="baseline"/>
        </w:rPr>
        <w:t>cfu/ml.</w:t>
      </w:r>
    </w:p>
    <w:p>
      <w:pPr>
        <w:pStyle w:val="ListParagraph"/>
        <w:numPr>
          <w:ilvl w:val="3"/>
          <w:numId w:val="2"/>
        </w:numPr>
        <w:tabs>
          <w:tab w:pos="1040" w:val="left" w:leader="none"/>
          <w:tab w:pos="1820" w:val="left" w:leader="none"/>
        </w:tabs>
        <w:spacing w:line="482" w:lineRule="auto" w:before="193" w:after="0"/>
        <w:ind w:left="1820" w:right="1805" w:hanging="1440"/>
        <w:jc w:val="both"/>
        <w:rPr>
          <w:i/>
          <w:sz w:val="22"/>
        </w:rPr>
      </w:pPr>
      <w:r>
        <w:rPr>
          <w:i/>
          <w:sz w:val="22"/>
        </w:rPr>
        <w:t>Susceptibility</w:t>
      </w:r>
      <w:r>
        <w:rPr>
          <w:i/>
          <w:spacing w:val="-5"/>
          <w:sz w:val="22"/>
        </w:rPr>
        <w:t> </w:t>
      </w:r>
      <w:r>
        <w:rPr>
          <w:i/>
          <w:sz w:val="22"/>
        </w:rPr>
        <w:t>testing</w:t>
      </w:r>
      <w:r>
        <w:rPr>
          <w:i/>
          <w:spacing w:val="-3"/>
          <w:sz w:val="22"/>
        </w:rPr>
        <w:t> </w:t>
      </w:r>
      <w:r>
        <w:rPr>
          <w:i/>
          <w:sz w:val="22"/>
        </w:rPr>
        <w:t>of</w:t>
      </w:r>
      <w:r>
        <w:rPr>
          <w:i/>
          <w:spacing w:val="-2"/>
          <w:sz w:val="22"/>
        </w:rPr>
        <w:t> </w:t>
      </w:r>
      <w:r>
        <w:rPr>
          <w:i/>
          <w:sz w:val="22"/>
        </w:rPr>
        <w:t>the</w:t>
      </w:r>
      <w:r>
        <w:rPr>
          <w:i/>
          <w:spacing w:val="-2"/>
          <w:sz w:val="22"/>
        </w:rPr>
        <w:t> </w:t>
      </w:r>
      <w:r>
        <w:rPr>
          <w:i/>
          <w:sz w:val="22"/>
        </w:rPr>
        <w:t>bacteria</w:t>
      </w:r>
      <w:r>
        <w:rPr>
          <w:i/>
          <w:spacing w:val="-1"/>
          <w:sz w:val="22"/>
        </w:rPr>
        <w:t> </w:t>
      </w:r>
      <w:r>
        <w:rPr>
          <w:i/>
          <w:sz w:val="22"/>
        </w:rPr>
        <w:t>isolates</w:t>
      </w:r>
      <w:r>
        <w:rPr>
          <w:i/>
          <w:spacing w:val="-1"/>
          <w:sz w:val="22"/>
        </w:rPr>
        <w:t> </w:t>
      </w:r>
      <w:r>
        <w:rPr>
          <w:i/>
          <w:sz w:val="22"/>
        </w:rPr>
        <w:t>to</w:t>
      </w:r>
      <w:r>
        <w:rPr>
          <w:i/>
          <w:spacing w:val="-5"/>
          <w:sz w:val="22"/>
        </w:rPr>
        <w:t> </w:t>
      </w:r>
      <w:r>
        <w:rPr>
          <w:i/>
          <w:sz w:val="22"/>
        </w:rPr>
        <w:t>Honey,</w:t>
      </w:r>
      <w:r>
        <w:rPr>
          <w:i/>
          <w:spacing w:val="-2"/>
          <w:sz w:val="22"/>
        </w:rPr>
        <w:t> </w:t>
      </w:r>
      <w:r>
        <w:rPr>
          <w:i/>
          <w:sz w:val="22"/>
        </w:rPr>
        <w:t>Lemon</w:t>
      </w:r>
      <w:r>
        <w:rPr>
          <w:i/>
          <w:spacing w:val="-2"/>
          <w:sz w:val="22"/>
        </w:rPr>
        <w:t> </w:t>
      </w:r>
      <w:r>
        <w:rPr>
          <w:i/>
          <w:sz w:val="22"/>
        </w:rPr>
        <w:t>juice</w:t>
      </w:r>
      <w:r>
        <w:rPr>
          <w:i/>
          <w:spacing w:val="-1"/>
          <w:sz w:val="22"/>
        </w:rPr>
        <w:t> </w:t>
      </w:r>
      <w:r>
        <w:rPr>
          <w:i/>
          <w:sz w:val="22"/>
        </w:rPr>
        <w:t>and</w:t>
      </w:r>
      <w:r>
        <w:rPr>
          <w:i/>
          <w:spacing w:val="-3"/>
          <w:sz w:val="22"/>
        </w:rPr>
        <w:t> </w:t>
      </w:r>
      <w:r>
        <w:rPr>
          <w:i/>
          <w:sz w:val="22"/>
        </w:rPr>
        <w:t>the</w:t>
      </w:r>
      <w:r>
        <w:rPr>
          <w:i/>
          <w:spacing w:val="-1"/>
          <w:sz w:val="22"/>
        </w:rPr>
        <w:t> </w:t>
      </w:r>
      <w:r>
        <w:rPr>
          <w:i/>
          <w:sz w:val="22"/>
        </w:rPr>
        <w:t>Standard antibiotic formulations</w:t>
      </w:r>
    </w:p>
    <w:p>
      <w:pPr>
        <w:pStyle w:val="BodyText"/>
        <w:spacing w:line="480" w:lineRule="auto" w:before="195"/>
        <w:ind w:left="1100" w:right="973" w:firstLine="720"/>
        <w:jc w:val="both"/>
      </w:pPr>
      <w:r>
        <w:rPr/>
        <w:t>The</w:t>
      </w:r>
      <w:r>
        <w:rPr>
          <w:spacing w:val="-2"/>
        </w:rPr>
        <w:t> </w:t>
      </w:r>
      <w:r>
        <w:rPr/>
        <w:t>honey</w:t>
      </w:r>
      <w:r>
        <w:rPr>
          <w:spacing w:val="-2"/>
        </w:rPr>
        <w:t> </w:t>
      </w:r>
      <w:r>
        <w:rPr/>
        <w:t>was</w:t>
      </w:r>
      <w:r>
        <w:rPr>
          <w:spacing w:val="-2"/>
        </w:rPr>
        <w:t> </w:t>
      </w:r>
      <w:r>
        <w:rPr/>
        <w:t>diluted</w:t>
      </w:r>
      <w:r>
        <w:rPr>
          <w:spacing w:val="-2"/>
        </w:rPr>
        <w:t> </w:t>
      </w:r>
      <w:r>
        <w:rPr/>
        <w:t>with</w:t>
      </w:r>
      <w:r>
        <w:rPr>
          <w:spacing w:val="-3"/>
        </w:rPr>
        <w:t> </w:t>
      </w:r>
      <w:r>
        <w:rPr/>
        <w:t>sterile</w:t>
      </w:r>
      <w:r>
        <w:rPr>
          <w:spacing w:val="-2"/>
        </w:rPr>
        <w:t> </w:t>
      </w:r>
      <w:r>
        <w:rPr/>
        <w:t>distilled</w:t>
      </w:r>
      <w:r>
        <w:rPr>
          <w:spacing w:val="-5"/>
        </w:rPr>
        <w:t> </w:t>
      </w:r>
      <w:r>
        <w:rPr/>
        <w:t>water</w:t>
      </w:r>
      <w:r>
        <w:rPr>
          <w:spacing w:val="-2"/>
        </w:rPr>
        <w:t> </w:t>
      </w:r>
      <w:r>
        <w:rPr/>
        <w:t>to</w:t>
      </w:r>
      <w:r>
        <w:rPr>
          <w:spacing w:val="-3"/>
        </w:rPr>
        <w:t> </w:t>
      </w:r>
      <w:r>
        <w:rPr/>
        <w:t>concentrations</w:t>
      </w:r>
      <w:r>
        <w:rPr>
          <w:spacing w:val="-4"/>
        </w:rPr>
        <w:t> </w:t>
      </w:r>
      <w:r>
        <w:rPr/>
        <w:t>of</w:t>
      </w:r>
      <w:r>
        <w:rPr>
          <w:spacing w:val="-2"/>
        </w:rPr>
        <w:t> </w:t>
      </w:r>
      <w:r>
        <w:rPr/>
        <w:t>between</w:t>
      </w:r>
      <w:r>
        <w:rPr>
          <w:spacing w:val="-2"/>
        </w:rPr>
        <w:t> </w:t>
      </w:r>
      <w:r>
        <w:rPr/>
        <w:t>25 % (v/v) to 50 % (v/v). The lemon was washed with water (to remove sand and other particles) and then washed with sterile distilled water and then cut using sterile knife before the juice was</w:t>
      </w:r>
      <w:r>
        <w:rPr>
          <w:spacing w:val="-1"/>
        </w:rPr>
        <w:t> </w:t>
      </w:r>
      <w:r>
        <w:rPr/>
        <w:t>squeezed</w:t>
      </w:r>
      <w:r>
        <w:rPr>
          <w:spacing w:val="-4"/>
        </w:rPr>
        <w:t> </w:t>
      </w:r>
      <w:r>
        <w:rPr/>
        <w:t>out</w:t>
      </w:r>
      <w:r>
        <w:rPr>
          <w:spacing w:val="-1"/>
        </w:rPr>
        <w:t> </w:t>
      </w:r>
      <w:r>
        <w:rPr/>
        <w:t>and</w:t>
      </w:r>
      <w:r>
        <w:rPr>
          <w:spacing w:val="-2"/>
        </w:rPr>
        <w:t> </w:t>
      </w:r>
      <w:r>
        <w:rPr/>
        <w:t>sieved.</w:t>
      </w:r>
      <w:r>
        <w:rPr>
          <w:spacing w:val="-2"/>
        </w:rPr>
        <w:t> </w:t>
      </w:r>
      <w:r>
        <w:rPr/>
        <w:t>The</w:t>
      </w:r>
      <w:r>
        <w:rPr>
          <w:spacing w:val="-1"/>
        </w:rPr>
        <w:t> </w:t>
      </w:r>
      <w:r>
        <w:rPr/>
        <w:t>sieving</w:t>
      </w:r>
      <w:r>
        <w:rPr>
          <w:spacing w:val="-2"/>
        </w:rPr>
        <w:t> </w:t>
      </w:r>
      <w:r>
        <w:rPr/>
        <w:t>was</w:t>
      </w:r>
      <w:r>
        <w:rPr>
          <w:spacing w:val="-1"/>
        </w:rPr>
        <w:t> </w:t>
      </w:r>
      <w:r>
        <w:rPr/>
        <w:t>done</w:t>
      </w:r>
      <w:r>
        <w:rPr>
          <w:spacing w:val="-1"/>
        </w:rPr>
        <w:t> </w:t>
      </w:r>
      <w:r>
        <w:rPr/>
        <w:t>to remove</w:t>
      </w:r>
      <w:r>
        <w:rPr>
          <w:spacing w:val="-1"/>
        </w:rPr>
        <w:t> </w:t>
      </w:r>
      <w:r>
        <w:rPr/>
        <w:t>the</w:t>
      </w:r>
      <w:r>
        <w:rPr>
          <w:spacing w:val="-1"/>
        </w:rPr>
        <w:t> </w:t>
      </w:r>
      <w:r>
        <w:rPr/>
        <w:t>seeds</w:t>
      </w:r>
      <w:r>
        <w:rPr>
          <w:spacing w:val="-1"/>
        </w:rPr>
        <w:t> </w:t>
      </w:r>
      <w:r>
        <w:rPr/>
        <w:t>and</w:t>
      </w:r>
      <w:r>
        <w:rPr>
          <w:spacing w:val="-3"/>
        </w:rPr>
        <w:t> </w:t>
      </w:r>
      <w:r>
        <w:rPr/>
        <w:t>other</w:t>
      </w:r>
      <w:r>
        <w:rPr>
          <w:spacing w:val="-1"/>
        </w:rPr>
        <w:t> </w:t>
      </w:r>
      <w:r>
        <w:rPr/>
        <w:t>particles. The juice was then diluted with sterile distilled water to concentrations of between 25 % (v/v) to 50 % (v/v).</w:t>
      </w:r>
    </w:p>
    <w:p>
      <w:pPr>
        <w:pStyle w:val="BodyText"/>
        <w:spacing w:line="480" w:lineRule="auto" w:before="200"/>
        <w:ind w:left="1100" w:right="973" w:firstLine="720"/>
        <w:jc w:val="both"/>
      </w:pPr>
      <w:r>
        <w:rPr/>
        <w:t>For combination studies, rato of mixtures (Lemon juice:Honey:water) was as follows 10:50:40;</w:t>
      </w:r>
      <w:r>
        <w:rPr>
          <w:spacing w:val="40"/>
        </w:rPr>
        <w:t> </w:t>
      </w:r>
      <w:r>
        <w:rPr/>
        <w:t>20:50:30;</w:t>
      </w:r>
      <w:r>
        <w:rPr>
          <w:spacing w:val="40"/>
        </w:rPr>
        <w:t> </w:t>
      </w:r>
      <w:r>
        <w:rPr/>
        <w:t>30:50:20;</w:t>
      </w:r>
      <w:r>
        <w:rPr>
          <w:spacing w:val="40"/>
        </w:rPr>
        <w:t> </w:t>
      </w:r>
      <w:r>
        <w:rPr/>
        <w:t>40:50:10;</w:t>
      </w:r>
      <w:r>
        <w:rPr>
          <w:spacing w:val="40"/>
        </w:rPr>
        <w:t> </w:t>
      </w:r>
      <w:r>
        <w:rPr/>
        <w:t>50:50:0</w:t>
      </w:r>
      <w:r>
        <w:rPr>
          <w:spacing w:val="40"/>
        </w:rPr>
        <w:t> </w:t>
      </w:r>
      <w:r>
        <w:rPr/>
        <w:t>(v/v)</w:t>
      </w:r>
      <w:r>
        <w:rPr>
          <w:spacing w:val="40"/>
        </w:rPr>
        <w:t> </w:t>
      </w:r>
      <w:r>
        <w:rPr/>
        <w:t>concentrations</w:t>
      </w:r>
      <w:r>
        <w:rPr>
          <w:spacing w:val="40"/>
        </w:rPr>
        <w:t> </w:t>
      </w:r>
      <w:r>
        <w:rPr/>
        <w:t>and</w:t>
      </w:r>
      <w:r>
        <w:rPr>
          <w:spacing w:val="40"/>
        </w:rPr>
        <w:t> </w:t>
      </w:r>
      <w:r>
        <w:rPr/>
        <w:t>Honey:Lemon</w:t>
      </w:r>
    </w:p>
    <w:p>
      <w:pPr>
        <w:pStyle w:val="BodyText"/>
        <w:spacing w:before="1"/>
        <w:ind w:left="1100"/>
        <w:jc w:val="both"/>
      </w:pPr>
      <w:r>
        <w:rPr/>
        <w:t>juice:water</w:t>
      </w:r>
      <w:r>
        <w:rPr>
          <w:spacing w:val="-10"/>
        </w:rPr>
        <w:t> </w:t>
      </w:r>
      <w:r>
        <w:rPr/>
        <w:t>at</w:t>
      </w:r>
      <w:r>
        <w:rPr>
          <w:spacing w:val="-6"/>
        </w:rPr>
        <w:t> </w:t>
      </w:r>
      <w:r>
        <w:rPr/>
        <w:t>10:50:40;</w:t>
      </w:r>
      <w:r>
        <w:rPr>
          <w:spacing w:val="-6"/>
        </w:rPr>
        <w:t> </w:t>
      </w:r>
      <w:r>
        <w:rPr/>
        <w:t>20:50:30;</w:t>
      </w:r>
      <w:r>
        <w:rPr>
          <w:spacing w:val="-5"/>
        </w:rPr>
        <w:t> </w:t>
      </w:r>
      <w:r>
        <w:rPr/>
        <w:t>30:50:20;</w:t>
      </w:r>
      <w:r>
        <w:rPr>
          <w:spacing w:val="-6"/>
        </w:rPr>
        <w:t> </w:t>
      </w:r>
      <w:r>
        <w:rPr/>
        <w:t>40:50:10;</w:t>
      </w:r>
      <w:r>
        <w:rPr>
          <w:spacing w:val="-8"/>
        </w:rPr>
        <w:t> </w:t>
      </w:r>
      <w:r>
        <w:rPr/>
        <w:t>50:50:0</w:t>
      </w:r>
      <w:r>
        <w:rPr>
          <w:spacing w:val="-2"/>
        </w:rPr>
        <w:t> </w:t>
      </w:r>
      <w:r>
        <w:rPr/>
        <w:t>(v/v)</w:t>
      </w:r>
      <w:r>
        <w:rPr>
          <w:spacing w:val="-8"/>
        </w:rPr>
        <w:t> </w:t>
      </w:r>
      <w:r>
        <w:rPr>
          <w:spacing w:val="-2"/>
        </w:rPr>
        <w:t>concentrations.</w:t>
      </w:r>
    </w:p>
    <w:p>
      <w:pPr>
        <w:pStyle w:val="BodyText"/>
        <w:spacing w:before="200"/>
      </w:pPr>
    </w:p>
    <w:p>
      <w:pPr>
        <w:pStyle w:val="BodyText"/>
        <w:spacing w:line="480" w:lineRule="auto"/>
        <w:ind w:left="1100" w:right="974" w:firstLine="720"/>
        <w:jc w:val="both"/>
      </w:pPr>
      <w:r>
        <w:rPr/>
        <w:t>Agar well diffusion technique as used by Adeniyi </w:t>
      </w:r>
      <w:r>
        <w:rPr>
          <w:i/>
        </w:rPr>
        <w:t>et al., </w:t>
      </w:r>
      <w:r>
        <w:rPr/>
        <w:t>(1996) and Adeshina </w:t>
      </w:r>
      <w:r>
        <w:rPr>
          <w:i/>
        </w:rPr>
        <w:t>et al</w:t>
      </w:r>
      <w:r>
        <w:rPr/>
        <w:t>., (2010) was used to determine the antibacterial activities of the Honey, Lemon and the combinations of the two agents.</w:t>
      </w:r>
    </w:p>
    <w:p>
      <w:pPr>
        <w:spacing w:after="0" w:line="480" w:lineRule="auto"/>
        <w:jc w:val="both"/>
        <w:sectPr>
          <w:pgSz w:w="11910" w:h="16840"/>
          <w:pgMar w:header="0" w:footer="1055" w:top="1380" w:bottom="1240" w:left="1060" w:right="460"/>
        </w:sectPr>
      </w:pPr>
    </w:p>
    <w:p>
      <w:pPr>
        <w:pStyle w:val="BodyText"/>
        <w:spacing w:line="480" w:lineRule="auto" w:before="38"/>
        <w:ind w:left="1100" w:right="975" w:firstLine="720"/>
        <w:jc w:val="both"/>
      </w:pPr>
      <w:r>
        <w:rPr/>
        <w:t>Mueller-Hinton agar were prepared and poured into sterile petri-dishes, and then allowed to set. The prepared inocula were then spread thinly with sterile swab stick on the surface of the agar. Thereafter, holes were bored using sterile cork-borer (number 4) to make uniform wells on the inoculated agar. The bottom of the hole was then sealed with 2 drops of molten sterile Mueller Hinton agar and then filled with the test antibacterial agent (honey, lemon, honey/lemon). Care was taken to ensure that the correct measure of concentration of the agent was added into each of the holes and to avoid spillage.</w:t>
      </w:r>
    </w:p>
    <w:p>
      <w:pPr>
        <w:pStyle w:val="BodyText"/>
        <w:spacing w:line="480" w:lineRule="auto" w:before="201"/>
        <w:ind w:left="1100" w:right="975" w:firstLine="720"/>
        <w:jc w:val="both"/>
      </w:pPr>
      <w:r>
        <w:rPr/>
        <w:t>The standard antibiotic discs were also placed at some points in the same petri dishes for them to undergo the same conditions. Pre-incubation diffusion time (45 minutes to 1 hour) was allowed, after which the petri-dishes were incubated at 37 </w:t>
      </w:r>
      <w:r>
        <w:rPr>
          <w:vertAlign w:val="superscript"/>
        </w:rPr>
        <w:t>o</w:t>
      </w:r>
      <w:r>
        <w:rPr>
          <w:vertAlign w:val="baseline"/>
        </w:rPr>
        <w:t>C for 18-24 hrs.</w:t>
      </w:r>
    </w:p>
    <w:p>
      <w:pPr>
        <w:pStyle w:val="BodyText"/>
        <w:spacing w:line="480" w:lineRule="auto" w:before="201"/>
        <w:ind w:left="1100" w:right="976" w:firstLine="720"/>
        <w:jc w:val="both"/>
      </w:pPr>
      <w:r>
        <w:rPr/>
        <w:t>After the incubation period, the diameters of the zones of inhibition were measured in millimeters (with the aid of a metre rule) and recorded accordingly. Interpretation of</w:t>
      </w:r>
      <w:r>
        <w:rPr>
          <w:spacing w:val="40"/>
        </w:rPr>
        <w:t> </w:t>
      </w:r>
      <w:r>
        <w:rPr/>
        <w:t>zones sizes in terms of sensitivity or susceptibility, and resistance was based on the values provided by Clinical and Laboratory Standards Institute (CLSI), (2008).</w:t>
      </w:r>
    </w:p>
    <w:p>
      <w:pPr>
        <w:pStyle w:val="ListParagraph"/>
        <w:numPr>
          <w:ilvl w:val="3"/>
          <w:numId w:val="2"/>
        </w:numPr>
        <w:tabs>
          <w:tab w:pos="1098" w:val="left" w:leader="none"/>
          <w:tab w:pos="1100" w:val="left" w:leader="none"/>
        </w:tabs>
        <w:spacing w:line="482" w:lineRule="auto" w:before="199" w:after="0"/>
        <w:ind w:left="1100" w:right="1685" w:hanging="720"/>
        <w:jc w:val="both"/>
        <w:rPr>
          <w:i/>
          <w:sz w:val="22"/>
        </w:rPr>
      </w:pPr>
      <w:r>
        <w:rPr>
          <w:i/>
          <w:sz w:val="22"/>
        </w:rPr>
        <w:t>Determination</w:t>
      </w:r>
      <w:r>
        <w:rPr>
          <w:i/>
          <w:spacing w:val="-4"/>
          <w:sz w:val="22"/>
        </w:rPr>
        <w:t> </w:t>
      </w:r>
      <w:r>
        <w:rPr>
          <w:i/>
          <w:sz w:val="22"/>
        </w:rPr>
        <w:t>of</w:t>
      </w:r>
      <w:r>
        <w:rPr>
          <w:i/>
          <w:spacing w:val="-6"/>
          <w:sz w:val="22"/>
        </w:rPr>
        <w:t> </w:t>
      </w:r>
      <w:r>
        <w:rPr>
          <w:i/>
          <w:sz w:val="22"/>
        </w:rPr>
        <w:t>Minimum</w:t>
      </w:r>
      <w:r>
        <w:rPr>
          <w:i/>
          <w:spacing w:val="-5"/>
          <w:sz w:val="22"/>
        </w:rPr>
        <w:t> </w:t>
      </w:r>
      <w:r>
        <w:rPr>
          <w:i/>
          <w:sz w:val="22"/>
        </w:rPr>
        <w:t>Inhibitory</w:t>
      </w:r>
      <w:r>
        <w:rPr>
          <w:i/>
          <w:spacing w:val="-3"/>
          <w:sz w:val="22"/>
        </w:rPr>
        <w:t> </w:t>
      </w:r>
      <w:r>
        <w:rPr>
          <w:i/>
          <w:sz w:val="22"/>
        </w:rPr>
        <w:t>Concentration</w:t>
      </w:r>
      <w:r>
        <w:rPr>
          <w:i/>
          <w:spacing w:val="-4"/>
          <w:sz w:val="22"/>
        </w:rPr>
        <w:t> </w:t>
      </w:r>
      <w:r>
        <w:rPr>
          <w:i/>
          <w:sz w:val="22"/>
        </w:rPr>
        <w:t>(MIC)</w:t>
      </w:r>
      <w:r>
        <w:rPr>
          <w:i/>
          <w:spacing w:val="-3"/>
          <w:sz w:val="22"/>
        </w:rPr>
        <w:t> </w:t>
      </w:r>
      <w:r>
        <w:rPr>
          <w:i/>
          <w:sz w:val="22"/>
        </w:rPr>
        <w:t>and</w:t>
      </w:r>
      <w:r>
        <w:rPr>
          <w:i/>
          <w:spacing w:val="-6"/>
          <w:sz w:val="22"/>
        </w:rPr>
        <w:t> </w:t>
      </w:r>
      <w:r>
        <w:rPr>
          <w:i/>
          <w:sz w:val="22"/>
        </w:rPr>
        <w:t>Minimum</w:t>
      </w:r>
      <w:r>
        <w:rPr>
          <w:i/>
          <w:spacing w:val="-5"/>
          <w:sz w:val="22"/>
        </w:rPr>
        <w:t> </w:t>
      </w:r>
      <w:r>
        <w:rPr>
          <w:i/>
          <w:sz w:val="22"/>
        </w:rPr>
        <w:t>Bactericidal Concentration (MBC) of the agents</w:t>
      </w:r>
    </w:p>
    <w:p>
      <w:pPr>
        <w:pStyle w:val="BodyText"/>
        <w:spacing w:line="480" w:lineRule="auto" w:before="195"/>
        <w:ind w:left="1100" w:right="973" w:firstLine="720"/>
        <w:jc w:val="both"/>
      </w:pPr>
      <w:r>
        <w:rPr/>
        <w:t>The MIC was carried out using the broth dilution method as used by (Kabir </w:t>
      </w:r>
      <w:r>
        <w:rPr>
          <w:i/>
        </w:rPr>
        <w:t>et al</w:t>
      </w:r>
      <w:r>
        <w:rPr/>
        <w:t>., 2005) and as described by (CLSI, 2008). Stock solutions of 125 µg/ml (i.e. 50 mg of the standard antibiotic formulation powder was weighed using digital weighing balance and mixed</w:t>
      </w:r>
      <w:r>
        <w:rPr>
          <w:spacing w:val="-1"/>
        </w:rPr>
        <w:t> </w:t>
      </w:r>
      <w:r>
        <w:rPr/>
        <w:t>with</w:t>
      </w:r>
      <w:r>
        <w:rPr>
          <w:spacing w:val="-1"/>
        </w:rPr>
        <w:t> </w:t>
      </w:r>
      <w:r>
        <w:rPr/>
        <w:t>200</w:t>
      </w:r>
      <w:r>
        <w:rPr>
          <w:spacing w:val="-1"/>
        </w:rPr>
        <w:t> </w:t>
      </w:r>
      <w:r>
        <w:rPr/>
        <w:t>ml</w:t>
      </w:r>
      <w:r>
        <w:rPr>
          <w:spacing w:val="-1"/>
        </w:rPr>
        <w:t> </w:t>
      </w:r>
      <w:r>
        <w:rPr/>
        <w:t>of</w:t>
      </w:r>
      <w:r>
        <w:rPr>
          <w:spacing w:val="-1"/>
        </w:rPr>
        <w:t> </w:t>
      </w:r>
      <w:r>
        <w:rPr/>
        <w:t>sterile</w:t>
      </w:r>
      <w:r>
        <w:rPr>
          <w:spacing w:val="-1"/>
        </w:rPr>
        <w:t> </w:t>
      </w:r>
      <w:r>
        <w:rPr/>
        <w:t>distilled</w:t>
      </w:r>
      <w:r>
        <w:rPr>
          <w:spacing w:val="-1"/>
        </w:rPr>
        <w:t> </w:t>
      </w:r>
      <w:r>
        <w:rPr/>
        <w:t>water) was</w:t>
      </w:r>
      <w:r>
        <w:rPr>
          <w:spacing w:val="-1"/>
        </w:rPr>
        <w:t> </w:t>
      </w:r>
      <w:r>
        <w:rPr/>
        <w:t>prepared</w:t>
      </w:r>
      <w:r>
        <w:rPr>
          <w:spacing w:val="-2"/>
        </w:rPr>
        <w:t> </w:t>
      </w:r>
      <w:r>
        <w:rPr/>
        <w:t>for</w:t>
      </w:r>
      <w:r>
        <w:rPr>
          <w:spacing w:val="-1"/>
        </w:rPr>
        <w:t> </w:t>
      </w:r>
      <w:r>
        <w:rPr/>
        <w:t>CRO,</w:t>
      </w:r>
      <w:r>
        <w:rPr>
          <w:spacing w:val="-1"/>
        </w:rPr>
        <w:t> </w:t>
      </w:r>
      <w:r>
        <w:rPr/>
        <w:t>AMC,</w:t>
      </w:r>
      <w:r>
        <w:rPr>
          <w:spacing w:val="-1"/>
        </w:rPr>
        <w:t> </w:t>
      </w:r>
      <w:r>
        <w:rPr/>
        <w:t>and</w:t>
      </w:r>
      <w:r>
        <w:rPr>
          <w:spacing w:val="-3"/>
        </w:rPr>
        <w:t> </w:t>
      </w:r>
      <w:r>
        <w:rPr/>
        <w:t>LEV;</w:t>
      </w:r>
      <w:r>
        <w:rPr>
          <w:spacing w:val="-1"/>
        </w:rPr>
        <w:t> </w:t>
      </w:r>
      <w:r>
        <w:rPr/>
        <w:t>100</w:t>
      </w:r>
      <w:r>
        <w:rPr>
          <w:spacing w:val="-1"/>
        </w:rPr>
        <w:t> </w:t>
      </w:r>
      <w:r>
        <w:rPr/>
        <w:t>µg/ml and 50 µg/ml was also prepared for CN and AZM respectively based on their different MIC break point values. Two-fold serial dilution of the stock solutions were made in eight (8) test tubes (plus three control test tubes; one containing Mueller Hinton broth and the test bacteria,</w:t>
      </w:r>
      <w:r>
        <w:rPr>
          <w:spacing w:val="40"/>
        </w:rPr>
        <w:t> </w:t>
      </w:r>
      <w:r>
        <w:rPr/>
        <w:t>another</w:t>
      </w:r>
      <w:r>
        <w:rPr>
          <w:spacing w:val="39"/>
        </w:rPr>
        <w:t> </w:t>
      </w:r>
      <w:r>
        <w:rPr/>
        <w:t>containing</w:t>
      </w:r>
      <w:r>
        <w:rPr>
          <w:spacing w:val="39"/>
        </w:rPr>
        <w:t> </w:t>
      </w:r>
      <w:r>
        <w:rPr/>
        <w:t>Mueller-Hinton</w:t>
      </w:r>
      <w:r>
        <w:rPr>
          <w:spacing w:val="39"/>
        </w:rPr>
        <w:t> </w:t>
      </w:r>
      <w:r>
        <w:rPr/>
        <w:t>broth</w:t>
      </w:r>
      <w:r>
        <w:rPr>
          <w:spacing w:val="37"/>
        </w:rPr>
        <w:t> </w:t>
      </w:r>
      <w:r>
        <w:rPr/>
        <w:t>and</w:t>
      </w:r>
      <w:r>
        <w:rPr>
          <w:spacing w:val="39"/>
        </w:rPr>
        <w:t> </w:t>
      </w:r>
      <w:r>
        <w:rPr/>
        <w:t>the</w:t>
      </w:r>
      <w:r>
        <w:rPr>
          <w:spacing w:val="40"/>
        </w:rPr>
        <w:t> </w:t>
      </w:r>
      <w:r>
        <w:rPr/>
        <w:t>reference</w:t>
      </w:r>
      <w:r>
        <w:rPr>
          <w:spacing w:val="40"/>
        </w:rPr>
        <w:t> </w:t>
      </w:r>
      <w:r>
        <w:rPr/>
        <w:t>antibiotics</w:t>
      </w:r>
      <w:r>
        <w:rPr>
          <w:spacing w:val="40"/>
        </w:rPr>
        <w:t> </w:t>
      </w:r>
      <w:r>
        <w:rPr/>
        <w:t>and</w:t>
      </w:r>
      <w:r>
        <w:rPr>
          <w:spacing w:val="39"/>
        </w:rPr>
        <w:t> </w:t>
      </w:r>
      <w:r>
        <w:rPr/>
        <w:t>the</w:t>
      </w:r>
    </w:p>
    <w:p>
      <w:pPr>
        <w:spacing w:after="0" w:line="480" w:lineRule="auto"/>
        <w:jc w:val="both"/>
        <w:sectPr>
          <w:pgSz w:w="11910" w:h="16840"/>
          <w:pgMar w:header="0" w:footer="1055" w:top="1380" w:bottom="1240" w:left="1060" w:right="460"/>
        </w:sectPr>
      </w:pPr>
    </w:p>
    <w:p>
      <w:pPr>
        <w:pStyle w:val="BodyText"/>
        <w:spacing w:line="482" w:lineRule="auto" w:before="38"/>
        <w:ind w:left="1100" w:right="973"/>
        <w:jc w:val="both"/>
      </w:pPr>
      <w:r>
        <w:rPr/>
        <w:t>other containing Mueller-Hinton broth and sterile distilled water) of Mueller-Hinton broth, with the first test tube being a double strength and the others single strength to obtain concentrations between 125-0.98 µg/ml, 100-0.78 µg/ml and 50.0-0.39 µg/ml.</w:t>
      </w:r>
    </w:p>
    <w:p>
      <w:pPr>
        <w:pStyle w:val="BodyText"/>
        <w:spacing w:line="480" w:lineRule="auto" w:before="193"/>
        <w:ind w:left="1100" w:right="972" w:firstLine="720"/>
        <w:jc w:val="both"/>
      </w:pPr>
      <w:r>
        <w:rPr/>
        <w:t>For the Honey and</w:t>
      </w:r>
      <w:r>
        <w:rPr>
          <w:spacing w:val="-2"/>
        </w:rPr>
        <w:t> </w:t>
      </w:r>
      <w:r>
        <w:rPr/>
        <w:t>Lemon,</w:t>
      </w:r>
      <w:r>
        <w:rPr>
          <w:spacing w:val="-4"/>
        </w:rPr>
        <w:t> </w:t>
      </w:r>
      <w:r>
        <w:rPr/>
        <w:t>100</w:t>
      </w:r>
      <w:r>
        <w:rPr>
          <w:spacing w:val="-1"/>
        </w:rPr>
        <w:t> </w:t>
      </w:r>
      <w:r>
        <w:rPr/>
        <w:t>µg/ml,</w:t>
      </w:r>
      <w:r>
        <w:rPr>
          <w:spacing w:val="-1"/>
        </w:rPr>
        <w:t> </w:t>
      </w:r>
      <w:r>
        <w:rPr/>
        <w:t>90</w:t>
      </w:r>
      <w:r>
        <w:rPr>
          <w:spacing w:val="-1"/>
        </w:rPr>
        <w:t> </w:t>
      </w:r>
      <w:r>
        <w:rPr/>
        <w:t>µg/ml,</w:t>
      </w:r>
      <w:r>
        <w:rPr>
          <w:spacing w:val="-1"/>
        </w:rPr>
        <w:t> </w:t>
      </w:r>
      <w:r>
        <w:rPr/>
        <w:t>80</w:t>
      </w:r>
      <w:r>
        <w:rPr>
          <w:spacing w:val="-1"/>
        </w:rPr>
        <w:t> </w:t>
      </w:r>
      <w:r>
        <w:rPr/>
        <w:t>µg/ml,</w:t>
      </w:r>
      <w:r>
        <w:rPr>
          <w:spacing w:val="-1"/>
        </w:rPr>
        <w:t> </w:t>
      </w:r>
      <w:r>
        <w:rPr/>
        <w:t>70</w:t>
      </w:r>
      <w:r>
        <w:rPr>
          <w:spacing w:val="-1"/>
        </w:rPr>
        <w:t> </w:t>
      </w:r>
      <w:r>
        <w:rPr/>
        <w:t>µg/ml</w:t>
      </w:r>
      <w:r>
        <w:rPr>
          <w:spacing w:val="-1"/>
        </w:rPr>
        <w:t> </w:t>
      </w:r>
      <w:r>
        <w:rPr/>
        <w:t>and</w:t>
      </w:r>
      <w:r>
        <w:rPr>
          <w:spacing w:val="-2"/>
        </w:rPr>
        <w:t> </w:t>
      </w:r>
      <w:r>
        <w:rPr/>
        <w:t>60</w:t>
      </w:r>
      <w:r>
        <w:rPr>
          <w:spacing w:val="-1"/>
        </w:rPr>
        <w:t> </w:t>
      </w:r>
      <w:r>
        <w:rPr/>
        <w:t>µg/ml of stock solutions were prepared after sieving under sterile condition. Two-fold serial dilution</w:t>
      </w:r>
      <w:r>
        <w:rPr>
          <w:spacing w:val="40"/>
        </w:rPr>
        <w:t> </w:t>
      </w:r>
      <w:r>
        <w:rPr/>
        <w:t>of the stock solutions were also made in eight (8) test tubes (plus three control test tubes; one containing Mueller Hinton broth and the test bacteria, another containing Mueller- Hinton broth and the test agent and the other containing Mueller-Hinton broth and sterile distilled water) of Mueller-Hinton broth with the first test tube being a double strength and the others single strength to obtain concentrations between 100-0.78 µg/ml, 90.0-0.71 µg/ml, 80.0-0.63 µg/ml, 70.0-0.55 µg/ml and 60.0-0.47 µg/ml.</w:t>
      </w:r>
    </w:p>
    <w:p>
      <w:pPr>
        <w:pStyle w:val="BodyText"/>
        <w:spacing w:line="480" w:lineRule="auto" w:before="199"/>
        <w:ind w:left="1100" w:right="973" w:firstLine="720"/>
        <w:jc w:val="both"/>
      </w:pPr>
      <w:r>
        <w:rPr/>
        <w:t>One hundred microliter (100 µl) of the standardized inoculums (10</w:t>
      </w:r>
      <w:r>
        <w:rPr>
          <w:vertAlign w:val="superscript"/>
        </w:rPr>
        <w:t>5</w:t>
      </w:r>
      <w:r>
        <w:rPr>
          <w:vertAlign w:val="baseline"/>
        </w:rPr>
        <w:t> to 10</w:t>
      </w:r>
      <w:r>
        <w:rPr>
          <w:vertAlign w:val="superscript"/>
        </w:rPr>
        <w:t>6</w:t>
      </w:r>
      <w:r>
        <w:rPr>
          <w:vertAlign w:val="baseline"/>
        </w:rPr>
        <w:t> cfu/ml) was then inoculated to the different dilutions of the agents and the antibiotics in the 8 test tubes plus the organism-control test tube. The organisms were then incubated at 37 </w:t>
      </w:r>
      <w:r>
        <w:rPr>
          <w:vertAlign w:val="superscript"/>
        </w:rPr>
        <w:t>0</w:t>
      </w:r>
      <w:r>
        <w:rPr>
          <w:spacing w:val="-7"/>
          <w:vertAlign w:val="baseline"/>
        </w:rPr>
        <w:t> </w:t>
      </w:r>
      <w:r>
        <w:rPr>
          <w:vertAlign w:val="baseline"/>
        </w:rPr>
        <w:t>C for 24 hours. The lowest concentration (highest dilution) of the honey and/or lemon or the antibiotics</w:t>
      </w:r>
      <w:r>
        <w:rPr>
          <w:spacing w:val="-1"/>
          <w:vertAlign w:val="baseline"/>
        </w:rPr>
        <w:t> </w:t>
      </w:r>
      <w:r>
        <w:rPr>
          <w:vertAlign w:val="baseline"/>
        </w:rPr>
        <w:t>which</w:t>
      </w:r>
      <w:r>
        <w:rPr>
          <w:spacing w:val="-3"/>
          <w:vertAlign w:val="baseline"/>
        </w:rPr>
        <w:t> </w:t>
      </w:r>
      <w:r>
        <w:rPr>
          <w:vertAlign w:val="baseline"/>
        </w:rPr>
        <w:t>showed</w:t>
      </w:r>
      <w:r>
        <w:rPr>
          <w:spacing w:val="-2"/>
          <w:vertAlign w:val="baseline"/>
        </w:rPr>
        <w:t> </w:t>
      </w:r>
      <w:r>
        <w:rPr>
          <w:vertAlign w:val="baseline"/>
        </w:rPr>
        <w:t>clear</w:t>
      </w:r>
      <w:r>
        <w:rPr>
          <w:spacing w:val="-1"/>
          <w:vertAlign w:val="baseline"/>
        </w:rPr>
        <w:t> </w:t>
      </w:r>
      <w:r>
        <w:rPr>
          <w:vertAlign w:val="baseline"/>
        </w:rPr>
        <w:t>solution</w:t>
      </w:r>
      <w:r>
        <w:rPr>
          <w:spacing w:val="-2"/>
          <w:vertAlign w:val="baseline"/>
        </w:rPr>
        <w:t> </w:t>
      </w:r>
      <w:r>
        <w:rPr>
          <w:vertAlign w:val="baseline"/>
        </w:rPr>
        <w:t>or</w:t>
      </w:r>
      <w:r>
        <w:rPr>
          <w:spacing w:val="-1"/>
          <w:vertAlign w:val="baseline"/>
        </w:rPr>
        <w:t> </w:t>
      </w:r>
      <w:r>
        <w:rPr>
          <w:vertAlign w:val="baseline"/>
        </w:rPr>
        <w:t>no</w:t>
      </w:r>
      <w:r>
        <w:rPr>
          <w:spacing w:val="-1"/>
          <w:vertAlign w:val="baseline"/>
        </w:rPr>
        <w:t> </w:t>
      </w:r>
      <w:r>
        <w:rPr>
          <w:vertAlign w:val="baseline"/>
        </w:rPr>
        <w:t>visible</w:t>
      </w:r>
      <w:r>
        <w:rPr>
          <w:spacing w:val="-1"/>
          <w:vertAlign w:val="baseline"/>
        </w:rPr>
        <w:t> </w:t>
      </w:r>
      <w:r>
        <w:rPr>
          <w:vertAlign w:val="baseline"/>
        </w:rPr>
        <w:t>bacterial</w:t>
      </w:r>
      <w:r>
        <w:rPr>
          <w:spacing w:val="-1"/>
          <w:vertAlign w:val="baseline"/>
        </w:rPr>
        <w:t> </w:t>
      </w:r>
      <w:r>
        <w:rPr>
          <w:vertAlign w:val="baseline"/>
        </w:rPr>
        <w:t>growth</w:t>
      </w:r>
      <w:r>
        <w:rPr>
          <w:spacing w:val="-2"/>
          <w:vertAlign w:val="baseline"/>
        </w:rPr>
        <w:t> </w:t>
      </w:r>
      <w:r>
        <w:rPr>
          <w:vertAlign w:val="baseline"/>
        </w:rPr>
        <w:t>(i.e.</w:t>
      </w:r>
      <w:r>
        <w:rPr>
          <w:spacing w:val="-1"/>
          <w:vertAlign w:val="baseline"/>
        </w:rPr>
        <w:t> </w:t>
      </w:r>
      <w:r>
        <w:rPr>
          <w:vertAlign w:val="baseline"/>
        </w:rPr>
        <w:t>no</w:t>
      </w:r>
      <w:r>
        <w:rPr>
          <w:spacing w:val="-1"/>
          <w:vertAlign w:val="baseline"/>
        </w:rPr>
        <w:t> </w:t>
      </w:r>
      <w:r>
        <w:rPr>
          <w:vertAlign w:val="baseline"/>
        </w:rPr>
        <w:t>turbidity)</w:t>
      </w:r>
      <w:r>
        <w:rPr>
          <w:spacing w:val="-1"/>
          <w:vertAlign w:val="baseline"/>
        </w:rPr>
        <w:t> </w:t>
      </w:r>
      <w:r>
        <w:rPr>
          <w:vertAlign w:val="baseline"/>
        </w:rPr>
        <w:t>when compared with the control tubes was regarded as the Minimum Inhibitory Concentration </w:t>
      </w:r>
      <w:r>
        <w:rPr>
          <w:spacing w:val="-2"/>
          <w:vertAlign w:val="baseline"/>
        </w:rPr>
        <w:t>(MIC).</w:t>
      </w:r>
    </w:p>
    <w:p>
      <w:pPr>
        <w:pStyle w:val="BodyText"/>
        <w:spacing w:line="480" w:lineRule="auto" w:before="201"/>
        <w:ind w:left="1100" w:right="977" w:firstLine="720"/>
        <w:jc w:val="both"/>
      </w:pPr>
      <w:r>
        <w:rPr/>
        <w:t>A Minimum Bactericidal Concentration (MBC) was determined from the broth dilution tests by sub-culturing to antibiotic-free Mueller Hinton agar (i.e. Mueller Hinton Agar+5 % v/v tween 80) from tubes showing no visible growth after overnight (24 hours) incubation</w:t>
      </w:r>
      <w:r>
        <w:rPr>
          <w:spacing w:val="10"/>
        </w:rPr>
        <w:t> </w:t>
      </w:r>
      <w:r>
        <w:rPr/>
        <w:t>at</w:t>
      </w:r>
      <w:r>
        <w:rPr>
          <w:spacing w:val="9"/>
        </w:rPr>
        <w:t> </w:t>
      </w:r>
      <w:r>
        <w:rPr/>
        <w:t>37</w:t>
      </w:r>
      <w:r>
        <w:rPr>
          <w:spacing w:val="14"/>
        </w:rPr>
        <w:t> </w:t>
      </w:r>
      <w:r>
        <w:rPr>
          <w:vertAlign w:val="superscript"/>
        </w:rPr>
        <w:t>0</w:t>
      </w:r>
      <w:r>
        <w:rPr>
          <w:vertAlign w:val="baseline"/>
        </w:rPr>
        <w:t>C.</w:t>
      </w:r>
      <w:r>
        <w:rPr>
          <w:spacing w:val="11"/>
          <w:vertAlign w:val="baseline"/>
        </w:rPr>
        <w:t> </w:t>
      </w:r>
      <w:r>
        <w:rPr>
          <w:vertAlign w:val="baseline"/>
        </w:rPr>
        <w:t>The</w:t>
      </w:r>
      <w:r>
        <w:rPr>
          <w:spacing w:val="12"/>
          <w:vertAlign w:val="baseline"/>
        </w:rPr>
        <w:t> </w:t>
      </w:r>
      <w:r>
        <w:rPr>
          <w:vertAlign w:val="baseline"/>
        </w:rPr>
        <w:t>lowest</w:t>
      </w:r>
      <w:r>
        <w:rPr>
          <w:spacing w:val="9"/>
          <w:vertAlign w:val="baseline"/>
        </w:rPr>
        <w:t> </w:t>
      </w:r>
      <w:r>
        <w:rPr>
          <w:vertAlign w:val="baseline"/>
        </w:rPr>
        <w:t>concentration</w:t>
      </w:r>
      <w:r>
        <w:rPr>
          <w:spacing w:val="9"/>
          <w:vertAlign w:val="baseline"/>
        </w:rPr>
        <w:t> </w:t>
      </w:r>
      <w:r>
        <w:rPr>
          <w:vertAlign w:val="baseline"/>
        </w:rPr>
        <w:t>of</w:t>
      </w:r>
      <w:r>
        <w:rPr>
          <w:spacing w:val="11"/>
          <w:vertAlign w:val="baseline"/>
        </w:rPr>
        <w:t> </w:t>
      </w:r>
      <w:r>
        <w:rPr>
          <w:vertAlign w:val="baseline"/>
        </w:rPr>
        <w:t>an</w:t>
      </w:r>
      <w:r>
        <w:rPr>
          <w:spacing w:val="10"/>
          <w:vertAlign w:val="baseline"/>
        </w:rPr>
        <w:t> </w:t>
      </w:r>
      <w:r>
        <w:rPr>
          <w:vertAlign w:val="baseline"/>
        </w:rPr>
        <w:t>antibacterial</w:t>
      </w:r>
      <w:r>
        <w:rPr>
          <w:spacing w:val="11"/>
          <w:vertAlign w:val="baseline"/>
        </w:rPr>
        <w:t> </w:t>
      </w:r>
      <w:r>
        <w:rPr>
          <w:vertAlign w:val="baseline"/>
        </w:rPr>
        <w:t>agent</w:t>
      </w:r>
      <w:r>
        <w:rPr>
          <w:spacing w:val="12"/>
          <w:vertAlign w:val="baseline"/>
        </w:rPr>
        <w:t> </w:t>
      </w:r>
      <w:r>
        <w:rPr>
          <w:vertAlign w:val="baseline"/>
        </w:rPr>
        <w:t>that</w:t>
      </w:r>
      <w:r>
        <w:rPr>
          <w:spacing w:val="9"/>
          <w:vertAlign w:val="baseline"/>
        </w:rPr>
        <w:t> </w:t>
      </w:r>
      <w:r>
        <w:rPr>
          <w:vertAlign w:val="baseline"/>
        </w:rPr>
        <w:t>kills</w:t>
      </w:r>
      <w:r>
        <w:rPr>
          <w:spacing w:val="9"/>
          <w:vertAlign w:val="baseline"/>
        </w:rPr>
        <w:t> </w:t>
      </w:r>
      <w:r>
        <w:rPr>
          <w:vertAlign w:val="baseline"/>
        </w:rPr>
        <w:t>more</w:t>
      </w:r>
      <w:r>
        <w:rPr>
          <w:spacing w:val="9"/>
          <w:vertAlign w:val="baseline"/>
        </w:rPr>
        <w:t> </w:t>
      </w:r>
      <w:r>
        <w:rPr>
          <w:spacing w:val="-4"/>
          <w:vertAlign w:val="baseline"/>
        </w:rPr>
        <w:t>than</w:t>
      </w:r>
    </w:p>
    <w:p>
      <w:pPr>
        <w:pStyle w:val="BodyText"/>
        <w:spacing w:line="480" w:lineRule="auto" w:before="2"/>
        <w:ind w:left="1100" w:right="975"/>
        <w:jc w:val="both"/>
      </w:pPr>
      <w:r>
        <w:rPr/>
        <w:t>99.9 % of the initial inoculation after the 24 hours incubation represents the</w:t>
      </w:r>
      <w:r>
        <w:rPr>
          <w:spacing w:val="-1"/>
        </w:rPr>
        <w:t> </w:t>
      </w:r>
      <w:r>
        <w:rPr/>
        <w:t>MBC as used by (Aboaba </w:t>
      </w:r>
      <w:r>
        <w:rPr>
          <w:i/>
        </w:rPr>
        <w:t>et al</w:t>
      </w:r>
      <w:r>
        <w:rPr/>
        <w:t>., 2006).</w:t>
      </w:r>
    </w:p>
    <w:p>
      <w:pPr>
        <w:spacing w:after="0" w:line="480" w:lineRule="auto"/>
        <w:jc w:val="both"/>
        <w:sectPr>
          <w:pgSz w:w="11910" w:h="16840"/>
          <w:pgMar w:header="0" w:footer="1055" w:top="1380" w:bottom="1240" w:left="1060" w:right="460"/>
        </w:sectPr>
      </w:pPr>
    </w:p>
    <w:p>
      <w:pPr>
        <w:pStyle w:val="ListParagraph"/>
        <w:numPr>
          <w:ilvl w:val="3"/>
          <w:numId w:val="2"/>
        </w:numPr>
        <w:tabs>
          <w:tab w:pos="1098" w:val="left" w:leader="none"/>
        </w:tabs>
        <w:spacing w:line="240" w:lineRule="auto" w:before="38" w:after="0"/>
        <w:ind w:left="1098" w:right="0" w:hanging="718"/>
        <w:jc w:val="left"/>
        <w:rPr>
          <w:i/>
          <w:sz w:val="22"/>
        </w:rPr>
      </w:pPr>
      <w:r>
        <w:rPr>
          <w:i/>
          <w:sz w:val="22"/>
        </w:rPr>
        <w:t>Rate</w:t>
      </w:r>
      <w:r>
        <w:rPr>
          <w:i/>
          <w:spacing w:val="-1"/>
          <w:sz w:val="22"/>
        </w:rPr>
        <w:t> </w:t>
      </w:r>
      <w:r>
        <w:rPr>
          <w:i/>
          <w:sz w:val="22"/>
        </w:rPr>
        <w:t>of</w:t>
      </w:r>
      <w:r>
        <w:rPr>
          <w:i/>
          <w:spacing w:val="-3"/>
          <w:sz w:val="22"/>
        </w:rPr>
        <w:t> </w:t>
      </w:r>
      <w:r>
        <w:rPr>
          <w:i/>
          <w:spacing w:val="-4"/>
          <w:sz w:val="22"/>
        </w:rPr>
        <w:t>Kill</w:t>
      </w:r>
    </w:p>
    <w:p>
      <w:pPr>
        <w:pStyle w:val="BodyText"/>
        <w:spacing w:before="159"/>
        <w:rPr>
          <w:i/>
        </w:rPr>
      </w:pPr>
    </w:p>
    <w:p>
      <w:pPr>
        <w:pStyle w:val="BodyText"/>
        <w:spacing w:line="480" w:lineRule="auto" w:before="1"/>
        <w:ind w:left="1100" w:right="972" w:firstLine="720"/>
        <w:jc w:val="both"/>
      </w:pPr>
      <w:r>
        <w:rPr/>
        <w:t>A 0.1 ml aliquot of standardized overnight culture of the test organisms that were susceptible and those that were resistant to the standard antibiotics, honey, lemon and mixture of both (approximately 10</w:t>
      </w:r>
      <w:r>
        <w:rPr>
          <w:vertAlign w:val="superscript"/>
        </w:rPr>
        <w:t>6</w:t>
      </w:r>
      <w:r>
        <w:rPr>
          <w:vertAlign w:val="baseline"/>
        </w:rPr>
        <w:t> cfu/ml) was added to 9.9 ml each of test antibacterial agents (honey and/or lemon) formulated with sterile distilled water (using the concentrations of Sub-MIC, Around-MIC, and Above-MIC). This was mixed thoroughly and kept inside Digital shaker bath at 37 </w:t>
      </w:r>
      <w:r>
        <w:rPr>
          <w:vertAlign w:val="superscript"/>
        </w:rPr>
        <w:t>o</w:t>
      </w:r>
      <w:r>
        <w:rPr>
          <w:vertAlign w:val="baseline"/>
        </w:rPr>
        <w:t>C. At different time interval (0, 30, 60, 120, 240, 360 and 1440 minutes) 1 ml test organism/extract admixture was taken and ten-fold dilution protocol performed with sterile inactivated normal saline (i.e. normal saline with 5 % Tween 80). These dilutions were then plated out in duplicates on sterile molten Mueller – Hinton agar supplemented with 5 % Tween 80. The agar plates were then incubated at 37 </w:t>
      </w:r>
      <w:r>
        <w:rPr>
          <w:vertAlign w:val="superscript"/>
        </w:rPr>
        <w:t>o</w:t>
      </w:r>
      <w:r>
        <w:rPr>
          <w:vertAlign w:val="baseline"/>
        </w:rPr>
        <w:t>C for 24 hours. After the period of incubation, colonies observed were counted with the aid of a Colony Counter (Batch </w:t>
      </w:r>
      <w:r>
        <w:rPr>
          <w:i/>
          <w:vertAlign w:val="baseline"/>
        </w:rPr>
        <w:t>et al</w:t>
      </w:r>
      <w:r>
        <w:rPr>
          <w:vertAlign w:val="baseline"/>
        </w:rPr>
        <w:t>., 1998; Adeshina </w:t>
      </w:r>
      <w:r>
        <w:rPr>
          <w:i/>
          <w:vertAlign w:val="baseline"/>
        </w:rPr>
        <w:t>et al</w:t>
      </w:r>
      <w:r>
        <w:rPr>
          <w:vertAlign w:val="baseline"/>
        </w:rPr>
        <w:t>., 2010).</w:t>
      </w:r>
    </w:p>
    <w:p>
      <w:pPr>
        <w:pStyle w:val="BodyText"/>
        <w:spacing w:line="477" w:lineRule="auto" w:before="162"/>
        <w:ind w:left="1100" w:right="977" w:firstLine="720"/>
        <w:jc w:val="both"/>
      </w:pPr>
      <w:r>
        <w:rPr/>
        <w:t>These procedures were repeated for Sub-MIC, Around-MIC, and Above-MIC values</w:t>
      </w:r>
      <w:r>
        <w:rPr>
          <w:spacing w:val="40"/>
        </w:rPr>
        <w:t> </w:t>
      </w:r>
      <w:r>
        <w:rPr/>
        <w:t>of levofloxacin and ceftriaxone; as the standard antibacterial agents.</w:t>
      </w:r>
    </w:p>
    <w:p>
      <w:pPr>
        <w:pStyle w:val="BodyText"/>
      </w:pPr>
    </w:p>
    <w:p>
      <w:pPr>
        <w:pStyle w:val="BodyText"/>
      </w:pPr>
    </w:p>
    <w:p>
      <w:pPr>
        <w:pStyle w:val="BodyText"/>
        <w:spacing w:before="55"/>
      </w:pPr>
    </w:p>
    <w:p>
      <w:pPr>
        <w:pStyle w:val="Heading3"/>
        <w:numPr>
          <w:ilvl w:val="2"/>
          <w:numId w:val="2"/>
        </w:numPr>
        <w:tabs>
          <w:tab w:pos="1100" w:val="left" w:leader="none"/>
        </w:tabs>
        <w:spacing w:line="240" w:lineRule="auto" w:before="0" w:after="0"/>
        <w:ind w:left="1100" w:right="0" w:hanging="720"/>
        <w:jc w:val="left"/>
      </w:pPr>
      <w:r>
        <w:rPr/>
        <w:t>Interaction</w:t>
      </w:r>
      <w:r>
        <w:rPr>
          <w:spacing w:val="-7"/>
        </w:rPr>
        <w:t> </w:t>
      </w:r>
      <w:r>
        <w:rPr>
          <w:spacing w:val="-2"/>
        </w:rPr>
        <w:t>studies</w:t>
      </w:r>
    </w:p>
    <w:p>
      <w:pPr>
        <w:pStyle w:val="BodyText"/>
        <w:spacing w:before="162"/>
        <w:rPr>
          <w:b/>
        </w:rPr>
      </w:pPr>
    </w:p>
    <w:p>
      <w:pPr>
        <w:pStyle w:val="BodyText"/>
        <w:spacing w:line="480" w:lineRule="auto"/>
        <w:ind w:left="1100" w:right="974" w:firstLine="720"/>
        <w:jc w:val="both"/>
      </w:pPr>
      <w:r>
        <w:rPr/>
        <w:t>The MIC values obtained in the MIC Tests were used to determine interaction</w:t>
      </w:r>
      <w:r>
        <w:rPr>
          <w:spacing w:val="80"/>
        </w:rPr>
        <w:t> </w:t>
      </w:r>
      <w:r>
        <w:rPr/>
        <w:t>effects in</w:t>
      </w:r>
      <w:r>
        <w:rPr>
          <w:spacing w:val="-5"/>
        </w:rPr>
        <w:t> </w:t>
      </w:r>
      <w:r>
        <w:rPr/>
        <w:t>the</w:t>
      </w:r>
      <w:r>
        <w:rPr>
          <w:spacing w:val="-1"/>
        </w:rPr>
        <w:t> </w:t>
      </w:r>
      <w:r>
        <w:rPr/>
        <w:t>combination</w:t>
      </w:r>
      <w:r>
        <w:rPr>
          <w:spacing w:val="-4"/>
        </w:rPr>
        <w:t> </w:t>
      </w:r>
      <w:r>
        <w:rPr/>
        <w:t>of</w:t>
      </w:r>
      <w:r>
        <w:rPr>
          <w:spacing w:val="-1"/>
        </w:rPr>
        <w:t> </w:t>
      </w:r>
      <w:r>
        <w:rPr/>
        <w:t>honey</w:t>
      </w:r>
      <w:r>
        <w:rPr>
          <w:spacing w:val="-1"/>
        </w:rPr>
        <w:t> </w:t>
      </w:r>
      <w:r>
        <w:rPr/>
        <w:t>and</w:t>
      </w:r>
      <w:r>
        <w:rPr>
          <w:spacing w:val="-3"/>
        </w:rPr>
        <w:t> </w:t>
      </w:r>
      <w:r>
        <w:rPr/>
        <w:t>lemon</w:t>
      </w:r>
      <w:r>
        <w:rPr>
          <w:spacing w:val="-2"/>
        </w:rPr>
        <w:t> </w:t>
      </w:r>
      <w:r>
        <w:rPr/>
        <w:t>juice.</w:t>
      </w:r>
      <w:r>
        <w:rPr>
          <w:spacing w:val="-3"/>
        </w:rPr>
        <w:t> </w:t>
      </w:r>
      <w:r>
        <w:rPr/>
        <w:t>The</w:t>
      </w:r>
      <w:r>
        <w:rPr>
          <w:spacing w:val="-1"/>
        </w:rPr>
        <w:t> </w:t>
      </w:r>
      <w:r>
        <w:rPr/>
        <w:t>MIC</w:t>
      </w:r>
      <w:r>
        <w:rPr>
          <w:spacing w:val="-4"/>
        </w:rPr>
        <w:t> </w:t>
      </w:r>
      <w:r>
        <w:rPr/>
        <w:t>of</w:t>
      </w:r>
      <w:r>
        <w:rPr>
          <w:spacing w:val="-1"/>
        </w:rPr>
        <w:t> </w:t>
      </w:r>
      <w:r>
        <w:rPr/>
        <w:t>honey,</w:t>
      </w:r>
      <w:r>
        <w:rPr>
          <w:spacing w:val="-1"/>
        </w:rPr>
        <w:t> </w:t>
      </w:r>
      <w:r>
        <w:rPr/>
        <w:t>lemon</w:t>
      </w:r>
      <w:r>
        <w:rPr>
          <w:spacing w:val="-2"/>
        </w:rPr>
        <w:t> </w:t>
      </w:r>
      <w:r>
        <w:rPr/>
        <w:t>juice</w:t>
      </w:r>
      <w:r>
        <w:rPr>
          <w:spacing w:val="-1"/>
        </w:rPr>
        <w:t> </w:t>
      </w:r>
      <w:r>
        <w:rPr/>
        <w:t>and</w:t>
      </w:r>
      <w:r>
        <w:rPr>
          <w:spacing w:val="-2"/>
        </w:rPr>
        <w:t> </w:t>
      </w:r>
      <w:r>
        <w:rPr/>
        <w:t>that of the combination of honey and lemon juice were evaluated. To evaluate the effect of each test agent in the combination (i.e. honey and lemon), the fractional inhibitory concentration (FIC) was calculated for each of the agents in the combination. The ∑FICs were calculated as </w:t>
      </w:r>
      <w:r>
        <w:rPr>
          <w:spacing w:val="-2"/>
        </w:rPr>
        <w:t>follows:</w:t>
      </w:r>
    </w:p>
    <w:p>
      <w:pPr>
        <w:pStyle w:val="BodyText"/>
        <w:spacing w:before="160"/>
        <w:ind w:left="1100"/>
      </w:pPr>
      <w:r>
        <w:rPr/>
        <w:t>∑FIC=FIC</w:t>
      </w:r>
      <w:r>
        <w:rPr>
          <w:spacing w:val="-2"/>
        </w:rPr>
        <w:t> </w:t>
      </w:r>
      <w:r>
        <w:rPr/>
        <w:t>A</w:t>
      </w:r>
      <w:r>
        <w:rPr>
          <w:spacing w:val="-1"/>
        </w:rPr>
        <w:t> </w:t>
      </w:r>
      <w:r>
        <w:rPr/>
        <w:t>+</w:t>
      </w:r>
      <w:r>
        <w:rPr>
          <w:spacing w:val="-2"/>
        </w:rPr>
        <w:t> </w:t>
      </w:r>
      <w:r>
        <w:rPr/>
        <w:t>FIC</w:t>
      </w:r>
      <w:r>
        <w:rPr>
          <w:spacing w:val="-1"/>
        </w:rPr>
        <w:t> </w:t>
      </w:r>
      <w:r>
        <w:rPr>
          <w:spacing w:val="-5"/>
        </w:rPr>
        <w:t>B.</w:t>
      </w:r>
    </w:p>
    <w:p>
      <w:pPr>
        <w:spacing w:after="0"/>
        <w:sectPr>
          <w:pgSz w:w="11910" w:h="16840"/>
          <w:pgMar w:header="0" w:footer="1055" w:top="1380" w:bottom="1240" w:left="1060" w:right="460"/>
        </w:sectPr>
      </w:pPr>
    </w:p>
    <w:p>
      <w:pPr>
        <w:pStyle w:val="BodyText"/>
        <w:spacing w:line="480" w:lineRule="auto" w:before="38"/>
        <w:ind w:left="1100" w:right="979" w:firstLine="720"/>
        <w:jc w:val="both"/>
      </w:pPr>
      <w:r>
        <w:rPr/>
        <w:t>Where FIC A is the MIC of drug A in the combination/MIC of drug A alone, and FIC B is the MIC of drug B in the combination/MIC of drug B alone (Gani </w:t>
      </w:r>
      <w:r>
        <w:rPr>
          <w:i/>
        </w:rPr>
        <w:t>et al</w:t>
      </w:r>
      <w:r>
        <w:rPr/>
        <w:t>., 2005).</w:t>
      </w:r>
    </w:p>
    <w:p>
      <w:pPr>
        <w:pStyle w:val="BodyText"/>
        <w:spacing w:line="480" w:lineRule="auto" w:before="160"/>
        <w:ind w:left="1100" w:right="976" w:firstLine="720"/>
        <w:jc w:val="both"/>
      </w:pPr>
      <w:r>
        <w:rPr/>
        <w:t>A Fractional Inhibitory Concentration Index (FICI) was used to interpret the results (Eugene </w:t>
      </w:r>
      <w:r>
        <w:rPr>
          <w:i/>
        </w:rPr>
        <w:t>et al</w:t>
      </w:r>
      <w:r>
        <w:rPr/>
        <w:t>., 2003). A combination is considered synergistic when the Fractional Inhibitory Concentration (∑FIC) index is ≤0.5; Additive is indicated by a FIC index &gt;0.5 to ≤1.0; Indifference is indicated by a FIC index &gt;1.0 to ≤4, while antagonism is when the ∑FIC is &gt;4 (Prinsloo </w:t>
      </w:r>
      <w:r>
        <w:rPr>
          <w:i/>
        </w:rPr>
        <w:t>et al</w:t>
      </w:r>
      <w:r>
        <w:rPr/>
        <w:t>., 2008 and Sopirala </w:t>
      </w:r>
      <w:r>
        <w:rPr>
          <w:i/>
        </w:rPr>
        <w:t>et al</w:t>
      </w:r>
      <w:r>
        <w:rPr/>
        <w:t>., 2010).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7"/>
      </w:pPr>
    </w:p>
    <w:p>
      <w:pPr>
        <w:pStyle w:val="Heading1"/>
        <w:numPr>
          <w:ilvl w:val="2"/>
          <w:numId w:val="2"/>
        </w:numPr>
        <w:tabs>
          <w:tab w:pos="1100" w:val="left" w:leader="none"/>
        </w:tabs>
        <w:spacing w:line="240" w:lineRule="auto" w:before="1" w:after="0"/>
        <w:ind w:left="1100" w:right="0" w:hanging="720"/>
        <w:jc w:val="left"/>
      </w:pPr>
      <w:r>
        <w:rPr/>
        <w:t>Statistical</w:t>
      </w:r>
      <w:r>
        <w:rPr>
          <w:spacing w:val="-2"/>
        </w:rPr>
        <w:t> Analysis</w:t>
      </w:r>
    </w:p>
    <w:p>
      <w:pPr>
        <w:pStyle w:val="BodyText"/>
        <w:spacing w:before="199"/>
        <w:rPr>
          <w:rFonts w:ascii="Times New Roman"/>
          <w:b/>
          <w:sz w:val="24"/>
        </w:rPr>
      </w:pPr>
    </w:p>
    <w:p>
      <w:pPr>
        <w:pStyle w:val="BodyText"/>
        <w:spacing w:line="480" w:lineRule="auto"/>
        <w:ind w:left="1100" w:right="972"/>
        <w:jc w:val="both"/>
      </w:pPr>
      <w:r>
        <w:rPr/>
        <w:t>Using the null hypothesis, data obtained in this study were expressed as Mean ± Standard Error of Mean (SEM). The honey and lemon juice mixtures were compared with their use concentrations separately by Analysis of Variance (ANOVA) using ‘Tukey post-hoc test’. This is to see if the combination of honey and lemon juice has significant antibacterial activity against bacteria isolated from the RTIs than when used separately. Differences were considered significant if P&lt;0.05.</w:t>
      </w:r>
    </w:p>
    <w:p>
      <w:pPr>
        <w:spacing w:after="0" w:line="480" w:lineRule="auto"/>
        <w:jc w:val="both"/>
        <w:sectPr>
          <w:pgSz w:w="11910" w:h="16840"/>
          <w:pgMar w:header="0" w:footer="1055" w:top="138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
      </w:pPr>
    </w:p>
    <w:p>
      <w:pPr>
        <w:pStyle w:val="Heading2"/>
        <w:ind w:left="0" w:right="1007"/>
        <w:jc w:val="center"/>
      </w:pPr>
      <w:r>
        <w:rPr/>
        <w:t>CHAPTER</w:t>
      </w:r>
      <w:r>
        <w:rPr>
          <w:spacing w:val="-7"/>
        </w:rPr>
        <w:t> </w:t>
      </w:r>
      <w:r>
        <w:rPr>
          <w:spacing w:val="-4"/>
        </w:rPr>
        <w:t>FOUR</w:t>
      </w:r>
    </w:p>
    <w:p>
      <w:pPr>
        <w:pStyle w:val="BodyText"/>
        <w:spacing w:before="200"/>
        <w:rPr>
          <w:b/>
        </w:rPr>
      </w:pPr>
    </w:p>
    <w:p>
      <w:pPr>
        <w:pStyle w:val="Heading3"/>
        <w:numPr>
          <w:ilvl w:val="1"/>
          <w:numId w:val="4"/>
        </w:numPr>
        <w:tabs>
          <w:tab w:pos="4530" w:val="left" w:leader="none"/>
        </w:tabs>
        <w:spacing w:line="240" w:lineRule="auto" w:before="0" w:after="0"/>
        <w:ind w:left="4530" w:right="0" w:hanging="4150"/>
        <w:jc w:val="left"/>
      </w:pPr>
      <w:r>
        <w:rPr>
          <w:spacing w:val="-2"/>
        </w:rPr>
        <w:t>Results</w:t>
      </w:r>
    </w:p>
    <w:p>
      <w:pPr>
        <w:pStyle w:val="BodyText"/>
        <w:spacing w:before="200"/>
        <w:rPr>
          <w:b/>
        </w:rPr>
      </w:pPr>
    </w:p>
    <w:p>
      <w:pPr>
        <w:pStyle w:val="ListParagraph"/>
        <w:numPr>
          <w:ilvl w:val="1"/>
          <w:numId w:val="4"/>
        </w:numPr>
        <w:tabs>
          <w:tab w:pos="3980" w:val="left" w:leader="none"/>
        </w:tabs>
        <w:spacing w:line="240" w:lineRule="auto" w:before="0" w:after="0"/>
        <w:ind w:left="3980" w:right="0" w:hanging="3600"/>
        <w:jc w:val="left"/>
        <w:rPr>
          <w:b/>
          <w:sz w:val="22"/>
        </w:rPr>
      </w:pPr>
      <w:r>
        <w:rPr>
          <w:b/>
          <w:sz w:val="22"/>
        </w:rPr>
        <w:t>Retrospective</w:t>
      </w:r>
      <w:r>
        <w:rPr>
          <w:b/>
          <w:spacing w:val="-12"/>
          <w:sz w:val="22"/>
        </w:rPr>
        <w:t> </w:t>
      </w:r>
      <w:r>
        <w:rPr>
          <w:b/>
          <w:spacing w:val="-2"/>
          <w:sz w:val="22"/>
        </w:rPr>
        <w:t>Studies</w:t>
      </w:r>
    </w:p>
    <w:p>
      <w:pPr>
        <w:pStyle w:val="BodyText"/>
        <w:spacing w:before="197"/>
        <w:rPr>
          <w:b/>
        </w:rPr>
      </w:pPr>
    </w:p>
    <w:p>
      <w:pPr>
        <w:pStyle w:val="BodyText"/>
        <w:spacing w:line="482" w:lineRule="auto"/>
        <w:ind w:left="1100" w:right="974" w:firstLine="720"/>
        <w:jc w:val="both"/>
      </w:pPr>
      <w:r>
        <w:rPr/>
        <w:t>The retrospective studies were carried out in order to know the commonly isolated bacteria related to the Respiratory Tract Infections (RTIs) and the common antibiotics used</w:t>
      </w:r>
      <w:r>
        <w:rPr>
          <w:spacing w:val="40"/>
        </w:rPr>
        <w:t> </w:t>
      </w:r>
      <w:r>
        <w:rPr/>
        <w:t>in the selected hospitals from January, 2011 to February, 2012.</w:t>
      </w:r>
    </w:p>
    <w:p>
      <w:pPr>
        <w:pStyle w:val="BodyText"/>
        <w:spacing w:line="480" w:lineRule="auto" w:before="193"/>
        <w:ind w:left="1100" w:right="973" w:firstLine="720"/>
        <w:jc w:val="both"/>
      </w:pPr>
      <w:r>
        <w:rPr/>
        <w:t>From the Laboratory record book at Medical Microbiology Ahmadu Bello University Teaching Hospital (ABUTH), most of the isolates were obtained from Sputum samples (61.0</w:t>
      </w:r>
    </w:p>
    <w:p>
      <w:pPr>
        <w:pStyle w:val="BodyText"/>
        <w:spacing w:line="480" w:lineRule="auto" w:before="2"/>
        <w:ind w:left="1100" w:right="973"/>
        <w:jc w:val="both"/>
      </w:pPr>
      <w:r>
        <w:rPr/>
        <w:t>%), followed by Throat Swab samples (24.4 %) and the</w:t>
      </w:r>
      <w:r>
        <w:rPr>
          <w:spacing w:val="-2"/>
        </w:rPr>
        <w:t> </w:t>
      </w:r>
      <w:r>
        <w:rPr/>
        <w:t>least was Nasal samples (0.41 %). The most common isolates were </w:t>
      </w:r>
      <w:r>
        <w:rPr>
          <w:i/>
        </w:rPr>
        <w:t>Streptococcus pneumoniae </w:t>
      </w:r>
      <w:r>
        <w:rPr/>
        <w:t>(59.3 %)</w:t>
      </w:r>
      <w:r>
        <w:rPr>
          <w:i/>
        </w:rPr>
        <w:t>, </w:t>
      </w:r>
      <w:r>
        <w:rPr/>
        <w:t>followed by</w:t>
      </w:r>
      <w:r>
        <w:rPr>
          <w:spacing w:val="40"/>
        </w:rPr>
        <w:t> </w:t>
      </w:r>
      <w:r>
        <w:rPr>
          <w:i/>
        </w:rPr>
        <w:t>Staphylococcus aureus </w:t>
      </w:r>
      <w:r>
        <w:rPr/>
        <w:t>(20.2 %) and the least were </w:t>
      </w:r>
      <w:r>
        <w:rPr>
          <w:i/>
        </w:rPr>
        <w:t>Klebsiella pneumoniae </w:t>
      </w:r>
      <w:r>
        <w:rPr/>
        <w:t>(5.68 %) (Table 4.1). From the records obtained at the Microbiology Laboratory Ahmadu Bello University Health</w:t>
      </w:r>
      <w:r>
        <w:rPr>
          <w:spacing w:val="44"/>
        </w:rPr>
        <w:t> </w:t>
      </w:r>
      <w:r>
        <w:rPr/>
        <w:t>Services</w:t>
      </w:r>
      <w:r>
        <w:rPr>
          <w:spacing w:val="45"/>
        </w:rPr>
        <w:t> </w:t>
      </w:r>
      <w:r>
        <w:rPr/>
        <w:t>(ABUHS),</w:t>
      </w:r>
      <w:r>
        <w:rPr>
          <w:spacing w:val="45"/>
        </w:rPr>
        <w:t> </w:t>
      </w:r>
      <w:r>
        <w:rPr/>
        <w:t>Zaria,</w:t>
      </w:r>
      <w:r>
        <w:rPr>
          <w:spacing w:val="45"/>
        </w:rPr>
        <w:t> </w:t>
      </w:r>
      <w:r>
        <w:rPr/>
        <w:t>most</w:t>
      </w:r>
      <w:r>
        <w:rPr>
          <w:spacing w:val="45"/>
        </w:rPr>
        <w:t> </w:t>
      </w:r>
      <w:r>
        <w:rPr/>
        <w:t>of</w:t>
      </w:r>
      <w:r>
        <w:rPr>
          <w:spacing w:val="45"/>
        </w:rPr>
        <w:t> </w:t>
      </w:r>
      <w:r>
        <w:rPr/>
        <w:t>the</w:t>
      </w:r>
      <w:r>
        <w:rPr>
          <w:spacing w:val="46"/>
        </w:rPr>
        <w:t> </w:t>
      </w:r>
      <w:r>
        <w:rPr/>
        <w:t>organisms</w:t>
      </w:r>
      <w:r>
        <w:rPr>
          <w:spacing w:val="46"/>
        </w:rPr>
        <w:t> </w:t>
      </w:r>
      <w:r>
        <w:rPr/>
        <w:t>isolated</w:t>
      </w:r>
      <w:r>
        <w:rPr>
          <w:spacing w:val="44"/>
        </w:rPr>
        <w:t> </w:t>
      </w:r>
      <w:r>
        <w:rPr/>
        <w:t>were</w:t>
      </w:r>
      <w:r>
        <w:rPr>
          <w:spacing w:val="46"/>
        </w:rPr>
        <w:t> </w:t>
      </w:r>
      <w:r>
        <w:rPr/>
        <w:t>also</w:t>
      </w:r>
      <w:r>
        <w:rPr>
          <w:spacing w:val="48"/>
        </w:rPr>
        <w:t> </w:t>
      </w:r>
      <w:r>
        <w:rPr/>
        <w:t>from</w:t>
      </w:r>
      <w:r>
        <w:rPr>
          <w:spacing w:val="47"/>
        </w:rPr>
        <w:t> </w:t>
      </w:r>
      <w:r>
        <w:rPr>
          <w:spacing w:val="-2"/>
        </w:rPr>
        <w:t>sputum</w:t>
      </w:r>
    </w:p>
    <w:p>
      <w:pPr>
        <w:pStyle w:val="BodyText"/>
        <w:ind w:left="1100"/>
        <w:jc w:val="both"/>
      </w:pPr>
      <w:r>
        <w:rPr/>
        <w:t>samples</w:t>
      </w:r>
      <w:r>
        <w:rPr>
          <w:spacing w:val="16"/>
        </w:rPr>
        <w:t> </w:t>
      </w:r>
      <w:r>
        <w:rPr/>
        <w:t>(69</w:t>
      </w:r>
      <w:r>
        <w:rPr>
          <w:spacing w:val="17"/>
        </w:rPr>
        <w:t> </w:t>
      </w:r>
      <w:r>
        <w:rPr/>
        <w:t>%),</w:t>
      </w:r>
      <w:r>
        <w:rPr>
          <w:spacing w:val="16"/>
        </w:rPr>
        <w:t> </w:t>
      </w:r>
      <w:r>
        <w:rPr/>
        <w:t>followed</w:t>
      </w:r>
      <w:r>
        <w:rPr>
          <w:spacing w:val="16"/>
        </w:rPr>
        <w:t> </w:t>
      </w:r>
      <w:r>
        <w:rPr/>
        <w:t>by</w:t>
      </w:r>
      <w:r>
        <w:rPr>
          <w:spacing w:val="19"/>
        </w:rPr>
        <w:t> </w:t>
      </w:r>
      <w:r>
        <w:rPr/>
        <w:t>throat</w:t>
      </w:r>
      <w:r>
        <w:rPr>
          <w:spacing w:val="19"/>
        </w:rPr>
        <w:t> </w:t>
      </w:r>
      <w:r>
        <w:rPr/>
        <w:t>swab</w:t>
      </w:r>
      <w:r>
        <w:rPr>
          <w:spacing w:val="18"/>
        </w:rPr>
        <w:t> </w:t>
      </w:r>
      <w:r>
        <w:rPr/>
        <w:t>samples</w:t>
      </w:r>
      <w:r>
        <w:rPr>
          <w:spacing w:val="19"/>
        </w:rPr>
        <w:t> </w:t>
      </w:r>
      <w:r>
        <w:rPr/>
        <w:t>(20</w:t>
      </w:r>
      <w:r>
        <w:rPr>
          <w:spacing w:val="21"/>
        </w:rPr>
        <w:t> </w:t>
      </w:r>
      <w:r>
        <w:rPr/>
        <w:t>%)</w:t>
      </w:r>
      <w:r>
        <w:rPr>
          <w:spacing w:val="19"/>
        </w:rPr>
        <w:t> </w:t>
      </w:r>
      <w:r>
        <w:rPr/>
        <w:t>and</w:t>
      </w:r>
      <w:r>
        <w:rPr>
          <w:spacing w:val="18"/>
        </w:rPr>
        <w:t> </w:t>
      </w:r>
      <w:r>
        <w:rPr/>
        <w:t>non</w:t>
      </w:r>
      <w:r>
        <w:rPr>
          <w:spacing w:val="18"/>
        </w:rPr>
        <w:t> </w:t>
      </w:r>
      <w:r>
        <w:rPr/>
        <w:t>from</w:t>
      </w:r>
      <w:r>
        <w:rPr>
          <w:spacing w:val="17"/>
        </w:rPr>
        <w:t> </w:t>
      </w:r>
      <w:r>
        <w:rPr/>
        <w:t>nasal</w:t>
      </w:r>
      <w:r>
        <w:rPr>
          <w:spacing w:val="18"/>
        </w:rPr>
        <w:t> </w:t>
      </w:r>
      <w:r>
        <w:rPr/>
        <w:t>secretions</w:t>
      </w:r>
      <w:r>
        <w:rPr>
          <w:spacing w:val="17"/>
        </w:rPr>
        <w:t> </w:t>
      </w:r>
      <w:r>
        <w:rPr>
          <w:spacing w:val="-5"/>
        </w:rPr>
        <w:t>(0</w:t>
      </w:r>
    </w:p>
    <w:p>
      <w:pPr>
        <w:spacing w:after="0"/>
        <w:jc w:val="both"/>
        <w:sectPr>
          <w:pgSz w:w="11910" w:h="16840"/>
          <w:pgMar w:header="0" w:footer="1055" w:top="1920" w:bottom="1240" w:left="1060" w:right="460"/>
        </w:sectPr>
      </w:pPr>
    </w:p>
    <w:p>
      <w:pPr>
        <w:spacing w:line="482" w:lineRule="auto" w:before="38"/>
        <w:ind w:left="1100" w:right="973" w:firstLine="0"/>
        <w:jc w:val="both"/>
        <w:rPr>
          <w:sz w:val="22"/>
        </w:rPr>
      </w:pPr>
      <w:r>
        <w:rPr>
          <w:sz w:val="22"/>
        </w:rPr>
        <w:t>%). The most commonly isolated bacteria were </w:t>
      </w:r>
      <w:r>
        <w:rPr>
          <w:i/>
          <w:sz w:val="22"/>
        </w:rPr>
        <w:t>Streptococcus pneumoniae </w:t>
      </w:r>
      <w:r>
        <w:rPr>
          <w:sz w:val="22"/>
        </w:rPr>
        <w:t>(54.5 %)</w:t>
      </w:r>
      <w:r>
        <w:rPr>
          <w:i/>
          <w:sz w:val="22"/>
        </w:rPr>
        <w:t>,</w:t>
      </w:r>
      <w:r>
        <w:rPr>
          <w:i/>
          <w:spacing w:val="80"/>
          <w:sz w:val="22"/>
        </w:rPr>
        <w:t> </w:t>
      </w:r>
      <w:r>
        <w:rPr>
          <w:sz w:val="22"/>
        </w:rPr>
        <w:t>followed by </w:t>
      </w:r>
      <w:r>
        <w:rPr>
          <w:i/>
          <w:sz w:val="22"/>
        </w:rPr>
        <w:t>Staphylococcus aureus </w:t>
      </w:r>
      <w:r>
        <w:rPr>
          <w:sz w:val="22"/>
        </w:rPr>
        <w:t>(32.4 %) and the least were </w:t>
      </w:r>
      <w:r>
        <w:rPr>
          <w:i/>
          <w:sz w:val="22"/>
        </w:rPr>
        <w:t>Pseudomonas aeruginosa </w:t>
      </w:r>
      <w:r>
        <w:rPr>
          <w:sz w:val="22"/>
        </w:rPr>
        <w:t>(2.76 %) (Table 4.2).</w:t>
      </w:r>
    </w:p>
    <w:p>
      <w:pPr>
        <w:pStyle w:val="BodyText"/>
        <w:spacing w:line="480" w:lineRule="auto" w:before="193"/>
        <w:ind w:left="1100" w:right="972" w:firstLine="720"/>
        <w:jc w:val="both"/>
      </w:pPr>
      <w:r>
        <w:rPr/>
        <w:t>Common antibiotics used for susceptibility testing at the ABUTH and ABUHS, Zaria include: Ciprofloxacin: CIP, Tetracycline: TE, Ofloxacin: OFX, Erythromycin: E, Ceftriaxone: CRO, Gentamicin: CN, Amoxicillin: AMX, Cefuroxime: CXM, Ampicillin: AMP, Amoxicillin- Clavulanic acid: AMC and Cotrimoxazole: COT. From their records at ABUTH, most of the organisms were sensitive to CN, CIP, and AMX; but resistant to COT, AMC and E (Table 4.3). However, at ABUHS, most of the organisms were sensitive to OFX, CIP and CN; but showed resistance to AMC, COT and E (Table 4.4).</w:t>
      </w:r>
    </w:p>
    <w:p>
      <w:pPr>
        <w:spacing w:after="0" w:line="480" w:lineRule="auto"/>
        <w:jc w:val="both"/>
        <w:sectPr>
          <w:pgSz w:w="11910" w:h="16840"/>
          <w:pgMar w:header="0" w:footer="1055" w:top="138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3"/>
      </w:pPr>
    </w:p>
    <w:p>
      <w:pPr>
        <w:tabs>
          <w:tab w:pos="1820" w:val="left" w:leader="none"/>
        </w:tabs>
        <w:spacing w:line="259" w:lineRule="auto" w:before="0"/>
        <w:ind w:left="1820" w:right="975" w:hanging="1440"/>
        <w:jc w:val="left"/>
        <w:rPr>
          <w:b/>
          <w:sz w:val="22"/>
        </w:rPr>
      </w:pPr>
      <w:r>
        <w:rPr>
          <w:b/>
          <w:sz w:val="22"/>
        </w:rPr>
        <w:t>Table 4.1:</w:t>
        <w:tab/>
        <w:t>Retrospective</w:t>
      </w:r>
      <w:r>
        <w:rPr>
          <w:b/>
          <w:spacing w:val="80"/>
          <w:sz w:val="22"/>
        </w:rPr>
        <w:t> </w:t>
      </w:r>
      <w:r>
        <w:rPr>
          <w:b/>
          <w:sz w:val="22"/>
        </w:rPr>
        <w:t>Study</w:t>
      </w:r>
      <w:r>
        <w:rPr>
          <w:b/>
          <w:spacing w:val="80"/>
          <w:sz w:val="22"/>
        </w:rPr>
        <w:t> </w:t>
      </w:r>
      <w:r>
        <w:rPr>
          <w:b/>
          <w:sz w:val="22"/>
        </w:rPr>
        <w:t>of</w:t>
      </w:r>
      <w:r>
        <w:rPr>
          <w:b/>
          <w:spacing w:val="80"/>
          <w:sz w:val="22"/>
        </w:rPr>
        <w:t> </w:t>
      </w:r>
      <w:r>
        <w:rPr>
          <w:b/>
          <w:sz w:val="22"/>
        </w:rPr>
        <w:t>Bacteria</w:t>
      </w:r>
      <w:r>
        <w:rPr>
          <w:b/>
          <w:spacing w:val="80"/>
          <w:sz w:val="22"/>
        </w:rPr>
        <w:t> </w:t>
      </w:r>
      <w:r>
        <w:rPr>
          <w:b/>
          <w:sz w:val="22"/>
        </w:rPr>
        <w:t>Isolates</w:t>
      </w:r>
      <w:r>
        <w:rPr>
          <w:b/>
          <w:spacing w:val="80"/>
          <w:sz w:val="22"/>
        </w:rPr>
        <w:t> </w:t>
      </w:r>
      <w:r>
        <w:rPr>
          <w:b/>
          <w:sz w:val="22"/>
        </w:rPr>
        <w:t>from</w:t>
      </w:r>
      <w:r>
        <w:rPr>
          <w:b/>
          <w:spacing w:val="80"/>
          <w:sz w:val="22"/>
        </w:rPr>
        <w:t> </w:t>
      </w:r>
      <w:r>
        <w:rPr>
          <w:b/>
          <w:sz w:val="22"/>
        </w:rPr>
        <w:t>Respiratory</w:t>
      </w:r>
      <w:r>
        <w:rPr>
          <w:b/>
          <w:spacing w:val="80"/>
          <w:sz w:val="22"/>
        </w:rPr>
        <w:t> </w:t>
      </w:r>
      <w:r>
        <w:rPr>
          <w:b/>
          <w:sz w:val="22"/>
        </w:rPr>
        <w:t>Tract</w:t>
      </w:r>
      <w:r>
        <w:rPr>
          <w:b/>
          <w:spacing w:val="80"/>
          <w:sz w:val="22"/>
        </w:rPr>
        <w:t> </w:t>
      </w:r>
      <w:r>
        <w:rPr>
          <w:b/>
          <w:sz w:val="22"/>
        </w:rPr>
        <w:t>at</w:t>
      </w:r>
      <w:r>
        <w:rPr>
          <w:b/>
          <w:spacing w:val="80"/>
          <w:sz w:val="22"/>
        </w:rPr>
        <w:t> </w:t>
      </w:r>
      <w:r>
        <w:rPr>
          <w:b/>
          <w:sz w:val="22"/>
        </w:rPr>
        <w:t>Medical Microbiology Department, ABUTH from January, 2011 to February, 2012</w:t>
      </w:r>
    </w:p>
    <w:p>
      <w:pPr>
        <w:pStyle w:val="BodyText"/>
        <w:spacing w:before="7" w:after="1"/>
        <w:rPr>
          <w:b/>
          <w:sz w:val="16"/>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2"/>
        <w:gridCol w:w="1375"/>
        <w:gridCol w:w="1281"/>
        <w:gridCol w:w="1272"/>
        <w:gridCol w:w="1276"/>
        <w:gridCol w:w="1790"/>
      </w:tblGrid>
      <w:tr>
        <w:trPr>
          <w:trHeight w:val="1898" w:hRule="atLeast"/>
        </w:trPr>
        <w:tc>
          <w:tcPr>
            <w:tcW w:w="1912" w:type="dxa"/>
            <w:tcBorders>
              <w:top w:val="single" w:sz="4" w:space="0" w:color="000000"/>
              <w:bottom w:val="single" w:sz="4" w:space="0" w:color="000000"/>
            </w:tcBorders>
          </w:tcPr>
          <w:p>
            <w:pPr>
              <w:pStyle w:val="TableParagraph"/>
              <w:spacing w:line="265" w:lineRule="exact"/>
              <w:ind w:left="115"/>
              <w:rPr>
                <w:b/>
                <w:sz w:val="22"/>
              </w:rPr>
            </w:pPr>
            <w:r>
              <w:rPr>
                <w:b/>
                <w:sz w:val="22"/>
              </w:rPr>
              <w:t>Bacterial</w:t>
            </w:r>
            <w:r>
              <w:rPr>
                <w:b/>
                <w:spacing w:val="-12"/>
                <w:sz w:val="22"/>
              </w:rPr>
              <w:t> </w:t>
            </w:r>
            <w:r>
              <w:rPr>
                <w:b/>
                <w:spacing w:val="-2"/>
                <w:sz w:val="22"/>
              </w:rPr>
              <w:t>isolates</w:t>
            </w:r>
          </w:p>
        </w:tc>
        <w:tc>
          <w:tcPr>
            <w:tcW w:w="1375" w:type="dxa"/>
            <w:tcBorders>
              <w:top w:val="single" w:sz="4" w:space="0" w:color="000000"/>
              <w:bottom w:val="single" w:sz="4" w:space="0" w:color="000000"/>
            </w:tcBorders>
          </w:tcPr>
          <w:p>
            <w:pPr>
              <w:pStyle w:val="TableParagraph"/>
              <w:spacing w:line="259" w:lineRule="auto"/>
              <w:ind w:left="243" w:right="138"/>
              <w:rPr>
                <w:b/>
                <w:sz w:val="22"/>
              </w:rPr>
            </w:pPr>
            <w:r>
              <w:rPr>
                <w:b/>
                <w:sz w:val="22"/>
              </w:rPr>
              <w:t>Number</w:t>
            </w:r>
            <w:r>
              <w:rPr>
                <w:b/>
                <w:spacing w:val="-13"/>
                <w:sz w:val="22"/>
              </w:rPr>
              <w:t> </w:t>
            </w:r>
            <w:r>
              <w:rPr>
                <w:b/>
                <w:sz w:val="22"/>
              </w:rPr>
              <w:t>of </w:t>
            </w:r>
            <w:r>
              <w:rPr>
                <w:b/>
                <w:spacing w:val="-2"/>
                <w:sz w:val="22"/>
              </w:rPr>
              <w:t>isolates </w:t>
            </w:r>
            <w:r>
              <w:rPr>
                <w:b/>
                <w:spacing w:val="-4"/>
                <w:sz w:val="22"/>
              </w:rPr>
              <w:t>from </w:t>
            </w:r>
            <w:r>
              <w:rPr>
                <w:b/>
                <w:spacing w:val="-2"/>
                <w:sz w:val="22"/>
              </w:rPr>
              <w:t>Sputum samples</w:t>
            </w:r>
          </w:p>
        </w:tc>
        <w:tc>
          <w:tcPr>
            <w:tcW w:w="1281" w:type="dxa"/>
            <w:tcBorders>
              <w:top w:val="single" w:sz="4" w:space="0" w:color="000000"/>
              <w:bottom w:val="single" w:sz="4" w:space="0" w:color="000000"/>
            </w:tcBorders>
          </w:tcPr>
          <w:p>
            <w:pPr>
              <w:pStyle w:val="TableParagraph"/>
              <w:spacing w:line="259" w:lineRule="auto"/>
              <w:ind w:left="143" w:right="132"/>
              <w:rPr>
                <w:b/>
                <w:sz w:val="22"/>
              </w:rPr>
            </w:pPr>
            <w:r>
              <w:rPr>
                <w:b/>
                <w:sz w:val="22"/>
              </w:rPr>
              <w:t>Number</w:t>
            </w:r>
            <w:r>
              <w:rPr>
                <w:b/>
                <w:spacing w:val="-13"/>
                <w:sz w:val="22"/>
              </w:rPr>
              <w:t> </w:t>
            </w:r>
            <w:r>
              <w:rPr>
                <w:b/>
                <w:sz w:val="22"/>
              </w:rPr>
              <w:t>of </w:t>
            </w:r>
            <w:r>
              <w:rPr>
                <w:b/>
                <w:spacing w:val="-2"/>
                <w:sz w:val="22"/>
              </w:rPr>
              <w:t>isolates </w:t>
            </w:r>
            <w:r>
              <w:rPr>
                <w:b/>
                <w:sz w:val="22"/>
              </w:rPr>
              <w:t>from</w:t>
            </w:r>
            <w:r>
              <w:rPr>
                <w:b/>
                <w:spacing w:val="-13"/>
                <w:sz w:val="22"/>
              </w:rPr>
              <w:t> </w:t>
            </w:r>
            <w:r>
              <w:rPr>
                <w:b/>
                <w:sz w:val="22"/>
              </w:rPr>
              <w:t>Nasal </w:t>
            </w:r>
            <w:r>
              <w:rPr>
                <w:b/>
                <w:spacing w:val="-2"/>
                <w:sz w:val="22"/>
              </w:rPr>
              <w:t>samples</w:t>
            </w:r>
          </w:p>
        </w:tc>
        <w:tc>
          <w:tcPr>
            <w:tcW w:w="1272" w:type="dxa"/>
            <w:tcBorders>
              <w:top w:val="single" w:sz="4" w:space="0" w:color="000000"/>
              <w:bottom w:val="single" w:sz="4" w:space="0" w:color="000000"/>
            </w:tcBorders>
          </w:tcPr>
          <w:p>
            <w:pPr>
              <w:pStyle w:val="TableParagraph"/>
              <w:spacing w:line="259" w:lineRule="auto"/>
              <w:ind w:left="139" w:right="139"/>
              <w:rPr>
                <w:b/>
                <w:sz w:val="22"/>
              </w:rPr>
            </w:pPr>
            <w:r>
              <w:rPr>
                <w:b/>
                <w:sz w:val="22"/>
              </w:rPr>
              <w:t>Number</w:t>
            </w:r>
            <w:r>
              <w:rPr>
                <w:b/>
                <w:spacing w:val="-13"/>
                <w:sz w:val="22"/>
              </w:rPr>
              <w:t> </w:t>
            </w:r>
            <w:r>
              <w:rPr>
                <w:b/>
                <w:sz w:val="22"/>
              </w:rPr>
              <w:t>of </w:t>
            </w:r>
            <w:r>
              <w:rPr>
                <w:b/>
                <w:spacing w:val="-2"/>
                <w:sz w:val="22"/>
              </w:rPr>
              <w:t>isolates </w:t>
            </w:r>
            <w:r>
              <w:rPr>
                <w:b/>
                <w:spacing w:val="-4"/>
                <w:sz w:val="22"/>
              </w:rPr>
              <w:t>from </w:t>
            </w:r>
            <w:r>
              <w:rPr>
                <w:b/>
                <w:spacing w:val="-2"/>
                <w:sz w:val="22"/>
              </w:rPr>
              <w:t>Throat </w:t>
            </w:r>
            <w:r>
              <w:rPr>
                <w:b/>
                <w:spacing w:val="-4"/>
                <w:sz w:val="22"/>
              </w:rPr>
              <w:t>Swab </w:t>
            </w:r>
            <w:r>
              <w:rPr>
                <w:b/>
                <w:spacing w:val="-2"/>
                <w:sz w:val="22"/>
              </w:rPr>
              <w:t>samples</w:t>
            </w:r>
          </w:p>
        </w:tc>
        <w:tc>
          <w:tcPr>
            <w:tcW w:w="1276" w:type="dxa"/>
            <w:tcBorders>
              <w:top w:val="single" w:sz="4" w:space="0" w:color="000000"/>
              <w:bottom w:val="single" w:sz="4" w:space="0" w:color="000000"/>
            </w:tcBorders>
          </w:tcPr>
          <w:p>
            <w:pPr>
              <w:pStyle w:val="TableParagraph"/>
              <w:spacing w:line="259" w:lineRule="auto"/>
              <w:ind w:left="144" w:right="138"/>
              <w:rPr>
                <w:b/>
                <w:sz w:val="22"/>
              </w:rPr>
            </w:pPr>
            <w:r>
              <w:rPr>
                <w:b/>
                <w:sz w:val="22"/>
              </w:rPr>
              <w:t>Number</w:t>
            </w:r>
            <w:r>
              <w:rPr>
                <w:b/>
                <w:spacing w:val="-13"/>
                <w:sz w:val="22"/>
              </w:rPr>
              <w:t> </w:t>
            </w:r>
            <w:r>
              <w:rPr>
                <w:b/>
                <w:sz w:val="22"/>
              </w:rPr>
              <w:t>of </w:t>
            </w:r>
            <w:r>
              <w:rPr>
                <w:b/>
                <w:spacing w:val="-2"/>
                <w:sz w:val="22"/>
              </w:rPr>
              <w:t>isolates </w:t>
            </w:r>
            <w:r>
              <w:rPr>
                <w:b/>
                <w:sz w:val="22"/>
              </w:rPr>
              <w:t>from Ear </w:t>
            </w:r>
            <w:r>
              <w:rPr>
                <w:b/>
                <w:spacing w:val="-4"/>
                <w:sz w:val="22"/>
              </w:rPr>
              <w:t>Swab </w:t>
            </w:r>
            <w:r>
              <w:rPr>
                <w:b/>
                <w:spacing w:val="-2"/>
                <w:sz w:val="22"/>
              </w:rPr>
              <w:t>samples</w:t>
            </w:r>
          </w:p>
        </w:tc>
        <w:tc>
          <w:tcPr>
            <w:tcW w:w="1790" w:type="dxa"/>
            <w:tcBorders>
              <w:top w:val="single" w:sz="4" w:space="0" w:color="000000"/>
              <w:bottom w:val="single" w:sz="4" w:space="0" w:color="000000"/>
            </w:tcBorders>
          </w:tcPr>
          <w:p>
            <w:pPr>
              <w:pStyle w:val="TableParagraph"/>
              <w:spacing w:line="265" w:lineRule="exact"/>
              <w:ind w:left="143"/>
              <w:rPr>
                <w:b/>
                <w:sz w:val="22"/>
              </w:rPr>
            </w:pPr>
            <w:r>
              <w:rPr>
                <w:b/>
                <w:spacing w:val="-2"/>
                <w:sz w:val="22"/>
              </w:rPr>
              <w:t>Total</w:t>
            </w:r>
          </w:p>
        </w:tc>
      </w:tr>
      <w:tr>
        <w:trPr>
          <w:trHeight w:val="665" w:hRule="atLeast"/>
        </w:trPr>
        <w:tc>
          <w:tcPr>
            <w:tcW w:w="1912" w:type="dxa"/>
            <w:tcBorders>
              <w:top w:val="single" w:sz="4" w:space="0" w:color="000000"/>
            </w:tcBorders>
          </w:tcPr>
          <w:p>
            <w:pPr>
              <w:pStyle w:val="TableParagraph"/>
              <w:spacing w:line="259" w:lineRule="auto"/>
              <w:ind w:left="115"/>
              <w:rPr>
                <w:i/>
                <w:sz w:val="22"/>
              </w:rPr>
            </w:pPr>
            <w:r>
              <w:rPr>
                <w:i/>
                <w:spacing w:val="-2"/>
                <w:sz w:val="22"/>
              </w:rPr>
              <w:t>Streptococcus pneumoniae</w:t>
            </w:r>
          </w:p>
        </w:tc>
        <w:tc>
          <w:tcPr>
            <w:tcW w:w="1375" w:type="dxa"/>
            <w:tcBorders>
              <w:top w:val="single" w:sz="4" w:space="0" w:color="000000"/>
            </w:tcBorders>
          </w:tcPr>
          <w:p>
            <w:pPr>
              <w:pStyle w:val="TableParagraph"/>
              <w:spacing w:line="265" w:lineRule="exact"/>
              <w:ind w:left="243"/>
              <w:rPr>
                <w:sz w:val="22"/>
              </w:rPr>
            </w:pPr>
            <w:r>
              <w:rPr>
                <w:spacing w:val="-5"/>
                <w:sz w:val="22"/>
              </w:rPr>
              <w:t>477</w:t>
            </w:r>
          </w:p>
        </w:tc>
        <w:tc>
          <w:tcPr>
            <w:tcW w:w="1281" w:type="dxa"/>
            <w:tcBorders>
              <w:top w:val="single" w:sz="4" w:space="0" w:color="000000"/>
            </w:tcBorders>
          </w:tcPr>
          <w:p>
            <w:pPr>
              <w:pStyle w:val="TableParagraph"/>
              <w:spacing w:line="265" w:lineRule="exact"/>
              <w:ind w:left="143"/>
              <w:rPr>
                <w:sz w:val="22"/>
              </w:rPr>
            </w:pPr>
            <w:r>
              <w:rPr>
                <w:spacing w:val="-10"/>
                <w:sz w:val="22"/>
              </w:rPr>
              <w:t>0</w:t>
            </w:r>
          </w:p>
        </w:tc>
        <w:tc>
          <w:tcPr>
            <w:tcW w:w="1272" w:type="dxa"/>
            <w:tcBorders>
              <w:top w:val="single" w:sz="4" w:space="0" w:color="000000"/>
            </w:tcBorders>
          </w:tcPr>
          <w:p>
            <w:pPr>
              <w:pStyle w:val="TableParagraph"/>
              <w:spacing w:line="265" w:lineRule="exact"/>
              <w:ind w:left="139"/>
              <w:rPr>
                <w:sz w:val="22"/>
              </w:rPr>
            </w:pPr>
            <w:r>
              <w:rPr>
                <w:spacing w:val="-5"/>
                <w:sz w:val="22"/>
              </w:rPr>
              <w:t>91</w:t>
            </w:r>
          </w:p>
        </w:tc>
        <w:tc>
          <w:tcPr>
            <w:tcW w:w="1276" w:type="dxa"/>
            <w:tcBorders>
              <w:top w:val="single" w:sz="4" w:space="0" w:color="000000"/>
            </w:tcBorders>
          </w:tcPr>
          <w:p>
            <w:pPr>
              <w:pStyle w:val="TableParagraph"/>
              <w:spacing w:line="265" w:lineRule="exact"/>
              <w:ind w:left="144"/>
              <w:rPr>
                <w:sz w:val="22"/>
              </w:rPr>
            </w:pPr>
            <w:r>
              <w:rPr>
                <w:spacing w:val="-5"/>
                <w:sz w:val="22"/>
              </w:rPr>
              <w:t>17</w:t>
            </w:r>
          </w:p>
        </w:tc>
        <w:tc>
          <w:tcPr>
            <w:tcW w:w="1790" w:type="dxa"/>
            <w:tcBorders>
              <w:top w:val="single" w:sz="4" w:space="0" w:color="000000"/>
            </w:tcBorders>
          </w:tcPr>
          <w:p>
            <w:pPr>
              <w:pStyle w:val="TableParagraph"/>
              <w:spacing w:line="265" w:lineRule="exact"/>
              <w:ind w:left="143"/>
              <w:rPr>
                <w:sz w:val="22"/>
              </w:rPr>
            </w:pPr>
            <w:r>
              <w:rPr>
                <w:sz w:val="22"/>
              </w:rPr>
              <w:t>585</w:t>
            </w:r>
            <w:r>
              <w:rPr>
                <w:spacing w:val="-3"/>
                <w:sz w:val="22"/>
              </w:rPr>
              <w:t> </w:t>
            </w:r>
            <w:r>
              <w:rPr>
                <w:sz w:val="22"/>
              </w:rPr>
              <w:t>(59.3</w:t>
            </w:r>
            <w:r>
              <w:rPr>
                <w:spacing w:val="-2"/>
                <w:sz w:val="22"/>
              </w:rPr>
              <w:t> </w:t>
            </w:r>
            <w:r>
              <w:rPr>
                <w:spacing w:val="-5"/>
                <w:sz w:val="22"/>
              </w:rPr>
              <w:t>%)</w:t>
            </w:r>
          </w:p>
        </w:tc>
      </w:tr>
      <w:tr>
        <w:trPr>
          <w:trHeight w:val="739" w:hRule="atLeast"/>
        </w:trPr>
        <w:tc>
          <w:tcPr>
            <w:tcW w:w="1912" w:type="dxa"/>
          </w:tcPr>
          <w:p>
            <w:pPr>
              <w:pStyle w:val="TableParagraph"/>
              <w:spacing w:line="259" w:lineRule="auto" w:before="70"/>
              <w:ind w:left="115"/>
              <w:rPr>
                <w:i/>
                <w:sz w:val="22"/>
              </w:rPr>
            </w:pPr>
            <w:r>
              <w:rPr>
                <w:i/>
                <w:spacing w:val="-2"/>
                <w:sz w:val="22"/>
              </w:rPr>
              <w:t>Staphylococcus aureus</w:t>
            </w:r>
          </w:p>
        </w:tc>
        <w:tc>
          <w:tcPr>
            <w:tcW w:w="1375" w:type="dxa"/>
          </w:tcPr>
          <w:p>
            <w:pPr>
              <w:pStyle w:val="TableParagraph"/>
              <w:spacing w:before="70"/>
              <w:ind w:left="243"/>
              <w:rPr>
                <w:sz w:val="22"/>
              </w:rPr>
            </w:pPr>
            <w:r>
              <w:rPr>
                <w:spacing w:val="-5"/>
                <w:sz w:val="22"/>
              </w:rPr>
              <w:t>63</w:t>
            </w:r>
          </w:p>
        </w:tc>
        <w:tc>
          <w:tcPr>
            <w:tcW w:w="1281" w:type="dxa"/>
          </w:tcPr>
          <w:p>
            <w:pPr>
              <w:pStyle w:val="TableParagraph"/>
              <w:spacing w:before="70"/>
              <w:ind w:left="143"/>
              <w:rPr>
                <w:sz w:val="22"/>
              </w:rPr>
            </w:pPr>
            <w:r>
              <w:rPr>
                <w:spacing w:val="-10"/>
                <w:sz w:val="22"/>
              </w:rPr>
              <w:t>3</w:t>
            </w:r>
          </w:p>
        </w:tc>
        <w:tc>
          <w:tcPr>
            <w:tcW w:w="1272" w:type="dxa"/>
          </w:tcPr>
          <w:p>
            <w:pPr>
              <w:pStyle w:val="TableParagraph"/>
              <w:spacing w:before="70"/>
              <w:ind w:left="139"/>
              <w:rPr>
                <w:sz w:val="22"/>
              </w:rPr>
            </w:pPr>
            <w:r>
              <w:rPr>
                <w:spacing w:val="-5"/>
                <w:sz w:val="22"/>
              </w:rPr>
              <w:t>74</w:t>
            </w:r>
          </w:p>
        </w:tc>
        <w:tc>
          <w:tcPr>
            <w:tcW w:w="1276" w:type="dxa"/>
          </w:tcPr>
          <w:p>
            <w:pPr>
              <w:pStyle w:val="TableParagraph"/>
              <w:spacing w:before="70"/>
              <w:ind w:left="144"/>
              <w:rPr>
                <w:sz w:val="22"/>
              </w:rPr>
            </w:pPr>
            <w:r>
              <w:rPr>
                <w:spacing w:val="-5"/>
                <w:sz w:val="22"/>
              </w:rPr>
              <w:t>59</w:t>
            </w:r>
          </w:p>
        </w:tc>
        <w:tc>
          <w:tcPr>
            <w:tcW w:w="1790" w:type="dxa"/>
          </w:tcPr>
          <w:p>
            <w:pPr>
              <w:pStyle w:val="TableParagraph"/>
              <w:spacing w:before="70"/>
              <w:ind w:left="143"/>
              <w:rPr>
                <w:sz w:val="22"/>
              </w:rPr>
            </w:pPr>
            <w:r>
              <w:rPr>
                <w:sz w:val="22"/>
              </w:rPr>
              <w:t>199</w:t>
            </w:r>
            <w:r>
              <w:rPr>
                <w:spacing w:val="-3"/>
                <w:sz w:val="22"/>
              </w:rPr>
              <w:t> </w:t>
            </w:r>
            <w:r>
              <w:rPr>
                <w:sz w:val="22"/>
              </w:rPr>
              <w:t>(20.2</w:t>
            </w:r>
            <w:r>
              <w:rPr>
                <w:spacing w:val="-2"/>
                <w:sz w:val="22"/>
              </w:rPr>
              <w:t> </w:t>
            </w:r>
            <w:r>
              <w:rPr>
                <w:spacing w:val="-5"/>
                <w:sz w:val="22"/>
              </w:rPr>
              <w:t>%)</w:t>
            </w:r>
          </w:p>
        </w:tc>
      </w:tr>
      <w:tr>
        <w:trPr>
          <w:trHeight w:val="741" w:hRule="atLeast"/>
        </w:trPr>
        <w:tc>
          <w:tcPr>
            <w:tcW w:w="1912" w:type="dxa"/>
          </w:tcPr>
          <w:p>
            <w:pPr>
              <w:pStyle w:val="TableParagraph"/>
              <w:spacing w:line="259" w:lineRule="auto" w:before="70"/>
              <w:ind w:left="115"/>
              <w:rPr>
                <w:i/>
                <w:sz w:val="22"/>
              </w:rPr>
            </w:pPr>
            <w:r>
              <w:rPr>
                <w:i/>
                <w:spacing w:val="-2"/>
                <w:sz w:val="22"/>
              </w:rPr>
              <w:t>Pseudomonas aeruginosa</w:t>
            </w:r>
          </w:p>
        </w:tc>
        <w:tc>
          <w:tcPr>
            <w:tcW w:w="1375" w:type="dxa"/>
          </w:tcPr>
          <w:p>
            <w:pPr>
              <w:pStyle w:val="TableParagraph"/>
              <w:spacing w:before="70"/>
              <w:ind w:left="243"/>
              <w:rPr>
                <w:sz w:val="22"/>
              </w:rPr>
            </w:pPr>
            <w:r>
              <w:rPr>
                <w:spacing w:val="-10"/>
                <w:sz w:val="22"/>
              </w:rPr>
              <w:t>4</w:t>
            </w:r>
          </w:p>
        </w:tc>
        <w:tc>
          <w:tcPr>
            <w:tcW w:w="1281" w:type="dxa"/>
          </w:tcPr>
          <w:p>
            <w:pPr>
              <w:pStyle w:val="TableParagraph"/>
              <w:spacing w:before="70"/>
              <w:ind w:left="143"/>
              <w:rPr>
                <w:sz w:val="22"/>
              </w:rPr>
            </w:pPr>
            <w:r>
              <w:rPr>
                <w:spacing w:val="-10"/>
                <w:sz w:val="22"/>
              </w:rPr>
              <w:t>0</w:t>
            </w:r>
          </w:p>
        </w:tc>
        <w:tc>
          <w:tcPr>
            <w:tcW w:w="1272" w:type="dxa"/>
          </w:tcPr>
          <w:p>
            <w:pPr>
              <w:pStyle w:val="TableParagraph"/>
              <w:spacing w:before="70"/>
              <w:ind w:left="139"/>
              <w:rPr>
                <w:sz w:val="22"/>
              </w:rPr>
            </w:pPr>
            <w:r>
              <w:rPr>
                <w:spacing w:val="-10"/>
                <w:sz w:val="22"/>
              </w:rPr>
              <w:t>3</w:t>
            </w:r>
          </w:p>
        </w:tc>
        <w:tc>
          <w:tcPr>
            <w:tcW w:w="1276" w:type="dxa"/>
          </w:tcPr>
          <w:p>
            <w:pPr>
              <w:pStyle w:val="TableParagraph"/>
              <w:spacing w:before="70"/>
              <w:ind w:left="144"/>
              <w:rPr>
                <w:sz w:val="22"/>
              </w:rPr>
            </w:pPr>
            <w:r>
              <w:rPr>
                <w:spacing w:val="-5"/>
                <w:sz w:val="22"/>
              </w:rPr>
              <w:t>54</w:t>
            </w:r>
          </w:p>
        </w:tc>
        <w:tc>
          <w:tcPr>
            <w:tcW w:w="1790" w:type="dxa"/>
          </w:tcPr>
          <w:p>
            <w:pPr>
              <w:pStyle w:val="TableParagraph"/>
              <w:spacing w:before="70"/>
              <w:ind w:left="143"/>
              <w:rPr>
                <w:sz w:val="22"/>
              </w:rPr>
            </w:pPr>
            <w:r>
              <w:rPr>
                <w:sz w:val="22"/>
              </w:rPr>
              <w:t>61</w:t>
            </w:r>
            <w:r>
              <w:rPr>
                <w:spacing w:val="-2"/>
                <w:sz w:val="22"/>
              </w:rPr>
              <w:t> </w:t>
            </w:r>
            <w:r>
              <w:rPr>
                <w:sz w:val="22"/>
              </w:rPr>
              <w:t>(6.19</w:t>
            </w:r>
            <w:r>
              <w:rPr>
                <w:spacing w:val="-2"/>
                <w:sz w:val="22"/>
              </w:rPr>
              <w:t> </w:t>
            </w:r>
            <w:r>
              <w:rPr>
                <w:spacing w:val="-5"/>
                <w:sz w:val="22"/>
              </w:rPr>
              <w:t>%)</w:t>
            </w:r>
          </w:p>
        </w:tc>
      </w:tr>
      <w:tr>
        <w:trPr>
          <w:trHeight w:val="739" w:hRule="atLeast"/>
        </w:trPr>
        <w:tc>
          <w:tcPr>
            <w:tcW w:w="1912" w:type="dxa"/>
          </w:tcPr>
          <w:p>
            <w:pPr>
              <w:pStyle w:val="TableParagraph"/>
              <w:spacing w:line="256" w:lineRule="auto" w:before="71"/>
              <w:ind w:left="115"/>
              <w:rPr>
                <w:i/>
                <w:sz w:val="22"/>
              </w:rPr>
            </w:pPr>
            <w:r>
              <w:rPr>
                <w:i/>
                <w:spacing w:val="-2"/>
                <w:sz w:val="22"/>
              </w:rPr>
              <w:t>Klebsiella pneumoniae</w:t>
            </w:r>
          </w:p>
        </w:tc>
        <w:tc>
          <w:tcPr>
            <w:tcW w:w="1375" w:type="dxa"/>
          </w:tcPr>
          <w:p>
            <w:pPr>
              <w:pStyle w:val="TableParagraph"/>
              <w:spacing w:before="71"/>
              <w:ind w:left="243"/>
              <w:rPr>
                <w:sz w:val="22"/>
              </w:rPr>
            </w:pPr>
            <w:r>
              <w:rPr>
                <w:spacing w:val="-5"/>
                <w:sz w:val="22"/>
              </w:rPr>
              <w:t>43</w:t>
            </w:r>
          </w:p>
        </w:tc>
        <w:tc>
          <w:tcPr>
            <w:tcW w:w="1281" w:type="dxa"/>
          </w:tcPr>
          <w:p>
            <w:pPr>
              <w:pStyle w:val="TableParagraph"/>
              <w:spacing w:before="71"/>
              <w:ind w:left="143"/>
              <w:rPr>
                <w:sz w:val="22"/>
              </w:rPr>
            </w:pPr>
            <w:r>
              <w:rPr>
                <w:spacing w:val="-10"/>
                <w:sz w:val="22"/>
              </w:rPr>
              <w:t>1</w:t>
            </w:r>
          </w:p>
        </w:tc>
        <w:tc>
          <w:tcPr>
            <w:tcW w:w="1272" w:type="dxa"/>
          </w:tcPr>
          <w:p>
            <w:pPr>
              <w:pStyle w:val="TableParagraph"/>
              <w:spacing w:before="71"/>
              <w:ind w:left="139"/>
              <w:rPr>
                <w:sz w:val="22"/>
              </w:rPr>
            </w:pPr>
            <w:r>
              <w:rPr>
                <w:spacing w:val="-10"/>
                <w:sz w:val="22"/>
              </w:rPr>
              <w:t>3</w:t>
            </w:r>
          </w:p>
        </w:tc>
        <w:tc>
          <w:tcPr>
            <w:tcW w:w="1276" w:type="dxa"/>
          </w:tcPr>
          <w:p>
            <w:pPr>
              <w:pStyle w:val="TableParagraph"/>
              <w:spacing w:before="71"/>
              <w:ind w:left="144"/>
              <w:rPr>
                <w:sz w:val="22"/>
              </w:rPr>
            </w:pPr>
            <w:r>
              <w:rPr>
                <w:spacing w:val="-10"/>
                <w:sz w:val="22"/>
              </w:rPr>
              <w:t>9</w:t>
            </w:r>
          </w:p>
        </w:tc>
        <w:tc>
          <w:tcPr>
            <w:tcW w:w="1790" w:type="dxa"/>
          </w:tcPr>
          <w:p>
            <w:pPr>
              <w:pStyle w:val="TableParagraph"/>
              <w:spacing w:before="71"/>
              <w:ind w:left="143"/>
              <w:rPr>
                <w:sz w:val="22"/>
              </w:rPr>
            </w:pPr>
            <w:r>
              <w:rPr>
                <w:sz w:val="22"/>
              </w:rPr>
              <w:t>56</w:t>
            </w:r>
            <w:r>
              <w:rPr>
                <w:spacing w:val="-2"/>
                <w:sz w:val="22"/>
              </w:rPr>
              <w:t> </w:t>
            </w:r>
            <w:r>
              <w:rPr>
                <w:sz w:val="22"/>
              </w:rPr>
              <w:t>(5.68</w:t>
            </w:r>
            <w:r>
              <w:rPr>
                <w:spacing w:val="-2"/>
                <w:sz w:val="22"/>
              </w:rPr>
              <w:t> </w:t>
            </w:r>
            <w:r>
              <w:rPr>
                <w:spacing w:val="-5"/>
                <w:sz w:val="22"/>
              </w:rPr>
              <w:t>%)</w:t>
            </w:r>
          </w:p>
        </w:tc>
      </w:tr>
      <w:tr>
        <w:trPr>
          <w:trHeight w:val="813" w:hRule="atLeast"/>
        </w:trPr>
        <w:tc>
          <w:tcPr>
            <w:tcW w:w="1912" w:type="dxa"/>
            <w:tcBorders>
              <w:bottom w:val="single" w:sz="4" w:space="0" w:color="000000"/>
            </w:tcBorders>
          </w:tcPr>
          <w:p>
            <w:pPr>
              <w:pStyle w:val="TableParagraph"/>
              <w:spacing w:line="259" w:lineRule="auto" w:before="71"/>
              <w:ind w:left="115"/>
              <w:rPr>
                <w:i/>
                <w:sz w:val="22"/>
              </w:rPr>
            </w:pPr>
            <w:r>
              <w:rPr>
                <w:i/>
                <w:spacing w:val="-2"/>
                <w:sz w:val="22"/>
              </w:rPr>
              <w:t>Streptococcus pyogene</w:t>
            </w:r>
          </w:p>
        </w:tc>
        <w:tc>
          <w:tcPr>
            <w:tcW w:w="1375" w:type="dxa"/>
            <w:tcBorders>
              <w:bottom w:val="single" w:sz="4" w:space="0" w:color="000000"/>
            </w:tcBorders>
          </w:tcPr>
          <w:p>
            <w:pPr>
              <w:pStyle w:val="TableParagraph"/>
              <w:spacing w:before="71"/>
              <w:ind w:left="243"/>
              <w:rPr>
                <w:sz w:val="22"/>
              </w:rPr>
            </w:pPr>
            <w:r>
              <w:rPr>
                <w:spacing w:val="-5"/>
                <w:sz w:val="22"/>
              </w:rPr>
              <w:t>14</w:t>
            </w:r>
          </w:p>
        </w:tc>
        <w:tc>
          <w:tcPr>
            <w:tcW w:w="1281" w:type="dxa"/>
            <w:tcBorders>
              <w:bottom w:val="single" w:sz="4" w:space="0" w:color="000000"/>
            </w:tcBorders>
          </w:tcPr>
          <w:p>
            <w:pPr>
              <w:pStyle w:val="TableParagraph"/>
              <w:spacing w:before="71"/>
              <w:ind w:left="143"/>
              <w:rPr>
                <w:sz w:val="22"/>
              </w:rPr>
            </w:pPr>
            <w:r>
              <w:rPr>
                <w:spacing w:val="-10"/>
                <w:sz w:val="22"/>
              </w:rPr>
              <w:t>0</w:t>
            </w:r>
          </w:p>
        </w:tc>
        <w:tc>
          <w:tcPr>
            <w:tcW w:w="1272" w:type="dxa"/>
            <w:tcBorders>
              <w:bottom w:val="single" w:sz="4" w:space="0" w:color="000000"/>
            </w:tcBorders>
          </w:tcPr>
          <w:p>
            <w:pPr>
              <w:pStyle w:val="TableParagraph"/>
              <w:spacing w:before="71"/>
              <w:ind w:left="139"/>
              <w:rPr>
                <w:sz w:val="22"/>
              </w:rPr>
            </w:pPr>
            <w:r>
              <w:rPr>
                <w:spacing w:val="-5"/>
                <w:sz w:val="22"/>
              </w:rPr>
              <w:t>70</w:t>
            </w:r>
          </w:p>
        </w:tc>
        <w:tc>
          <w:tcPr>
            <w:tcW w:w="1276" w:type="dxa"/>
            <w:tcBorders>
              <w:bottom w:val="single" w:sz="4" w:space="0" w:color="000000"/>
            </w:tcBorders>
          </w:tcPr>
          <w:p>
            <w:pPr>
              <w:pStyle w:val="TableParagraph"/>
              <w:spacing w:before="71"/>
              <w:ind w:left="144"/>
              <w:rPr>
                <w:sz w:val="22"/>
              </w:rPr>
            </w:pPr>
            <w:r>
              <w:rPr>
                <w:spacing w:val="-10"/>
                <w:sz w:val="22"/>
              </w:rPr>
              <w:t>1</w:t>
            </w:r>
          </w:p>
        </w:tc>
        <w:tc>
          <w:tcPr>
            <w:tcW w:w="1790" w:type="dxa"/>
            <w:tcBorders>
              <w:bottom w:val="single" w:sz="4" w:space="0" w:color="000000"/>
            </w:tcBorders>
          </w:tcPr>
          <w:p>
            <w:pPr>
              <w:pStyle w:val="TableParagraph"/>
              <w:spacing w:before="71"/>
              <w:ind w:left="143"/>
              <w:rPr>
                <w:sz w:val="22"/>
              </w:rPr>
            </w:pPr>
            <w:r>
              <w:rPr>
                <w:sz w:val="22"/>
              </w:rPr>
              <w:t>85</w:t>
            </w:r>
            <w:r>
              <w:rPr>
                <w:spacing w:val="-2"/>
                <w:sz w:val="22"/>
              </w:rPr>
              <w:t> </w:t>
            </w:r>
            <w:r>
              <w:rPr>
                <w:sz w:val="22"/>
              </w:rPr>
              <w:t>(8.62</w:t>
            </w:r>
            <w:r>
              <w:rPr>
                <w:spacing w:val="-2"/>
                <w:sz w:val="22"/>
              </w:rPr>
              <w:t> </w:t>
            </w:r>
            <w:r>
              <w:rPr>
                <w:spacing w:val="-5"/>
                <w:sz w:val="22"/>
              </w:rPr>
              <w:t>%)</w:t>
            </w:r>
          </w:p>
        </w:tc>
      </w:tr>
      <w:tr>
        <w:trPr>
          <w:trHeight w:val="738" w:hRule="atLeast"/>
        </w:trPr>
        <w:tc>
          <w:tcPr>
            <w:tcW w:w="1912" w:type="dxa"/>
            <w:tcBorders>
              <w:top w:val="single" w:sz="4" w:space="0" w:color="000000"/>
              <w:bottom w:val="single" w:sz="4" w:space="0" w:color="000000"/>
            </w:tcBorders>
          </w:tcPr>
          <w:p>
            <w:pPr>
              <w:pStyle w:val="TableParagraph"/>
              <w:spacing w:line="265" w:lineRule="exact"/>
              <w:ind w:left="115"/>
              <w:rPr>
                <w:b/>
                <w:sz w:val="22"/>
              </w:rPr>
            </w:pPr>
            <w:r>
              <w:rPr>
                <w:b/>
                <w:spacing w:val="-2"/>
                <w:sz w:val="22"/>
              </w:rPr>
              <w:t>Total</w:t>
            </w:r>
          </w:p>
        </w:tc>
        <w:tc>
          <w:tcPr>
            <w:tcW w:w="1375" w:type="dxa"/>
            <w:tcBorders>
              <w:top w:val="single" w:sz="4" w:space="0" w:color="000000"/>
              <w:bottom w:val="single" w:sz="4" w:space="0" w:color="000000"/>
            </w:tcBorders>
          </w:tcPr>
          <w:p>
            <w:pPr>
              <w:pStyle w:val="TableParagraph"/>
              <w:spacing w:line="265" w:lineRule="exact"/>
              <w:ind w:left="243"/>
              <w:rPr>
                <w:sz w:val="22"/>
              </w:rPr>
            </w:pPr>
            <w:r>
              <w:rPr>
                <w:sz w:val="22"/>
              </w:rPr>
              <w:t>601</w:t>
            </w:r>
            <w:r>
              <w:rPr>
                <w:spacing w:val="-2"/>
                <w:sz w:val="22"/>
              </w:rPr>
              <w:t> (61%)</w:t>
            </w:r>
          </w:p>
        </w:tc>
        <w:tc>
          <w:tcPr>
            <w:tcW w:w="1281" w:type="dxa"/>
            <w:tcBorders>
              <w:top w:val="single" w:sz="4" w:space="0" w:color="000000"/>
              <w:bottom w:val="single" w:sz="4" w:space="0" w:color="000000"/>
            </w:tcBorders>
          </w:tcPr>
          <w:p>
            <w:pPr>
              <w:pStyle w:val="TableParagraph"/>
              <w:spacing w:line="265" w:lineRule="exact"/>
              <w:ind w:left="143"/>
              <w:rPr>
                <w:sz w:val="22"/>
              </w:rPr>
            </w:pPr>
            <w:r>
              <w:rPr>
                <w:sz w:val="22"/>
              </w:rPr>
              <w:t>4 </w:t>
            </w:r>
            <w:r>
              <w:rPr>
                <w:spacing w:val="-2"/>
                <w:sz w:val="22"/>
              </w:rPr>
              <w:t>(0.41%)</w:t>
            </w:r>
          </w:p>
        </w:tc>
        <w:tc>
          <w:tcPr>
            <w:tcW w:w="1272" w:type="dxa"/>
            <w:tcBorders>
              <w:top w:val="single" w:sz="4" w:space="0" w:color="000000"/>
              <w:bottom w:val="single" w:sz="4" w:space="0" w:color="000000"/>
            </w:tcBorders>
          </w:tcPr>
          <w:p>
            <w:pPr>
              <w:pStyle w:val="TableParagraph"/>
              <w:spacing w:line="265" w:lineRule="exact"/>
              <w:ind w:left="139"/>
              <w:rPr>
                <w:sz w:val="22"/>
              </w:rPr>
            </w:pPr>
            <w:r>
              <w:rPr>
                <w:spacing w:val="-5"/>
                <w:sz w:val="22"/>
              </w:rPr>
              <w:t>241</w:t>
            </w:r>
          </w:p>
          <w:p>
            <w:pPr>
              <w:pStyle w:val="TableParagraph"/>
              <w:spacing w:before="22"/>
              <w:ind w:left="139"/>
              <w:rPr>
                <w:sz w:val="22"/>
              </w:rPr>
            </w:pPr>
            <w:r>
              <w:rPr>
                <w:spacing w:val="-2"/>
                <w:sz w:val="22"/>
              </w:rPr>
              <w:t>(24.4%)</w:t>
            </w:r>
          </w:p>
        </w:tc>
        <w:tc>
          <w:tcPr>
            <w:tcW w:w="1276" w:type="dxa"/>
            <w:tcBorders>
              <w:top w:val="single" w:sz="4" w:space="0" w:color="000000"/>
              <w:bottom w:val="single" w:sz="4" w:space="0" w:color="000000"/>
            </w:tcBorders>
          </w:tcPr>
          <w:p>
            <w:pPr>
              <w:pStyle w:val="TableParagraph"/>
              <w:spacing w:line="265" w:lineRule="exact"/>
              <w:ind w:left="144"/>
              <w:rPr>
                <w:sz w:val="22"/>
              </w:rPr>
            </w:pPr>
            <w:r>
              <w:rPr>
                <w:spacing w:val="-5"/>
                <w:sz w:val="22"/>
              </w:rPr>
              <w:t>140</w:t>
            </w:r>
          </w:p>
          <w:p>
            <w:pPr>
              <w:pStyle w:val="TableParagraph"/>
              <w:spacing w:before="22"/>
              <w:ind w:left="144"/>
              <w:rPr>
                <w:sz w:val="22"/>
              </w:rPr>
            </w:pPr>
            <w:r>
              <w:rPr>
                <w:spacing w:val="-2"/>
                <w:sz w:val="22"/>
              </w:rPr>
              <w:t>(14.2%)</w:t>
            </w:r>
          </w:p>
        </w:tc>
        <w:tc>
          <w:tcPr>
            <w:tcW w:w="1790" w:type="dxa"/>
            <w:tcBorders>
              <w:top w:val="single" w:sz="4" w:space="0" w:color="000000"/>
              <w:bottom w:val="single" w:sz="4" w:space="0" w:color="000000"/>
            </w:tcBorders>
          </w:tcPr>
          <w:p>
            <w:pPr>
              <w:pStyle w:val="TableParagraph"/>
              <w:spacing w:line="259" w:lineRule="auto"/>
              <w:ind w:left="143" w:right="116"/>
              <w:rPr>
                <w:b/>
                <w:sz w:val="22"/>
              </w:rPr>
            </w:pPr>
            <w:r>
              <w:rPr>
                <w:b/>
                <w:sz w:val="22"/>
              </w:rPr>
              <w:t>Grand</w:t>
            </w:r>
            <w:r>
              <w:rPr>
                <w:b/>
                <w:spacing w:val="-13"/>
                <w:sz w:val="22"/>
              </w:rPr>
              <w:t> </w:t>
            </w:r>
            <w:r>
              <w:rPr>
                <w:b/>
                <w:sz w:val="22"/>
              </w:rPr>
              <w:t>Total=986 </w:t>
            </w:r>
            <w:r>
              <w:rPr>
                <w:b/>
                <w:spacing w:val="-2"/>
                <w:sz w:val="22"/>
              </w:rPr>
              <w:t>(100%)</w:t>
            </w:r>
          </w:p>
        </w:tc>
      </w:tr>
    </w:tbl>
    <w:p>
      <w:pPr>
        <w:spacing w:after="0" w:line="259" w:lineRule="auto"/>
        <w:rPr>
          <w:sz w:val="22"/>
        </w:rPr>
        <w:sectPr>
          <w:pgSz w:w="11910" w:h="16840"/>
          <w:pgMar w:header="0" w:footer="1055" w:top="1920" w:bottom="1240" w:left="1060" w:right="4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3"/>
        <w:rPr>
          <w:b/>
        </w:rPr>
      </w:pPr>
    </w:p>
    <w:p>
      <w:pPr>
        <w:tabs>
          <w:tab w:pos="1820" w:val="left" w:leader="none"/>
        </w:tabs>
        <w:spacing w:line="261" w:lineRule="auto" w:before="0"/>
        <w:ind w:left="1820" w:right="1332" w:hanging="1440"/>
        <w:jc w:val="left"/>
        <w:rPr>
          <w:b/>
          <w:sz w:val="22"/>
        </w:rPr>
      </w:pPr>
      <w:r>
        <w:rPr>
          <w:b/>
          <w:sz w:val="22"/>
        </w:rPr>
        <w:t>Table 4.2:</w:t>
        <w:tab/>
        <w:t>Retrospective</w:t>
      </w:r>
      <w:r>
        <w:rPr>
          <w:b/>
          <w:spacing w:val="-4"/>
          <w:sz w:val="22"/>
        </w:rPr>
        <w:t> </w:t>
      </w:r>
      <w:r>
        <w:rPr>
          <w:b/>
          <w:sz w:val="22"/>
        </w:rPr>
        <w:t>Study</w:t>
      </w:r>
      <w:r>
        <w:rPr>
          <w:b/>
          <w:spacing w:val="-1"/>
          <w:sz w:val="22"/>
        </w:rPr>
        <w:t> </w:t>
      </w:r>
      <w:r>
        <w:rPr>
          <w:b/>
          <w:sz w:val="22"/>
        </w:rPr>
        <w:t>of</w:t>
      </w:r>
      <w:r>
        <w:rPr>
          <w:b/>
          <w:spacing w:val="-5"/>
          <w:sz w:val="22"/>
        </w:rPr>
        <w:t> </w:t>
      </w:r>
      <w:r>
        <w:rPr>
          <w:b/>
          <w:sz w:val="22"/>
        </w:rPr>
        <w:t>Bacteria</w:t>
      </w:r>
      <w:r>
        <w:rPr>
          <w:b/>
          <w:spacing w:val="-6"/>
          <w:sz w:val="22"/>
        </w:rPr>
        <w:t> </w:t>
      </w:r>
      <w:r>
        <w:rPr>
          <w:b/>
          <w:sz w:val="22"/>
        </w:rPr>
        <w:t>Isolates</w:t>
      </w:r>
      <w:r>
        <w:rPr>
          <w:b/>
          <w:spacing w:val="-6"/>
          <w:sz w:val="22"/>
        </w:rPr>
        <w:t> </w:t>
      </w:r>
      <w:r>
        <w:rPr>
          <w:b/>
          <w:sz w:val="22"/>
        </w:rPr>
        <w:t>from</w:t>
      </w:r>
      <w:r>
        <w:rPr>
          <w:b/>
          <w:spacing w:val="-4"/>
          <w:sz w:val="22"/>
        </w:rPr>
        <w:t> </w:t>
      </w:r>
      <w:r>
        <w:rPr>
          <w:b/>
          <w:sz w:val="22"/>
        </w:rPr>
        <w:t>Respiratory</w:t>
      </w:r>
      <w:r>
        <w:rPr>
          <w:b/>
          <w:spacing w:val="-3"/>
          <w:sz w:val="22"/>
        </w:rPr>
        <w:t> </w:t>
      </w:r>
      <w:r>
        <w:rPr>
          <w:b/>
          <w:sz w:val="22"/>
        </w:rPr>
        <w:t>Tract</w:t>
      </w:r>
      <w:r>
        <w:rPr>
          <w:b/>
          <w:spacing w:val="-2"/>
          <w:sz w:val="22"/>
        </w:rPr>
        <w:t> </w:t>
      </w:r>
      <w:r>
        <w:rPr>
          <w:b/>
          <w:sz w:val="22"/>
        </w:rPr>
        <w:t>at</w:t>
      </w:r>
      <w:r>
        <w:rPr>
          <w:b/>
          <w:spacing w:val="-3"/>
          <w:sz w:val="22"/>
        </w:rPr>
        <w:t> </w:t>
      </w:r>
      <w:r>
        <w:rPr>
          <w:b/>
          <w:sz w:val="22"/>
        </w:rPr>
        <w:t>Microbiology Department, ABUHS, Zaria from January, 2011 to February, 2012</w:t>
      </w:r>
    </w:p>
    <w:p>
      <w:pPr>
        <w:pStyle w:val="BodyText"/>
        <w:spacing w:before="28"/>
        <w:rPr>
          <w:b/>
          <w:sz w:val="20"/>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6"/>
        <w:gridCol w:w="1367"/>
        <w:gridCol w:w="1275"/>
        <w:gridCol w:w="1265"/>
        <w:gridCol w:w="1269"/>
        <w:gridCol w:w="1619"/>
      </w:tblGrid>
      <w:tr>
        <w:trPr>
          <w:trHeight w:val="1898" w:hRule="atLeast"/>
        </w:trPr>
        <w:tc>
          <w:tcPr>
            <w:tcW w:w="1906" w:type="dxa"/>
            <w:tcBorders>
              <w:top w:val="single" w:sz="4" w:space="0" w:color="000000"/>
              <w:bottom w:val="single" w:sz="4" w:space="0" w:color="000000"/>
            </w:tcBorders>
          </w:tcPr>
          <w:p>
            <w:pPr>
              <w:pStyle w:val="TableParagraph"/>
              <w:spacing w:line="265" w:lineRule="exact"/>
              <w:ind w:left="115"/>
              <w:rPr>
                <w:b/>
                <w:sz w:val="22"/>
              </w:rPr>
            </w:pPr>
            <w:r>
              <w:rPr>
                <w:b/>
                <w:sz w:val="22"/>
              </w:rPr>
              <w:t>Bacterial</w:t>
            </w:r>
            <w:r>
              <w:rPr>
                <w:b/>
                <w:spacing w:val="-12"/>
                <w:sz w:val="22"/>
              </w:rPr>
              <w:t> </w:t>
            </w:r>
            <w:r>
              <w:rPr>
                <w:b/>
                <w:spacing w:val="-2"/>
                <w:sz w:val="22"/>
              </w:rPr>
              <w:t>isolates</w:t>
            </w:r>
          </w:p>
        </w:tc>
        <w:tc>
          <w:tcPr>
            <w:tcW w:w="1367" w:type="dxa"/>
            <w:tcBorders>
              <w:top w:val="single" w:sz="4" w:space="0" w:color="000000"/>
              <w:bottom w:val="single" w:sz="4" w:space="0" w:color="000000"/>
            </w:tcBorders>
          </w:tcPr>
          <w:p>
            <w:pPr>
              <w:pStyle w:val="TableParagraph"/>
              <w:spacing w:line="259" w:lineRule="auto"/>
              <w:ind w:left="237" w:right="136"/>
              <w:rPr>
                <w:b/>
                <w:sz w:val="22"/>
              </w:rPr>
            </w:pPr>
            <w:r>
              <w:rPr>
                <w:b/>
                <w:sz w:val="22"/>
              </w:rPr>
              <w:t>Number</w:t>
            </w:r>
            <w:r>
              <w:rPr>
                <w:b/>
                <w:spacing w:val="-13"/>
                <w:sz w:val="22"/>
              </w:rPr>
              <w:t> </w:t>
            </w:r>
            <w:r>
              <w:rPr>
                <w:b/>
                <w:sz w:val="22"/>
              </w:rPr>
              <w:t>of </w:t>
            </w:r>
            <w:r>
              <w:rPr>
                <w:b/>
                <w:spacing w:val="-2"/>
                <w:sz w:val="22"/>
              </w:rPr>
              <w:t>isolates </w:t>
            </w:r>
            <w:r>
              <w:rPr>
                <w:b/>
                <w:spacing w:val="-4"/>
                <w:sz w:val="22"/>
              </w:rPr>
              <w:t>from </w:t>
            </w:r>
            <w:r>
              <w:rPr>
                <w:b/>
                <w:spacing w:val="-2"/>
                <w:sz w:val="22"/>
              </w:rPr>
              <w:t>Sputum samples</w:t>
            </w:r>
          </w:p>
        </w:tc>
        <w:tc>
          <w:tcPr>
            <w:tcW w:w="1275" w:type="dxa"/>
            <w:tcBorders>
              <w:top w:val="single" w:sz="4" w:space="0" w:color="000000"/>
              <w:bottom w:val="single" w:sz="4" w:space="0" w:color="000000"/>
            </w:tcBorders>
          </w:tcPr>
          <w:p>
            <w:pPr>
              <w:pStyle w:val="TableParagraph"/>
              <w:spacing w:line="259" w:lineRule="auto"/>
              <w:ind w:left="140" w:right="129"/>
              <w:rPr>
                <w:b/>
                <w:sz w:val="22"/>
              </w:rPr>
            </w:pPr>
            <w:r>
              <w:rPr>
                <w:b/>
                <w:sz w:val="22"/>
              </w:rPr>
              <w:t>Number</w:t>
            </w:r>
            <w:r>
              <w:rPr>
                <w:b/>
                <w:spacing w:val="-13"/>
                <w:sz w:val="22"/>
              </w:rPr>
              <w:t> </w:t>
            </w:r>
            <w:r>
              <w:rPr>
                <w:b/>
                <w:sz w:val="22"/>
              </w:rPr>
              <w:t>of </w:t>
            </w:r>
            <w:r>
              <w:rPr>
                <w:b/>
                <w:spacing w:val="-2"/>
                <w:sz w:val="22"/>
              </w:rPr>
              <w:t>isolates </w:t>
            </w:r>
            <w:r>
              <w:rPr>
                <w:b/>
                <w:sz w:val="22"/>
              </w:rPr>
              <w:t>from</w:t>
            </w:r>
            <w:r>
              <w:rPr>
                <w:b/>
                <w:spacing w:val="-13"/>
                <w:sz w:val="22"/>
              </w:rPr>
              <w:t> </w:t>
            </w:r>
            <w:r>
              <w:rPr>
                <w:b/>
                <w:sz w:val="22"/>
              </w:rPr>
              <w:t>Nasal </w:t>
            </w:r>
            <w:r>
              <w:rPr>
                <w:b/>
                <w:spacing w:val="-2"/>
                <w:sz w:val="22"/>
              </w:rPr>
              <w:t>samples</w:t>
            </w:r>
          </w:p>
        </w:tc>
        <w:tc>
          <w:tcPr>
            <w:tcW w:w="1265" w:type="dxa"/>
            <w:tcBorders>
              <w:top w:val="single" w:sz="4" w:space="0" w:color="000000"/>
              <w:bottom w:val="single" w:sz="4" w:space="0" w:color="000000"/>
            </w:tcBorders>
          </w:tcPr>
          <w:p>
            <w:pPr>
              <w:pStyle w:val="TableParagraph"/>
              <w:spacing w:line="259" w:lineRule="auto"/>
              <w:ind w:left="135" w:right="136"/>
              <w:rPr>
                <w:b/>
                <w:sz w:val="22"/>
              </w:rPr>
            </w:pPr>
            <w:r>
              <w:rPr>
                <w:b/>
                <w:sz w:val="22"/>
              </w:rPr>
              <w:t>Number</w:t>
            </w:r>
            <w:r>
              <w:rPr>
                <w:b/>
                <w:spacing w:val="-13"/>
                <w:sz w:val="22"/>
              </w:rPr>
              <w:t> </w:t>
            </w:r>
            <w:r>
              <w:rPr>
                <w:b/>
                <w:sz w:val="22"/>
              </w:rPr>
              <w:t>of </w:t>
            </w:r>
            <w:r>
              <w:rPr>
                <w:b/>
                <w:spacing w:val="-2"/>
                <w:sz w:val="22"/>
              </w:rPr>
              <w:t>isolates </w:t>
            </w:r>
            <w:r>
              <w:rPr>
                <w:b/>
                <w:spacing w:val="-4"/>
                <w:sz w:val="22"/>
              </w:rPr>
              <w:t>from </w:t>
            </w:r>
            <w:r>
              <w:rPr>
                <w:b/>
                <w:spacing w:val="-2"/>
                <w:sz w:val="22"/>
              </w:rPr>
              <w:t>Throat </w:t>
            </w:r>
            <w:r>
              <w:rPr>
                <w:b/>
                <w:spacing w:val="-4"/>
                <w:sz w:val="22"/>
              </w:rPr>
              <w:t>Swab </w:t>
            </w:r>
            <w:r>
              <w:rPr>
                <w:b/>
                <w:spacing w:val="-2"/>
                <w:sz w:val="22"/>
              </w:rPr>
              <w:t>samples</w:t>
            </w:r>
          </w:p>
        </w:tc>
        <w:tc>
          <w:tcPr>
            <w:tcW w:w="1269" w:type="dxa"/>
            <w:tcBorders>
              <w:top w:val="single" w:sz="4" w:space="0" w:color="000000"/>
              <w:bottom w:val="single" w:sz="4" w:space="0" w:color="000000"/>
            </w:tcBorders>
          </w:tcPr>
          <w:p>
            <w:pPr>
              <w:pStyle w:val="TableParagraph"/>
              <w:spacing w:line="259" w:lineRule="auto"/>
              <w:ind w:left="139" w:right="136"/>
              <w:rPr>
                <w:b/>
                <w:sz w:val="22"/>
              </w:rPr>
            </w:pPr>
            <w:r>
              <w:rPr>
                <w:b/>
                <w:sz w:val="22"/>
              </w:rPr>
              <w:t>Number</w:t>
            </w:r>
            <w:r>
              <w:rPr>
                <w:b/>
                <w:spacing w:val="-13"/>
                <w:sz w:val="22"/>
              </w:rPr>
              <w:t> </w:t>
            </w:r>
            <w:r>
              <w:rPr>
                <w:b/>
                <w:sz w:val="22"/>
              </w:rPr>
              <w:t>of </w:t>
            </w:r>
            <w:r>
              <w:rPr>
                <w:b/>
                <w:spacing w:val="-2"/>
                <w:sz w:val="22"/>
              </w:rPr>
              <w:t>isolates </w:t>
            </w:r>
            <w:r>
              <w:rPr>
                <w:b/>
                <w:sz w:val="22"/>
              </w:rPr>
              <w:t>from Ear </w:t>
            </w:r>
            <w:r>
              <w:rPr>
                <w:b/>
                <w:spacing w:val="-4"/>
                <w:sz w:val="22"/>
              </w:rPr>
              <w:t>Swab </w:t>
            </w:r>
            <w:r>
              <w:rPr>
                <w:b/>
                <w:spacing w:val="-2"/>
                <w:sz w:val="22"/>
              </w:rPr>
              <w:t>samples</w:t>
            </w:r>
          </w:p>
        </w:tc>
        <w:tc>
          <w:tcPr>
            <w:tcW w:w="1619" w:type="dxa"/>
            <w:tcBorders>
              <w:top w:val="single" w:sz="4" w:space="0" w:color="000000"/>
              <w:bottom w:val="single" w:sz="4" w:space="0" w:color="000000"/>
            </w:tcBorders>
          </w:tcPr>
          <w:p>
            <w:pPr>
              <w:pStyle w:val="TableParagraph"/>
              <w:spacing w:line="265" w:lineRule="exact"/>
              <w:ind w:left="138"/>
              <w:rPr>
                <w:b/>
                <w:sz w:val="22"/>
              </w:rPr>
            </w:pPr>
            <w:r>
              <w:rPr>
                <w:b/>
                <w:spacing w:val="-2"/>
                <w:sz w:val="22"/>
              </w:rPr>
              <w:t>Total</w:t>
            </w:r>
          </w:p>
        </w:tc>
      </w:tr>
      <w:tr>
        <w:trPr>
          <w:trHeight w:val="666" w:hRule="atLeast"/>
        </w:trPr>
        <w:tc>
          <w:tcPr>
            <w:tcW w:w="1906" w:type="dxa"/>
            <w:tcBorders>
              <w:top w:val="single" w:sz="4" w:space="0" w:color="000000"/>
            </w:tcBorders>
          </w:tcPr>
          <w:p>
            <w:pPr>
              <w:pStyle w:val="TableParagraph"/>
              <w:spacing w:line="256" w:lineRule="auto"/>
              <w:ind w:left="115"/>
              <w:rPr>
                <w:i/>
                <w:sz w:val="22"/>
              </w:rPr>
            </w:pPr>
            <w:r>
              <w:rPr>
                <w:i/>
                <w:spacing w:val="-2"/>
                <w:sz w:val="22"/>
              </w:rPr>
              <w:t>Streptococcus pneumoniae</w:t>
            </w:r>
          </w:p>
        </w:tc>
        <w:tc>
          <w:tcPr>
            <w:tcW w:w="1367" w:type="dxa"/>
            <w:tcBorders>
              <w:top w:val="single" w:sz="4" w:space="0" w:color="000000"/>
            </w:tcBorders>
          </w:tcPr>
          <w:p>
            <w:pPr>
              <w:pStyle w:val="TableParagraph"/>
              <w:spacing w:line="268" w:lineRule="exact"/>
              <w:ind w:left="237"/>
              <w:rPr>
                <w:sz w:val="22"/>
              </w:rPr>
            </w:pPr>
            <w:r>
              <w:rPr>
                <w:spacing w:val="-5"/>
                <w:sz w:val="22"/>
              </w:rPr>
              <w:t>66</w:t>
            </w:r>
          </w:p>
        </w:tc>
        <w:tc>
          <w:tcPr>
            <w:tcW w:w="1275" w:type="dxa"/>
            <w:tcBorders>
              <w:top w:val="single" w:sz="4" w:space="0" w:color="000000"/>
            </w:tcBorders>
          </w:tcPr>
          <w:p>
            <w:pPr>
              <w:pStyle w:val="TableParagraph"/>
              <w:spacing w:line="268" w:lineRule="exact"/>
              <w:ind w:left="140"/>
              <w:rPr>
                <w:sz w:val="22"/>
              </w:rPr>
            </w:pPr>
            <w:r>
              <w:rPr>
                <w:spacing w:val="-10"/>
                <w:sz w:val="22"/>
              </w:rPr>
              <w:t>0</w:t>
            </w:r>
          </w:p>
        </w:tc>
        <w:tc>
          <w:tcPr>
            <w:tcW w:w="1265" w:type="dxa"/>
            <w:tcBorders>
              <w:top w:val="single" w:sz="4" w:space="0" w:color="000000"/>
            </w:tcBorders>
          </w:tcPr>
          <w:p>
            <w:pPr>
              <w:pStyle w:val="TableParagraph"/>
              <w:spacing w:line="268" w:lineRule="exact"/>
              <w:ind w:left="135"/>
              <w:rPr>
                <w:sz w:val="22"/>
              </w:rPr>
            </w:pPr>
            <w:r>
              <w:rPr>
                <w:spacing w:val="-5"/>
                <w:sz w:val="22"/>
              </w:rPr>
              <w:t>13</w:t>
            </w:r>
          </w:p>
        </w:tc>
        <w:tc>
          <w:tcPr>
            <w:tcW w:w="1269" w:type="dxa"/>
            <w:tcBorders>
              <w:top w:val="single" w:sz="4" w:space="0" w:color="000000"/>
            </w:tcBorders>
          </w:tcPr>
          <w:p>
            <w:pPr>
              <w:pStyle w:val="TableParagraph"/>
              <w:spacing w:line="268" w:lineRule="exact"/>
              <w:ind w:left="139"/>
              <w:rPr>
                <w:sz w:val="22"/>
              </w:rPr>
            </w:pPr>
            <w:r>
              <w:rPr>
                <w:spacing w:val="-10"/>
                <w:sz w:val="22"/>
              </w:rPr>
              <w:t>0</w:t>
            </w:r>
          </w:p>
        </w:tc>
        <w:tc>
          <w:tcPr>
            <w:tcW w:w="1619" w:type="dxa"/>
            <w:tcBorders>
              <w:top w:val="single" w:sz="4" w:space="0" w:color="000000"/>
            </w:tcBorders>
          </w:tcPr>
          <w:p>
            <w:pPr>
              <w:pStyle w:val="TableParagraph"/>
              <w:spacing w:line="268" w:lineRule="exact"/>
              <w:ind w:left="138"/>
              <w:rPr>
                <w:sz w:val="22"/>
              </w:rPr>
            </w:pPr>
            <w:r>
              <w:rPr>
                <w:sz w:val="22"/>
              </w:rPr>
              <w:t>79</w:t>
            </w:r>
            <w:r>
              <w:rPr>
                <w:spacing w:val="-3"/>
                <w:sz w:val="22"/>
              </w:rPr>
              <w:t> </w:t>
            </w:r>
            <w:r>
              <w:rPr>
                <w:sz w:val="22"/>
              </w:rPr>
              <w:t>(54.5</w:t>
            </w:r>
            <w:r>
              <w:rPr>
                <w:spacing w:val="-2"/>
                <w:sz w:val="22"/>
              </w:rPr>
              <w:t> </w:t>
            </w:r>
            <w:r>
              <w:rPr>
                <w:spacing w:val="-5"/>
                <w:sz w:val="22"/>
              </w:rPr>
              <w:t>%)</w:t>
            </w:r>
          </w:p>
        </w:tc>
      </w:tr>
      <w:tr>
        <w:trPr>
          <w:trHeight w:val="740" w:hRule="atLeast"/>
        </w:trPr>
        <w:tc>
          <w:tcPr>
            <w:tcW w:w="1906" w:type="dxa"/>
          </w:tcPr>
          <w:p>
            <w:pPr>
              <w:pStyle w:val="TableParagraph"/>
              <w:spacing w:line="259" w:lineRule="auto" w:before="71"/>
              <w:ind w:left="115"/>
              <w:rPr>
                <w:i/>
                <w:sz w:val="22"/>
              </w:rPr>
            </w:pPr>
            <w:r>
              <w:rPr>
                <w:i/>
                <w:spacing w:val="-2"/>
                <w:sz w:val="22"/>
              </w:rPr>
              <w:t>Staphylococcus aureus</w:t>
            </w:r>
          </w:p>
        </w:tc>
        <w:tc>
          <w:tcPr>
            <w:tcW w:w="1367" w:type="dxa"/>
          </w:tcPr>
          <w:p>
            <w:pPr>
              <w:pStyle w:val="TableParagraph"/>
              <w:spacing w:before="71"/>
              <w:ind w:left="237"/>
              <w:rPr>
                <w:sz w:val="22"/>
              </w:rPr>
            </w:pPr>
            <w:r>
              <w:rPr>
                <w:spacing w:val="-5"/>
                <w:sz w:val="22"/>
              </w:rPr>
              <w:t>21</w:t>
            </w:r>
          </w:p>
        </w:tc>
        <w:tc>
          <w:tcPr>
            <w:tcW w:w="1275" w:type="dxa"/>
          </w:tcPr>
          <w:p>
            <w:pPr>
              <w:pStyle w:val="TableParagraph"/>
              <w:spacing w:before="71"/>
              <w:ind w:left="140"/>
              <w:rPr>
                <w:sz w:val="22"/>
              </w:rPr>
            </w:pPr>
            <w:r>
              <w:rPr>
                <w:spacing w:val="-10"/>
                <w:sz w:val="22"/>
              </w:rPr>
              <w:t>0</w:t>
            </w:r>
          </w:p>
        </w:tc>
        <w:tc>
          <w:tcPr>
            <w:tcW w:w="1265" w:type="dxa"/>
          </w:tcPr>
          <w:p>
            <w:pPr>
              <w:pStyle w:val="TableParagraph"/>
              <w:spacing w:before="71"/>
              <w:ind w:left="135"/>
              <w:rPr>
                <w:sz w:val="22"/>
              </w:rPr>
            </w:pPr>
            <w:r>
              <w:rPr>
                <w:spacing w:val="-5"/>
                <w:sz w:val="22"/>
              </w:rPr>
              <w:t>15</w:t>
            </w:r>
          </w:p>
        </w:tc>
        <w:tc>
          <w:tcPr>
            <w:tcW w:w="1269" w:type="dxa"/>
          </w:tcPr>
          <w:p>
            <w:pPr>
              <w:pStyle w:val="TableParagraph"/>
              <w:spacing w:before="71"/>
              <w:ind w:left="139"/>
              <w:rPr>
                <w:sz w:val="22"/>
              </w:rPr>
            </w:pPr>
            <w:r>
              <w:rPr>
                <w:spacing w:val="-5"/>
                <w:sz w:val="22"/>
              </w:rPr>
              <w:t>11</w:t>
            </w:r>
          </w:p>
        </w:tc>
        <w:tc>
          <w:tcPr>
            <w:tcW w:w="1619" w:type="dxa"/>
          </w:tcPr>
          <w:p>
            <w:pPr>
              <w:pStyle w:val="TableParagraph"/>
              <w:spacing w:before="71"/>
              <w:ind w:left="138"/>
              <w:rPr>
                <w:sz w:val="22"/>
              </w:rPr>
            </w:pPr>
            <w:r>
              <w:rPr>
                <w:sz w:val="22"/>
              </w:rPr>
              <w:t>47</w:t>
            </w:r>
            <w:r>
              <w:rPr>
                <w:spacing w:val="-3"/>
                <w:sz w:val="22"/>
              </w:rPr>
              <w:t> </w:t>
            </w:r>
            <w:r>
              <w:rPr>
                <w:sz w:val="22"/>
              </w:rPr>
              <w:t>(32.4</w:t>
            </w:r>
            <w:r>
              <w:rPr>
                <w:spacing w:val="-2"/>
                <w:sz w:val="22"/>
              </w:rPr>
              <w:t> </w:t>
            </w:r>
            <w:r>
              <w:rPr>
                <w:spacing w:val="-5"/>
                <w:sz w:val="22"/>
              </w:rPr>
              <w:t>%)</w:t>
            </w:r>
          </w:p>
        </w:tc>
      </w:tr>
      <w:tr>
        <w:trPr>
          <w:trHeight w:val="739" w:hRule="atLeast"/>
        </w:trPr>
        <w:tc>
          <w:tcPr>
            <w:tcW w:w="1906" w:type="dxa"/>
          </w:tcPr>
          <w:p>
            <w:pPr>
              <w:pStyle w:val="TableParagraph"/>
              <w:spacing w:line="259" w:lineRule="auto" w:before="70"/>
              <w:ind w:left="115"/>
              <w:rPr>
                <w:i/>
                <w:sz w:val="22"/>
              </w:rPr>
            </w:pPr>
            <w:r>
              <w:rPr>
                <w:i/>
                <w:spacing w:val="-2"/>
                <w:sz w:val="22"/>
              </w:rPr>
              <w:t>Pseudomonas aeruginosa</w:t>
            </w:r>
          </w:p>
        </w:tc>
        <w:tc>
          <w:tcPr>
            <w:tcW w:w="1367" w:type="dxa"/>
          </w:tcPr>
          <w:p>
            <w:pPr>
              <w:pStyle w:val="TableParagraph"/>
              <w:spacing w:before="70"/>
              <w:ind w:left="237"/>
              <w:rPr>
                <w:sz w:val="22"/>
              </w:rPr>
            </w:pPr>
            <w:r>
              <w:rPr>
                <w:spacing w:val="-10"/>
                <w:sz w:val="22"/>
              </w:rPr>
              <w:t>1</w:t>
            </w:r>
          </w:p>
        </w:tc>
        <w:tc>
          <w:tcPr>
            <w:tcW w:w="1275" w:type="dxa"/>
          </w:tcPr>
          <w:p>
            <w:pPr>
              <w:pStyle w:val="TableParagraph"/>
              <w:spacing w:before="70"/>
              <w:ind w:left="140"/>
              <w:rPr>
                <w:sz w:val="22"/>
              </w:rPr>
            </w:pPr>
            <w:r>
              <w:rPr>
                <w:spacing w:val="-10"/>
                <w:sz w:val="22"/>
              </w:rPr>
              <w:t>0</w:t>
            </w:r>
          </w:p>
        </w:tc>
        <w:tc>
          <w:tcPr>
            <w:tcW w:w="1265" w:type="dxa"/>
          </w:tcPr>
          <w:p>
            <w:pPr>
              <w:pStyle w:val="TableParagraph"/>
              <w:spacing w:before="70"/>
              <w:ind w:left="135"/>
              <w:rPr>
                <w:sz w:val="22"/>
              </w:rPr>
            </w:pPr>
            <w:r>
              <w:rPr>
                <w:spacing w:val="-10"/>
                <w:sz w:val="22"/>
              </w:rPr>
              <w:t>0</w:t>
            </w:r>
          </w:p>
        </w:tc>
        <w:tc>
          <w:tcPr>
            <w:tcW w:w="1269" w:type="dxa"/>
          </w:tcPr>
          <w:p>
            <w:pPr>
              <w:pStyle w:val="TableParagraph"/>
              <w:spacing w:before="70"/>
              <w:ind w:left="139"/>
              <w:rPr>
                <w:sz w:val="22"/>
              </w:rPr>
            </w:pPr>
            <w:r>
              <w:rPr>
                <w:spacing w:val="-10"/>
                <w:sz w:val="22"/>
              </w:rPr>
              <w:t>3</w:t>
            </w:r>
          </w:p>
        </w:tc>
        <w:tc>
          <w:tcPr>
            <w:tcW w:w="1619" w:type="dxa"/>
          </w:tcPr>
          <w:p>
            <w:pPr>
              <w:pStyle w:val="TableParagraph"/>
              <w:spacing w:before="70"/>
              <w:ind w:left="138"/>
              <w:rPr>
                <w:sz w:val="22"/>
              </w:rPr>
            </w:pPr>
            <w:r>
              <w:rPr>
                <w:sz w:val="22"/>
              </w:rPr>
              <w:t>4</w:t>
            </w:r>
            <w:r>
              <w:rPr>
                <w:spacing w:val="-2"/>
                <w:sz w:val="22"/>
              </w:rPr>
              <w:t> </w:t>
            </w:r>
            <w:r>
              <w:rPr>
                <w:sz w:val="22"/>
              </w:rPr>
              <w:t>(2.76</w:t>
            </w:r>
            <w:r>
              <w:rPr>
                <w:spacing w:val="-1"/>
                <w:sz w:val="22"/>
              </w:rPr>
              <w:t> </w:t>
            </w:r>
            <w:r>
              <w:rPr>
                <w:spacing w:val="-5"/>
                <w:sz w:val="22"/>
              </w:rPr>
              <w:t>%)</w:t>
            </w:r>
          </w:p>
        </w:tc>
      </w:tr>
      <w:tr>
        <w:trPr>
          <w:trHeight w:val="739" w:hRule="atLeast"/>
        </w:trPr>
        <w:tc>
          <w:tcPr>
            <w:tcW w:w="1906" w:type="dxa"/>
          </w:tcPr>
          <w:p>
            <w:pPr>
              <w:pStyle w:val="TableParagraph"/>
              <w:spacing w:line="259" w:lineRule="auto" w:before="70"/>
              <w:ind w:left="115"/>
              <w:rPr>
                <w:i/>
                <w:sz w:val="22"/>
              </w:rPr>
            </w:pPr>
            <w:r>
              <w:rPr>
                <w:i/>
                <w:spacing w:val="-2"/>
                <w:sz w:val="22"/>
              </w:rPr>
              <w:t>Klebsiella pneumoniae</w:t>
            </w:r>
          </w:p>
        </w:tc>
        <w:tc>
          <w:tcPr>
            <w:tcW w:w="1367" w:type="dxa"/>
          </w:tcPr>
          <w:p>
            <w:pPr>
              <w:pStyle w:val="TableParagraph"/>
              <w:spacing w:before="70"/>
              <w:ind w:left="237"/>
              <w:rPr>
                <w:sz w:val="22"/>
              </w:rPr>
            </w:pPr>
            <w:r>
              <w:rPr>
                <w:spacing w:val="-10"/>
                <w:sz w:val="22"/>
              </w:rPr>
              <w:t>8</w:t>
            </w:r>
          </w:p>
        </w:tc>
        <w:tc>
          <w:tcPr>
            <w:tcW w:w="1275" w:type="dxa"/>
          </w:tcPr>
          <w:p>
            <w:pPr>
              <w:pStyle w:val="TableParagraph"/>
              <w:spacing w:before="70"/>
              <w:ind w:left="140"/>
              <w:rPr>
                <w:sz w:val="22"/>
              </w:rPr>
            </w:pPr>
            <w:r>
              <w:rPr>
                <w:spacing w:val="-10"/>
                <w:sz w:val="22"/>
              </w:rPr>
              <w:t>0</w:t>
            </w:r>
          </w:p>
        </w:tc>
        <w:tc>
          <w:tcPr>
            <w:tcW w:w="1265" w:type="dxa"/>
          </w:tcPr>
          <w:p>
            <w:pPr>
              <w:pStyle w:val="TableParagraph"/>
              <w:spacing w:before="70"/>
              <w:ind w:left="135"/>
              <w:rPr>
                <w:sz w:val="22"/>
              </w:rPr>
            </w:pPr>
            <w:r>
              <w:rPr>
                <w:spacing w:val="-10"/>
                <w:sz w:val="22"/>
              </w:rPr>
              <w:t>0</w:t>
            </w:r>
          </w:p>
        </w:tc>
        <w:tc>
          <w:tcPr>
            <w:tcW w:w="1269" w:type="dxa"/>
          </w:tcPr>
          <w:p>
            <w:pPr>
              <w:pStyle w:val="TableParagraph"/>
              <w:spacing w:before="70"/>
              <w:ind w:left="139"/>
              <w:rPr>
                <w:sz w:val="22"/>
              </w:rPr>
            </w:pPr>
            <w:r>
              <w:rPr>
                <w:spacing w:val="-10"/>
                <w:sz w:val="22"/>
              </w:rPr>
              <w:t>2</w:t>
            </w:r>
          </w:p>
        </w:tc>
        <w:tc>
          <w:tcPr>
            <w:tcW w:w="1619" w:type="dxa"/>
          </w:tcPr>
          <w:p>
            <w:pPr>
              <w:pStyle w:val="TableParagraph"/>
              <w:spacing w:before="70"/>
              <w:ind w:left="138"/>
              <w:rPr>
                <w:sz w:val="22"/>
              </w:rPr>
            </w:pPr>
            <w:r>
              <w:rPr>
                <w:sz w:val="22"/>
              </w:rPr>
              <w:t>10</w:t>
            </w:r>
            <w:r>
              <w:rPr>
                <w:spacing w:val="-3"/>
                <w:sz w:val="22"/>
              </w:rPr>
              <w:t> </w:t>
            </w:r>
            <w:r>
              <w:rPr>
                <w:sz w:val="22"/>
              </w:rPr>
              <w:t>(6.90</w:t>
            </w:r>
            <w:r>
              <w:rPr>
                <w:spacing w:val="-2"/>
                <w:sz w:val="22"/>
              </w:rPr>
              <w:t> </w:t>
            </w:r>
            <w:r>
              <w:rPr>
                <w:spacing w:val="-5"/>
                <w:sz w:val="22"/>
              </w:rPr>
              <w:t>%)</w:t>
            </w:r>
          </w:p>
        </w:tc>
      </w:tr>
      <w:tr>
        <w:trPr>
          <w:trHeight w:val="814" w:hRule="atLeast"/>
        </w:trPr>
        <w:tc>
          <w:tcPr>
            <w:tcW w:w="1906" w:type="dxa"/>
            <w:tcBorders>
              <w:bottom w:val="single" w:sz="4" w:space="0" w:color="000000"/>
            </w:tcBorders>
          </w:tcPr>
          <w:p>
            <w:pPr>
              <w:pStyle w:val="TableParagraph"/>
              <w:spacing w:line="259" w:lineRule="auto" w:before="70"/>
              <w:ind w:left="115"/>
              <w:rPr>
                <w:i/>
                <w:sz w:val="22"/>
              </w:rPr>
            </w:pPr>
            <w:r>
              <w:rPr>
                <w:i/>
                <w:spacing w:val="-2"/>
                <w:sz w:val="22"/>
              </w:rPr>
              <w:t>Streptococcus pyogene</w:t>
            </w:r>
          </w:p>
        </w:tc>
        <w:tc>
          <w:tcPr>
            <w:tcW w:w="1367" w:type="dxa"/>
            <w:tcBorders>
              <w:bottom w:val="single" w:sz="4" w:space="0" w:color="000000"/>
            </w:tcBorders>
          </w:tcPr>
          <w:p>
            <w:pPr>
              <w:pStyle w:val="TableParagraph"/>
              <w:spacing w:before="70"/>
              <w:ind w:left="237"/>
              <w:rPr>
                <w:sz w:val="22"/>
              </w:rPr>
            </w:pPr>
            <w:r>
              <w:rPr>
                <w:spacing w:val="-10"/>
                <w:sz w:val="22"/>
              </w:rPr>
              <w:t>4</w:t>
            </w:r>
          </w:p>
        </w:tc>
        <w:tc>
          <w:tcPr>
            <w:tcW w:w="1275" w:type="dxa"/>
            <w:tcBorders>
              <w:bottom w:val="single" w:sz="4" w:space="0" w:color="000000"/>
            </w:tcBorders>
          </w:tcPr>
          <w:p>
            <w:pPr>
              <w:pStyle w:val="TableParagraph"/>
              <w:spacing w:before="70"/>
              <w:ind w:left="140"/>
              <w:rPr>
                <w:sz w:val="22"/>
              </w:rPr>
            </w:pPr>
            <w:r>
              <w:rPr>
                <w:spacing w:val="-10"/>
                <w:sz w:val="22"/>
              </w:rPr>
              <w:t>0</w:t>
            </w:r>
          </w:p>
        </w:tc>
        <w:tc>
          <w:tcPr>
            <w:tcW w:w="1265" w:type="dxa"/>
            <w:tcBorders>
              <w:bottom w:val="single" w:sz="4" w:space="0" w:color="000000"/>
            </w:tcBorders>
          </w:tcPr>
          <w:p>
            <w:pPr>
              <w:pStyle w:val="TableParagraph"/>
              <w:spacing w:before="70"/>
              <w:ind w:left="135"/>
              <w:rPr>
                <w:sz w:val="22"/>
              </w:rPr>
            </w:pPr>
            <w:r>
              <w:rPr>
                <w:spacing w:val="-10"/>
                <w:sz w:val="22"/>
              </w:rPr>
              <w:t>1</w:t>
            </w:r>
          </w:p>
        </w:tc>
        <w:tc>
          <w:tcPr>
            <w:tcW w:w="1269" w:type="dxa"/>
            <w:tcBorders>
              <w:bottom w:val="single" w:sz="4" w:space="0" w:color="000000"/>
            </w:tcBorders>
          </w:tcPr>
          <w:p>
            <w:pPr>
              <w:pStyle w:val="TableParagraph"/>
              <w:spacing w:before="70"/>
              <w:ind w:left="139"/>
              <w:rPr>
                <w:sz w:val="22"/>
              </w:rPr>
            </w:pPr>
            <w:r>
              <w:rPr>
                <w:spacing w:val="-10"/>
                <w:sz w:val="22"/>
              </w:rPr>
              <w:t>0</w:t>
            </w:r>
          </w:p>
        </w:tc>
        <w:tc>
          <w:tcPr>
            <w:tcW w:w="1619" w:type="dxa"/>
            <w:tcBorders>
              <w:bottom w:val="single" w:sz="4" w:space="0" w:color="000000"/>
            </w:tcBorders>
          </w:tcPr>
          <w:p>
            <w:pPr>
              <w:pStyle w:val="TableParagraph"/>
              <w:spacing w:before="70"/>
              <w:ind w:left="138"/>
              <w:rPr>
                <w:sz w:val="22"/>
              </w:rPr>
            </w:pPr>
            <w:r>
              <w:rPr>
                <w:sz w:val="22"/>
              </w:rPr>
              <w:t>5</w:t>
            </w:r>
            <w:r>
              <w:rPr>
                <w:spacing w:val="-2"/>
                <w:sz w:val="22"/>
              </w:rPr>
              <w:t> </w:t>
            </w:r>
            <w:r>
              <w:rPr>
                <w:sz w:val="22"/>
              </w:rPr>
              <w:t>(3.45</w:t>
            </w:r>
            <w:r>
              <w:rPr>
                <w:spacing w:val="-1"/>
                <w:sz w:val="22"/>
              </w:rPr>
              <w:t> </w:t>
            </w:r>
            <w:r>
              <w:rPr>
                <w:spacing w:val="-5"/>
                <w:sz w:val="22"/>
              </w:rPr>
              <w:t>%)</w:t>
            </w:r>
          </w:p>
        </w:tc>
      </w:tr>
      <w:tr>
        <w:trPr>
          <w:trHeight w:val="1029" w:hRule="atLeast"/>
        </w:trPr>
        <w:tc>
          <w:tcPr>
            <w:tcW w:w="1906" w:type="dxa"/>
            <w:tcBorders>
              <w:top w:val="single" w:sz="4" w:space="0" w:color="000000"/>
              <w:bottom w:val="single" w:sz="4" w:space="0" w:color="000000"/>
            </w:tcBorders>
          </w:tcPr>
          <w:p>
            <w:pPr>
              <w:pStyle w:val="TableParagraph"/>
              <w:spacing w:line="265" w:lineRule="exact"/>
              <w:ind w:left="115"/>
              <w:rPr>
                <w:b/>
                <w:sz w:val="22"/>
              </w:rPr>
            </w:pPr>
            <w:r>
              <w:rPr>
                <w:b/>
                <w:spacing w:val="-2"/>
                <w:sz w:val="22"/>
              </w:rPr>
              <w:t>Total</w:t>
            </w:r>
          </w:p>
        </w:tc>
        <w:tc>
          <w:tcPr>
            <w:tcW w:w="1367" w:type="dxa"/>
            <w:tcBorders>
              <w:top w:val="single" w:sz="4" w:space="0" w:color="000000"/>
              <w:bottom w:val="single" w:sz="4" w:space="0" w:color="000000"/>
            </w:tcBorders>
          </w:tcPr>
          <w:p>
            <w:pPr>
              <w:pStyle w:val="TableParagraph"/>
              <w:spacing w:line="265" w:lineRule="exact"/>
              <w:ind w:left="237"/>
              <w:rPr>
                <w:b/>
                <w:sz w:val="22"/>
              </w:rPr>
            </w:pPr>
            <w:r>
              <w:rPr>
                <w:b/>
                <w:sz w:val="22"/>
              </w:rPr>
              <w:t>100</w:t>
            </w:r>
            <w:r>
              <w:rPr>
                <w:b/>
                <w:spacing w:val="-2"/>
                <w:sz w:val="22"/>
              </w:rPr>
              <w:t> (69%)</w:t>
            </w:r>
          </w:p>
        </w:tc>
        <w:tc>
          <w:tcPr>
            <w:tcW w:w="1275" w:type="dxa"/>
            <w:tcBorders>
              <w:top w:val="single" w:sz="4" w:space="0" w:color="000000"/>
              <w:bottom w:val="single" w:sz="4" w:space="0" w:color="000000"/>
            </w:tcBorders>
          </w:tcPr>
          <w:p>
            <w:pPr>
              <w:pStyle w:val="TableParagraph"/>
              <w:spacing w:line="265" w:lineRule="exact"/>
              <w:ind w:left="140"/>
              <w:rPr>
                <w:b/>
                <w:sz w:val="22"/>
              </w:rPr>
            </w:pPr>
            <w:r>
              <w:rPr>
                <w:b/>
                <w:sz w:val="22"/>
              </w:rPr>
              <w:t>0 </w:t>
            </w:r>
            <w:r>
              <w:rPr>
                <w:b/>
                <w:spacing w:val="-4"/>
                <w:sz w:val="22"/>
              </w:rPr>
              <w:t>(0%)</w:t>
            </w:r>
          </w:p>
        </w:tc>
        <w:tc>
          <w:tcPr>
            <w:tcW w:w="1265" w:type="dxa"/>
            <w:tcBorders>
              <w:top w:val="single" w:sz="4" w:space="0" w:color="000000"/>
              <w:bottom w:val="single" w:sz="4" w:space="0" w:color="000000"/>
            </w:tcBorders>
          </w:tcPr>
          <w:p>
            <w:pPr>
              <w:pStyle w:val="TableParagraph"/>
              <w:spacing w:line="265" w:lineRule="exact"/>
              <w:ind w:left="135"/>
              <w:rPr>
                <w:b/>
                <w:sz w:val="22"/>
              </w:rPr>
            </w:pPr>
            <w:r>
              <w:rPr>
                <w:b/>
                <w:sz w:val="22"/>
              </w:rPr>
              <w:t>29</w:t>
            </w:r>
            <w:r>
              <w:rPr>
                <w:b/>
                <w:spacing w:val="-2"/>
                <w:sz w:val="22"/>
              </w:rPr>
              <w:t> (20%)</w:t>
            </w:r>
          </w:p>
        </w:tc>
        <w:tc>
          <w:tcPr>
            <w:tcW w:w="1269" w:type="dxa"/>
            <w:tcBorders>
              <w:top w:val="single" w:sz="4" w:space="0" w:color="000000"/>
              <w:bottom w:val="single" w:sz="4" w:space="0" w:color="000000"/>
            </w:tcBorders>
          </w:tcPr>
          <w:p>
            <w:pPr>
              <w:pStyle w:val="TableParagraph"/>
              <w:spacing w:line="265" w:lineRule="exact"/>
              <w:ind w:left="139"/>
              <w:rPr>
                <w:b/>
                <w:sz w:val="22"/>
              </w:rPr>
            </w:pPr>
            <w:r>
              <w:rPr>
                <w:b/>
                <w:sz w:val="22"/>
              </w:rPr>
              <w:t>16</w:t>
            </w:r>
            <w:r>
              <w:rPr>
                <w:b/>
                <w:spacing w:val="-2"/>
                <w:sz w:val="22"/>
              </w:rPr>
              <w:t> (11%)</w:t>
            </w:r>
          </w:p>
        </w:tc>
        <w:tc>
          <w:tcPr>
            <w:tcW w:w="1619" w:type="dxa"/>
            <w:tcBorders>
              <w:top w:val="single" w:sz="4" w:space="0" w:color="000000"/>
              <w:bottom w:val="single" w:sz="4" w:space="0" w:color="000000"/>
            </w:tcBorders>
          </w:tcPr>
          <w:p>
            <w:pPr>
              <w:pStyle w:val="TableParagraph"/>
              <w:spacing w:line="259" w:lineRule="auto"/>
              <w:ind w:left="138" w:right="55"/>
              <w:rPr>
                <w:b/>
                <w:sz w:val="22"/>
              </w:rPr>
            </w:pPr>
            <w:r>
              <w:rPr>
                <w:b/>
                <w:spacing w:val="-2"/>
                <w:sz w:val="22"/>
              </w:rPr>
              <w:t>Grand Total=145 (100%)</w:t>
            </w:r>
          </w:p>
        </w:tc>
      </w:tr>
    </w:tbl>
    <w:p>
      <w:pPr>
        <w:spacing w:after="0" w:line="259" w:lineRule="auto"/>
        <w:rPr>
          <w:sz w:val="22"/>
        </w:rPr>
        <w:sectPr>
          <w:pgSz w:w="11910" w:h="16840"/>
          <w:pgMar w:header="0" w:footer="1055" w:top="1920" w:bottom="1240" w:left="1060" w:right="4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1"/>
        <w:rPr>
          <w:b/>
        </w:rPr>
      </w:pPr>
    </w:p>
    <w:p>
      <w:pPr>
        <w:spacing w:line="259" w:lineRule="auto" w:before="0"/>
        <w:ind w:left="380" w:right="974" w:firstLine="0"/>
        <w:jc w:val="both"/>
        <w:rPr>
          <w:b/>
          <w:sz w:val="22"/>
        </w:rPr>
      </w:pPr>
      <w:r>
        <w:rPr>
          <w:b/>
          <w:sz w:val="22"/>
        </w:rPr>
        <w:t>Table 4.3: Retrospective Study of the sensitivity and resistance profile of the bacteria isolates to the commonly used antibiotics at Medical Microbiology Department, ABUTH, Zaria from January, 2011 to February, 2012.</w:t>
      </w:r>
    </w:p>
    <w:p>
      <w:pPr>
        <w:pStyle w:val="BodyText"/>
        <w:spacing w:before="5"/>
        <w:rPr>
          <w:b/>
          <w:sz w:val="16"/>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6"/>
        <w:gridCol w:w="2771"/>
        <w:gridCol w:w="3113"/>
      </w:tblGrid>
      <w:tr>
        <w:trPr>
          <w:trHeight w:val="1087" w:hRule="atLeast"/>
        </w:trPr>
        <w:tc>
          <w:tcPr>
            <w:tcW w:w="2756" w:type="dxa"/>
            <w:tcBorders>
              <w:top w:val="single" w:sz="4" w:space="0" w:color="000000"/>
              <w:bottom w:val="single" w:sz="4" w:space="0" w:color="000000"/>
            </w:tcBorders>
          </w:tcPr>
          <w:p>
            <w:pPr>
              <w:pStyle w:val="TableParagraph"/>
              <w:spacing w:line="268" w:lineRule="exact"/>
              <w:ind w:left="115"/>
              <w:rPr>
                <w:b/>
                <w:sz w:val="22"/>
              </w:rPr>
            </w:pPr>
            <w:r>
              <w:rPr>
                <w:b/>
                <w:sz w:val="22"/>
              </w:rPr>
              <w:t>Bacterial</w:t>
            </w:r>
            <w:r>
              <w:rPr>
                <w:b/>
                <w:spacing w:val="-12"/>
                <w:sz w:val="22"/>
              </w:rPr>
              <w:t> </w:t>
            </w:r>
            <w:r>
              <w:rPr>
                <w:b/>
                <w:spacing w:val="-2"/>
                <w:sz w:val="22"/>
              </w:rPr>
              <w:t>isolates</w:t>
            </w:r>
          </w:p>
        </w:tc>
        <w:tc>
          <w:tcPr>
            <w:tcW w:w="2771" w:type="dxa"/>
            <w:tcBorders>
              <w:top w:val="single" w:sz="4" w:space="0" w:color="000000"/>
              <w:bottom w:val="single" w:sz="4" w:space="0" w:color="000000"/>
            </w:tcBorders>
          </w:tcPr>
          <w:p>
            <w:pPr>
              <w:pStyle w:val="TableParagraph"/>
              <w:spacing w:line="276" w:lineRule="auto"/>
              <w:ind w:left="234"/>
              <w:rPr>
                <w:b/>
                <w:sz w:val="22"/>
              </w:rPr>
            </w:pPr>
            <w:r>
              <w:rPr>
                <w:b/>
                <w:sz w:val="22"/>
              </w:rPr>
              <w:t>Common</w:t>
            </w:r>
            <w:r>
              <w:rPr>
                <w:b/>
                <w:spacing w:val="-13"/>
                <w:sz w:val="22"/>
              </w:rPr>
              <w:t> </w:t>
            </w:r>
            <w:r>
              <w:rPr>
                <w:b/>
                <w:sz w:val="22"/>
              </w:rPr>
              <w:t>antibiotics</w:t>
            </w:r>
            <w:r>
              <w:rPr>
                <w:b/>
                <w:spacing w:val="-12"/>
                <w:sz w:val="22"/>
              </w:rPr>
              <w:t> </w:t>
            </w:r>
            <w:r>
              <w:rPr>
                <w:b/>
                <w:sz w:val="22"/>
              </w:rPr>
              <w:t>the bacterial isolates are sensitive to.</w:t>
            </w:r>
          </w:p>
        </w:tc>
        <w:tc>
          <w:tcPr>
            <w:tcW w:w="3113" w:type="dxa"/>
            <w:tcBorders>
              <w:top w:val="single" w:sz="4" w:space="0" w:color="000000"/>
              <w:bottom w:val="single" w:sz="4" w:space="0" w:color="000000"/>
            </w:tcBorders>
          </w:tcPr>
          <w:p>
            <w:pPr>
              <w:pStyle w:val="TableParagraph"/>
              <w:spacing w:line="276" w:lineRule="auto"/>
              <w:ind w:left="341" w:right="99"/>
              <w:rPr>
                <w:b/>
                <w:sz w:val="22"/>
              </w:rPr>
            </w:pPr>
            <w:r>
              <w:rPr>
                <w:b/>
                <w:sz w:val="22"/>
              </w:rPr>
              <w:t>Common</w:t>
            </w:r>
            <w:r>
              <w:rPr>
                <w:b/>
                <w:spacing w:val="-13"/>
                <w:sz w:val="22"/>
              </w:rPr>
              <w:t> </w:t>
            </w:r>
            <w:r>
              <w:rPr>
                <w:b/>
                <w:sz w:val="22"/>
              </w:rPr>
              <w:t>antibiotics</w:t>
            </w:r>
            <w:r>
              <w:rPr>
                <w:b/>
                <w:spacing w:val="-12"/>
                <w:sz w:val="22"/>
              </w:rPr>
              <w:t> </w:t>
            </w:r>
            <w:r>
              <w:rPr>
                <w:b/>
                <w:sz w:val="22"/>
              </w:rPr>
              <w:t>the bacterial isolates are resistant to.</w:t>
            </w:r>
          </w:p>
        </w:tc>
      </w:tr>
      <w:tr>
        <w:trPr>
          <w:trHeight w:val="501" w:hRule="atLeast"/>
        </w:trPr>
        <w:tc>
          <w:tcPr>
            <w:tcW w:w="2756" w:type="dxa"/>
            <w:tcBorders>
              <w:top w:val="single" w:sz="4" w:space="0" w:color="000000"/>
            </w:tcBorders>
          </w:tcPr>
          <w:p>
            <w:pPr>
              <w:pStyle w:val="TableParagraph"/>
              <w:spacing w:line="268" w:lineRule="exact"/>
              <w:ind w:left="115"/>
              <w:rPr>
                <w:i/>
                <w:sz w:val="22"/>
              </w:rPr>
            </w:pPr>
            <w:r>
              <w:rPr>
                <w:i/>
                <w:sz w:val="22"/>
              </w:rPr>
              <w:t>Streptococcus</w:t>
            </w:r>
            <w:r>
              <w:rPr>
                <w:i/>
                <w:spacing w:val="-10"/>
                <w:sz w:val="22"/>
              </w:rPr>
              <w:t> </w:t>
            </w:r>
            <w:r>
              <w:rPr>
                <w:i/>
                <w:spacing w:val="-2"/>
                <w:sz w:val="22"/>
              </w:rPr>
              <w:t>pneumoniae</w:t>
            </w:r>
          </w:p>
        </w:tc>
        <w:tc>
          <w:tcPr>
            <w:tcW w:w="2771" w:type="dxa"/>
            <w:tcBorders>
              <w:top w:val="single" w:sz="4" w:space="0" w:color="000000"/>
            </w:tcBorders>
          </w:tcPr>
          <w:p>
            <w:pPr>
              <w:pStyle w:val="TableParagraph"/>
              <w:spacing w:line="268" w:lineRule="exact"/>
              <w:ind w:left="234"/>
              <w:rPr>
                <w:sz w:val="22"/>
              </w:rPr>
            </w:pPr>
            <w:r>
              <w:rPr>
                <w:sz w:val="22"/>
              </w:rPr>
              <w:t>CXM,</w:t>
            </w:r>
            <w:r>
              <w:rPr>
                <w:spacing w:val="-3"/>
                <w:sz w:val="22"/>
              </w:rPr>
              <w:t> </w:t>
            </w:r>
            <w:r>
              <w:rPr>
                <w:sz w:val="22"/>
              </w:rPr>
              <w:t>CN,</w:t>
            </w:r>
            <w:r>
              <w:rPr>
                <w:spacing w:val="1"/>
                <w:sz w:val="22"/>
              </w:rPr>
              <w:t> </w:t>
            </w:r>
            <w:r>
              <w:rPr>
                <w:spacing w:val="-4"/>
                <w:sz w:val="22"/>
              </w:rPr>
              <w:t>AMX.</w:t>
            </w:r>
          </w:p>
        </w:tc>
        <w:tc>
          <w:tcPr>
            <w:tcW w:w="3113" w:type="dxa"/>
            <w:tcBorders>
              <w:top w:val="single" w:sz="4" w:space="0" w:color="000000"/>
            </w:tcBorders>
          </w:tcPr>
          <w:p>
            <w:pPr>
              <w:pStyle w:val="TableParagraph"/>
              <w:spacing w:line="268" w:lineRule="exact"/>
              <w:ind w:left="341"/>
              <w:rPr>
                <w:sz w:val="22"/>
              </w:rPr>
            </w:pPr>
            <w:r>
              <w:rPr>
                <w:sz w:val="22"/>
              </w:rPr>
              <w:t>COT,</w:t>
            </w:r>
            <w:r>
              <w:rPr>
                <w:spacing w:val="1"/>
                <w:sz w:val="22"/>
              </w:rPr>
              <w:t> </w:t>
            </w:r>
            <w:r>
              <w:rPr>
                <w:spacing w:val="-4"/>
                <w:sz w:val="22"/>
              </w:rPr>
              <w:t>CRO.</w:t>
            </w:r>
          </w:p>
        </w:tc>
      </w:tr>
      <w:tr>
        <w:trPr>
          <w:trHeight w:val="695" w:hRule="atLeast"/>
        </w:trPr>
        <w:tc>
          <w:tcPr>
            <w:tcW w:w="2756" w:type="dxa"/>
          </w:tcPr>
          <w:p>
            <w:pPr>
              <w:pStyle w:val="TableParagraph"/>
              <w:spacing w:before="193"/>
              <w:ind w:left="115"/>
              <w:rPr>
                <w:i/>
                <w:sz w:val="22"/>
              </w:rPr>
            </w:pPr>
            <w:r>
              <w:rPr>
                <w:i/>
                <w:sz w:val="22"/>
              </w:rPr>
              <w:t>Staphylococcus</w:t>
            </w:r>
            <w:r>
              <w:rPr>
                <w:i/>
                <w:spacing w:val="-11"/>
                <w:sz w:val="22"/>
              </w:rPr>
              <w:t> </w:t>
            </w:r>
            <w:r>
              <w:rPr>
                <w:i/>
                <w:spacing w:val="-2"/>
                <w:sz w:val="22"/>
              </w:rPr>
              <w:t>aureus</w:t>
            </w:r>
          </w:p>
        </w:tc>
        <w:tc>
          <w:tcPr>
            <w:tcW w:w="2771" w:type="dxa"/>
          </w:tcPr>
          <w:p>
            <w:pPr>
              <w:pStyle w:val="TableParagraph"/>
              <w:spacing w:before="193"/>
              <w:ind w:left="234"/>
              <w:rPr>
                <w:sz w:val="22"/>
              </w:rPr>
            </w:pPr>
            <w:r>
              <w:rPr>
                <w:sz w:val="22"/>
              </w:rPr>
              <w:t>CN,</w:t>
            </w:r>
            <w:r>
              <w:rPr>
                <w:spacing w:val="-3"/>
                <w:sz w:val="22"/>
              </w:rPr>
              <w:t> </w:t>
            </w:r>
            <w:r>
              <w:rPr>
                <w:sz w:val="22"/>
              </w:rPr>
              <w:t>CIP, </w:t>
            </w:r>
            <w:r>
              <w:rPr>
                <w:spacing w:val="-4"/>
                <w:sz w:val="22"/>
              </w:rPr>
              <w:t>AMX.</w:t>
            </w:r>
          </w:p>
        </w:tc>
        <w:tc>
          <w:tcPr>
            <w:tcW w:w="3113" w:type="dxa"/>
          </w:tcPr>
          <w:p>
            <w:pPr>
              <w:pStyle w:val="TableParagraph"/>
              <w:spacing w:before="193"/>
              <w:ind w:left="341"/>
              <w:rPr>
                <w:sz w:val="22"/>
              </w:rPr>
            </w:pPr>
            <w:r>
              <w:rPr>
                <w:sz w:val="22"/>
              </w:rPr>
              <w:t>AMC, </w:t>
            </w:r>
            <w:r>
              <w:rPr>
                <w:spacing w:val="-4"/>
                <w:sz w:val="22"/>
              </w:rPr>
              <w:t>AMP.</w:t>
            </w:r>
          </w:p>
        </w:tc>
      </w:tr>
      <w:tr>
        <w:trPr>
          <w:trHeight w:val="697" w:hRule="atLeast"/>
        </w:trPr>
        <w:tc>
          <w:tcPr>
            <w:tcW w:w="2756" w:type="dxa"/>
          </w:tcPr>
          <w:p>
            <w:pPr>
              <w:pStyle w:val="TableParagraph"/>
              <w:spacing w:before="193"/>
              <w:ind w:left="115"/>
              <w:rPr>
                <w:i/>
                <w:sz w:val="22"/>
              </w:rPr>
            </w:pPr>
            <w:r>
              <w:rPr>
                <w:i/>
                <w:sz w:val="22"/>
              </w:rPr>
              <w:t>Pseudomonas</w:t>
            </w:r>
            <w:r>
              <w:rPr>
                <w:i/>
                <w:spacing w:val="-12"/>
                <w:sz w:val="22"/>
              </w:rPr>
              <w:t> </w:t>
            </w:r>
            <w:r>
              <w:rPr>
                <w:i/>
                <w:spacing w:val="-2"/>
                <w:sz w:val="22"/>
              </w:rPr>
              <w:t>aeruginosa</w:t>
            </w:r>
          </w:p>
        </w:tc>
        <w:tc>
          <w:tcPr>
            <w:tcW w:w="2771" w:type="dxa"/>
          </w:tcPr>
          <w:p>
            <w:pPr>
              <w:pStyle w:val="TableParagraph"/>
              <w:spacing w:before="193"/>
              <w:ind w:left="234"/>
              <w:rPr>
                <w:sz w:val="22"/>
              </w:rPr>
            </w:pPr>
            <w:r>
              <w:rPr>
                <w:sz w:val="22"/>
              </w:rPr>
              <w:t>CIP,</w:t>
            </w:r>
            <w:r>
              <w:rPr>
                <w:spacing w:val="1"/>
                <w:sz w:val="22"/>
              </w:rPr>
              <w:t> </w:t>
            </w:r>
            <w:r>
              <w:rPr>
                <w:spacing w:val="-5"/>
                <w:sz w:val="22"/>
              </w:rPr>
              <w:t>CN.</w:t>
            </w:r>
          </w:p>
        </w:tc>
        <w:tc>
          <w:tcPr>
            <w:tcW w:w="3113" w:type="dxa"/>
          </w:tcPr>
          <w:p>
            <w:pPr>
              <w:pStyle w:val="TableParagraph"/>
              <w:spacing w:before="193"/>
              <w:ind w:left="341"/>
              <w:rPr>
                <w:sz w:val="22"/>
              </w:rPr>
            </w:pPr>
            <w:r>
              <w:rPr>
                <w:sz w:val="22"/>
              </w:rPr>
              <w:t>E, AMC,</w:t>
            </w:r>
            <w:r>
              <w:rPr>
                <w:spacing w:val="-2"/>
                <w:sz w:val="22"/>
              </w:rPr>
              <w:t> </w:t>
            </w:r>
            <w:r>
              <w:rPr>
                <w:spacing w:val="-5"/>
                <w:sz w:val="22"/>
              </w:rPr>
              <w:t>TE.</w:t>
            </w:r>
          </w:p>
        </w:tc>
      </w:tr>
      <w:tr>
        <w:trPr>
          <w:trHeight w:val="697" w:hRule="atLeast"/>
        </w:trPr>
        <w:tc>
          <w:tcPr>
            <w:tcW w:w="2756" w:type="dxa"/>
          </w:tcPr>
          <w:p>
            <w:pPr>
              <w:pStyle w:val="TableParagraph"/>
              <w:spacing w:before="195"/>
              <w:ind w:left="115"/>
              <w:rPr>
                <w:i/>
                <w:sz w:val="22"/>
              </w:rPr>
            </w:pPr>
            <w:r>
              <w:rPr>
                <w:i/>
                <w:sz w:val="22"/>
              </w:rPr>
              <w:t>Klebsiella</w:t>
            </w:r>
            <w:r>
              <w:rPr>
                <w:i/>
                <w:spacing w:val="-3"/>
                <w:sz w:val="22"/>
              </w:rPr>
              <w:t> </w:t>
            </w:r>
            <w:r>
              <w:rPr>
                <w:i/>
                <w:spacing w:val="-2"/>
                <w:sz w:val="22"/>
              </w:rPr>
              <w:t>pneumoniae</w:t>
            </w:r>
          </w:p>
        </w:tc>
        <w:tc>
          <w:tcPr>
            <w:tcW w:w="2771" w:type="dxa"/>
          </w:tcPr>
          <w:p>
            <w:pPr>
              <w:pStyle w:val="TableParagraph"/>
              <w:spacing w:before="195"/>
              <w:ind w:left="234"/>
              <w:rPr>
                <w:sz w:val="22"/>
              </w:rPr>
            </w:pPr>
            <w:r>
              <w:rPr>
                <w:sz w:val="22"/>
              </w:rPr>
              <w:t>CN,</w:t>
            </w:r>
            <w:r>
              <w:rPr>
                <w:spacing w:val="-1"/>
                <w:sz w:val="22"/>
              </w:rPr>
              <w:t> </w:t>
            </w:r>
            <w:r>
              <w:rPr>
                <w:spacing w:val="-4"/>
                <w:sz w:val="22"/>
              </w:rPr>
              <w:t>CIP.</w:t>
            </w:r>
          </w:p>
        </w:tc>
        <w:tc>
          <w:tcPr>
            <w:tcW w:w="3113" w:type="dxa"/>
          </w:tcPr>
          <w:p>
            <w:pPr>
              <w:pStyle w:val="TableParagraph"/>
              <w:spacing w:before="195"/>
              <w:ind w:left="341"/>
              <w:rPr>
                <w:sz w:val="22"/>
              </w:rPr>
            </w:pPr>
            <w:r>
              <w:rPr>
                <w:sz w:val="22"/>
              </w:rPr>
              <w:t>COT,</w:t>
            </w:r>
            <w:r>
              <w:rPr>
                <w:spacing w:val="1"/>
                <w:sz w:val="22"/>
              </w:rPr>
              <w:t> </w:t>
            </w:r>
            <w:r>
              <w:rPr>
                <w:spacing w:val="-4"/>
                <w:sz w:val="22"/>
              </w:rPr>
              <w:t>CXM.</w:t>
            </w:r>
          </w:p>
        </w:tc>
      </w:tr>
      <w:tr>
        <w:trPr>
          <w:trHeight w:val="895" w:hRule="atLeast"/>
        </w:trPr>
        <w:tc>
          <w:tcPr>
            <w:tcW w:w="2756" w:type="dxa"/>
            <w:tcBorders>
              <w:bottom w:val="single" w:sz="4" w:space="0" w:color="000000"/>
            </w:tcBorders>
          </w:tcPr>
          <w:p>
            <w:pPr>
              <w:pStyle w:val="TableParagraph"/>
              <w:spacing w:before="193"/>
              <w:ind w:left="115"/>
              <w:rPr>
                <w:i/>
                <w:sz w:val="22"/>
              </w:rPr>
            </w:pPr>
            <w:r>
              <w:rPr>
                <w:i/>
                <w:sz w:val="22"/>
              </w:rPr>
              <w:t>Streptococcus</w:t>
            </w:r>
            <w:r>
              <w:rPr>
                <w:i/>
                <w:spacing w:val="-12"/>
                <w:sz w:val="22"/>
              </w:rPr>
              <w:t> </w:t>
            </w:r>
            <w:r>
              <w:rPr>
                <w:i/>
                <w:spacing w:val="-2"/>
                <w:sz w:val="22"/>
              </w:rPr>
              <w:t>pyogene</w:t>
            </w:r>
          </w:p>
        </w:tc>
        <w:tc>
          <w:tcPr>
            <w:tcW w:w="2771" w:type="dxa"/>
            <w:tcBorders>
              <w:bottom w:val="single" w:sz="4" w:space="0" w:color="000000"/>
            </w:tcBorders>
          </w:tcPr>
          <w:p>
            <w:pPr>
              <w:pStyle w:val="TableParagraph"/>
              <w:spacing w:before="193"/>
              <w:ind w:left="234"/>
              <w:rPr>
                <w:sz w:val="22"/>
              </w:rPr>
            </w:pPr>
            <w:r>
              <w:rPr>
                <w:sz w:val="22"/>
              </w:rPr>
              <w:t>TE,</w:t>
            </w:r>
            <w:r>
              <w:rPr>
                <w:spacing w:val="-2"/>
                <w:sz w:val="22"/>
              </w:rPr>
              <w:t> </w:t>
            </w:r>
            <w:r>
              <w:rPr>
                <w:sz w:val="22"/>
              </w:rPr>
              <w:t>CIP,</w:t>
            </w:r>
            <w:r>
              <w:rPr>
                <w:spacing w:val="-2"/>
                <w:sz w:val="22"/>
              </w:rPr>
              <w:t> </w:t>
            </w:r>
            <w:r>
              <w:rPr>
                <w:spacing w:val="-5"/>
                <w:sz w:val="22"/>
              </w:rPr>
              <w:t>CN.</w:t>
            </w:r>
          </w:p>
        </w:tc>
        <w:tc>
          <w:tcPr>
            <w:tcW w:w="3113" w:type="dxa"/>
            <w:tcBorders>
              <w:bottom w:val="single" w:sz="4" w:space="0" w:color="000000"/>
            </w:tcBorders>
          </w:tcPr>
          <w:p>
            <w:pPr>
              <w:pStyle w:val="TableParagraph"/>
              <w:spacing w:before="193"/>
              <w:ind w:left="341"/>
              <w:rPr>
                <w:sz w:val="22"/>
              </w:rPr>
            </w:pPr>
            <w:r>
              <w:rPr>
                <w:sz w:val="22"/>
              </w:rPr>
              <w:t>COT,</w:t>
            </w:r>
            <w:r>
              <w:rPr>
                <w:spacing w:val="1"/>
                <w:sz w:val="22"/>
              </w:rPr>
              <w:t> </w:t>
            </w:r>
            <w:r>
              <w:rPr>
                <w:spacing w:val="-5"/>
                <w:sz w:val="22"/>
              </w:rPr>
              <w:t>E.</w:t>
            </w:r>
          </w:p>
        </w:tc>
      </w:tr>
    </w:tbl>
    <w:p>
      <w:pPr>
        <w:spacing w:after="0"/>
        <w:rPr>
          <w:sz w:val="22"/>
        </w:rPr>
        <w:sectPr>
          <w:pgSz w:w="11910" w:h="16840"/>
          <w:pgMar w:header="0" w:footer="1055" w:top="1920" w:bottom="1240" w:left="1060" w:right="4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3"/>
        <w:rPr>
          <w:b/>
        </w:rPr>
      </w:pPr>
    </w:p>
    <w:p>
      <w:pPr>
        <w:spacing w:line="261" w:lineRule="auto" w:before="0"/>
        <w:ind w:left="380" w:right="1232" w:firstLine="0"/>
        <w:jc w:val="both"/>
        <w:rPr>
          <w:b/>
          <w:sz w:val="22"/>
        </w:rPr>
      </w:pPr>
      <w:r>
        <w:rPr>
          <w:b/>
          <w:sz w:val="22"/>
        </w:rPr>
        <w:t>Table</w:t>
      </w:r>
      <w:r>
        <w:rPr>
          <w:b/>
          <w:spacing w:val="-2"/>
          <w:sz w:val="22"/>
        </w:rPr>
        <w:t> </w:t>
      </w:r>
      <w:r>
        <w:rPr>
          <w:b/>
          <w:sz w:val="22"/>
        </w:rPr>
        <w:t>4.4:</w:t>
      </w:r>
      <w:r>
        <w:rPr>
          <w:b/>
          <w:spacing w:val="-3"/>
          <w:sz w:val="22"/>
        </w:rPr>
        <w:t> </w:t>
      </w:r>
      <w:r>
        <w:rPr>
          <w:b/>
          <w:sz w:val="22"/>
        </w:rPr>
        <w:t>Retrospective</w:t>
      </w:r>
      <w:r>
        <w:rPr>
          <w:b/>
          <w:spacing w:val="-2"/>
          <w:sz w:val="22"/>
        </w:rPr>
        <w:t> </w:t>
      </w:r>
      <w:r>
        <w:rPr>
          <w:b/>
          <w:sz w:val="22"/>
        </w:rPr>
        <w:t>Study of</w:t>
      </w:r>
      <w:r>
        <w:rPr>
          <w:b/>
          <w:spacing w:val="-1"/>
          <w:sz w:val="22"/>
        </w:rPr>
        <w:t> </w:t>
      </w:r>
      <w:r>
        <w:rPr>
          <w:b/>
          <w:sz w:val="22"/>
        </w:rPr>
        <w:t>the</w:t>
      </w:r>
      <w:r>
        <w:rPr>
          <w:b/>
          <w:spacing w:val="-2"/>
          <w:sz w:val="22"/>
        </w:rPr>
        <w:t> </w:t>
      </w:r>
      <w:r>
        <w:rPr>
          <w:b/>
          <w:sz w:val="22"/>
        </w:rPr>
        <w:t>sensitivity and</w:t>
      </w:r>
      <w:r>
        <w:rPr>
          <w:b/>
          <w:spacing w:val="-4"/>
          <w:sz w:val="22"/>
        </w:rPr>
        <w:t> </w:t>
      </w:r>
      <w:r>
        <w:rPr>
          <w:b/>
          <w:sz w:val="22"/>
        </w:rPr>
        <w:t>resistance</w:t>
      </w:r>
      <w:r>
        <w:rPr>
          <w:b/>
          <w:spacing w:val="-2"/>
          <w:sz w:val="22"/>
        </w:rPr>
        <w:t> </w:t>
      </w:r>
      <w:r>
        <w:rPr>
          <w:b/>
          <w:sz w:val="22"/>
        </w:rPr>
        <w:t>profile</w:t>
      </w:r>
      <w:r>
        <w:rPr>
          <w:b/>
          <w:spacing w:val="-2"/>
          <w:sz w:val="22"/>
        </w:rPr>
        <w:t> </w:t>
      </w:r>
      <w:r>
        <w:rPr>
          <w:b/>
          <w:sz w:val="22"/>
        </w:rPr>
        <w:t>of</w:t>
      </w:r>
      <w:r>
        <w:rPr>
          <w:b/>
          <w:spacing w:val="-1"/>
          <w:sz w:val="22"/>
        </w:rPr>
        <w:t> </w:t>
      </w:r>
      <w:r>
        <w:rPr>
          <w:b/>
          <w:sz w:val="22"/>
        </w:rPr>
        <w:t>the bacteria</w:t>
      </w:r>
      <w:r>
        <w:rPr>
          <w:b/>
          <w:spacing w:val="-2"/>
          <w:sz w:val="22"/>
        </w:rPr>
        <w:t> </w:t>
      </w:r>
      <w:r>
        <w:rPr>
          <w:b/>
          <w:sz w:val="22"/>
        </w:rPr>
        <w:t>isolates</w:t>
      </w:r>
      <w:r>
        <w:rPr>
          <w:b/>
          <w:spacing w:val="-1"/>
          <w:sz w:val="22"/>
        </w:rPr>
        <w:t> </w:t>
      </w:r>
      <w:r>
        <w:rPr>
          <w:b/>
          <w:sz w:val="22"/>
        </w:rPr>
        <w:t>to the</w:t>
      </w:r>
      <w:r>
        <w:rPr>
          <w:b/>
          <w:spacing w:val="-2"/>
          <w:sz w:val="22"/>
        </w:rPr>
        <w:t> </w:t>
      </w:r>
      <w:r>
        <w:rPr>
          <w:b/>
          <w:sz w:val="22"/>
        </w:rPr>
        <w:t>commonly</w:t>
      </w:r>
      <w:r>
        <w:rPr>
          <w:b/>
          <w:spacing w:val="-2"/>
          <w:sz w:val="22"/>
        </w:rPr>
        <w:t> </w:t>
      </w:r>
      <w:r>
        <w:rPr>
          <w:b/>
          <w:sz w:val="22"/>
        </w:rPr>
        <w:t>used</w:t>
      </w:r>
      <w:r>
        <w:rPr>
          <w:b/>
          <w:spacing w:val="-4"/>
          <w:sz w:val="22"/>
        </w:rPr>
        <w:t> </w:t>
      </w:r>
      <w:r>
        <w:rPr>
          <w:b/>
          <w:sz w:val="22"/>
        </w:rPr>
        <w:t>antibiotics</w:t>
      </w:r>
      <w:r>
        <w:rPr>
          <w:b/>
          <w:spacing w:val="-4"/>
          <w:sz w:val="22"/>
        </w:rPr>
        <w:t> </w:t>
      </w:r>
      <w:r>
        <w:rPr>
          <w:b/>
          <w:sz w:val="22"/>
        </w:rPr>
        <w:t>at</w:t>
      </w:r>
      <w:r>
        <w:rPr>
          <w:b/>
          <w:spacing w:val="-1"/>
          <w:sz w:val="22"/>
        </w:rPr>
        <w:t> </w:t>
      </w:r>
      <w:r>
        <w:rPr>
          <w:b/>
          <w:sz w:val="22"/>
        </w:rPr>
        <w:t>Microbiology</w:t>
      </w:r>
      <w:r>
        <w:rPr>
          <w:b/>
          <w:spacing w:val="-4"/>
          <w:sz w:val="22"/>
        </w:rPr>
        <w:t> </w:t>
      </w:r>
      <w:r>
        <w:rPr>
          <w:b/>
          <w:sz w:val="22"/>
        </w:rPr>
        <w:t>Department</w:t>
      </w:r>
      <w:r>
        <w:rPr>
          <w:b/>
          <w:spacing w:val="-3"/>
          <w:sz w:val="22"/>
        </w:rPr>
        <w:t> </w:t>
      </w:r>
      <w:r>
        <w:rPr>
          <w:b/>
          <w:sz w:val="22"/>
        </w:rPr>
        <w:t>ABUHS,</w:t>
      </w:r>
      <w:r>
        <w:rPr>
          <w:b/>
          <w:spacing w:val="-1"/>
          <w:sz w:val="22"/>
        </w:rPr>
        <w:t> </w:t>
      </w:r>
      <w:r>
        <w:rPr>
          <w:b/>
          <w:sz w:val="22"/>
        </w:rPr>
        <w:t>Zaria</w:t>
      </w:r>
      <w:r>
        <w:rPr>
          <w:b/>
          <w:spacing w:val="-3"/>
          <w:sz w:val="22"/>
        </w:rPr>
        <w:t> </w:t>
      </w:r>
      <w:r>
        <w:rPr>
          <w:b/>
          <w:sz w:val="22"/>
        </w:rPr>
        <w:t>from</w:t>
      </w:r>
      <w:r>
        <w:rPr>
          <w:b/>
          <w:spacing w:val="-5"/>
          <w:sz w:val="22"/>
        </w:rPr>
        <w:t> </w:t>
      </w:r>
      <w:r>
        <w:rPr>
          <w:b/>
          <w:sz w:val="22"/>
        </w:rPr>
        <w:t>January,</w:t>
      </w:r>
      <w:r>
        <w:rPr>
          <w:b/>
          <w:spacing w:val="-1"/>
          <w:sz w:val="22"/>
        </w:rPr>
        <w:t> </w:t>
      </w:r>
      <w:r>
        <w:rPr>
          <w:b/>
          <w:sz w:val="22"/>
        </w:rPr>
        <w:t>2011</w:t>
      </w:r>
      <w:r>
        <w:rPr>
          <w:b/>
          <w:spacing w:val="-2"/>
          <w:sz w:val="22"/>
        </w:rPr>
        <w:t> </w:t>
      </w:r>
      <w:r>
        <w:rPr>
          <w:b/>
          <w:sz w:val="22"/>
        </w:rPr>
        <w:t>to February, 2012.</w:t>
      </w:r>
    </w:p>
    <w:p>
      <w:pPr>
        <w:pStyle w:val="BodyText"/>
        <w:spacing w:after="1"/>
        <w:rPr>
          <w:b/>
          <w:sz w:val="16"/>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5"/>
        <w:gridCol w:w="2772"/>
        <w:gridCol w:w="3113"/>
      </w:tblGrid>
      <w:tr>
        <w:trPr>
          <w:trHeight w:val="1086" w:hRule="atLeast"/>
        </w:trPr>
        <w:tc>
          <w:tcPr>
            <w:tcW w:w="2755" w:type="dxa"/>
            <w:tcBorders>
              <w:top w:val="single" w:sz="4" w:space="0" w:color="000000"/>
              <w:bottom w:val="single" w:sz="4" w:space="0" w:color="000000"/>
            </w:tcBorders>
          </w:tcPr>
          <w:p>
            <w:pPr>
              <w:pStyle w:val="TableParagraph"/>
              <w:spacing w:line="265" w:lineRule="exact"/>
              <w:ind w:left="115"/>
              <w:rPr>
                <w:b/>
                <w:sz w:val="22"/>
              </w:rPr>
            </w:pPr>
            <w:r>
              <w:rPr>
                <w:b/>
                <w:sz w:val="22"/>
              </w:rPr>
              <w:t>Bacterial</w:t>
            </w:r>
            <w:r>
              <w:rPr>
                <w:b/>
                <w:spacing w:val="-12"/>
                <w:sz w:val="22"/>
              </w:rPr>
              <w:t> </w:t>
            </w:r>
            <w:r>
              <w:rPr>
                <w:b/>
                <w:spacing w:val="-2"/>
                <w:sz w:val="22"/>
              </w:rPr>
              <w:t>isolates</w:t>
            </w:r>
          </w:p>
        </w:tc>
        <w:tc>
          <w:tcPr>
            <w:tcW w:w="2772" w:type="dxa"/>
            <w:tcBorders>
              <w:top w:val="single" w:sz="4" w:space="0" w:color="000000"/>
              <w:bottom w:val="single" w:sz="4" w:space="0" w:color="000000"/>
            </w:tcBorders>
          </w:tcPr>
          <w:p>
            <w:pPr>
              <w:pStyle w:val="TableParagraph"/>
              <w:spacing w:line="276" w:lineRule="auto"/>
              <w:ind w:left="235"/>
              <w:rPr>
                <w:b/>
                <w:sz w:val="22"/>
              </w:rPr>
            </w:pPr>
            <w:r>
              <w:rPr>
                <w:b/>
                <w:sz w:val="22"/>
              </w:rPr>
              <w:t>Common</w:t>
            </w:r>
            <w:r>
              <w:rPr>
                <w:b/>
                <w:spacing w:val="-13"/>
                <w:sz w:val="22"/>
              </w:rPr>
              <w:t> </w:t>
            </w:r>
            <w:r>
              <w:rPr>
                <w:b/>
                <w:sz w:val="22"/>
              </w:rPr>
              <w:t>antibiotics</w:t>
            </w:r>
            <w:r>
              <w:rPr>
                <w:b/>
                <w:spacing w:val="-12"/>
                <w:sz w:val="22"/>
              </w:rPr>
              <w:t> </w:t>
            </w:r>
            <w:r>
              <w:rPr>
                <w:b/>
                <w:sz w:val="22"/>
              </w:rPr>
              <w:t>the bacterial isolates are sensitive to.</w:t>
            </w:r>
          </w:p>
        </w:tc>
        <w:tc>
          <w:tcPr>
            <w:tcW w:w="3113" w:type="dxa"/>
            <w:tcBorders>
              <w:top w:val="single" w:sz="4" w:space="0" w:color="000000"/>
              <w:bottom w:val="single" w:sz="4" w:space="0" w:color="000000"/>
            </w:tcBorders>
          </w:tcPr>
          <w:p>
            <w:pPr>
              <w:pStyle w:val="TableParagraph"/>
              <w:spacing w:line="276" w:lineRule="auto"/>
              <w:ind w:left="341" w:right="99"/>
              <w:rPr>
                <w:b/>
                <w:sz w:val="22"/>
              </w:rPr>
            </w:pPr>
            <w:r>
              <w:rPr>
                <w:b/>
                <w:sz w:val="22"/>
              </w:rPr>
              <w:t>Common</w:t>
            </w:r>
            <w:r>
              <w:rPr>
                <w:b/>
                <w:spacing w:val="-13"/>
                <w:sz w:val="22"/>
              </w:rPr>
              <w:t> </w:t>
            </w:r>
            <w:r>
              <w:rPr>
                <w:b/>
                <w:sz w:val="22"/>
              </w:rPr>
              <w:t>antibiotics</w:t>
            </w:r>
            <w:r>
              <w:rPr>
                <w:b/>
                <w:spacing w:val="-12"/>
                <w:sz w:val="22"/>
              </w:rPr>
              <w:t> </w:t>
            </w:r>
            <w:r>
              <w:rPr>
                <w:b/>
                <w:sz w:val="22"/>
              </w:rPr>
              <w:t>the bacterial isolates are resistant to.</w:t>
            </w:r>
          </w:p>
        </w:tc>
      </w:tr>
      <w:tr>
        <w:trPr>
          <w:trHeight w:val="499" w:hRule="atLeast"/>
        </w:trPr>
        <w:tc>
          <w:tcPr>
            <w:tcW w:w="2755" w:type="dxa"/>
            <w:tcBorders>
              <w:top w:val="single" w:sz="4" w:space="0" w:color="000000"/>
            </w:tcBorders>
          </w:tcPr>
          <w:p>
            <w:pPr>
              <w:pStyle w:val="TableParagraph"/>
              <w:spacing w:line="265" w:lineRule="exact"/>
              <w:ind w:left="115"/>
              <w:rPr>
                <w:i/>
                <w:sz w:val="22"/>
              </w:rPr>
            </w:pPr>
            <w:r>
              <w:rPr>
                <w:i/>
                <w:sz w:val="22"/>
              </w:rPr>
              <w:t>Streptococcus</w:t>
            </w:r>
            <w:r>
              <w:rPr>
                <w:i/>
                <w:spacing w:val="-10"/>
                <w:sz w:val="22"/>
              </w:rPr>
              <w:t> </w:t>
            </w:r>
            <w:r>
              <w:rPr>
                <w:i/>
                <w:spacing w:val="-2"/>
                <w:sz w:val="22"/>
              </w:rPr>
              <w:t>pneumoniae</w:t>
            </w:r>
          </w:p>
        </w:tc>
        <w:tc>
          <w:tcPr>
            <w:tcW w:w="2772" w:type="dxa"/>
            <w:tcBorders>
              <w:top w:val="single" w:sz="4" w:space="0" w:color="000000"/>
            </w:tcBorders>
          </w:tcPr>
          <w:p>
            <w:pPr>
              <w:pStyle w:val="TableParagraph"/>
              <w:spacing w:line="265" w:lineRule="exact"/>
              <w:ind w:left="235"/>
              <w:rPr>
                <w:sz w:val="22"/>
              </w:rPr>
            </w:pPr>
            <w:r>
              <w:rPr>
                <w:sz w:val="22"/>
              </w:rPr>
              <w:t>CIP, CN,</w:t>
            </w:r>
            <w:r>
              <w:rPr>
                <w:spacing w:val="-2"/>
                <w:sz w:val="22"/>
              </w:rPr>
              <w:t> </w:t>
            </w:r>
            <w:r>
              <w:rPr>
                <w:spacing w:val="-4"/>
                <w:sz w:val="22"/>
              </w:rPr>
              <w:t>OFX.</w:t>
            </w:r>
          </w:p>
        </w:tc>
        <w:tc>
          <w:tcPr>
            <w:tcW w:w="3113" w:type="dxa"/>
            <w:tcBorders>
              <w:top w:val="single" w:sz="4" w:space="0" w:color="000000"/>
            </w:tcBorders>
          </w:tcPr>
          <w:p>
            <w:pPr>
              <w:pStyle w:val="TableParagraph"/>
              <w:spacing w:line="265" w:lineRule="exact"/>
              <w:ind w:left="341"/>
              <w:rPr>
                <w:sz w:val="22"/>
              </w:rPr>
            </w:pPr>
            <w:r>
              <w:rPr>
                <w:sz w:val="22"/>
              </w:rPr>
              <w:t>COT,</w:t>
            </w:r>
            <w:r>
              <w:rPr>
                <w:spacing w:val="-3"/>
                <w:sz w:val="22"/>
              </w:rPr>
              <w:t> </w:t>
            </w:r>
            <w:r>
              <w:rPr>
                <w:sz w:val="22"/>
              </w:rPr>
              <w:t>AMC,</w:t>
            </w:r>
            <w:r>
              <w:rPr>
                <w:spacing w:val="-1"/>
                <w:sz w:val="22"/>
              </w:rPr>
              <w:t> </w:t>
            </w:r>
            <w:r>
              <w:rPr>
                <w:spacing w:val="-5"/>
                <w:sz w:val="22"/>
              </w:rPr>
              <w:t>E.</w:t>
            </w:r>
          </w:p>
        </w:tc>
      </w:tr>
      <w:tr>
        <w:trPr>
          <w:trHeight w:val="697" w:hRule="atLeast"/>
        </w:trPr>
        <w:tc>
          <w:tcPr>
            <w:tcW w:w="2755" w:type="dxa"/>
          </w:tcPr>
          <w:p>
            <w:pPr>
              <w:pStyle w:val="TableParagraph"/>
              <w:spacing w:before="193"/>
              <w:ind w:left="115"/>
              <w:rPr>
                <w:i/>
                <w:sz w:val="22"/>
              </w:rPr>
            </w:pPr>
            <w:r>
              <w:rPr>
                <w:i/>
                <w:sz w:val="22"/>
              </w:rPr>
              <w:t>Staphylococcus</w:t>
            </w:r>
            <w:r>
              <w:rPr>
                <w:i/>
                <w:spacing w:val="-11"/>
                <w:sz w:val="22"/>
              </w:rPr>
              <w:t> </w:t>
            </w:r>
            <w:r>
              <w:rPr>
                <w:i/>
                <w:spacing w:val="-2"/>
                <w:sz w:val="22"/>
              </w:rPr>
              <w:t>aureus</w:t>
            </w:r>
          </w:p>
        </w:tc>
        <w:tc>
          <w:tcPr>
            <w:tcW w:w="2772" w:type="dxa"/>
          </w:tcPr>
          <w:p>
            <w:pPr>
              <w:pStyle w:val="TableParagraph"/>
              <w:spacing w:before="193"/>
              <w:ind w:left="235"/>
              <w:rPr>
                <w:sz w:val="22"/>
              </w:rPr>
            </w:pPr>
            <w:r>
              <w:rPr>
                <w:sz w:val="22"/>
              </w:rPr>
              <w:t>OFX,</w:t>
            </w:r>
            <w:r>
              <w:rPr>
                <w:spacing w:val="-2"/>
                <w:sz w:val="22"/>
              </w:rPr>
              <w:t> </w:t>
            </w:r>
            <w:r>
              <w:rPr>
                <w:sz w:val="22"/>
              </w:rPr>
              <w:t>CIP,</w:t>
            </w:r>
            <w:r>
              <w:rPr>
                <w:spacing w:val="-1"/>
                <w:sz w:val="22"/>
              </w:rPr>
              <w:t> </w:t>
            </w:r>
            <w:r>
              <w:rPr>
                <w:spacing w:val="-5"/>
                <w:sz w:val="22"/>
              </w:rPr>
              <w:t>CN.</w:t>
            </w:r>
          </w:p>
        </w:tc>
        <w:tc>
          <w:tcPr>
            <w:tcW w:w="3113" w:type="dxa"/>
          </w:tcPr>
          <w:p>
            <w:pPr>
              <w:pStyle w:val="TableParagraph"/>
              <w:spacing w:before="193"/>
              <w:ind w:left="341"/>
              <w:rPr>
                <w:sz w:val="22"/>
              </w:rPr>
            </w:pPr>
            <w:r>
              <w:rPr>
                <w:sz w:val="22"/>
              </w:rPr>
              <w:t>COT,</w:t>
            </w:r>
            <w:r>
              <w:rPr>
                <w:spacing w:val="-1"/>
                <w:sz w:val="22"/>
              </w:rPr>
              <w:t> </w:t>
            </w:r>
            <w:r>
              <w:rPr>
                <w:sz w:val="22"/>
              </w:rPr>
              <w:t>E,</w:t>
            </w:r>
            <w:r>
              <w:rPr>
                <w:spacing w:val="-1"/>
                <w:sz w:val="22"/>
              </w:rPr>
              <w:t> </w:t>
            </w:r>
            <w:r>
              <w:rPr>
                <w:spacing w:val="-4"/>
                <w:sz w:val="22"/>
              </w:rPr>
              <w:t>AMC.</w:t>
            </w:r>
          </w:p>
        </w:tc>
      </w:tr>
      <w:tr>
        <w:trPr>
          <w:trHeight w:val="697" w:hRule="atLeast"/>
        </w:trPr>
        <w:tc>
          <w:tcPr>
            <w:tcW w:w="2755" w:type="dxa"/>
          </w:tcPr>
          <w:p>
            <w:pPr>
              <w:pStyle w:val="TableParagraph"/>
              <w:spacing w:before="195"/>
              <w:ind w:left="115"/>
              <w:rPr>
                <w:i/>
                <w:sz w:val="22"/>
              </w:rPr>
            </w:pPr>
            <w:r>
              <w:rPr>
                <w:i/>
                <w:sz w:val="22"/>
              </w:rPr>
              <w:t>Pseudomonas</w:t>
            </w:r>
            <w:r>
              <w:rPr>
                <w:i/>
                <w:spacing w:val="-12"/>
                <w:sz w:val="22"/>
              </w:rPr>
              <w:t> </w:t>
            </w:r>
            <w:r>
              <w:rPr>
                <w:i/>
                <w:spacing w:val="-2"/>
                <w:sz w:val="22"/>
              </w:rPr>
              <w:t>aeruginosa</w:t>
            </w:r>
          </w:p>
        </w:tc>
        <w:tc>
          <w:tcPr>
            <w:tcW w:w="2772" w:type="dxa"/>
          </w:tcPr>
          <w:p>
            <w:pPr>
              <w:pStyle w:val="TableParagraph"/>
              <w:spacing w:before="195"/>
              <w:ind w:left="235"/>
              <w:rPr>
                <w:sz w:val="22"/>
              </w:rPr>
            </w:pPr>
            <w:r>
              <w:rPr>
                <w:sz w:val="22"/>
              </w:rPr>
              <w:t>CIP, CN,</w:t>
            </w:r>
            <w:r>
              <w:rPr>
                <w:spacing w:val="-2"/>
                <w:sz w:val="22"/>
              </w:rPr>
              <w:t> </w:t>
            </w:r>
            <w:r>
              <w:rPr>
                <w:spacing w:val="-4"/>
                <w:sz w:val="22"/>
              </w:rPr>
              <w:t>OFX.</w:t>
            </w:r>
          </w:p>
        </w:tc>
        <w:tc>
          <w:tcPr>
            <w:tcW w:w="3113" w:type="dxa"/>
          </w:tcPr>
          <w:p>
            <w:pPr>
              <w:pStyle w:val="TableParagraph"/>
              <w:spacing w:before="195"/>
              <w:ind w:left="341"/>
              <w:rPr>
                <w:sz w:val="22"/>
              </w:rPr>
            </w:pPr>
            <w:r>
              <w:rPr>
                <w:sz w:val="22"/>
              </w:rPr>
              <w:t>AMC, </w:t>
            </w:r>
            <w:r>
              <w:rPr>
                <w:spacing w:val="-4"/>
                <w:sz w:val="22"/>
              </w:rPr>
              <w:t>COT.</w:t>
            </w:r>
          </w:p>
        </w:tc>
      </w:tr>
      <w:tr>
        <w:trPr>
          <w:trHeight w:val="697" w:hRule="atLeast"/>
        </w:trPr>
        <w:tc>
          <w:tcPr>
            <w:tcW w:w="2755" w:type="dxa"/>
          </w:tcPr>
          <w:p>
            <w:pPr>
              <w:pStyle w:val="TableParagraph"/>
              <w:spacing w:before="194"/>
              <w:ind w:left="115"/>
              <w:rPr>
                <w:i/>
                <w:sz w:val="22"/>
              </w:rPr>
            </w:pPr>
            <w:r>
              <w:rPr>
                <w:i/>
                <w:sz w:val="22"/>
              </w:rPr>
              <w:t>Klebsiella</w:t>
            </w:r>
            <w:r>
              <w:rPr>
                <w:i/>
                <w:spacing w:val="-3"/>
                <w:sz w:val="22"/>
              </w:rPr>
              <w:t> </w:t>
            </w:r>
            <w:r>
              <w:rPr>
                <w:i/>
                <w:spacing w:val="-2"/>
                <w:sz w:val="22"/>
              </w:rPr>
              <w:t>pneumoniae</w:t>
            </w:r>
          </w:p>
        </w:tc>
        <w:tc>
          <w:tcPr>
            <w:tcW w:w="2772" w:type="dxa"/>
          </w:tcPr>
          <w:p>
            <w:pPr>
              <w:pStyle w:val="TableParagraph"/>
              <w:spacing w:before="194"/>
              <w:ind w:left="235"/>
              <w:rPr>
                <w:sz w:val="22"/>
              </w:rPr>
            </w:pPr>
            <w:r>
              <w:rPr>
                <w:sz w:val="22"/>
              </w:rPr>
              <w:t>CIP, CN,</w:t>
            </w:r>
            <w:r>
              <w:rPr>
                <w:spacing w:val="-2"/>
                <w:sz w:val="22"/>
              </w:rPr>
              <w:t> </w:t>
            </w:r>
            <w:r>
              <w:rPr>
                <w:spacing w:val="-4"/>
                <w:sz w:val="22"/>
              </w:rPr>
              <w:t>OFX.</w:t>
            </w:r>
          </w:p>
        </w:tc>
        <w:tc>
          <w:tcPr>
            <w:tcW w:w="3113" w:type="dxa"/>
          </w:tcPr>
          <w:p>
            <w:pPr>
              <w:pStyle w:val="TableParagraph"/>
              <w:spacing w:before="194"/>
              <w:ind w:left="341"/>
              <w:rPr>
                <w:sz w:val="22"/>
              </w:rPr>
            </w:pPr>
            <w:r>
              <w:rPr>
                <w:sz w:val="22"/>
              </w:rPr>
              <w:t>AMC, </w:t>
            </w:r>
            <w:r>
              <w:rPr>
                <w:spacing w:val="-4"/>
                <w:sz w:val="22"/>
              </w:rPr>
              <w:t>COT.</w:t>
            </w:r>
          </w:p>
        </w:tc>
      </w:tr>
      <w:tr>
        <w:trPr>
          <w:trHeight w:val="893" w:hRule="atLeast"/>
        </w:trPr>
        <w:tc>
          <w:tcPr>
            <w:tcW w:w="2755" w:type="dxa"/>
            <w:tcBorders>
              <w:bottom w:val="single" w:sz="4" w:space="0" w:color="000000"/>
            </w:tcBorders>
          </w:tcPr>
          <w:p>
            <w:pPr>
              <w:pStyle w:val="TableParagraph"/>
              <w:spacing w:before="195"/>
              <w:ind w:left="115"/>
              <w:rPr>
                <w:i/>
                <w:sz w:val="22"/>
              </w:rPr>
            </w:pPr>
            <w:r>
              <w:rPr>
                <w:i/>
                <w:sz w:val="22"/>
              </w:rPr>
              <w:t>Streptococcus</w:t>
            </w:r>
            <w:r>
              <w:rPr>
                <w:i/>
                <w:spacing w:val="-12"/>
                <w:sz w:val="22"/>
              </w:rPr>
              <w:t> </w:t>
            </w:r>
            <w:r>
              <w:rPr>
                <w:i/>
                <w:spacing w:val="-2"/>
                <w:sz w:val="22"/>
              </w:rPr>
              <w:t>pyogene</w:t>
            </w:r>
          </w:p>
        </w:tc>
        <w:tc>
          <w:tcPr>
            <w:tcW w:w="2772" w:type="dxa"/>
            <w:tcBorders>
              <w:bottom w:val="single" w:sz="4" w:space="0" w:color="000000"/>
            </w:tcBorders>
          </w:tcPr>
          <w:p>
            <w:pPr>
              <w:pStyle w:val="TableParagraph"/>
              <w:spacing w:before="195"/>
              <w:ind w:left="235"/>
              <w:rPr>
                <w:sz w:val="22"/>
              </w:rPr>
            </w:pPr>
            <w:r>
              <w:rPr>
                <w:sz w:val="22"/>
              </w:rPr>
              <w:t>CIP,</w:t>
            </w:r>
            <w:r>
              <w:rPr>
                <w:spacing w:val="1"/>
                <w:sz w:val="22"/>
              </w:rPr>
              <w:t> </w:t>
            </w:r>
            <w:r>
              <w:rPr>
                <w:spacing w:val="-5"/>
                <w:sz w:val="22"/>
              </w:rPr>
              <w:t>CN.</w:t>
            </w:r>
          </w:p>
        </w:tc>
        <w:tc>
          <w:tcPr>
            <w:tcW w:w="3113" w:type="dxa"/>
            <w:tcBorders>
              <w:bottom w:val="single" w:sz="4" w:space="0" w:color="000000"/>
            </w:tcBorders>
          </w:tcPr>
          <w:p>
            <w:pPr>
              <w:pStyle w:val="TableParagraph"/>
              <w:spacing w:before="195"/>
              <w:ind w:left="341"/>
              <w:rPr>
                <w:sz w:val="22"/>
              </w:rPr>
            </w:pPr>
            <w:r>
              <w:rPr>
                <w:sz w:val="22"/>
              </w:rPr>
              <w:t>AMC, </w:t>
            </w:r>
            <w:r>
              <w:rPr>
                <w:spacing w:val="-4"/>
                <w:sz w:val="22"/>
              </w:rPr>
              <w:t>COT.</w:t>
            </w:r>
          </w:p>
        </w:tc>
      </w:tr>
    </w:tbl>
    <w:p>
      <w:pPr>
        <w:spacing w:after="0"/>
        <w:rPr>
          <w:sz w:val="22"/>
        </w:rPr>
        <w:sectPr>
          <w:pgSz w:w="11910" w:h="16840"/>
          <w:pgMar w:header="0" w:footer="1055" w:top="1920" w:bottom="1240" w:left="1060" w:right="4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8"/>
        <w:rPr>
          <w:b/>
        </w:rPr>
      </w:pPr>
    </w:p>
    <w:p>
      <w:pPr>
        <w:pStyle w:val="ListParagraph"/>
        <w:numPr>
          <w:ilvl w:val="1"/>
          <w:numId w:val="4"/>
        </w:numPr>
        <w:tabs>
          <w:tab w:pos="3980" w:val="left" w:leader="none"/>
        </w:tabs>
        <w:spacing w:line="240" w:lineRule="auto" w:before="0" w:after="0"/>
        <w:ind w:left="3980" w:right="0" w:hanging="3600"/>
        <w:jc w:val="left"/>
        <w:rPr>
          <w:b/>
          <w:sz w:val="22"/>
        </w:rPr>
      </w:pPr>
      <w:r>
        <w:rPr>
          <w:b/>
          <w:sz w:val="22"/>
        </w:rPr>
        <w:t>Prospective</w:t>
      </w:r>
      <w:r>
        <w:rPr>
          <w:b/>
          <w:spacing w:val="-11"/>
          <w:sz w:val="22"/>
        </w:rPr>
        <w:t> </w:t>
      </w:r>
      <w:r>
        <w:rPr>
          <w:b/>
          <w:spacing w:val="-2"/>
          <w:sz w:val="22"/>
        </w:rPr>
        <w:t>Studies</w:t>
      </w:r>
    </w:p>
    <w:p>
      <w:pPr>
        <w:pStyle w:val="BodyText"/>
        <w:spacing w:before="159"/>
        <w:rPr>
          <w:b/>
        </w:rPr>
      </w:pPr>
    </w:p>
    <w:p>
      <w:pPr>
        <w:pStyle w:val="ListParagraph"/>
        <w:numPr>
          <w:ilvl w:val="2"/>
          <w:numId w:val="4"/>
        </w:numPr>
        <w:tabs>
          <w:tab w:pos="1100" w:val="left" w:leader="none"/>
        </w:tabs>
        <w:spacing w:line="240" w:lineRule="auto" w:before="0" w:after="0"/>
        <w:ind w:left="1100" w:right="0" w:hanging="720"/>
        <w:jc w:val="left"/>
        <w:rPr>
          <w:b/>
          <w:sz w:val="22"/>
        </w:rPr>
      </w:pPr>
      <w:r>
        <w:rPr>
          <w:b/>
          <w:sz w:val="22"/>
        </w:rPr>
        <w:t>Sample</w:t>
      </w:r>
      <w:r>
        <w:rPr>
          <w:b/>
          <w:spacing w:val="-7"/>
          <w:sz w:val="22"/>
        </w:rPr>
        <w:t> </w:t>
      </w:r>
      <w:r>
        <w:rPr>
          <w:b/>
          <w:spacing w:val="-2"/>
          <w:sz w:val="22"/>
        </w:rPr>
        <w:t>Collection</w:t>
      </w:r>
    </w:p>
    <w:p>
      <w:pPr>
        <w:pStyle w:val="BodyText"/>
        <w:spacing w:before="159"/>
        <w:rPr>
          <w:b/>
        </w:rPr>
      </w:pPr>
    </w:p>
    <w:p>
      <w:pPr>
        <w:pStyle w:val="BodyText"/>
        <w:spacing w:line="480" w:lineRule="auto"/>
        <w:ind w:left="1100" w:right="982" w:firstLine="720"/>
        <w:jc w:val="both"/>
      </w:pPr>
      <w:r>
        <w:rPr/>
        <w:t>Data on samples collected including the age, sex of patients presented with respiratory tract infections, sample source and sample number can be seen in Appendix V.</w:t>
      </w:r>
    </w:p>
    <w:p>
      <w:pPr>
        <w:spacing w:line="480" w:lineRule="auto" w:before="162"/>
        <w:ind w:left="1100" w:right="973" w:firstLine="720"/>
        <w:jc w:val="both"/>
        <w:rPr>
          <w:sz w:val="22"/>
        </w:rPr>
      </w:pPr>
      <w:r>
        <w:rPr>
          <w:sz w:val="22"/>
        </w:rPr>
        <w:t>A total of 126 clinical isolates were collected. Twenty six (26) from throat swab,</w:t>
      </w:r>
      <w:r>
        <w:rPr>
          <w:spacing w:val="40"/>
          <w:sz w:val="22"/>
        </w:rPr>
        <w:t> </w:t>
      </w:r>
      <w:r>
        <w:rPr>
          <w:sz w:val="22"/>
        </w:rPr>
        <w:t>three (3) from nasal secretion, fourteen (14) from Ear swab and eighty three (83) from Sputum samples. The isolates identified and confirmed include 15 </w:t>
      </w:r>
      <w:r>
        <w:rPr>
          <w:i/>
          <w:sz w:val="22"/>
        </w:rPr>
        <w:t>Klebsiella pneumoniae </w:t>
      </w:r>
      <w:r>
        <w:rPr>
          <w:sz w:val="22"/>
        </w:rPr>
        <w:t>(26.8</w:t>
      </w:r>
      <w:r>
        <w:rPr>
          <w:spacing w:val="68"/>
          <w:sz w:val="22"/>
        </w:rPr>
        <w:t> </w:t>
      </w:r>
      <w:r>
        <w:rPr>
          <w:sz w:val="22"/>
        </w:rPr>
        <w:t>%)</w:t>
      </w:r>
      <w:r>
        <w:rPr>
          <w:i/>
          <w:sz w:val="22"/>
        </w:rPr>
        <w:t>,</w:t>
      </w:r>
      <w:r>
        <w:rPr>
          <w:i/>
          <w:spacing w:val="68"/>
          <w:sz w:val="22"/>
        </w:rPr>
        <w:t> </w:t>
      </w:r>
      <w:r>
        <w:rPr>
          <w:sz w:val="22"/>
        </w:rPr>
        <w:t>14</w:t>
      </w:r>
      <w:r>
        <w:rPr>
          <w:spacing w:val="69"/>
          <w:sz w:val="22"/>
        </w:rPr>
        <w:t> </w:t>
      </w:r>
      <w:r>
        <w:rPr>
          <w:i/>
          <w:sz w:val="22"/>
        </w:rPr>
        <w:t>Staphylococcus</w:t>
      </w:r>
      <w:r>
        <w:rPr>
          <w:i/>
          <w:spacing w:val="69"/>
          <w:sz w:val="22"/>
        </w:rPr>
        <w:t> </w:t>
      </w:r>
      <w:r>
        <w:rPr>
          <w:i/>
          <w:sz w:val="22"/>
        </w:rPr>
        <w:t>aureus</w:t>
      </w:r>
      <w:r>
        <w:rPr>
          <w:i/>
          <w:spacing w:val="70"/>
          <w:sz w:val="22"/>
        </w:rPr>
        <w:t> </w:t>
      </w:r>
      <w:r>
        <w:rPr>
          <w:sz w:val="22"/>
        </w:rPr>
        <w:t>(25.0</w:t>
      </w:r>
      <w:r>
        <w:rPr>
          <w:spacing w:val="68"/>
          <w:sz w:val="22"/>
        </w:rPr>
        <w:t> </w:t>
      </w:r>
      <w:r>
        <w:rPr>
          <w:sz w:val="22"/>
        </w:rPr>
        <w:t>%)</w:t>
      </w:r>
      <w:r>
        <w:rPr>
          <w:i/>
          <w:sz w:val="22"/>
        </w:rPr>
        <w:t>,</w:t>
      </w:r>
      <w:r>
        <w:rPr>
          <w:i/>
          <w:spacing w:val="68"/>
          <w:sz w:val="22"/>
        </w:rPr>
        <w:t> </w:t>
      </w:r>
      <w:r>
        <w:rPr>
          <w:sz w:val="22"/>
        </w:rPr>
        <w:t>2</w:t>
      </w:r>
      <w:r>
        <w:rPr>
          <w:spacing w:val="68"/>
          <w:sz w:val="22"/>
        </w:rPr>
        <w:t> </w:t>
      </w:r>
      <w:r>
        <w:rPr>
          <w:i/>
          <w:sz w:val="22"/>
        </w:rPr>
        <w:t>Haemophilus</w:t>
      </w:r>
      <w:r>
        <w:rPr>
          <w:i/>
          <w:spacing w:val="69"/>
          <w:sz w:val="22"/>
        </w:rPr>
        <w:t> </w:t>
      </w:r>
      <w:r>
        <w:rPr>
          <w:i/>
          <w:sz w:val="22"/>
        </w:rPr>
        <w:t>influenzae</w:t>
      </w:r>
      <w:r>
        <w:rPr>
          <w:i/>
          <w:spacing w:val="72"/>
          <w:sz w:val="22"/>
        </w:rPr>
        <w:t> </w:t>
      </w:r>
      <w:r>
        <w:rPr>
          <w:sz w:val="22"/>
        </w:rPr>
        <w:t>(3.57</w:t>
      </w:r>
      <w:r>
        <w:rPr>
          <w:spacing w:val="69"/>
          <w:sz w:val="22"/>
        </w:rPr>
        <w:t> </w:t>
      </w:r>
      <w:r>
        <w:rPr>
          <w:sz w:val="22"/>
        </w:rPr>
        <w:t>%)</w:t>
      </w:r>
      <w:r>
        <w:rPr>
          <w:i/>
          <w:sz w:val="22"/>
        </w:rPr>
        <w:t>,</w:t>
      </w:r>
      <w:r>
        <w:rPr>
          <w:i/>
          <w:spacing w:val="70"/>
          <w:sz w:val="22"/>
        </w:rPr>
        <w:t> </w:t>
      </w:r>
      <w:r>
        <w:rPr>
          <w:spacing w:val="-5"/>
          <w:sz w:val="22"/>
        </w:rPr>
        <w:t>12</w:t>
      </w:r>
    </w:p>
    <w:p>
      <w:pPr>
        <w:spacing w:line="268" w:lineRule="exact" w:before="0"/>
        <w:ind w:left="1100" w:right="0" w:firstLine="0"/>
        <w:jc w:val="left"/>
        <w:rPr>
          <w:i/>
          <w:sz w:val="22"/>
        </w:rPr>
      </w:pPr>
      <w:r>
        <w:rPr>
          <w:i/>
          <w:sz w:val="22"/>
        </w:rPr>
        <w:t>Pseudomonas</w:t>
      </w:r>
      <w:r>
        <w:rPr>
          <w:i/>
          <w:spacing w:val="19"/>
          <w:sz w:val="22"/>
        </w:rPr>
        <w:t> </w:t>
      </w:r>
      <w:r>
        <w:rPr>
          <w:i/>
          <w:sz w:val="22"/>
        </w:rPr>
        <w:t>aeruginosa</w:t>
      </w:r>
      <w:r>
        <w:rPr>
          <w:i/>
          <w:spacing w:val="19"/>
          <w:sz w:val="22"/>
        </w:rPr>
        <w:t> </w:t>
      </w:r>
      <w:r>
        <w:rPr>
          <w:sz w:val="22"/>
        </w:rPr>
        <w:t>(21.4</w:t>
      </w:r>
      <w:r>
        <w:rPr>
          <w:spacing w:val="23"/>
          <w:sz w:val="22"/>
        </w:rPr>
        <w:t> </w:t>
      </w:r>
      <w:r>
        <w:rPr>
          <w:sz w:val="22"/>
        </w:rPr>
        <w:t>%),</w:t>
      </w:r>
      <w:r>
        <w:rPr>
          <w:spacing w:val="21"/>
          <w:sz w:val="22"/>
        </w:rPr>
        <w:t> </w:t>
      </w:r>
      <w:r>
        <w:rPr>
          <w:sz w:val="22"/>
        </w:rPr>
        <w:t>7</w:t>
      </w:r>
      <w:r>
        <w:rPr>
          <w:spacing w:val="23"/>
          <w:sz w:val="22"/>
        </w:rPr>
        <w:t> </w:t>
      </w:r>
      <w:r>
        <w:rPr>
          <w:i/>
          <w:sz w:val="22"/>
        </w:rPr>
        <w:t>Streptococcus</w:t>
      </w:r>
      <w:r>
        <w:rPr>
          <w:i/>
          <w:spacing w:val="21"/>
          <w:sz w:val="22"/>
        </w:rPr>
        <w:t> </w:t>
      </w:r>
      <w:r>
        <w:rPr>
          <w:i/>
          <w:sz w:val="22"/>
        </w:rPr>
        <w:t>pneumoniae</w:t>
      </w:r>
      <w:r>
        <w:rPr>
          <w:i/>
          <w:spacing w:val="26"/>
          <w:sz w:val="22"/>
        </w:rPr>
        <w:t> </w:t>
      </w:r>
      <w:r>
        <w:rPr>
          <w:sz w:val="22"/>
        </w:rPr>
        <w:t>(12.5</w:t>
      </w:r>
      <w:r>
        <w:rPr>
          <w:spacing w:val="21"/>
          <w:sz w:val="22"/>
        </w:rPr>
        <w:t> </w:t>
      </w:r>
      <w:r>
        <w:rPr>
          <w:sz w:val="22"/>
        </w:rPr>
        <w:t>%)</w:t>
      </w:r>
      <w:r>
        <w:rPr>
          <w:i/>
          <w:sz w:val="22"/>
        </w:rPr>
        <w:t>,</w:t>
      </w:r>
      <w:r>
        <w:rPr>
          <w:i/>
          <w:spacing w:val="21"/>
          <w:sz w:val="22"/>
        </w:rPr>
        <w:t> </w:t>
      </w:r>
      <w:r>
        <w:rPr>
          <w:sz w:val="22"/>
        </w:rPr>
        <w:t>6</w:t>
      </w:r>
      <w:r>
        <w:rPr>
          <w:spacing w:val="23"/>
          <w:sz w:val="22"/>
        </w:rPr>
        <w:t> </w:t>
      </w:r>
      <w:r>
        <w:rPr>
          <w:i/>
          <w:spacing w:val="-2"/>
          <w:sz w:val="22"/>
        </w:rPr>
        <w:t>Streptococcus</w:t>
      </w:r>
    </w:p>
    <w:p>
      <w:pPr>
        <w:pStyle w:val="BodyText"/>
        <w:spacing w:before="1"/>
        <w:rPr>
          <w:i/>
        </w:rPr>
      </w:pPr>
    </w:p>
    <w:p>
      <w:pPr>
        <w:spacing w:before="0"/>
        <w:ind w:left="1100" w:right="0" w:firstLine="0"/>
        <w:jc w:val="left"/>
        <w:rPr>
          <w:sz w:val="22"/>
        </w:rPr>
      </w:pPr>
      <w:r>
        <w:rPr>
          <w:i/>
          <w:sz w:val="22"/>
        </w:rPr>
        <w:t>pyogenes</w:t>
      </w:r>
      <w:r>
        <w:rPr>
          <w:i/>
          <w:spacing w:val="-5"/>
          <w:sz w:val="22"/>
        </w:rPr>
        <w:t> </w:t>
      </w:r>
      <w:r>
        <w:rPr>
          <w:sz w:val="22"/>
        </w:rPr>
        <w:t>(10.7</w:t>
      </w:r>
      <w:r>
        <w:rPr>
          <w:spacing w:val="-5"/>
          <w:sz w:val="22"/>
        </w:rPr>
        <w:t> %).</w:t>
      </w:r>
    </w:p>
    <w:p>
      <w:pPr>
        <w:spacing w:after="0"/>
        <w:jc w:val="left"/>
        <w:rPr>
          <w:sz w:val="22"/>
        </w:rPr>
        <w:sectPr>
          <w:pgSz w:w="11910" w:h="16840"/>
          <w:pgMar w:header="0" w:footer="1055" w:top="1920" w:bottom="1240" w:left="1060" w:right="460"/>
        </w:sectPr>
      </w:pPr>
    </w:p>
    <w:p>
      <w:pPr>
        <w:pStyle w:val="Heading3"/>
        <w:numPr>
          <w:ilvl w:val="2"/>
          <w:numId w:val="4"/>
        </w:numPr>
        <w:tabs>
          <w:tab w:pos="1033" w:val="left" w:leader="none"/>
        </w:tabs>
        <w:spacing w:line="240" w:lineRule="auto" w:before="195" w:after="0"/>
        <w:ind w:left="1033" w:right="0" w:hanging="653"/>
        <w:jc w:val="left"/>
      </w:pPr>
      <w:r>
        <w:rPr/>
        <w:t>Susceptibility</w:t>
      </w:r>
      <w:r>
        <w:rPr>
          <w:spacing w:val="-5"/>
        </w:rPr>
        <w:t> </w:t>
      </w:r>
      <w:r>
        <w:rPr/>
        <w:t>Pattern</w:t>
      </w:r>
      <w:r>
        <w:rPr>
          <w:spacing w:val="-5"/>
        </w:rPr>
        <w:t> </w:t>
      </w:r>
      <w:r>
        <w:rPr/>
        <w:t>of</w:t>
      </w:r>
      <w:r>
        <w:rPr>
          <w:spacing w:val="-5"/>
        </w:rPr>
        <w:t> </w:t>
      </w:r>
      <w:r>
        <w:rPr/>
        <w:t>the</w:t>
      </w:r>
      <w:r>
        <w:rPr>
          <w:spacing w:val="-6"/>
        </w:rPr>
        <w:t> </w:t>
      </w:r>
      <w:r>
        <w:rPr/>
        <w:t>Bacterial</w:t>
      </w:r>
      <w:r>
        <w:rPr>
          <w:spacing w:val="-7"/>
        </w:rPr>
        <w:t> </w:t>
      </w:r>
      <w:r>
        <w:rPr/>
        <w:t>Isolates</w:t>
      </w:r>
      <w:r>
        <w:rPr>
          <w:spacing w:val="-6"/>
        </w:rPr>
        <w:t> </w:t>
      </w:r>
      <w:r>
        <w:rPr/>
        <w:t>to</w:t>
      </w:r>
      <w:r>
        <w:rPr>
          <w:spacing w:val="-6"/>
        </w:rPr>
        <w:t> </w:t>
      </w:r>
      <w:r>
        <w:rPr/>
        <w:t>Test</w:t>
      </w:r>
      <w:r>
        <w:rPr>
          <w:spacing w:val="-7"/>
        </w:rPr>
        <w:t> </w:t>
      </w:r>
      <w:r>
        <w:rPr/>
        <w:t>Standard</w:t>
      </w:r>
      <w:r>
        <w:rPr>
          <w:spacing w:val="-7"/>
        </w:rPr>
        <w:t> </w:t>
      </w:r>
      <w:r>
        <w:rPr/>
        <w:t>Antibiotic</w:t>
      </w:r>
      <w:r>
        <w:rPr>
          <w:spacing w:val="-6"/>
        </w:rPr>
        <w:t> </w:t>
      </w:r>
      <w:r>
        <w:rPr>
          <w:spacing w:val="-2"/>
        </w:rPr>
        <w:t>Formulations</w:t>
      </w:r>
    </w:p>
    <w:p>
      <w:pPr>
        <w:pStyle w:val="BodyText"/>
        <w:spacing w:before="161"/>
        <w:rPr>
          <w:b/>
        </w:rPr>
      </w:pPr>
    </w:p>
    <w:p>
      <w:pPr>
        <w:spacing w:line="480" w:lineRule="auto" w:before="0"/>
        <w:ind w:left="1100" w:right="972" w:firstLine="720"/>
        <w:jc w:val="both"/>
        <w:rPr>
          <w:sz w:val="22"/>
        </w:rPr>
      </w:pPr>
      <w:r>
        <w:rPr>
          <w:sz w:val="22"/>
        </w:rPr>
        <w:t>Figure 4.1 shows the percentage susceptibility pattern of the test organisms; </w:t>
      </w:r>
      <w:r>
        <w:rPr>
          <w:i/>
          <w:sz w:val="22"/>
        </w:rPr>
        <w:t>Haemophilus influenzae </w:t>
      </w:r>
      <w:r>
        <w:rPr>
          <w:sz w:val="22"/>
        </w:rPr>
        <w:t>were found to be 100 % sensitive to all the antibiotics; </w:t>
      </w:r>
      <w:r>
        <w:rPr>
          <w:i/>
          <w:sz w:val="22"/>
        </w:rPr>
        <w:t>Klebsiella pneumoniae </w:t>
      </w:r>
      <w:r>
        <w:rPr>
          <w:sz w:val="22"/>
        </w:rPr>
        <w:t>were 100 % sensitive to CRO; </w:t>
      </w:r>
      <w:r>
        <w:rPr>
          <w:i/>
          <w:sz w:val="22"/>
        </w:rPr>
        <w:t>Pseudomonas aeruginosa </w:t>
      </w:r>
      <w:r>
        <w:rPr>
          <w:sz w:val="22"/>
        </w:rPr>
        <w:t>were 100 % sensitive</w:t>
      </w:r>
      <w:r>
        <w:rPr>
          <w:spacing w:val="-2"/>
          <w:sz w:val="22"/>
        </w:rPr>
        <w:t> </w:t>
      </w:r>
      <w:r>
        <w:rPr>
          <w:sz w:val="22"/>
        </w:rPr>
        <w:t>to CRO,</w:t>
      </w:r>
      <w:r>
        <w:rPr>
          <w:spacing w:val="3"/>
          <w:sz w:val="22"/>
        </w:rPr>
        <w:t> </w:t>
      </w:r>
      <w:r>
        <w:rPr>
          <w:sz w:val="22"/>
        </w:rPr>
        <w:t>CN,</w:t>
      </w:r>
      <w:r>
        <w:rPr>
          <w:spacing w:val="6"/>
          <w:sz w:val="22"/>
        </w:rPr>
        <w:t> </w:t>
      </w:r>
      <w:r>
        <w:rPr>
          <w:sz w:val="22"/>
        </w:rPr>
        <w:t>AZM</w:t>
      </w:r>
      <w:r>
        <w:rPr>
          <w:spacing w:val="5"/>
          <w:sz w:val="22"/>
        </w:rPr>
        <w:t> </w:t>
      </w:r>
      <w:r>
        <w:rPr>
          <w:sz w:val="22"/>
        </w:rPr>
        <w:t>and</w:t>
      </w:r>
      <w:r>
        <w:rPr>
          <w:spacing w:val="5"/>
          <w:sz w:val="22"/>
        </w:rPr>
        <w:t> </w:t>
      </w:r>
      <w:r>
        <w:rPr>
          <w:sz w:val="22"/>
        </w:rPr>
        <w:t>LEV,</w:t>
      </w:r>
      <w:r>
        <w:rPr>
          <w:spacing w:val="3"/>
          <w:sz w:val="22"/>
        </w:rPr>
        <w:t> </w:t>
      </w:r>
      <w:r>
        <w:rPr>
          <w:sz w:val="22"/>
        </w:rPr>
        <w:t>while</w:t>
      </w:r>
      <w:r>
        <w:rPr>
          <w:spacing w:val="6"/>
          <w:sz w:val="22"/>
        </w:rPr>
        <w:t> </w:t>
      </w:r>
      <w:r>
        <w:rPr>
          <w:sz w:val="22"/>
        </w:rPr>
        <w:t>75</w:t>
      </w:r>
      <w:r>
        <w:rPr>
          <w:spacing w:val="8"/>
          <w:sz w:val="22"/>
        </w:rPr>
        <w:t> </w:t>
      </w:r>
      <w:r>
        <w:rPr>
          <w:sz w:val="22"/>
        </w:rPr>
        <w:t>%</w:t>
      </w:r>
      <w:r>
        <w:rPr>
          <w:spacing w:val="4"/>
          <w:sz w:val="22"/>
        </w:rPr>
        <w:t> </w:t>
      </w:r>
      <w:r>
        <w:rPr>
          <w:sz w:val="22"/>
        </w:rPr>
        <w:t>resistance</w:t>
      </w:r>
      <w:r>
        <w:rPr>
          <w:spacing w:val="3"/>
          <w:sz w:val="22"/>
        </w:rPr>
        <w:t> </w:t>
      </w:r>
      <w:r>
        <w:rPr>
          <w:sz w:val="22"/>
        </w:rPr>
        <w:t>to</w:t>
      </w:r>
      <w:r>
        <w:rPr>
          <w:spacing w:val="7"/>
          <w:sz w:val="22"/>
        </w:rPr>
        <w:t> </w:t>
      </w:r>
      <w:r>
        <w:rPr>
          <w:sz w:val="22"/>
        </w:rPr>
        <w:t>AMC;</w:t>
      </w:r>
      <w:r>
        <w:rPr>
          <w:spacing w:val="8"/>
          <w:sz w:val="22"/>
        </w:rPr>
        <w:t> </w:t>
      </w:r>
      <w:r>
        <w:rPr>
          <w:i/>
          <w:sz w:val="22"/>
        </w:rPr>
        <w:t>Streptococcus</w:t>
      </w:r>
      <w:r>
        <w:rPr>
          <w:i/>
          <w:spacing w:val="6"/>
          <w:sz w:val="22"/>
        </w:rPr>
        <w:t> </w:t>
      </w:r>
      <w:r>
        <w:rPr>
          <w:i/>
          <w:sz w:val="22"/>
        </w:rPr>
        <w:t>pneumoniae</w:t>
      </w:r>
      <w:r>
        <w:rPr>
          <w:i/>
          <w:spacing w:val="6"/>
          <w:sz w:val="22"/>
        </w:rPr>
        <w:t> </w:t>
      </w:r>
      <w:r>
        <w:rPr>
          <w:sz w:val="22"/>
        </w:rPr>
        <w:t>were</w:t>
      </w:r>
      <w:r>
        <w:rPr>
          <w:spacing w:val="5"/>
          <w:sz w:val="22"/>
        </w:rPr>
        <w:t> </w:t>
      </w:r>
      <w:r>
        <w:rPr>
          <w:spacing w:val="-5"/>
          <w:sz w:val="22"/>
        </w:rPr>
        <w:t>100</w:t>
      </w:r>
    </w:p>
    <w:p>
      <w:pPr>
        <w:spacing w:before="0"/>
        <w:ind w:left="1100" w:right="0" w:firstLine="0"/>
        <w:jc w:val="both"/>
        <w:rPr>
          <w:sz w:val="22"/>
        </w:rPr>
      </w:pPr>
      <w:r>
        <w:rPr>
          <w:sz w:val="22"/>
        </w:rPr>
        <w:t>%</w:t>
      </w:r>
      <w:r>
        <w:rPr>
          <w:spacing w:val="-4"/>
          <w:sz w:val="22"/>
        </w:rPr>
        <w:t> </w:t>
      </w:r>
      <w:r>
        <w:rPr>
          <w:sz w:val="22"/>
        </w:rPr>
        <w:t>sensitive</w:t>
      </w:r>
      <w:r>
        <w:rPr>
          <w:spacing w:val="-3"/>
          <w:sz w:val="22"/>
        </w:rPr>
        <w:t> </w:t>
      </w:r>
      <w:r>
        <w:rPr>
          <w:sz w:val="22"/>
        </w:rPr>
        <w:t>to</w:t>
      </w:r>
      <w:r>
        <w:rPr>
          <w:spacing w:val="-1"/>
          <w:sz w:val="22"/>
        </w:rPr>
        <w:t> </w:t>
      </w:r>
      <w:r>
        <w:rPr>
          <w:sz w:val="22"/>
        </w:rPr>
        <w:t>CRO,</w:t>
      </w:r>
      <w:r>
        <w:rPr>
          <w:spacing w:val="-3"/>
          <w:sz w:val="22"/>
        </w:rPr>
        <w:t> </w:t>
      </w:r>
      <w:r>
        <w:rPr>
          <w:sz w:val="22"/>
        </w:rPr>
        <w:t>CN,</w:t>
      </w:r>
      <w:r>
        <w:rPr>
          <w:spacing w:val="-3"/>
          <w:sz w:val="22"/>
        </w:rPr>
        <w:t> </w:t>
      </w:r>
      <w:r>
        <w:rPr>
          <w:sz w:val="22"/>
        </w:rPr>
        <w:t>and</w:t>
      </w:r>
      <w:r>
        <w:rPr>
          <w:spacing w:val="-3"/>
          <w:sz w:val="22"/>
        </w:rPr>
        <w:t> </w:t>
      </w:r>
      <w:r>
        <w:rPr>
          <w:sz w:val="22"/>
        </w:rPr>
        <w:t>LEV;</w:t>
      </w:r>
      <w:r>
        <w:rPr>
          <w:spacing w:val="-1"/>
          <w:sz w:val="22"/>
        </w:rPr>
        <w:t> </w:t>
      </w:r>
      <w:r>
        <w:rPr>
          <w:i/>
          <w:sz w:val="22"/>
        </w:rPr>
        <w:t>Streptococcus</w:t>
      </w:r>
      <w:r>
        <w:rPr>
          <w:i/>
          <w:spacing w:val="-1"/>
          <w:sz w:val="22"/>
        </w:rPr>
        <w:t> </w:t>
      </w:r>
      <w:r>
        <w:rPr>
          <w:i/>
          <w:sz w:val="22"/>
        </w:rPr>
        <w:t>pyogene</w:t>
      </w:r>
      <w:r>
        <w:rPr>
          <w:i/>
          <w:spacing w:val="-2"/>
          <w:sz w:val="22"/>
        </w:rPr>
        <w:t> </w:t>
      </w:r>
      <w:r>
        <w:rPr>
          <w:sz w:val="22"/>
        </w:rPr>
        <w:t>were</w:t>
      </w:r>
      <w:r>
        <w:rPr>
          <w:spacing w:val="-3"/>
          <w:sz w:val="22"/>
        </w:rPr>
        <w:t> </w:t>
      </w:r>
      <w:r>
        <w:rPr>
          <w:sz w:val="22"/>
        </w:rPr>
        <w:t>100</w:t>
      </w:r>
      <w:r>
        <w:rPr>
          <w:spacing w:val="-1"/>
          <w:sz w:val="22"/>
        </w:rPr>
        <w:t> </w:t>
      </w:r>
      <w:r>
        <w:rPr>
          <w:sz w:val="22"/>
        </w:rPr>
        <w:t>%</w:t>
      </w:r>
      <w:r>
        <w:rPr>
          <w:spacing w:val="-1"/>
          <w:sz w:val="22"/>
        </w:rPr>
        <w:t> </w:t>
      </w:r>
      <w:r>
        <w:rPr>
          <w:sz w:val="22"/>
        </w:rPr>
        <w:t>sensitive</w:t>
      </w:r>
      <w:r>
        <w:rPr>
          <w:spacing w:val="-3"/>
          <w:sz w:val="22"/>
        </w:rPr>
        <w:t> </w:t>
      </w:r>
      <w:r>
        <w:rPr>
          <w:sz w:val="22"/>
        </w:rPr>
        <w:t>to</w:t>
      </w:r>
      <w:r>
        <w:rPr>
          <w:spacing w:val="-3"/>
          <w:sz w:val="22"/>
        </w:rPr>
        <w:t> </w:t>
      </w:r>
      <w:r>
        <w:rPr>
          <w:sz w:val="22"/>
        </w:rPr>
        <w:t>CN</w:t>
      </w:r>
      <w:r>
        <w:rPr>
          <w:spacing w:val="-4"/>
          <w:sz w:val="22"/>
        </w:rPr>
        <w:t> </w:t>
      </w:r>
      <w:r>
        <w:rPr>
          <w:sz w:val="22"/>
        </w:rPr>
        <w:t>and</w:t>
      </w:r>
      <w:r>
        <w:rPr>
          <w:spacing w:val="-4"/>
          <w:sz w:val="22"/>
        </w:rPr>
        <w:t> LEV.</w:t>
      </w:r>
    </w:p>
    <w:p>
      <w:pPr>
        <w:pStyle w:val="BodyText"/>
      </w:pPr>
    </w:p>
    <w:p>
      <w:pPr>
        <w:pStyle w:val="BodyText"/>
      </w:pPr>
    </w:p>
    <w:p>
      <w:pPr>
        <w:pStyle w:val="BodyText"/>
      </w:pPr>
    </w:p>
    <w:p>
      <w:pPr>
        <w:pStyle w:val="BodyText"/>
      </w:pPr>
    </w:p>
    <w:p>
      <w:pPr>
        <w:pStyle w:val="BodyText"/>
      </w:pPr>
    </w:p>
    <w:p>
      <w:pPr>
        <w:pStyle w:val="BodyText"/>
        <w:spacing w:before="52"/>
      </w:pPr>
    </w:p>
    <w:p>
      <w:pPr>
        <w:pStyle w:val="BodyText"/>
        <w:spacing w:line="480" w:lineRule="auto"/>
        <w:ind w:left="1100" w:right="973" w:firstLine="720"/>
        <w:jc w:val="both"/>
      </w:pPr>
      <w:r>
        <w:rPr/>
        <w:t>Figure 4.2 shows the percentage susceptibility profile</w:t>
      </w:r>
      <w:r>
        <w:rPr>
          <w:spacing w:val="-2"/>
        </w:rPr>
        <w:t> </w:t>
      </w:r>
      <w:r>
        <w:rPr/>
        <w:t>of all the test bacterial isolates to the</w:t>
      </w:r>
      <w:r>
        <w:rPr>
          <w:spacing w:val="-2"/>
        </w:rPr>
        <w:t> </w:t>
      </w:r>
      <w:r>
        <w:rPr/>
        <w:t>various antibiotics used. All the bacterial isolates were 98.2 %, 96.4 %, 94.6 %, 85.7 %, and 67.9 % sensitive to LEV, CRO, CN, AZM and AMC respectively (Fig. 4.2).</w:t>
      </w:r>
    </w:p>
    <w:p>
      <w:pPr>
        <w:pStyle w:val="BodyText"/>
        <w:spacing w:line="480" w:lineRule="auto" w:before="160"/>
        <w:ind w:left="1100" w:right="974" w:firstLine="720"/>
        <w:jc w:val="both"/>
      </w:pPr>
      <w:r>
        <w:rPr/>
        <w:t>Figure 4.3 shows the percentage susceptibility profile of the test bacterial isolates as per different sample sources. All the isolates from ear swab were sensitive to CRO, CN, LEV, and AZM; Similarly, all isolates from Nasal secretion were sensitive to CN, LEV, and AZM, while being resistance to AMC; All isolates from throat swab were sensitive to CRO and LEV.</w:t>
      </w:r>
    </w:p>
    <w:p>
      <w:pPr>
        <w:spacing w:after="0" w:line="480" w:lineRule="auto"/>
        <w:jc w:val="both"/>
        <w:sectPr>
          <w:pgSz w:w="11910" w:h="16840"/>
          <w:pgMar w:header="0" w:footer="1055" w:top="1920" w:bottom="1240" w:left="1060" w:right="460"/>
        </w:sectPr>
      </w:pPr>
    </w:p>
    <w:p>
      <w:pPr>
        <w:pStyle w:val="BodyText"/>
        <w:rPr>
          <w:sz w:val="20"/>
        </w:rPr>
      </w:pPr>
    </w:p>
    <w:p>
      <w:pPr>
        <w:pStyle w:val="BodyText"/>
        <w:rPr>
          <w:sz w:val="20"/>
        </w:rPr>
      </w:pPr>
    </w:p>
    <w:p>
      <w:pPr>
        <w:pStyle w:val="BodyText"/>
        <w:rPr>
          <w:sz w:val="20"/>
        </w:rPr>
      </w:pPr>
    </w:p>
    <w:p>
      <w:pPr>
        <w:pStyle w:val="BodyText"/>
        <w:spacing w:before="210"/>
        <w:rPr>
          <w:sz w:val="20"/>
        </w:rPr>
      </w:pPr>
    </w:p>
    <w:p>
      <w:pPr>
        <w:spacing w:before="0"/>
        <w:ind w:left="1025" w:right="0" w:firstLine="0"/>
        <w:jc w:val="left"/>
        <w:rPr>
          <w:sz w:val="20"/>
        </w:rPr>
      </w:pPr>
      <w:r>
        <w:rPr/>
        <mc:AlternateContent>
          <mc:Choice Requires="wps">
            <w:drawing>
              <wp:anchor distT="0" distB="0" distL="0" distR="0" allowOverlap="1" layoutInCell="1" locked="0" behindDoc="1" simplePos="0" relativeHeight="472704000">
                <wp:simplePos x="0" y="0"/>
                <wp:positionH relativeFrom="page">
                  <wp:posOffset>1594103</wp:posOffset>
                </wp:positionH>
                <wp:positionV relativeFrom="paragraph">
                  <wp:posOffset>82192</wp:posOffset>
                </wp:positionV>
                <wp:extent cx="4128770" cy="303593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128770" cy="3035935"/>
                          <a:chExt cx="4128770" cy="3035935"/>
                        </a:xfrm>
                      </wpg:grpSpPr>
                      <wps:wsp>
                        <wps:cNvPr id="7" name="Graphic 7"/>
                        <wps:cNvSpPr/>
                        <wps:spPr>
                          <a:xfrm>
                            <a:off x="118872" y="3047"/>
                            <a:ext cx="3508375" cy="2992120"/>
                          </a:xfrm>
                          <a:custGeom>
                            <a:avLst/>
                            <a:gdLst/>
                            <a:ahLst/>
                            <a:cxnLst/>
                            <a:rect l="l" t="t" r="r" b="b"/>
                            <a:pathLst>
                              <a:path w="3508375" h="2992120">
                                <a:moveTo>
                                  <a:pt x="105156" y="0"/>
                                </a:moveTo>
                                <a:lnTo>
                                  <a:pt x="0" y="0"/>
                                </a:lnTo>
                                <a:lnTo>
                                  <a:pt x="0" y="2991612"/>
                                </a:lnTo>
                                <a:lnTo>
                                  <a:pt x="105156" y="2991612"/>
                                </a:lnTo>
                                <a:lnTo>
                                  <a:pt x="105156" y="0"/>
                                </a:lnTo>
                                <a:close/>
                              </a:path>
                              <a:path w="3508375" h="2992120">
                                <a:moveTo>
                                  <a:pt x="784860" y="211836"/>
                                </a:moveTo>
                                <a:lnTo>
                                  <a:pt x="681228" y="211836"/>
                                </a:lnTo>
                                <a:lnTo>
                                  <a:pt x="681228" y="2991612"/>
                                </a:lnTo>
                                <a:lnTo>
                                  <a:pt x="784860" y="2991612"/>
                                </a:lnTo>
                                <a:lnTo>
                                  <a:pt x="784860" y="211836"/>
                                </a:lnTo>
                                <a:close/>
                              </a:path>
                              <a:path w="3508375" h="2992120">
                                <a:moveTo>
                                  <a:pt x="1466088" y="0"/>
                                </a:moveTo>
                                <a:lnTo>
                                  <a:pt x="1360932" y="0"/>
                                </a:lnTo>
                                <a:lnTo>
                                  <a:pt x="1360932" y="2991612"/>
                                </a:lnTo>
                                <a:lnTo>
                                  <a:pt x="1466088" y="2991612"/>
                                </a:lnTo>
                                <a:lnTo>
                                  <a:pt x="1466088" y="0"/>
                                </a:lnTo>
                                <a:close/>
                              </a:path>
                              <a:path w="3508375" h="2992120">
                                <a:moveTo>
                                  <a:pt x="2147316" y="0"/>
                                </a:moveTo>
                                <a:lnTo>
                                  <a:pt x="2042160" y="0"/>
                                </a:lnTo>
                                <a:lnTo>
                                  <a:pt x="2042160" y="2991612"/>
                                </a:lnTo>
                                <a:lnTo>
                                  <a:pt x="2147316" y="2991612"/>
                                </a:lnTo>
                                <a:lnTo>
                                  <a:pt x="2147316" y="0"/>
                                </a:lnTo>
                                <a:close/>
                              </a:path>
                              <a:path w="3508375" h="2992120">
                                <a:moveTo>
                                  <a:pt x="2828531" y="0"/>
                                </a:moveTo>
                                <a:lnTo>
                                  <a:pt x="2723388" y="0"/>
                                </a:lnTo>
                                <a:lnTo>
                                  <a:pt x="2723388" y="2991612"/>
                                </a:lnTo>
                                <a:lnTo>
                                  <a:pt x="2828531" y="2991612"/>
                                </a:lnTo>
                                <a:lnTo>
                                  <a:pt x="2828531" y="0"/>
                                </a:lnTo>
                                <a:close/>
                              </a:path>
                              <a:path w="3508375" h="2992120">
                                <a:moveTo>
                                  <a:pt x="3508248" y="498348"/>
                                </a:moveTo>
                                <a:lnTo>
                                  <a:pt x="3404616" y="498348"/>
                                </a:lnTo>
                                <a:lnTo>
                                  <a:pt x="3404616" y="2991612"/>
                                </a:lnTo>
                                <a:lnTo>
                                  <a:pt x="3508248" y="2991612"/>
                                </a:lnTo>
                                <a:lnTo>
                                  <a:pt x="3508248" y="498348"/>
                                </a:lnTo>
                                <a:close/>
                              </a:path>
                            </a:pathLst>
                          </a:custGeom>
                          <a:solidFill>
                            <a:srgbClr val="5B9BD4"/>
                          </a:solidFill>
                        </wps:spPr>
                        <wps:bodyPr wrap="square" lIns="0" tIns="0" rIns="0" bIns="0" rtlCol="0">
                          <a:prstTxWarp prst="textNoShape">
                            <a:avLst/>
                          </a:prstTxWarp>
                          <a:noAutofit/>
                        </wps:bodyPr>
                      </wps:wsp>
                      <wps:wsp>
                        <wps:cNvPr id="8" name="Graphic 8"/>
                        <wps:cNvSpPr/>
                        <wps:spPr>
                          <a:xfrm>
                            <a:off x="224028" y="3047"/>
                            <a:ext cx="3508375" cy="2992120"/>
                          </a:xfrm>
                          <a:custGeom>
                            <a:avLst/>
                            <a:gdLst/>
                            <a:ahLst/>
                            <a:cxnLst/>
                            <a:rect l="l" t="t" r="r" b="b"/>
                            <a:pathLst>
                              <a:path w="3508375" h="2992120">
                                <a:moveTo>
                                  <a:pt x="103632" y="397764"/>
                                </a:moveTo>
                                <a:lnTo>
                                  <a:pt x="0" y="397764"/>
                                </a:lnTo>
                                <a:lnTo>
                                  <a:pt x="0" y="2991612"/>
                                </a:lnTo>
                                <a:lnTo>
                                  <a:pt x="103632" y="2991612"/>
                                </a:lnTo>
                                <a:lnTo>
                                  <a:pt x="103632" y="397764"/>
                                </a:lnTo>
                                <a:close/>
                              </a:path>
                              <a:path w="3508375" h="2992120">
                                <a:moveTo>
                                  <a:pt x="784860" y="211836"/>
                                </a:moveTo>
                                <a:lnTo>
                                  <a:pt x="679704" y="211836"/>
                                </a:lnTo>
                                <a:lnTo>
                                  <a:pt x="679704" y="2991612"/>
                                </a:lnTo>
                                <a:lnTo>
                                  <a:pt x="784860" y="2991612"/>
                                </a:lnTo>
                                <a:lnTo>
                                  <a:pt x="784860" y="211836"/>
                                </a:lnTo>
                                <a:close/>
                              </a:path>
                              <a:path w="3508375" h="2992120">
                                <a:moveTo>
                                  <a:pt x="1466075" y="0"/>
                                </a:moveTo>
                                <a:lnTo>
                                  <a:pt x="1360932" y="0"/>
                                </a:lnTo>
                                <a:lnTo>
                                  <a:pt x="1360932" y="2991612"/>
                                </a:lnTo>
                                <a:lnTo>
                                  <a:pt x="1466075" y="2991612"/>
                                </a:lnTo>
                                <a:lnTo>
                                  <a:pt x="1466075" y="0"/>
                                </a:lnTo>
                                <a:close/>
                              </a:path>
                              <a:path w="3508375" h="2992120">
                                <a:moveTo>
                                  <a:pt x="2147303" y="0"/>
                                </a:moveTo>
                                <a:lnTo>
                                  <a:pt x="2042160" y="0"/>
                                </a:lnTo>
                                <a:lnTo>
                                  <a:pt x="2042160" y="2991612"/>
                                </a:lnTo>
                                <a:lnTo>
                                  <a:pt x="2147303" y="2991612"/>
                                </a:lnTo>
                                <a:lnTo>
                                  <a:pt x="2147303" y="0"/>
                                </a:lnTo>
                                <a:close/>
                              </a:path>
                              <a:path w="3508375" h="2992120">
                                <a:moveTo>
                                  <a:pt x="2827020" y="0"/>
                                </a:moveTo>
                                <a:lnTo>
                                  <a:pt x="2723388" y="0"/>
                                </a:lnTo>
                                <a:lnTo>
                                  <a:pt x="2723388" y="2991612"/>
                                </a:lnTo>
                                <a:lnTo>
                                  <a:pt x="2827020" y="2991612"/>
                                </a:lnTo>
                                <a:lnTo>
                                  <a:pt x="2827020" y="0"/>
                                </a:lnTo>
                                <a:close/>
                              </a:path>
                              <a:path w="3508375" h="2992120">
                                <a:moveTo>
                                  <a:pt x="3508248" y="0"/>
                                </a:moveTo>
                                <a:lnTo>
                                  <a:pt x="3403092" y="0"/>
                                </a:lnTo>
                                <a:lnTo>
                                  <a:pt x="3403092" y="2991612"/>
                                </a:lnTo>
                                <a:lnTo>
                                  <a:pt x="3508248" y="2991612"/>
                                </a:lnTo>
                                <a:lnTo>
                                  <a:pt x="3508248" y="0"/>
                                </a:lnTo>
                                <a:close/>
                              </a:path>
                            </a:pathLst>
                          </a:custGeom>
                          <a:solidFill>
                            <a:srgbClr val="EC7C30"/>
                          </a:solidFill>
                        </wps:spPr>
                        <wps:bodyPr wrap="square" lIns="0" tIns="0" rIns="0" bIns="0" rtlCol="0">
                          <a:prstTxWarp prst="textNoShape">
                            <a:avLst/>
                          </a:prstTxWarp>
                          <a:noAutofit/>
                        </wps:bodyPr>
                      </wps:wsp>
                      <wps:wsp>
                        <wps:cNvPr id="9" name="Graphic 9"/>
                        <wps:cNvSpPr/>
                        <wps:spPr>
                          <a:xfrm>
                            <a:off x="327660" y="3047"/>
                            <a:ext cx="3510279" cy="2992120"/>
                          </a:xfrm>
                          <a:custGeom>
                            <a:avLst/>
                            <a:gdLst/>
                            <a:ahLst/>
                            <a:cxnLst/>
                            <a:rect l="l" t="t" r="r" b="b"/>
                            <a:pathLst>
                              <a:path w="3510279" h="2992120">
                                <a:moveTo>
                                  <a:pt x="105156" y="798588"/>
                                </a:moveTo>
                                <a:lnTo>
                                  <a:pt x="0" y="798588"/>
                                </a:lnTo>
                                <a:lnTo>
                                  <a:pt x="0" y="2991612"/>
                                </a:lnTo>
                                <a:lnTo>
                                  <a:pt x="105156" y="2991612"/>
                                </a:lnTo>
                                <a:lnTo>
                                  <a:pt x="105156" y="798588"/>
                                </a:lnTo>
                                <a:close/>
                              </a:path>
                              <a:path w="3510279" h="2992120">
                                <a:moveTo>
                                  <a:pt x="786384" y="426720"/>
                                </a:moveTo>
                                <a:lnTo>
                                  <a:pt x="681228" y="426720"/>
                                </a:lnTo>
                                <a:lnTo>
                                  <a:pt x="681228" y="2991612"/>
                                </a:lnTo>
                                <a:lnTo>
                                  <a:pt x="786384" y="2991612"/>
                                </a:lnTo>
                                <a:lnTo>
                                  <a:pt x="786384" y="426720"/>
                                </a:lnTo>
                                <a:close/>
                              </a:path>
                              <a:path w="3510279" h="2992120">
                                <a:moveTo>
                                  <a:pt x="1467612" y="0"/>
                                </a:moveTo>
                                <a:lnTo>
                                  <a:pt x="1362456" y="0"/>
                                </a:lnTo>
                                <a:lnTo>
                                  <a:pt x="1362456" y="2991612"/>
                                </a:lnTo>
                                <a:lnTo>
                                  <a:pt x="1467612" y="2991612"/>
                                </a:lnTo>
                                <a:lnTo>
                                  <a:pt x="1467612" y="0"/>
                                </a:lnTo>
                                <a:close/>
                              </a:path>
                              <a:path w="3510279" h="2992120">
                                <a:moveTo>
                                  <a:pt x="2147316" y="2243328"/>
                                </a:moveTo>
                                <a:lnTo>
                                  <a:pt x="2043684" y="2243328"/>
                                </a:lnTo>
                                <a:lnTo>
                                  <a:pt x="2043684" y="2991612"/>
                                </a:lnTo>
                                <a:lnTo>
                                  <a:pt x="2147316" y="2991612"/>
                                </a:lnTo>
                                <a:lnTo>
                                  <a:pt x="2147316" y="2243328"/>
                                </a:lnTo>
                                <a:close/>
                              </a:path>
                              <a:path w="3510279" h="2992120">
                                <a:moveTo>
                                  <a:pt x="2828531" y="854964"/>
                                </a:moveTo>
                                <a:lnTo>
                                  <a:pt x="2723388" y="854964"/>
                                </a:lnTo>
                                <a:lnTo>
                                  <a:pt x="2723388" y="2991612"/>
                                </a:lnTo>
                                <a:lnTo>
                                  <a:pt x="2828531" y="2991612"/>
                                </a:lnTo>
                                <a:lnTo>
                                  <a:pt x="2828531" y="854964"/>
                                </a:lnTo>
                                <a:close/>
                              </a:path>
                              <a:path w="3510279" h="2992120">
                                <a:moveTo>
                                  <a:pt x="3509759" y="498348"/>
                                </a:moveTo>
                                <a:lnTo>
                                  <a:pt x="3404616" y="498348"/>
                                </a:lnTo>
                                <a:lnTo>
                                  <a:pt x="3404616" y="2991612"/>
                                </a:lnTo>
                                <a:lnTo>
                                  <a:pt x="3509759" y="2991612"/>
                                </a:lnTo>
                                <a:lnTo>
                                  <a:pt x="3509759" y="498348"/>
                                </a:lnTo>
                                <a:close/>
                              </a:path>
                            </a:pathLst>
                          </a:custGeom>
                          <a:solidFill>
                            <a:srgbClr val="A4A4A4"/>
                          </a:solidFill>
                        </wps:spPr>
                        <wps:bodyPr wrap="square" lIns="0" tIns="0" rIns="0" bIns="0" rtlCol="0">
                          <a:prstTxWarp prst="textNoShape">
                            <a:avLst/>
                          </a:prstTxWarp>
                          <a:noAutofit/>
                        </wps:bodyPr>
                      </wps:wsp>
                      <wps:wsp>
                        <wps:cNvPr id="10" name="Graphic 10"/>
                        <wps:cNvSpPr/>
                        <wps:spPr>
                          <a:xfrm>
                            <a:off x="432816" y="3047"/>
                            <a:ext cx="3510279" cy="2992120"/>
                          </a:xfrm>
                          <a:custGeom>
                            <a:avLst/>
                            <a:gdLst/>
                            <a:ahLst/>
                            <a:cxnLst/>
                            <a:rect l="l" t="t" r="r" b="b"/>
                            <a:pathLst>
                              <a:path w="3510279" h="2992120">
                                <a:moveTo>
                                  <a:pt x="105156" y="199644"/>
                                </a:moveTo>
                                <a:lnTo>
                                  <a:pt x="0" y="199644"/>
                                </a:lnTo>
                                <a:lnTo>
                                  <a:pt x="0" y="2991612"/>
                                </a:lnTo>
                                <a:lnTo>
                                  <a:pt x="105156" y="2991612"/>
                                </a:lnTo>
                                <a:lnTo>
                                  <a:pt x="105156" y="199644"/>
                                </a:lnTo>
                                <a:close/>
                              </a:path>
                              <a:path w="3510279" h="2992120">
                                <a:moveTo>
                                  <a:pt x="786384" y="0"/>
                                </a:moveTo>
                                <a:lnTo>
                                  <a:pt x="681228" y="0"/>
                                </a:lnTo>
                                <a:lnTo>
                                  <a:pt x="681228" y="2991612"/>
                                </a:lnTo>
                                <a:lnTo>
                                  <a:pt x="786384" y="2991612"/>
                                </a:lnTo>
                                <a:lnTo>
                                  <a:pt x="786384" y="0"/>
                                </a:lnTo>
                                <a:close/>
                              </a:path>
                              <a:path w="3510279" h="2992120">
                                <a:moveTo>
                                  <a:pt x="1466088" y="0"/>
                                </a:moveTo>
                                <a:lnTo>
                                  <a:pt x="1362456" y="0"/>
                                </a:lnTo>
                                <a:lnTo>
                                  <a:pt x="1362456" y="2991612"/>
                                </a:lnTo>
                                <a:lnTo>
                                  <a:pt x="1466088" y="2991612"/>
                                </a:lnTo>
                                <a:lnTo>
                                  <a:pt x="1466088" y="0"/>
                                </a:lnTo>
                                <a:close/>
                              </a:path>
                              <a:path w="3510279" h="2992120">
                                <a:moveTo>
                                  <a:pt x="2147303" y="0"/>
                                </a:moveTo>
                                <a:lnTo>
                                  <a:pt x="2042160" y="0"/>
                                </a:lnTo>
                                <a:lnTo>
                                  <a:pt x="2042160" y="2991612"/>
                                </a:lnTo>
                                <a:lnTo>
                                  <a:pt x="2147303" y="2991612"/>
                                </a:lnTo>
                                <a:lnTo>
                                  <a:pt x="2147303" y="0"/>
                                </a:lnTo>
                                <a:close/>
                              </a:path>
                              <a:path w="3510279" h="2992120">
                                <a:moveTo>
                                  <a:pt x="2828544" y="0"/>
                                </a:moveTo>
                                <a:lnTo>
                                  <a:pt x="2723388" y="0"/>
                                </a:lnTo>
                                <a:lnTo>
                                  <a:pt x="2723388" y="2991612"/>
                                </a:lnTo>
                                <a:lnTo>
                                  <a:pt x="2828544" y="2991612"/>
                                </a:lnTo>
                                <a:lnTo>
                                  <a:pt x="2828544" y="0"/>
                                </a:lnTo>
                                <a:close/>
                              </a:path>
                              <a:path w="3510279" h="2992120">
                                <a:moveTo>
                                  <a:pt x="3509772" y="0"/>
                                </a:moveTo>
                                <a:lnTo>
                                  <a:pt x="3404616" y="0"/>
                                </a:lnTo>
                                <a:lnTo>
                                  <a:pt x="3404616" y="2991612"/>
                                </a:lnTo>
                                <a:lnTo>
                                  <a:pt x="3509772" y="2991612"/>
                                </a:lnTo>
                                <a:lnTo>
                                  <a:pt x="3509772" y="0"/>
                                </a:lnTo>
                                <a:close/>
                              </a:path>
                            </a:pathLst>
                          </a:custGeom>
                          <a:solidFill>
                            <a:srgbClr val="FFC000"/>
                          </a:solidFill>
                        </wps:spPr>
                        <wps:bodyPr wrap="square" lIns="0" tIns="0" rIns="0" bIns="0" rtlCol="0">
                          <a:prstTxWarp prst="textNoShape">
                            <a:avLst/>
                          </a:prstTxWarp>
                          <a:noAutofit/>
                        </wps:bodyPr>
                      </wps:wsp>
                      <wps:wsp>
                        <wps:cNvPr id="11" name="Graphic 11"/>
                        <wps:cNvSpPr/>
                        <wps:spPr>
                          <a:xfrm>
                            <a:off x="537972" y="3047"/>
                            <a:ext cx="3508375" cy="2992120"/>
                          </a:xfrm>
                          <a:custGeom>
                            <a:avLst/>
                            <a:gdLst/>
                            <a:ahLst/>
                            <a:cxnLst/>
                            <a:rect l="l" t="t" r="r" b="b"/>
                            <a:pathLst>
                              <a:path w="3508375" h="2992120">
                                <a:moveTo>
                                  <a:pt x="105156" y="798588"/>
                                </a:moveTo>
                                <a:lnTo>
                                  <a:pt x="0" y="798588"/>
                                </a:lnTo>
                                <a:lnTo>
                                  <a:pt x="0" y="2991612"/>
                                </a:lnTo>
                                <a:lnTo>
                                  <a:pt x="105156" y="2991612"/>
                                </a:lnTo>
                                <a:lnTo>
                                  <a:pt x="105156" y="798588"/>
                                </a:lnTo>
                                <a:close/>
                              </a:path>
                              <a:path w="3508375" h="2992120">
                                <a:moveTo>
                                  <a:pt x="784860" y="0"/>
                                </a:moveTo>
                                <a:lnTo>
                                  <a:pt x="681228" y="0"/>
                                </a:lnTo>
                                <a:lnTo>
                                  <a:pt x="681228" y="2991612"/>
                                </a:lnTo>
                                <a:lnTo>
                                  <a:pt x="784860" y="2991612"/>
                                </a:lnTo>
                                <a:lnTo>
                                  <a:pt x="784860" y="0"/>
                                </a:lnTo>
                                <a:close/>
                              </a:path>
                              <a:path w="3508375" h="2992120">
                                <a:moveTo>
                                  <a:pt x="1466088" y="0"/>
                                </a:moveTo>
                                <a:lnTo>
                                  <a:pt x="1360932" y="0"/>
                                </a:lnTo>
                                <a:lnTo>
                                  <a:pt x="1360932" y="2991612"/>
                                </a:lnTo>
                                <a:lnTo>
                                  <a:pt x="1466088" y="2991612"/>
                                </a:lnTo>
                                <a:lnTo>
                                  <a:pt x="1466088" y="0"/>
                                </a:lnTo>
                                <a:close/>
                              </a:path>
                              <a:path w="3508375" h="2992120">
                                <a:moveTo>
                                  <a:pt x="2147316" y="0"/>
                                </a:moveTo>
                                <a:lnTo>
                                  <a:pt x="2042160" y="0"/>
                                </a:lnTo>
                                <a:lnTo>
                                  <a:pt x="2042160" y="2991612"/>
                                </a:lnTo>
                                <a:lnTo>
                                  <a:pt x="2147316" y="2991612"/>
                                </a:lnTo>
                                <a:lnTo>
                                  <a:pt x="2147316" y="0"/>
                                </a:lnTo>
                                <a:close/>
                              </a:path>
                              <a:path w="3508375" h="2992120">
                                <a:moveTo>
                                  <a:pt x="2828531" y="1283208"/>
                                </a:moveTo>
                                <a:lnTo>
                                  <a:pt x="2723388" y="1283208"/>
                                </a:lnTo>
                                <a:lnTo>
                                  <a:pt x="2723388" y="2991612"/>
                                </a:lnTo>
                                <a:lnTo>
                                  <a:pt x="2828531" y="2991612"/>
                                </a:lnTo>
                                <a:lnTo>
                                  <a:pt x="2828531" y="1283208"/>
                                </a:lnTo>
                                <a:close/>
                              </a:path>
                              <a:path w="3508375" h="2992120">
                                <a:moveTo>
                                  <a:pt x="3508248" y="498348"/>
                                </a:moveTo>
                                <a:lnTo>
                                  <a:pt x="3404616" y="498348"/>
                                </a:lnTo>
                                <a:lnTo>
                                  <a:pt x="3404616" y="2991612"/>
                                </a:lnTo>
                                <a:lnTo>
                                  <a:pt x="3508248" y="2991612"/>
                                </a:lnTo>
                                <a:lnTo>
                                  <a:pt x="3508248" y="498348"/>
                                </a:lnTo>
                                <a:close/>
                              </a:path>
                            </a:pathLst>
                          </a:custGeom>
                          <a:solidFill>
                            <a:srgbClr val="4471C4"/>
                          </a:solidFill>
                        </wps:spPr>
                        <wps:bodyPr wrap="square" lIns="0" tIns="0" rIns="0" bIns="0" rtlCol="0">
                          <a:prstTxWarp prst="textNoShape">
                            <a:avLst/>
                          </a:prstTxWarp>
                          <a:noAutofit/>
                        </wps:bodyPr>
                      </wps:wsp>
                      <wps:wsp>
                        <wps:cNvPr id="12" name="Graphic 12"/>
                        <wps:cNvSpPr/>
                        <wps:spPr>
                          <a:xfrm>
                            <a:off x="0" y="3047"/>
                            <a:ext cx="4125595" cy="3032760"/>
                          </a:xfrm>
                          <a:custGeom>
                            <a:avLst/>
                            <a:gdLst/>
                            <a:ahLst/>
                            <a:cxnLst/>
                            <a:rect l="l" t="t" r="r" b="b"/>
                            <a:pathLst>
                              <a:path w="4125595" h="3032760">
                                <a:moveTo>
                                  <a:pt x="39623" y="2991612"/>
                                </a:moveTo>
                                <a:lnTo>
                                  <a:pt x="39623" y="0"/>
                                </a:lnTo>
                              </a:path>
                              <a:path w="4125595" h="3032760">
                                <a:moveTo>
                                  <a:pt x="0" y="2991612"/>
                                </a:moveTo>
                                <a:lnTo>
                                  <a:pt x="39623" y="2991612"/>
                                </a:lnTo>
                              </a:path>
                              <a:path w="4125595" h="3032760">
                                <a:moveTo>
                                  <a:pt x="0" y="2692908"/>
                                </a:moveTo>
                                <a:lnTo>
                                  <a:pt x="39623" y="2692908"/>
                                </a:lnTo>
                              </a:path>
                              <a:path w="4125595" h="3032760">
                                <a:moveTo>
                                  <a:pt x="0" y="2392680"/>
                                </a:moveTo>
                                <a:lnTo>
                                  <a:pt x="39623" y="2392680"/>
                                </a:lnTo>
                              </a:path>
                              <a:path w="4125595" h="3032760">
                                <a:moveTo>
                                  <a:pt x="0" y="2093976"/>
                                </a:moveTo>
                                <a:lnTo>
                                  <a:pt x="39623" y="2093976"/>
                                </a:lnTo>
                              </a:path>
                              <a:path w="4125595" h="3032760">
                                <a:moveTo>
                                  <a:pt x="0" y="1795272"/>
                                </a:moveTo>
                                <a:lnTo>
                                  <a:pt x="39623" y="1795272"/>
                                </a:lnTo>
                              </a:path>
                              <a:path w="4125595" h="3032760">
                                <a:moveTo>
                                  <a:pt x="0" y="1495044"/>
                                </a:moveTo>
                                <a:lnTo>
                                  <a:pt x="39623" y="1495044"/>
                                </a:lnTo>
                              </a:path>
                              <a:path w="4125595" h="3032760">
                                <a:moveTo>
                                  <a:pt x="0" y="1196340"/>
                                </a:moveTo>
                                <a:lnTo>
                                  <a:pt x="39623" y="1196340"/>
                                </a:lnTo>
                              </a:path>
                              <a:path w="4125595" h="3032760">
                                <a:moveTo>
                                  <a:pt x="0" y="897636"/>
                                </a:moveTo>
                                <a:lnTo>
                                  <a:pt x="39623" y="897636"/>
                                </a:lnTo>
                              </a:path>
                              <a:path w="4125595" h="3032760">
                                <a:moveTo>
                                  <a:pt x="0" y="598932"/>
                                </a:moveTo>
                                <a:lnTo>
                                  <a:pt x="39623" y="598932"/>
                                </a:lnTo>
                              </a:path>
                              <a:path w="4125595" h="3032760">
                                <a:moveTo>
                                  <a:pt x="0" y="298703"/>
                                </a:moveTo>
                                <a:lnTo>
                                  <a:pt x="39623" y="298703"/>
                                </a:lnTo>
                              </a:path>
                              <a:path w="4125595" h="3032760">
                                <a:moveTo>
                                  <a:pt x="0" y="0"/>
                                </a:moveTo>
                                <a:lnTo>
                                  <a:pt x="39623" y="0"/>
                                </a:lnTo>
                              </a:path>
                              <a:path w="4125595" h="3032760">
                                <a:moveTo>
                                  <a:pt x="39623" y="2991612"/>
                                </a:moveTo>
                                <a:lnTo>
                                  <a:pt x="4125468" y="2991612"/>
                                </a:lnTo>
                              </a:path>
                              <a:path w="4125595" h="3032760">
                                <a:moveTo>
                                  <a:pt x="39623" y="2991612"/>
                                </a:moveTo>
                                <a:lnTo>
                                  <a:pt x="39623" y="3032760"/>
                                </a:lnTo>
                              </a:path>
                              <a:path w="4125595" h="3032760">
                                <a:moveTo>
                                  <a:pt x="720852" y="2991612"/>
                                </a:moveTo>
                                <a:lnTo>
                                  <a:pt x="720852" y="3032760"/>
                                </a:lnTo>
                              </a:path>
                              <a:path w="4125595" h="3032760">
                                <a:moveTo>
                                  <a:pt x="1402080" y="2991612"/>
                                </a:moveTo>
                                <a:lnTo>
                                  <a:pt x="1402080" y="3032760"/>
                                </a:lnTo>
                              </a:path>
                              <a:path w="4125595" h="3032760">
                                <a:moveTo>
                                  <a:pt x="2083308" y="2991612"/>
                                </a:moveTo>
                                <a:lnTo>
                                  <a:pt x="2083308" y="3032760"/>
                                </a:lnTo>
                              </a:path>
                              <a:path w="4125595" h="3032760">
                                <a:moveTo>
                                  <a:pt x="2763012" y="2991612"/>
                                </a:moveTo>
                                <a:lnTo>
                                  <a:pt x="2763012" y="3032760"/>
                                </a:lnTo>
                              </a:path>
                              <a:path w="4125595" h="3032760">
                                <a:moveTo>
                                  <a:pt x="3444240" y="2991612"/>
                                </a:moveTo>
                                <a:lnTo>
                                  <a:pt x="3444240" y="3032760"/>
                                </a:lnTo>
                              </a:path>
                              <a:path w="4125595" h="3032760">
                                <a:moveTo>
                                  <a:pt x="4125468" y="2991612"/>
                                </a:moveTo>
                                <a:lnTo>
                                  <a:pt x="4125468" y="3032760"/>
                                </a:lnTo>
                              </a:path>
                            </a:pathLst>
                          </a:custGeom>
                          <a:ln w="6096">
                            <a:solidFill>
                              <a:srgbClr val="8888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5.519997pt;margin-top:6.471875pt;width:325.1pt;height:239.05pt;mso-position-horizontal-relative:page;mso-position-vertical-relative:paragraph;z-index:-30612480" id="docshapegroup2" coordorigin="2510,129" coordsize="6502,4781">
                <v:shape style="position:absolute;left:2697;top:134;width:5525;height:4712" id="docshape3" coordorigin="2698,134" coordsize="5525,4712" path="m2863,134l2698,134,2698,4845,2863,4845,2863,134xm3934,468l3770,468,3770,4845,3934,4845,3934,468xm5006,134l4841,134,4841,4845,5006,4845,5006,134xm6079,134l5914,134,5914,4845,6079,4845,6079,134xm7152,134l6986,134,6986,4845,7152,4845,7152,134xm8222,919l8059,919,8059,4845,8222,4845,8222,919xe" filled="true" fillcolor="#5b9bd4" stroked="false">
                  <v:path arrowok="t"/>
                  <v:fill type="solid"/>
                </v:shape>
                <v:shape style="position:absolute;left:2863;top:134;width:5525;height:4712" id="docshape4" coordorigin="2863,134" coordsize="5525,4712" path="m3026,761l2863,761,2863,4845,3026,4845,3026,761xm4099,468l3934,468,3934,4845,4099,4845,4099,468xm5172,134l5006,134,5006,4845,5172,4845,5172,134xm6245,134l6079,134,6079,4845,6245,4845,6245,134xm7315,134l7152,134,7152,4845,7315,4845,7315,134xm8388,134l8222,134,8222,4845,8388,4845,8388,134xe" filled="true" fillcolor="#ec7c30" stroked="false">
                  <v:path arrowok="t"/>
                  <v:fill type="solid"/>
                </v:shape>
                <v:shape style="position:absolute;left:3026;top:134;width:5528;height:4712" id="docshape5" coordorigin="3026,134" coordsize="5528,4712" path="m3192,1392l3026,1392,3026,4845,3192,4845,3192,1392xm4265,806l4099,806,4099,4845,4265,4845,4265,806xm5338,134l5172,134,5172,4845,5338,4845,5338,134xm6408,3667l6245,3667,6245,4845,6408,4845,6408,3667xm7481,1481l7315,1481,7315,4845,7481,4845,7481,1481xm8554,919l8388,919,8388,4845,8554,4845,8554,919xe" filled="true" fillcolor="#a4a4a4" stroked="false">
                  <v:path arrowok="t"/>
                  <v:fill type="solid"/>
                </v:shape>
                <v:shape style="position:absolute;left:3192;top:134;width:5528;height:4712" id="docshape6" coordorigin="3192,134" coordsize="5528,4712" path="m3358,449l3192,449,3192,4845,3358,4845,3358,449xm4430,134l4265,134,4265,4845,4430,4845,4430,134xm5501,134l5338,134,5338,4845,5501,4845,5501,134xm6574,134l6408,134,6408,4845,6574,4845,6574,134xm7646,134l7481,134,7481,4845,7646,4845,7646,134xm8719,134l8554,134,8554,4845,8719,4845,8719,134xe" filled="true" fillcolor="#ffc000" stroked="false">
                  <v:path arrowok="t"/>
                  <v:fill type="solid"/>
                </v:shape>
                <v:shape style="position:absolute;left:3357;top:134;width:5525;height:4712" id="docshape7" coordorigin="3358,134" coordsize="5525,4712" path="m3523,1392l3358,1392,3358,4845,3523,4845,3523,1392xm4594,134l4430,134,4430,4845,4594,4845,4594,134xm5666,134l5501,134,5501,4845,5666,4845,5666,134xm6739,134l6574,134,6574,4845,6739,4845,6739,134xm7812,2155l7646,2155,7646,4845,7812,4845,7812,2155xm8882,919l8719,919,8719,4845,8882,4845,8882,919xe" filled="true" fillcolor="#4471c4" stroked="false">
                  <v:path arrowok="t"/>
                  <v:fill type="solid"/>
                </v:shape>
                <v:shape style="position:absolute;left:2510;top:134;width:6497;height:4776" id="docshape8" coordorigin="2510,134" coordsize="6497,4776" path="m2573,4845l2573,134m2510,4845l2573,4845m2510,4375l2573,4375m2510,3902l2573,3902m2510,3432l2573,3432m2510,2961l2573,2961m2510,2489l2573,2489m2510,2018l2573,2018m2510,1548l2573,1548m2510,1077l2573,1077m2510,605l2573,605m2510,134l2573,134m2573,4845l9007,4845m2573,4845l2573,4910m3646,4845l3646,4910m4718,4845l4718,4910m5791,4845l5791,4910m6862,4845l6862,4910m7934,4845l7934,4910m9007,4845l9007,4910e" filled="false" stroked="true" strokeweight=".48pt" strokecolor="#888888">
                  <v:path arrowok="t"/>
                  <v:stroke dashstyle="solid"/>
                </v:shape>
                <w10:wrap type="none"/>
              </v:group>
            </w:pict>
          </mc:Fallback>
        </mc:AlternateContent>
      </w:r>
      <w:r>
        <w:rPr>
          <w:spacing w:val="-5"/>
          <w:sz w:val="20"/>
        </w:rPr>
        <w:t>100</w:t>
      </w:r>
    </w:p>
    <w:p>
      <w:pPr>
        <w:spacing w:before="227"/>
        <w:ind w:left="1126" w:right="0" w:firstLine="0"/>
        <w:jc w:val="left"/>
        <w:rPr>
          <w:sz w:val="20"/>
        </w:rPr>
      </w:pPr>
      <w:r>
        <w:rPr>
          <w:spacing w:val="-5"/>
          <w:sz w:val="20"/>
        </w:rPr>
        <w:t>90</w:t>
      </w:r>
    </w:p>
    <w:p>
      <w:pPr>
        <w:spacing w:before="228"/>
        <w:ind w:left="1126" w:right="0" w:firstLine="0"/>
        <w:jc w:val="left"/>
        <w:rPr>
          <w:sz w:val="20"/>
        </w:rPr>
      </w:pPr>
      <w:r>
        <w:rPr/>
        <mc:AlternateContent>
          <mc:Choice Requires="wps">
            <w:drawing>
              <wp:anchor distT="0" distB="0" distL="0" distR="0" allowOverlap="1" layoutInCell="1" locked="0" behindDoc="0" simplePos="0" relativeHeight="15729664">
                <wp:simplePos x="0" y="0"/>
                <wp:positionH relativeFrom="page">
                  <wp:posOffset>1086332</wp:posOffset>
                </wp:positionH>
                <wp:positionV relativeFrom="paragraph">
                  <wp:posOffset>247052</wp:posOffset>
                </wp:positionV>
                <wp:extent cx="152400" cy="17653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52400" cy="1765300"/>
                        </a:xfrm>
                        <a:prstGeom prst="rect">
                          <a:avLst/>
                        </a:prstGeom>
                      </wps:spPr>
                      <wps:txbx>
                        <w:txbxContent>
                          <w:p>
                            <w:pPr>
                              <w:spacing w:line="223" w:lineRule="exact" w:before="0"/>
                              <w:ind w:left="20" w:right="0" w:firstLine="0"/>
                              <w:jc w:val="left"/>
                              <w:rPr>
                                <w:b/>
                                <w:sz w:val="20"/>
                              </w:rPr>
                            </w:pPr>
                            <w:r>
                              <w:rPr>
                                <w:b/>
                                <w:spacing w:val="-2"/>
                                <w:sz w:val="20"/>
                              </w:rPr>
                              <w:t>Percentage</w:t>
                            </w:r>
                            <w:r>
                              <w:rPr>
                                <w:b/>
                                <w:spacing w:val="6"/>
                                <w:sz w:val="20"/>
                              </w:rPr>
                              <w:t> </w:t>
                            </w:r>
                            <w:r>
                              <w:rPr>
                                <w:b/>
                                <w:spacing w:val="-2"/>
                                <w:sz w:val="20"/>
                              </w:rPr>
                              <w:t>susceptibility</w:t>
                            </w:r>
                            <w:r>
                              <w:rPr>
                                <w:b/>
                                <w:spacing w:val="12"/>
                                <w:sz w:val="20"/>
                              </w:rPr>
                              <w:t> </w:t>
                            </w:r>
                            <w:r>
                              <w:rPr>
                                <w:b/>
                                <w:spacing w:val="-2"/>
                                <w:sz w:val="20"/>
                              </w:rPr>
                              <w:t>pattern</w:t>
                            </w:r>
                          </w:p>
                        </w:txbxContent>
                      </wps:txbx>
                      <wps:bodyPr wrap="square" lIns="0" tIns="0" rIns="0" bIns="0" rtlCol="0" vert="vert270">
                        <a:noAutofit/>
                      </wps:bodyPr>
                    </wps:wsp>
                  </a:graphicData>
                </a:graphic>
              </wp:anchor>
            </w:drawing>
          </mc:Choice>
          <mc:Fallback>
            <w:pict>
              <v:shape style="position:absolute;margin-left:85.538002pt;margin-top:19.452942pt;width:12pt;height:139pt;mso-position-horizontal-relative:page;mso-position-vertical-relative:paragraph;z-index:15729664" type="#_x0000_t202" id="docshape9" filled="false" stroked="false">
                <v:textbox inset="0,0,0,0" style="layout-flow:vertical;mso-layout-flow-alt:bottom-to-top">
                  <w:txbxContent>
                    <w:p>
                      <w:pPr>
                        <w:spacing w:line="223" w:lineRule="exact" w:before="0"/>
                        <w:ind w:left="20" w:right="0" w:firstLine="0"/>
                        <w:jc w:val="left"/>
                        <w:rPr>
                          <w:b/>
                          <w:sz w:val="20"/>
                        </w:rPr>
                      </w:pPr>
                      <w:r>
                        <w:rPr>
                          <w:b/>
                          <w:spacing w:val="-2"/>
                          <w:sz w:val="20"/>
                        </w:rPr>
                        <w:t>Percentage</w:t>
                      </w:r>
                      <w:r>
                        <w:rPr>
                          <w:b/>
                          <w:spacing w:val="6"/>
                          <w:sz w:val="20"/>
                        </w:rPr>
                        <w:t> </w:t>
                      </w:r>
                      <w:r>
                        <w:rPr>
                          <w:b/>
                          <w:spacing w:val="-2"/>
                          <w:sz w:val="20"/>
                        </w:rPr>
                        <w:t>susceptibility</w:t>
                      </w:r>
                      <w:r>
                        <w:rPr>
                          <w:b/>
                          <w:spacing w:val="12"/>
                          <w:sz w:val="20"/>
                        </w:rPr>
                        <w:t> </w:t>
                      </w:r>
                      <w:r>
                        <w:rPr>
                          <w:b/>
                          <w:spacing w:val="-2"/>
                          <w:sz w:val="20"/>
                        </w:rPr>
                        <w:t>pattern</w:t>
                      </w:r>
                    </w:p>
                  </w:txbxContent>
                </v:textbox>
                <w10:wrap type="none"/>
              </v:shape>
            </w:pict>
          </mc:Fallback>
        </mc:AlternateContent>
      </w:r>
      <w:r>
        <w:rPr>
          <w:spacing w:val="-5"/>
          <w:sz w:val="20"/>
        </w:rPr>
        <w:t>80</w:t>
      </w:r>
    </w:p>
    <w:p>
      <w:pPr>
        <w:spacing w:before="227"/>
        <w:ind w:left="1126" w:right="0" w:firstLine="0"/>
        <w:jc w:val="left"/>
        <w:rPr>
          <w:sz w:val="20"/>
        </w:rPr>
      </w:pPr>
      <w:r>
        <w:rPr>
          <w:spacing w:val="-5"/>
          <w:sz w:val="20"/>
        </w:rPr>
        <w:t>70</w:t>
      </w:r>
    </w:p>
    <w:p>
      <w:pPr>
        <w:spacing w:before="227"/>
        <w:ind w:left="1126" w:right="0" w:firstLine="0"/>
        <w:jc w:val="left"/>
        <w:rPr>
          <w:sz w:val="20"/>
        </w:rPr>
      </w:pPr>
      <w:r>
        <w:rPr>
          <w:spacing w:val="-5"/>
          <w:sz w:val="20"/>
        </w:rPr>
        <w:t>60</w:t>
      </w:r>
    </w:p>
    <w:p>
      <w:pPr>
        <w:spacing w:line="210" w:lineRule="exact" w:before="52"/>
        <w:ind w:left="8266" w:right="0" w:firstLine="0"/>
        <w:jc w:val="left"/>
        <w:rPr>
          <w:sz w:val="20"/>
        </w:rPr>
      </w:pPr>
      <w:r>
        <w:rPr/>
        <w:drawing>
          <wp:inline distT="0" distB="0" distL="0" distR="0">
            <wp:extent cx="70103" cy="70103"/>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251" cstate="print"/>
                    <a:stretch>
                      <a:fillRect/>
                    </a:stretch>
                  </pic:blipFill>
                  <pic:spPr>
                    <a:xfrm>
                      <a:off x="0" y="0"/>
                      <a:ext cx="70103" cy="70103"/>
                    </a:xfrm>
                    <a:prstGeom prst="rect">
                      <a:avLst/>
                    </a:prstGeom>
                  </pic:spPr>
                </pic:pic>
              </a:graphicData>
            </a:graphic>
          </wp:inline>
        </w:drawing>
      </w:r>
      <w:r>
        <w:rPr/>
      </w:r>
      <w:r>
        <w:rPr>
          <w:rFonts w:ascii="Times New Roman"/>
          <w:sz w:val="20"/>
        </w:rPr>
        <w:t> </w:t>
      </w:r>
      <w:r>
        <w:rPr>
          <w:sz w:val="20"/>
        </w:rPr>
        <w:t>CRO</w:t>
      </w:r>
    </w:p>
    <w:p>
      <w:pPr>
        <w:spacing w:line="181" w:lineRule="exact" w:before="0"/>
        <w:ind w:left="1126" w:right="0" w:firstLine="0"/>
        <w:jc w:val="left"/>
        <w:rPr>
          <w:sz w:val="20"/>
        </w:rPr>
      </w:pPr>
      <w:r>
        <w:rPr>
          <w:spacing w:val="-5"/>
          <w:sz w:val="20"/>
        </w:rPr>
        <w:t>50</w:t>
      </w:r>
    </w:p>
    <w:p>
      <w:pPr>
        <w:spacing w:line="215" w:lineRule="exact" w:before="0"/>
        <w:ind w:left="8266" w:right="0" w:firstLine="0"/>
        <w:jc w:val="left"/>
        <w:rPr>
          <w:sz w:val="20"/>
        </w:rPr>
      </w:pPr>
      <w:r>
        <w:rPr/>
        <w:drawing>
          <wp:inline distT="0" distB="0" distL="0" distR="0">
            <wp:extent cx="70103" cy="70103"/>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252" cstate="print"/>
                    <a:stretch>
                      <a:fillRect/>
                    </a:stretch>
                  </pic:blipFill>
                  <pic:spPr>
                    <a:xfrm>
                      <a:off x="0" y="0"/>
                      <a:ext cx="70103" cy="70103"/>
                    </a:xfrm>
                    <a:prstGeom prst="rect">
                      <a:avLst/>
                    </a:prstGeom>
                  </pic:spPr>
                </pic:pic>
              </a:graphicData>
            </a:graphic>
          </wp:inline>
        </w:drawing>
      </w:r>
      <w:r>
        <w:rPr/>
      </w:r>
      <w:r>
        <w:rPr>
          <w:rFonts w:ascii="Times New Roman"/>
          <w:sz w:val="20"/>
        </w:rPr>
        <w:t> </w:t>
      </w:r>
      <w:r>
        <w:rPr>
          <w:sz w:val="20"/>
        </w:rPr>
        <w:t>CN</w:t>
      </w:r>
    </w:p>
    <w:p>
      <w:pPr>
        <w:tabs>
          <w:tab w:pos="7139" w:val="left" w:leader="none"/>
        </w:tabs>
        <w:spacing w:before="37"/>
        <w:ind w:left="0" w:right="1566" w:firstLine="0"/>
        <w:jc w:val="right"/>
        <w:rPr>
          <w:sz w:val="20"/>
        </w:rPr>
      </w:pPr>
      <w:r>
        <w:rPr>
          <w:spacing w:val="-5"/>
          <w:position w:val="8"/>
          <w:sz w:val="20"/>
        </w:rPr>
        <w:t>40</w:t>
      </w:r>
      <w:r>
        <w:rPr>
          <w:position w:val="8"/>
          <w:sz w:val="20"/>
        </w:rPr>
        <w:tab/>
      </w:r>
      <w:r>
        <w:rPr>
          <w:sz w:val="20"/>
        </w:rPr>
        <w:drawing>
          <wp:inline distT="0" distB="0" distL="0" distR="0">
            <wp:extent cx="70103" cy="68579"/>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253" cstate="print"/>
                    <a:stretch>
                      <a:fillRect/>
                    </a:stretch>
                  </pic:blipFill>
                  <pic:spPr>
                    <a:xfrm>
                      <a:off x="0" y="0"/>
                      <a:ext cx="70103" cy="68579"/>
                    </a:xfrm>
                    <a:prstGeom prst="rect">
                      <a:avLst/>
                    </a:prstGeom>
                  </pic:spPr>
                </pic:pic>
              </a:graphicData>
            </a:graphic>
          </wp:inline>
        </w:drawing>
      </w:r>
      <w:r>
        <w:rPr>
          <w:sz w:val="20"/>
        </w:rPr>
      </w:r>
      <w:r>
        <w:rPr>
          <w:rFonts w:ascii="Times New Roman"/>
          <w:sz w:val="20"/>
        </w:rPr>
        <w:t> </w:t>
      </w:r>
      <w:r>
        <w:rPr>
          <w:sz w:val="20"/>
        </w:rPr>
        <w:t>AMC</w:t>
      </w:r>
    </w:p>
    <w:p>
      <w:pPr>
        <w:tabs>
          <w:tab w:pos="7139" w:val="left" w:leader="none"/>
        </w:tabs>
        <w:spacing w:before="118"/>
        <w:ind w:left="0" w:right="1662" w:firstLine="0"/>
        <w:jc w:val="right"/>
        <w:rPr>
          <w:sz w:val="20"/>
        </w:rPr>
      </w:pPr>
      <w:r>
        <w:rPr>
          <w:spacing w:val="-5"/>
          <w:position w:val="-2"/>
          <w:sz w:val="20"/>
        </w:rPr>
        <w:t>30</w:t>
      </w:r>
      <w:r>
        <w:rPr>
          <w:position w:val="-2"/>
          <w:sz w:val="20"/>
        </w:rPr>
        <w:tab/>
      </w:r>
      <w:r>
        <w:rPr>
          <w:sz w:val="20"/>
        </w:rPr>
        <w:drawing>
          <wp:inline distT="0" distB="0" distL="0" distR="0">
            <wp:extent cx="70103" cy="70103"/>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254" cstate="print"/>
                    <a:stretch>
                      <a:fillRect/>
                    </a:stretch>
                  </pic:blipFill>
                  <pic:spPr>
                    <a:xfrm>
                      <a:off x="0" y="0"/>
                      <a:ext cx="70103" cy="70103"/>
                    </a:xfrm>
                    <a:prstGeom prst="rect">
                      <a:avLst/>
                    </a:prstGeom>
                  </pic:spPr>
                </pic:pic>
              </a:graphicData>
            </a:graphic>
          </wp:inline>
        </w:drawing>
      </w:r>
      <w:r>
        <w:rPr>
          <w:sz w:val="20"/>
        </w:rPr>
      </w:r>
      <w:r>
        <w:rPr>
          <w:rFonts w:ascii="Times New Roman"/>
          <w:sz w:val="20"/>
        </w:rPr>
        <w:t> </w:t>
      </w:r>
      <w:r>
        <w:rPr>
          <w:sz w:val="20"/>
        </w:rPr>
        <w:t>LEV</w:t>
      </w:r>
    </w:p>
    <w:p>
      <w:pPr>
        <w:spacing w:line="193" w:lineRule="exact" w:before="87"/>
        <w:ind w:left="0" w:right="1579" w:firstLine="0"/>
        <w:jc w:val="right"/>
        <w:rPr>
          <w:sz w:val="20"/>
        </w:rPr>
      </w:pPr>
      <w:r>
        <w:rPr/>
        <w:drawing>
          <wp:inline distT="0" distB="0" distL="0" distR="0">
            <wp:extent cx="70103" cy="70103"/>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55" cstate="print"/>
                    <a:stretch>
                      <a:fillRect/>
                    </a:stretch>
                  </pic:blipFill>
                  <pic:spPr>
                    <a:xfrm>
                      <a:off x="0" y="0"/>
                      <a:ext cx="70103" cy="70103"/>
                    </a:xfrm>
                    <a:prstGeom prst="rect">
                      <a:avLst/>
                    </a:prstGeom>
                  </pic:spPr>
                </pic:pic>
              </a:graphicData>
            </a:graphic>
          </wp:inline>
        </w:drawing>
      </w:r>
      <w:r>
        <w:rPr/>
      </w:r>
      <w:r>
        <w:rPr>
          <w:rFonts w:ascii="Times New Roman"/>
          <w:sz w:val="20"/>
        </w:rPr>
        <w:t> </w:t>
      </w:r>
      <w:r>
        <w:rPr>
          <w:sz w:val="20"/>
        </w:rPr>
        <w:t>AZM</w:t>
      </w:r>
    </w:p>
    <w:p>
      <w:pPr>
        <w:spacing w:line="193" w:lineRule="exact" w:before="0"/>
        <w:ind w:left="1126" w:right="0" w:firstLine="0"/>
        <w:jc w:val="left"/>
        <w:rPr>
          <w:sz w:val="20"/>
        </w:rPr>
      </w:pPr>
      <w:r>
        <w:rPr>
          <w:spacing w:val="-5"/>
          <w:sz w:val="20"/>
        </w:rPr>
        <w:t>20</w:t>
      </w:r>
    </w:p>
    <w:p>
      <w:pPr>
        <w:spacing w:before="228"/>
        <w:ind w:left="1126" w:right="0" w:firstLine="0"/>
        <w:jc w:val="left"/>
        <w:rPr>
          <w:sz w:val="20"/>
        </w:rPr>
      </w:pPr>
      <w:r>
        <w:rPr>
          <w:spacing w:val="-5"/>
          <w:sz w:val="20"/>
        </w:rPr>
        <w:t>10</w:t>
      </w:r>
    </w:p>
    <w:p>
      <w:pPr>
        <w:pStyle w:val="BodyText"/>
        <w:spacing w:before="9"/>
        <w:rPr>
          <w:sz w:val="13"/>
        </w:rPr>
      </w:pPr>
    </w:p>
    <w:p>
      <w:pPr>
        <w:spacing w:after="0"/>
        <w:rPr>
          <w:sz w:val="13"/>
        </w:rPr>
        <w:sectPr>
          <w:pgSz w:w="11910" w:h="16840"/>
          <w:pgMar w:header="0" w:footer="1055" w:top="1920" w:bottom="1240" w:left="1060" w:right="460"/>
        </w:sectPr>
      </w:pPr>
    </w:p>
    <w:p>
      <w:pPr>
        <w:spacing w:before="59"/>
        <w:ind w:left="0" w:right="0" w:firstLine="0"/>
        <w:jc w:val="center"/>
        <w:rPr>
          <w:sz w:val="20"/>
        </w:rPr>
      </w:pPr>
      <w:r>
        <w:rPr>
          <w:spacing w:val="-10"/>
          <w:sz w:val="20"/>
        </w:rPr>
        <w:t>0</w:t>
      </w:r>
    </w:p>
    <w:p>
      <w:pPr>
        <w:spacing w:before="75"/>
        <w:ind w:left="1543" w:right="0" w:firstLine="0"/>
        <w:jc w:val="center"/>
        <w:rPr>
          <w:i/>
          <w:sz w:val="20"/>
        </w:rPr>
      </w:pPr>
      <w:r>
        <w:rPr>
          <w:i/>
          <w:spacing w:val="-2"/>
          <w:sz w:val="20"/>
        </w:rPr>
        <w:t>Kleb.</w:t>
      </w:r>
    </w:p>
    <w:p>
      <w:pPr>
        <w:spacing w:before="0"/>
        <w:ind w:left="1543" w:right="0" w:firstLine="0"/>
        <w:jc w:val="center"/>
        <w:rPr>
          <w:i/>
          <w:sz w:val="20"/>
        </w:rPr>
      </w:pPr>
      <w:r>
        <w:rPr>
          <w:i/>
          <w:spacing w:val="-2"/>
          <w:sz w:val="20"/>
        </w:rPr>
        <w:t>Pneumoniae</w:t>
      </w:r>
    </w:p>
    <w:p>
      <w:pPr>
        <w:spacing w:line="240" w:lineRule="auto" w:before="133"/>
        <w:rPr>
          <w:i/>
          <w:sz w:val="20"/>
        </w:rPr>
      </w:pPr>
      <w:r>
        <w:rPr/>
        <w:br w:type="column"/>
      </w:r>
      <w:r>
        <w:rPr>
          <w:i/>
          <w:sz w:val="20"/>
        </w:rPr>
      </w:r>
    </w:p>
    <w:p>
      <w:pPr>
        <w:tabs>
          <w:tab w:pos="2593" w:val="left" w:leader="none"/>
        </w:tabs>
        <w:spacing w:before="1"/>
        <w:ind w:left="158" w:right="0" w:firstLine="0"/>
        <w:jc w:val="left"/>
        <w:rPr>
          <w:i/>
          <w:sz w:val="20"/>
        </w:rPr>
      </w:pPr>
      <w:r>
        <w:rPr>
          <w:i/>
          <w:sz w:val="20"/>
        </w:rPr>
        <w:t>S.</w:t>
      </w:r>
      <w:r>
        <w:rPr>
          <w:i/>
          <w:spacing w:val="-4"/>
          <w:sz w:val="20"/>
        </w:rPr>
        <w:t> </w:t>
      </w:r>
      <w:r>
        <w:rPr>
          <w:i/>
          <w:sz w:val="20"/>
        </w:rPr>
        <w:t>aureus</w:t>
      </w:r>
      <w:r>
        <w:rPr>
          <w:i/>
          <w:spacing w:val="40"/>
          <w:sz w:val="20"/>
        </w:rPr>
        <w:t>  </w:t>
      </w:r>
      <w:r>
        <w:rPr>
          <w:i/>
          <w:sz w:val="20"/>
        </w:rPr>
        <w:t>H.</w:t>
      </w:r>
      <w:r>
        <w:rPr>
          <w:i/>
          <w:spacing w:val="-2"/>
          <w:sz w:val="20"/>
        </w:rPr>
        <w:t> influenzae</w:t>
      </w:r>
      <w:r>
        <w:rPr>
          <w:i/>
          <w:sz w:val="20"/>
        </w:rPr>
        <w:tab/>
      </w:r>
      <w:r>
        <w:rPr>
          <w:i/>
          <w:spacing w:val="-5"/>
          <w:sz w:val="20"/>
        </w:rPr>
        <w:t>P.</w:t>
      </w:r>
    </w:p>
    <w:p>
      <w:pPr>
        <w:spacing w:before="0"/>
        <w:ind w:left="2219" w:right="0" w:firstLine="0"/>
        <w:jc w:val="left"/>
        <w:rPr>
          <w:i/>
          <w:sz w:val="20"/>
        </w:rPr>
      </w:pPr>
      <w:r>
        <w:rPr>
          <w:i/>
          <w:spacing w:val="-2"/>
          <w:sz w:val="20"/>
        </w:rPr>
        <w:t>aeruginosa</w:t>
      </w:r>
    </w:p>
    <w:p>
      <w:pPr>
        <w:spacing w:line="240" w:lineRule="auto" w:before="133"/>
        <w:rPr>
          <w:i/>
          <w:sz w:val="20"/>
        </w:rPr>
      </w:pPr>
      <w:r>
        <w:rPr/>
        <w:br w:type="column"/>
      </w:r>
      <w:r>
        <w:rPr>
          <w:i/>
          <w:sz w:val="20"/>
        </w:rPr>
      </w:r>
    </w:p>
    <w:p>
      <w:pPr>
        <w:spacing w:before="1"/>
        <w:ind w:left="74" w:right="0" w:firstLine="235"/>
        <w:jc w:val="left"/>
        <w:rPr>
          <w:i/>
          <w:sz w:val="20"/>
        </w:rPr>
      </w:pPr>
      <w:r>
        <w:rPr>
          <w:i/>
          <w:spacing w:val="-2"/>
          <w:sz w:val="20"/>
        </w:rPr>
        <w:t>Strept. pneumoniae</w:t>
      </w:r>
    </w:p>
    <w:p>
      <w:pPr>
        <w:spacing w:line="240" w:lineRule="auto" w:before="133"/>
        <w:rPr>
          <w:i/>
          <w:sz w:val="20"/>
        </w:rPr>
      </w:pPr>
      <w:r>
        <w:rPr/>
        <w:br w:type="column"/>
      </w:r>
      <w:r>
        <w:rPr>
          <w:i/>
          <w:sz w:val="20"/>
        </w:rPr>
      </w:r>
    </w:p>
    <w:p>
      <w:pPr>
        <w:spacing w:before="1"/>
        <w:ind w:left="177" w:right="2626" w:firstLine="74"/>
        <w:jc w:val="left"/>
        <w:rPr>
          <w:i/>
          <w:sz w:val="20"/>
        </w:rPr>
      </w:pPr>
      <w:r>
        <w:rPr>
          <w:i/>
          <w:spacing w:val="-2"/>
          <w:sz w:val="20"/>
        </w:rPr>
        <w:t>Strept. pyogene</w:t>
      </w:r>
    </w:p>
    <w:p>
      <w:pPr>
        <w:spacing w:after="0"/>
        <w:jc w:val="left"/>
        <w:rPr>
          <w:sz w:val="20"/>
        </w:rPr>
        <w:sectPr>
          <w:type w:val="continuous"/>
          <w:pgSz w:w="11910" w:h="16840"/>
          <w:pgMar w:header="0" w:footer="1055" w:top="1360" w:bottom="1240" w:left="1060" w:right="460"/>
          <w:cols w:num="4" w:equalWidth="0">
            <w:col w:w="2557" w:space="40"/>
            <w:col w:w="3123" w:space="39"/>
            <w:col w:w="1091" w:space="39"/>
            <w:col w:w="3501"/>
          </w:cols>
        </w:sectPr>
      </w:pPr>
    </w:p>
    <w:p>
      <w:pPr>
        <w:pStyle w:val="BodyText"/>
        <w:spacing w:before="46"/>
        <w:rPr>
          <w:i/>
          <w:sz w:val="20"/>
        </w:rPr>
      </w:pPr>
    </w:p>
    <w:p>
      <w:pPr>
        <w:spacing w:before="0"/>
        <w:ind w:left="0" w:right="1013" w:firstLine="0"/>
        <w:jc w:val="center"/>
        <w:rPr>
          <w:b/>
          <w:sz w:val="20"/>
        </w:rPr>
      </w:pPr>
      <w:r>
        <w:rPr>
          <w:b/>
          <w:spacing w:val="-2"/>
          <w:sz w:val="20"/>
        </w:rPr>
        <w:t>Bacterial</w:t>
      </w:r>
      <w:r>
        <w:rPr>
          <w:b/>
          <w:spacing w:val="4"/>
          <w:sz w:val="20"/>
        </w:rPr>
        <w:t> </w:t>
      </w:r>
      <w:r>
        <w:rPr>
          <w:b/>
          <w:spacing w:val="-2"/>
          <w:sz w:val="20"/>
        </w:rPr>
        <w:t>isolates</w:t>
      </w:r>
    </w:p>
    <w:p>
      <w:pPr>
        <w:pStyle w:val="BodyText"/>
        <w:rPr>
          <w:b/>
        </w:rPr>
      </w:pPr>
    </w:p>
    <w:p>
      <w:pPr>
        <w:pStyle w:val="BodyText"/>
        <w:spacing w:before="205"/>
        <w:rPr>
          <w:b/>
        </w:rPr>
      </w:pPr>
    </w:p>
    <w:p>
      <w:pPr>
        <w:pStyle w:val="BodyText"/>
        <w:tabs>
          <w:tab w:pos="1820" w:val="left" w:leader="none"/>
        </w:tabs>
        <w:spacing w:line="256" w:lineRule="auto"/>
        <w:ind w:left="1820" w:right="1163" w:hanging="1440"/>
      </w:pPr>
      <w:r>
        <w:rPr/>
        <w:t>Figure 4.1:</w:t>
        <w:tab/>
        <w:t>The</w:t>
      </w:r>
      <w:r>
        <w:rPr>
          <w:spacing w:val="-3"/>
        </w:rPr>
        <w:t> </w:t>
      </w:r>
      <w:r>
        <w:rPr/>
        <w:t>antibiotic</w:t>
      </w:r>
      <w:r>
        <w:rPr>
          <w:spacing w:val="-3"/>
        </w:rPr>
        <w:t> </w:t>
      </w:r>
      <w:r>
        <w:rPr/>
        <w:t>susceptibility</w:t>
      </w:r>
      <w:r>
        <w:rPr>
          <w:spacing w:val="-5"/>
        </w:rPr>
        <w:t> </w:t>
      </w:r>
      <w:r>
        <w:rPr/>
        <w:t>pattern</w:t>
      </w:r>
      <w:r>
        <w:rPr>
          <w:spacing w:val="-6"/>
        </w:rPr>
        <w:t> </w:t>
      </w:r>
      <w:r>
        <w:rPr/>
        <w:t>of</w:t>
      </w:r>
      <w:r>
        <w:rPr>
          <w:spacing w:val="-1"/>
        </w:rPr>
        <w:t> </w:t>
      </w:r>
      <w:r>
        <w:rPr/>
        <w:t>bacteria</w:t>
      </w:r>
      <w:r>
        <w:rPr>
          <w:spacing w:val="-4"/>
        </w:rPr>
        <w:t> </w:t>
      </w:r>
      <w:r>
        <w:rPr/>
        <w:t>isolates</w:t>
      </w:r>
      <w:r>
        <w:rPr>
          <w:spacing w:val="-2"/>
        </w:rPr>
        <w:t> </w:t>
      </w:r>
      <w:r>
        <w:rPr/>
        <w:t>from</w:t>
      </w:r>
      <w:r>
        <w:rPr>
          <w:spacing w:val="-2"/>
        </w:rPr>
        <w:t> </w:t>
      </w:r>
      <w:r>
        <w:rPr/>
        <w:t>RTI</w:t>
      </w:r>
      <w:r>
        <w:rPr>
          <w:spacing w:val="-3"/>
        </w:rPr>
        <w:t> </w:t>
      </w:r>
      <w:r>
        <w:rPr/>
        <w:t>patients</w:t>
      </w:r>
      <w:r>
        <w:rPr>
          <w:spacing w:val="-2"/>
        </w:rPr>
        <w:t> </w:t>
      </w:r>
      <w:r>
        <w:rPr/>
        <w:t>in</w:t>
      </w:r>
      <w:r>
        <w:rPr>
          <w:spacing w:val="-5"/>
        </w:rPr>
        <w:t> </w:t>
      </w:r>
      <w:r>
        <w:rPr/>
        <w:t>ABUTH &amp; ABUHS, Zaria.</w:t>
      </w:r>
    </w:p>
    <w:p>
      <w:pPr>
        <w:pStyle w:val="BodyText"/>
      </w:pPr>
    </w:p>
    <w:p>
      <w:pPr>
        <w:pStyle w:val="BodyText"/>
        <w:spacing w:before="76"/>
      </w:pPr>
    </w:p>
    <w:p>
      <w:pPr>
        <w:pStyle w:val="BodyText"/>
        <w:spacing w:line="259" w:lineRule="auto"/>
        <w:ind w:left="1820" w:right="975" w:hanging="1440"/>
      </w:pPr>
      <w:r>
        <w:rPr/>
        <w:t>Key:</w:t>
      </w:r>
      <w:r>
        <w:rPr>
          <w:spacing w:val="-6"/>
        </w:rPr>
        <w:t> </w:t>
      </w:r>
      <w:r>
        <w:rPr/>
        <w:t>CN=Gentamicin,</w:t>
      </w:r>
      <w:r>
        <w:rPr>
          <w:spacing w:val="-6"/>
        </w:rPr>
        <w:t> </w:t>
      </w:r>
      <w:r>
        <w:rPr/>
        <w:t>CRO=Ceftriaxone,</w:t>
      </w:r>
      <w:r>
        <w:rPr>
          <w:spacing w:val="-6"/>
        </w:rPr>
        <w:t> </w:t>
      </w:r>
      <w:r>
        <w:rPr/>
        <w:t>AMC=Amoxicillin-Clavulanic</w:t>
      </w:r>
      <w:r>
        <w:rPr>
          <w:spacing w:val="-6"/>
        </w:rPr>
        <w:t> </w:t>
      </w:r>
      <w:r>
        <w:rPr/>
        <w:t>acid,</w:t>
      </w:r>
      <w:r>
        <w:rPr>
          <w:spacing w:val="-8"/>
        </w:rPr>
        <w:t> </w:t>
      </w:r>
      <w:r>
        <w:rPr/>
        <w:t>LEV=Levofloxacin, </w:t>
      </w:r>
      <w:r>
        <w:rPr>
          <w:spacing w:val="-2"/>
        </w:rPr>
        <w:t>AZM=Azithromycin.</w:t>
      </w:r>
    </w:p>
    <w:p>
      <w:pPr>
        <w:spacing w:after="0" w:line="259" w:lineRule="auto"/>
        <w:sectPr>
          <w:type w:val="continuous"/>
          <w:pgSz w:w="11910" w:h="16840"/>
          <w:pgMar w:header="0" w:footer="1055" w:top="1360" w:bottom="1240" w:left="106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9"/>
        <w:rPr>
          <w:sz w:val="20"/>
        </w:rPr>
      </w:pPr>
    </w:p>
    <w:p>
      <w:pPr>
        <w:spacing w:after="0"/>
        <w:rPr>
          <w:sz w:val="20"/>
        </w:rPr>
        <w:sectPr>
          <w:pgSz w:w="11910" w:h="16840"/>
          <w:pgMar w:header="0" w:footer="1055" w:top="1920" w:bottom="1240" w:left="1060" w:right="460"/>
        </w:sectPr>
      </w:pPr>
    </w:p>
    <w:p>
      <w:pPr>
        <w:spacing w:before="59"/>
        <w:ind w:left="0" w:right="145" w:firstLine="0"/>
        <w:jc w:val="right"/>
        <w:rPr>
          <w:sz w:val="20"/>
        </w:rPr>
      </w:pPr>
      <w:r>
        <w:rPr/>
        <mc:AlternateContent>
          <mc:Choice Requires="wps">
            <w:drawing>
              <wp:anchor distT="0" distB="0" distL="0" distR="0" allowOverlap="1" layoutInCell="1" locked="0" behindDoc="1" simplePos="0" relativeHeight="472705024">
                <wp:simplePos x="0" y="0"/>
                <wp:positionH relativeFrom="page">
                  <wp:posOffset>1850135</wp:posOffset>
                </wp:positionH>
                <wp:positionV relativeFrom="paragraph">
                  <wp:posOffset>108261</wp:posOffset>
                </wp:positionV>
                <wp:extent cx="3394075" cy="254635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3394075" cy="2546350"/>
                          <a:chExt cx="3394075" cy="2546350"/>
                        </a:xfrm>
                      </wpg:grpSpPr>
                      <pic:pic>
                        <pic:nvPicPr>
                          <pic:cNvPr id="20" name="Image 20"/>
                          <pic:cNvPicPr/>
                        </pic:nvPicPr>
                        <pic:blipFill>
                          <a:blip r:embed="rId256" cstate="print"/>
                          <a:stretch>
                            <a:fillRect/>
                          </a:stretch>
                        </pic:blipFill>
                        <pic:spPr>
                          <a:xfrm>
                            <a:off x="33528" y="0"/>
                            <a:ext cx="3360420" cy="2514600"/>
                          </a:xfrm>
                          <a:prstGeom prst="rect">
                            <a:avLst/>
                          </a:prstGeom>
                        </pic:spPr>
                      </pic:pic>
                      <wps:wsp>
                        <wps:cNvPr id="21" name="Graphic 21"/>
                        <wps:cNvSpPr/>
                        <wps:spPr>
                          <a:xfrm>
                            <a:off x="0" y="7620"/>
                            <a:ext cx="3249295" cy="2538730"/>
                          </a:xfrm>
                          <a:custGeom>
                            <a:avLst/>
                            <a:gdLst/>
                            <a:ahLst/>
                            <a:cxnLst/>
                            <a:rect l="l" t="t" r="r" b="b"/>
                            <a:pathLst>
                              <a:path w="3249295" h="2538730">
                                <a:moveTo>
                                  <a:pt x="134493" y="2084959"/>
                                </a:moveTo>
                                <a:lnTo>
                                  <a:pt x="94487" y="2084959"/>
                                </a:lnTo>
                              </a:path>
                              <a:path w="3249295" h="2538730">
                                <a:moveTo>
                                  <a:pt x="124968" y="1886712"/>
                                </a:moveTo>
                                <a:lnTo>
                                  <a:pt x="85343" y="1886712"/>
                                </a:lnTo>
                              </a:path>
                              <a:path w="3249295" h="2538730">
                                <a:moveTo>
                                  <a:pt x="117347" y="1685544"/>
                                </a:moveTo>
                                <a:lnTo>
                                  <a:pt x="76200" y="1685544"/>
                                </a:lnTo>
                              </a:path>
                              <a:path w="3249295" h="2538730">
                                <a:moveTo>
                                  <a:pt x="108203" y="1482852"/>
                                </a:moveTo>
                                <a:lnTo>
                                  <a:pt x="67056" y="1482852"/>
                                </a:lnTo>
                              </a:path>
                              <a:path w="3249295" h="2538730">
                                <a:moveTo>
                                  <a:pt x="99059" y="1278636"/>
                                </a:moveTo>
                                <a:lnTo>
                                  <a:pt x="57912" y="1278636"/>
                                </a:lnTo>
                              </a:path>
                              <a:path w="3249295" h="2538730">
                                <a:moveTo>
                                  <a:pt x="88391" y="1071372"/>
                                </a:moveTo>
                                <a:lnTo>
                                  <a:pt x="48768" y="1071372"/>
                                </a:lnTo>
                              </a:path>
                              <a:path w="3249295" h="2538730">
                                <a:moveTo>
                                  <a:pt x="79247" y="861060"/>
                                </a:moveTo>
                                <a:lnTo>
                                  <a:pt x="39624" y="861060"/>
                                </a:lnTo>
                              </a:path>
                              <a:path w="3249295" h="2538730">
                                <a:moveTo>
                                  <a:pt x="70103" y="649224"/>
                                </a:moveTo>
                                <a:lnTo>
                                  <a:pt x="30480" y="649224"/>
                                </a:lnTo>
                              </a:path>
                              <a:path w="3249295" h="2538730">
                                <a:moveTo>
                                  <a:pt x="60959" y="435864"/>
                                </a:moveTo>
                                <a:lnTo>
                                  <a:pt x="19812" y="435864"/>
                                </a:lnTo>
                              </a:path>
                              <a:path w="3249295" h="2538730">
                                <a:moveTo>
                                  <a:pt x="50291" y="219456"/>
                                </a:moveTo>
                                <a:lnTo>
                                  <a:pt x="10668" y="219456"/>
                                </a:lnTo>
                              </a:path>
                              <a:path w="3249295" h="2538730">
                                <a:moveTo>
                                  <a:pt x="41147" y="0"/>
                                </a:moveTo>
                                <a:lnTo>
                                  <a:pt x="0" y="0"/>
                                </a:lnTo>
                              </a:path>
                              <a:path w="3249295" h="2538730">
                                <a:moveTo>
                                  <a:pt x="134112" y="2084832"/>
                                </a:moveTo>
                                <a:lnTo>
                                  <a:pt x="134112" y="2125980"/>
                                </a:lnTo>
                              </a:path>
                              <a:path w="3249295" h="2538730">
                                <a:moveTo>
                                  <a:pt x="704088" y="2161032"/>
                                </a:moveTo>
                                <a:lnTo>
                                  <a:pt x="704088" y="2200656"/>
                                </a:lnTo>
                              </a:path>
                              <a:path w="3249295" h="2538730">
                                <a:moveTo>
                                  <a:pt x="1299971" y="2240280"/>
                                </a:moveTo>
                                <a:lnTo>
                                  <a:pt x="1299971" y="2279904"/>
                                </a:lnTo>
                              </a:path>
                              <a:path w="3249295" h="2538730">
                                <a:moveTo>
                                  <a:pt x="1920239" y="2322576"/>
                                </a:moveTo>
                                <a:lnTo>
                                  <a:pt x="1920239" y="2362200"/>
                                </a:lnTo>
                              </a:path>
                              <a:path w="3249295" h="2538730">
                                <a:moveTo>
                                  <a:pt x="2569464" y="2407920"/>
                                </a:moveTo>
                                <a:lnTo>
                                  <a:pt x="2569464" y="2449068"/>
                                </a:lnTo>
                              </a:path>
                              <a:path w="3249295" h="2538730">
                                <a:moveTo>
                                  <a:pt x="3249167" y="2497836"/>
                                </a:moveTo>
                                <a:lnTo>
                                  <a:pt x="3249167" y="2538730"/>
                                </a:lnTo>
                              </a:path>
                            </a:pathLst>
                          </a:custGeom>
                          <a:ln w="12700">
                            <a:solidFill>
                              <a:srgbClr val="8888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5.679993pt;margin-top:8.524531pt;width:267.25pt;height:200.5pt;mso-position-horizontal-relative:page;mso-position-vertical-relative:paragraph;z-index:-30611456" id="docshapegroup10" coordorigin="2914,170" coordsize="5345,4010">
                <v:shape style="position:absolute;left:2966;top:170;width:5292;height:3960" type="#_x0000_t75" id="docshape11" stroked="false">
                  <v:imagedata r:id="rId256" o:title=""/>
                </v:shape>
                <v:shape style="position:absolute;left:2913;top:182;width:5117;height:3998" id="docshape12" coordorigin="2914,182" coordsize="5117,3998" path="m3125,3466l3062,3466m3110,3154l3048,3154m3098,2837l3034,2837m3084,2518l3019,2518m3070,2196l3005,2196m3053,1870l2990,1870m3038,1538l2976,1538m3024,1205l2962,1205m3010,869l2945,869m2993,528l2930,528m2978,182l2914,182m3125,3466l3125,3530m4022,3586l4022,3648m4961,3710l4961,3773m5938,3840l5938,3902m6960,3974l6960,4039m8030,4116l8030,4180e" filled="false" stroked="true" strokeweight="1pt" strokecolor="#888888">
                  <v:path arrowok="t"/>
                  <v:stroke dashstyle="solid"/>
                </v:shape>
                <w10:wrap type="none"/>
              </v:group>
            </w:pict>
          </mc:Fallback>
        </mc:AlternateContent>
      </w:r>
      <w:r>
        <w:rPr>
          <w:spacing w:val="-5"/>
          <w:sz w:val="20"/>
        </w:rPr>
        <w:t>100</w:t>
      </w:r>
    </w:p>
    <w:p>
      <w:pPr>
        <w:spacing w:before="101"/>
        <w:ind w:left="0" w:right="130" w:firstLine="0"/>
        <w:jc w:val="right"/>
        <w:rPr>
          <w:sz w:val="20"/>
        </w:rPr>
      </w:pPr>
      <w:r>
        <w:rPr/>
        <mc:AlternateContent>
          <mc:Choice Requires="wps">
            <w:drawing>
              <wp:anchor distT="0" distB="0" distL="0" distR="0" allowOverlap="1" layoutInCell="1" locked="0" behindDoc="0" simplePos="0" relativeHeight="15730688">
                <wp:simplePos x="0" y="0"/>
                <wp:positionH relativeFrom="page">
                  <wp:posOffset>1342644</wp:posOffset>
                </wp:positionH>
                <wp:positionV relativeFrom="paragraph">
                  <wp:posOffset>85123</wp:posOffset>
                </wp:positionV>
                <wp:extent cx="152400" cy="17653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52400" cy="1765300"/>
                        </a:xfrm>
                        <a:prstGeom prst="rect">
                          <a:avLst/>
                        </a:prstGeom>
                      </wps:spPr>
                      <wps:txbx>
                        <w:txbxContent>
                          <w:p>
                            <w:pPr>
                              <w:spacing w:line="223" w:lineRule="exact" w:before="0"/>
                              <w:ind w:left="20" w:right="0" w:firstLine="0"/>
                              <w:jc w:val="left"/>
                              <w:rPr>
                                <w:b/>
                                <w:sz w:val="20"/>
                              </w:rPr>
                            </w:pPr>
                            <w:r>
                              <w:rPr>
                                <w:b/>
                                <w:spacing w:val="-2"/>
                                <w:sz w:val="20"/>
                              </w:rPr>
                              <w:t>Percentage</w:t>
                            </w:r>
                            <w:r>
                              <w:rPr>
                                <w:b/>
                                <w:spacing w:val="6"/>
                                <w:sz w:val="20"/>
                              </w:rPr>
                              <w:t> </w:t>
                            </w:r>
                            <w:r>
                              <w:rPr>
                                <w:b/>
                                <w:spacing w:val="-2"/>
                                <w:sz w:val="20"/>
                              </w:rPr>
                              <w:t>susceptibility</w:t>
                            </w:r>
                            <w:r>
                              <w:rPr>
                                <w:b/>
                                <w:spacing w:val="12"/>
                                <w:sz w:val="20"/>
                              </w:rPr>
                              <w:t> </w:t>
                            </w:r>
                            <w:r>
                              <w:rPr>
                                <w:b/>
                                <w:spacing w:val="-2"/>
                                <w:sz w:val="20"/>
                              </w:rPr>
                              <w:t>pattern</w:t>
                            </w:r>
                          </w:p>
                        </w:txbxContent>
                      </wps:txbx>
                      <wps:bodyPr wrap="square" lIns="0" tIns="0" rIns="0" bIns="0" rtlCol="0" vert="vert270">
                        <a:noAutofit/>
                      </wps:bodyPr>
                    </wps:wsp>
                  </a:graphicData>
                </a:graphic>
              </wp:anchor>
            </w:drawing>
          </mc:Choice>
          <mc:Fallback>
            <w:pict>
              <v:shape style="position:absolute;margin-left:105.720001pt;margin-top:6.70263pt;width:12pt;height:139pt;mso-position-horizontal-relative:page;mso-position-vertical-relative:paragraph;z-index:15730688" type="#_x0000_t202" id="docshape13" filled="false" stroked="false">
                <v:textbox inset="0,0,0,0" style="layout-flow:vertical;mso-layout-flow-alt:bottom-to-top">
                  <w:txbxContent>
                    <w:p>
                      <w:pPr>
                        <w:spacing w:line="223" w:lineRule="exact" w:before="0"/>
                        <w:ind w:left="20" w:right="0" w:firstLine="0"/>
                        <w:jc w:val="left"/>
                        <w:rPr>
                          <w:b/>
                          <w:sz w:val="20"/>
                        </w:rPr>
                      </w:pPr>
                      <w:r>
                        <w:rPr>
                          <w:b/>
                          <w:spacing w:val="-2"/>
                          <w:sz w:val="20"/>
                        </w:rPr>
                        <w:t>Percentage</w:t>
                      </w:r>
                      <w:r>
                        <w:rPr>
                          <w:b/>
                          <w:spacing w:val="6"/>
                          <w:sz w:val="20"/>
                        </w:rPr>
                        <w:t> </w:t>
                      </w:r>
                      <w:r>
                        <w:rPr>
                          <w:b/>
                          <w:spacing w:val="-2"/>
                          <w:sz w:val="20"/>
                        </w:rPr>
                        <w:t>susceptibility</w:t>
                      </w:r>
                      <w:r>
                        <w:rPr>
                          <w:b/>
                          <w:spacing w:val="12"/>
                          <w:sz w:val="20"/>
                        </w:rPr>
                        <w:t> </w:t>
                      </w:r>
                      <w:r>
                        <w:rPr>
                          <w:b/>
                          <w:spacing w:val="-2"/>
                          <w:sz w:val="20"/>
                        </w:rPr>
                        <w:t>pattern</w:t>
                      </w:r>
                    </w:p>
                  </w:txbxContent>
                </v:textbox>
                <w10:wrap type="none"/>
              </v:shape>
            </w:pict>
          </mc:Fallback>
        </mc:AlternateContent>
      </w:r>
      <w:r>
        <w:rPr>
          <w:spacing w:val="-5"/>
          <w:sz w:val="20"/>
        </w:rPr>
        <w:t>90</w:t>
      </w:r>
    </w:p>
    <w:p>
      <w:pPr>
        <w:spacing w:before="97"/>
        <w:ind w:left="0" w:right="114" w:firstLine="0"/>
        <w:jc w:val="right"/>
        <w:rPr>
          <w:sz w:val="20"/>
        </w:rPr>
      </w:pPr>
      <w:r>
        <w:rPr>
          <w:spacing w:val="-5"/>
          <w:sz w:val="20"/>
        </w:rPr>
        <w:t>80</w:t>
      </w:r>
    </w:p>
    <w:p>
      <w:pPr>
        <w:spacing w:before="94"/>
        <w:ind w:left="0" w:right="99" w:firstLine="0"/>
        <w:jc w:val="right"/>
        <w:rPr>
          <w:sz w:val="20"/>
        </w:rPr>
      </w:pPr>
      <w:r>
        <w:rPr>
          <w:spacing w:val="-5"/>
          <w:sz w:val="20"/>
        </w:rPr>
        <w:t>70</w:t>
      </w:r>
    </w:p>
    <w:p>
      <w:pPr>
        <w:spacing w:before="90"/>
        <w:ind w:left="0" w:right="84" w:firstLine="0"/>
        <w:jc w:val="right"/>
        <w:rPr>
          <w:sz w:val="20"/>
        </w:rPr>
      </w:pPr>
      <w:r>
        <w:rPr>
          <w:spacing w:val="-5"/>
          <w:sz w:val="20"/>
        </w:rPr>
        <w:t>60</w:t>
      </w:r>
    </w:p>
    <w:p>
      <w:pPr>
        <w:spacing w:before="85"/>
        <w:ind w:left="0" w:right="69" w:firstLine="0"/>
        <w:jc w:val="right"/>
        <w:rPr>
          <w:sz w:val="20"/>
        </w:rPr>
      </w:pPr>
      <w:r>
        <w:rPr>
          <w:spacing w:val="-5"/>
          <w:sz w:val="20"/>
        </w:rPr>
        <w:t>50</w:t>
      </w:r>
    </w:p>
    <w:p>
      <w:pPr>
        <w:spacing w:before="83"/>
        <w:ind w:left="0" w:right="55" w:firstLine="0"/>
        <w:jc w:val="right"/>
        <w:rPr>
          <w:sz w:val="20"/>
        </w:rPr>
      </w:pPr>
      <w:r>
        <w:rPr>
          <w:spacing w:val="-5"/>
          <w:sz w:val="20"/>
        </w:rPr>
        <w:t>40</w:t>
      </w:r>
    </w:p>
    <w:p>
      <w:pPr>
        <w:spacing w:before="79"/>
        <w:ind w:left="0" w:right="40" w:firstLine="0"/>
        <w:jc w:val="right"/>
        <w:rPr>
          <w:sz w:val="20"/>
        </w:rPr>
      </w:pPr>
      <w:r>
        <w:rPr>
          <w:spacing w:val="-5"/>
          <w:sz w:val="20"/>
        </w:rPr>
        <w:t>30</w:t>
      </w:r>
    </w:p>
    <w:p>
      <w:pPr>
        <w:spacing w:before="75"/>
        <w:ind w:left="0" w:right="26" w:firstLine="0"/>
        <w:jc w:val="right"/>
        <w:rPr>
          <w:sz w:val="20"/>
        </w:rPr>
      </w:pPr>
      <w:r>
        <w:rPr>
          <w:spacing w:val="-5"/>
          <w:sz w:val="20"/>
        </w:rPr>
        <w:t>20</w:t>
      </w:r>
    </w:p>
    <w:p>
      <w:pPr>
        <w:spacing w:before="71"/>
        <w:ind w:left="0" w:right="12" w:firstLine="0"/>
        <w:jc w:val="right"/>
        <w:rPr>
          <w:sz w:val="20"/>
        </w:rPr>
      </w:pPr>
      <w:r>
        <w:rPr>
          <w:spacing w:val="-5"/>
          <w:sz w:val="20"/>
        </w:rPr>
        <w:t>10</w:t>
      </w:r>
    </w:p>
    <w:p>
      <w:pPr>
        <w:spacing w:before="69"/>
        <w:ind w:left="0" w:right="0" w:firstLine="0"/>
        <w:jc w:val="right"/>
        <w:rPr>
          <w:sz w:val="20"/>
        </w:rPr>
      </w:pPr>
      <w:r>
        <w:rPr>
          <w:spacing w:val="-10"/>
          <w:sz w:val="20"/>
        </w:rPr>
        <w:t>0</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2"/>
        <w:rPr>
          <w:sz w:val="20"/>
        </w:rPr>
      </w:pPr>
    </w:p>
    <w:p>
      <w:pPr>
        <w:tabs>
          <w:tab w:pos="1391" w:val="left" w:leader="none"/>
        </w:tabs>
        <w:spacing w:before="0"/>
        <w:ind w:left="419" w:right="0" w:firstLine="0"/>
        <w:jc w:val="left"/>
        <w:rPr>
          <w:sz w:val="20"/>
        </w:rPr>
      </w:pPr>
      <w:r>
        <w:rPr>
          <w:spacing w:val="-5"/>
          <w:sz w:val="20"/>
        </w:rPr>
        <w:t>CRO</w:t>
      </w:r>
      <w:r>
        <w:rPr>
          <w:sz w:val="20"/>
        </w:rPr>
        <w:tab/>
      </w:r>
      <w:r>
        <w:rPr>
          <w:spacing w:val="-7"/>
          <w:position w:val="-10"/>
          <w:sz w:val="20"/>
        </w:rPr>
        <w:t>CN</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9"/>
        <w:rPr>
          <w:sz w:val="20"/>
        </w:rPr>
      </w:pPr>
    </w:p>
    <w:p>
      <w:pPr>
        <w:tabs>
          <w:tab w:pos="1652" w:val="left" w:leader="none"/>
        </w:tabs>
        <w:spacing w:before="1"/>
        <w:ind w:left="604" w:right="0" w:firstLine="0"/>
        <w:jc w:val="left"/>
        <w:rPr>
          <w:sz w:val="20"/>
        </w:rPr>
      </w:pPr>
      <w:r>
        <w:rPr>
          <w:spacing w:val="-5"/>
          <w:sz w:val="20"/>
        </w:rPr>
        <w:t>AMC</w:t>
      </w:r>
      <w:r>
        <w:rPr>
          <w:sz w:val="20"/>
        </w:rPr>
        <w:tab/>
      </w:r>
      <w:r>
        <w:rPr>
          <w:spacing w:val="-5"/>
          <w:position w:val="-12"/>
          <w:sz w:val="20"/>
        </w:rPr>
        <w:t>LEV</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6"/>
        <w:rPr>
          <w:sz w:val="20"/>
        </w:rPr>
      </w:pPr>
    </w:p>
    <w:p>
      <w:pPr>
        <w:spacing w:before="0"/>
        <w:ind w:left="670" w:right="0" w:firstLine="0"/>
        <w:jc w:val="left"/>
        <w:rPr>
          <w:sz w:val="20"/>
        </w:rPr>
      </w:pPr>
      <w:r>
        <w:rPr>
          <w:spacing w:val="-5"/>
          <w:sz w:val="20"/>
        </w:rPr>
        <w:t>AZM</w:t>
      </w:r>
    </w:p>
    <w:p>
      <w:pPr>
        <w:spacing w:after="0"/>
        <w:jc w:val="left"/>
        <w:rPr>
          <w:sz w:val="20"/>
        </w:rPr>
        <w:sectPr>
          <w:type w:val="continuous"/>
          <w:pgSz w:w="11910" w:h="16840"/>
          <w:pgMar w:header="0" w:footer="1055" w:top="1360" w:bottom="1240" w:left="1060" w:right="460"/>
          <w:cols w:num="4" w:equalWidth="0">
            <w:col w:w="1879" w:space="40"/>
            <w:col w:w="1626" w:space="39"/>
            <w:col w:w="1948" w:space="39"/>
            <w:col w:w="4819"/>
          </w:cols>
        </w:sectPr>
      </w:pPr>
    </w:p>
    <w:p>
      <w:pPr>
        <w:spacing w:before="197"/>
        <w:ind w:left="0" w:right="1346" w:firstLine="0"/>
        <w:jc w:val="center"/>
        <w:rPr>
          <w:b/>
          <w:sz w:val="20"/>
        </w:rPr>
      </w:pPr>
      <w:r>
        <w:rPr>
          <w:b/>
          <w:spacing w:val="-2"/>
          <w:sz w:val="20"/>
        </w:rPr>
        <w:t>Antibiotics</w:t>
      </w:r>
    </w:p>
    <w:p>
      <w:pPr>
        <w:pStyle w:val="BodyText"/>
        <w:rPr>
          <w:b/>
        </w:rPr>
      </w:pPr>
    </w:p>
    <w:p>
      <w:pPr>
        <w:pStyle w:val="BodyText"/>
        <w:rPr>
          <w:b/>
        </w:rPr>
      </w:pPr>
    </w:p>
    <w:p>
      <w:pPr>
        <w:pStyle w:val="BodyText"/>
        <w:spacing w:before="156"/>
        <w:rPr>
          <w:b/>
        </w:rPr>
      </w:pPr>
    </w:p>
    <w:p>
      <w:pPr>
        <w:pStyle w:val="BodyText"/>
        <w:tabs>
          <w:tab w:pos="1820" w:val="left" w:leader="none"/>
        </w:tabs>
        <w:spacing w:line="259" w:lineRule="auto"/>
        <w:ind w:left="1820" w:right="1163" w:hanging="1440"/>
      </w:pPr>
      <w:r>
        <w:rPr/>
        <w:t>Figure 4.2:</w:t>
        <w:tab/>
        <w:t>The</w:t>
      </w:r>
      <w:r>
        <w:rPr>
          <w:spacing w:val="-3"/>
        </w:rPr>
        <w:t> </w:t>
      </w:r>
      <w:r>
        <w:rPr/>
        <w:t>antibiotic</w:t>
      </w:r>
      <w:r>
        <w:rPr>
          <w:spacing w:val="-3"/>
        </w:rPr>
        <w:t> </w:t>
      </w:r>
      <w:r>
        <w:rPr/>
        <w:t>susceptibility</w:t>
      </w:r>
      <w:r>
        <w:rPr>
          <w:spacing w:val="-5"/>
        </w:rPr>
        <w:t> </w:t>
      </w:r>
      <w:r>
        <w:rPr/>
        <w:t>pattern</w:t>
      </w:r>
      <w:r>
        <w:rPr>
          <w:spacing w:val="-6"/>
        </w:rPr>
        <w:t> </w:t>
      </w:r>
      <w:r>
        <w:rPr/>
        <w:t>of</w:t>
      </w:r>
      <w:r>
        <w:rPr>
          <w:spacing w:val="-1"/>
        </w:rPr>
        <w:t> </w:t>
      </w:r>
      <w:r>
        <w:rPr/>
        <w:t>bacteria</w:t>
      </w:r>
      <w:r>
        <w:rPr>
          <w:spacing w:val="-4"/>
        </w:rPr>
        <w:t> </w:t>
      </w:r>
      <w:r>
        <w:rPr/>
        <w:t>isolates</w:t>
      </w:r>
      <w:r>
        <w:rPr>
          <w:spacing w:val="-2"/>
        </w:rPr>
        <w:t> </w:t>
      </w:r>
      <w:r>
        <w:rPr/>
        <w:t>from</w:t>
      </w:r>
      <w:r>
        <w:rPr>
          <w:spacing w:val="-2"/>
        </w:rPr>
        <w:t> </w:t>
      </w:r>
      <w:r>
        <w:rPr/>
        <w:t>RTI</w:t>
      </w:r>
      <w:r>
        <w:rPr>
          <w:spacing w:val="-3"/>
        </w:rPr>
        <w:t> </w:t>
      </w:r>
      <w:r>
        <w:rPr/>
        <w:t>patients</w:t>
      </w:r>
      <w:r>
        <w:rPr>
          <w:spacing w:val="-2"/>
        </w:rPr>
        <w:t> </w:t>
      </w:r>
      <w:r>
        <w:rPr/>
        <w:t>in</w:t>
      </w:r>
      <w:r>
        <w:rPr>
          <w:spacing w:val="-5"/>
        </w:rPr>
        <w:t> </w:t>
      </w:r>
      <w:r>
        <w:rPr/>
        <w:t>ABUTH &amp; ABUHS, Zaria.</w:t>
      </w:r>
    </w:p>
    <w:p>
      <w:pPr>
        <w:pStyle w:val="BodyText"/>
      </w:pPr>
    </w:p>
    <w:p>
      <w:pPr>
        <w:pStyle w:val="BodyText"/>
        <w:spacing w:before="73"/>
      </w:pPr>
    </w:p>
    <w:p>
      <w:pPr>
        <w:pStyle w:val="BodyText"/>
        <w:spacing w:line="259" w:lineRule="auto"/>
        <w:ind w:left="1820" w:right="975" w:hanging="1440"/>
      </w:pPr>
      <w:r>
        <w:rPr/>
        <w:t>Key:</w:t>
      </w:r>
      <w:r>
        <w:rPr>
          <w:spacing w:val="-6"/>
        </w:rPr>
        <w:t> </w:t>
      </w:r>
      <w:r>
        <w:rPr/>
        <w:t>CN=Gentamicin,</w:t>
      </w:r>
      <w:r>
        <w:rPr>
          <w:spacing w:val="-6"/>
        </w:rPr>
        <w:t> </w:t>
      </w:r>
      <w:r>
        <w:rPr/>
        <w:t>CRO=Ceftriaxone,</w:t>
      </w:r>
      <w:r>
        <w:rPr>
          <w:spacing w:val="-6"/>
        </w:rPr>
        <w:t> </w:t>
      </w:r>
      <w:r>
        <w:rPr/>
        <w:t>AMC=Amoxicillin-Clavulanic</w:t>
      </w:r>
      <w:r>
        <w:rPr>
          <w:spacing w:val="-6"/>
        </w:rPr>
        <w:t> </w:t>
      </w:r>
      <w:r>
        <w:rPr/>
        <w:t>acid,</w:t>
      </w:r>
      <w:r>
        <w:rPr>
          <w:spacing w:val="-8"/>
        </w:rPr>
        <w:t> </w:t>
      </w:r>
      <w:r>
        <w:rPr/>
        <w:t>LEV=Levofloxacin, </w:t>
      </w:r>
      <w:r>
        <w:rPr>
          <w:spacing w:val="-2"/>
        </w:rPr>
        <w:t>AZM=Azithromycin.</w:t>
      </w:r>
    </w:p>
    <w:p>
      <w:pPr>
        <w:spacing w:after="0" w:line="259" w:lineRule="auto"/>
        <w:sectPr>
          <w:type w:val="continuous"/>
          <w:pgSz w:w="11910" w:h="16840"/>
          <w:pgMar w:header="0" w:footer="1055" w:top="1360" w:bottom="1240" w:left="106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4"/>
        <w:rPr>
          <w:sz w:val="20"/>
        </w:rPr>
      </w:pPr>
    </w:p>
    <w:p>
      <w:pPr>
        <w:spacing w:before="0"/>
        <w:ind w:left="1024" w:right="0" w:firstLine="0"/>
        <w:jc w:val="left"/>
        <w:rPr>
          <w:sz w:val="20"/>
        </w:rPr>
      </w:pPr>
      <w:r>
        <w:rPr/>
        <mc:AlternateContent>
          <mc:Choice Requires="wps">
            <w:drawing>
              <wp:anchor distT="0" distB="0" distL="0" distR="0" allowOverlap="1" layoutInCell="1" locked="0" behindDoc="1" simplePos="0" relativeHeight="472706048">
                <wp:simplePos x="0" y="0"/>
                <wp:positionH relativeFrom="page">
                  <wp:posOffset>1594103</wp:posOffset>
                </wp:positionH>
                <wp:positionV relativeFrom="paragraph">
                  <wp:posOffset>82734</wp:posOffset>
                </wp:positionV>
                <wp:extent cx="3720465" cy="283781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3720465" cy="2837815"/>
                          <a:chExt cx="3720465" cy="2837815"/>
                        </a:xfrm>
                      </wpg:grpSpPr>
                      <wps:wsp>
                        <wps:cNvPr id="24" name="Graphic 24"/>
                        <wps:cNvSpPr/>
                        <wps:spPr>
                          <a:xfrm>
                            <a:off x="140208" y="74675"/>
                            <a:ext cx="3075940" cy="2723515"/>
                          </a:xfrm>
                          <a:custGeom>
                            <a:avLst/>
                            <a:gdLst/>
                            <a:ahLst/>
                            <a:cxnLst/>
                            <a:rect l="l" t="t" r="r" b="b"/>
                            <a:pathLst>
                              <a:path w="3075940" h="2723515">
                                <a:moveTo>
                                  <a:pt x="134112" y="0"/>
                                </a:moveTo>
                                <a:lnTo>
                                  <a:pt x="0" y="0"/>
                                </a:lnTo>
                                <a:lnTo>
                                  <a:pt x="0" y="2723388"/>
                                </a:lnTo>
                                <a:lnTo>
                                  <a:pt x="134112" y="2723388"/>
                                </a:lnTo>
                                <a:lnTo>
                                  <a:pt x="134112" y="0"/>
                                </a:lnTo>
                                <a:close/>
                              </a:path>
                              <a:path w="3075940" h="2723515">
                                <a:moveTo>
                                  <a:pt x="870204" y="70104"/>
                                </a:moveTo>
                                <a:lnTo>
                                  <a:pt x="736092" y="70104"/>
                                </a:lnTo>
                                <a:lnTo>
                                  <a:pt x="736092" y="2723388"/>
                                </a:lnTo>
                                <a:lnTo>
                                  <a:pt x="870204" y="2723388"/>
                                </a:lnTo>
                                <a:lnTo>
                                  <a:pt x="870204" y="70104"/>
                                </a:lnTo>
                                <a:close/>
                              </a:path>
                              <a:path w="3075940" h="2723515">
                                <a:moveTo>
                                  <a:pt x="1604772" y="643128"/>
                                </a:moveTo>
                                <a:lnTo>
                                  <a:pt x="1470660" y="643128"/>
                                </a:lnTo>
                                <a:lnTo>
                                  <a:pt x="1470660" y="2723388"/>
                                </a:lnTo>
                                <a:lnTo>
                                  <a:pt x="1604772" y="2723388"/>
                                </a:lnTo>
                                <a:lnTo>
                                  <a:pt x="1604772" y="643128"/>
                                </a:lnTo>
                                <a:close/>
                              </a:path>
                              <a:path w="3075940" h="2723515">
                                <a:moveTo>
                                  <a:pt x="2340864" y="0"/>
                                </a:moveTo>
                                <a:lnTo>
                                  <a:pt x="2206752" y="0"/>
                                </a:lnTo>
                                <a:lnTo>
                                  <a:pt x="2206752" y="2723388"/>
                                </a:lnTo>
                                <a:lnTo>
                                  <a:pt x="2340864" y="2723388"/>
                                </a:lnTo>
                                <a:lnTo>
                                  <a:pt x="2340864" y="0"/>
                                </a:lnTo>
                                <a:close/>
                              </a:path>
                              <a:path w="3075940" h="2723515">
                                <a:moveTo>
                                  <a:pt x="3075419" y="358140"/>
                                </a:moveTo>
                                <a:lnTo>
                                  <a:pt x="2942844" y="358140"/>
                                </a:lnTo>
                                <a:lnTo>
                                  <a:pt x="2942844" y="2723388"/>
                                </a:lnTo>
                                <a:lnTo>
                                  <a:pt x="3075419" y="2723388"/>
                                </a:lnTo>
                                <a:lnTo>
                                  <a:pt x="3075419" y="358140"/>
                                </a:lnTo>
                                <a:close/>
                              </a:path>
                            </a:pathLst>
                          </a:custGeom>
                          <a:solidFill>
                            <a:srgbClr val="5B9BD4"/>
                          </a:solidFill>
                        </wps:spPr>
                        <wps:bodyPr wrap="square" lIns="0" tIns="0" rIns="0" bIns="0" rtlCol="0">
                          <a:prstTxWarp prst="textNoShape">
                            <a:avLst/>
                          </a:prstTxWarp>
                          <a:noAutofit/>
                        </wps:bodyPr>
                      </wps:wsp>
                      <wps:wsp>
                        <wps:cNvPr id="25" name="Graphic 25"/>
                        <wps:cNvSpPr/>
                        <wps:spPr>
                          <a:xfrm>
                            <a:off x="274320" y="3047"/>
                            <a:ext cx="3075940" cy="2795270"/>
                          </a:xfrm>
                          <a:custGeom>
                            <a:avLst/>
                            <a:gdLst/>
                            <a:ahLst/>
                            <a:cxnLst/>
                            <a:rect l="l" t="t" r="r" b="b"/>
                            <a:pathLst>
                              <a:path w="3075940" h="2795270">
                                <a:moveTo>
                                  <a:pt x="134112" y="0"/>
                                </a:moveTo>
                                <a:lnTo>
                                  <a:pt x="0" y="0"/>
                                </a:lnTo>
                                <a:lnTo>
                                  <a:pt x="0" y="2795016"/>
                                </a:lnTo>
                                <a:lnTo>
                                  <a:pt x="134112" y="2795016"/>
                                </a:lnTo>
                                <a:lnTo>
                                  <a:pt x="134112" y="0"/>
                                </a:lnTo>
                                <a:close/>
                              </a:path>
                              <a:path w="3075940" h="2795270">
                                <a:moveTo>
                                  <a:pt x="868680" y="0"/>
                                </a:moveTo>
                                <a:lnTo>
                                  <a:pt x="736092" y="0"/>
                                </a:lnTo>
                                <a:lnTo>
                                  <a:pt x="736092" y="2795016"/>
                                </a:lnTo>
                                <a:lnTo>
                                  <a:pt x="868680" y="2795016"/>
                                </a:lnTo>
                                <a:lnTo>
                                  <a:pt x="868680" y="0"/>
                                </a:lnTo>
                                <a:close/>
                              </a:path>
                              <a:path w="3075940" h="2795270">
                                <a:moveTo>
                                  <a:pt x="1604772" y="1397508"/>
                                </a:moveTo>
                                <a:lnTo>
                                  <a:pt x="1470660" y="1397508"/>
                                </a:lnTo>
                                <a:lnTo>
                                  <a:pt x="1470660" y="2795016"/>
                                </a:lnTo>
                                <a:lnTo>
                                  <a:pt x="1604772" y="2795016"/>
                                </a:lnTo>
                                <a:lnTo>
                                  <a:pt x="1604772" y="1397508"/>
                                </a:lnTo>
                                <a:close/>
                              </a:path>
                              <a:path w="3075940" h="2795270">
                                <a:moveTo>
                                  <a:pt x="2339340" y="0"/>
                                </a:moveTo>
                                <a:lnTo>
                                  <a:pt x="2206752" y="0"/>
                                </a:lnTo>
                                <a:lnTo>
                                  <a:pt x="2206752" y="2795016"/>
                                </a:lnTo>
                                <a:lnTo>
                                  <a:pt x="2339340" y="2795016"/>
                                </a:lnTo>
                                <a:lnTo>
                                  <a:pt x="2339340" y="0"/>
                                </a:lnTo>
                                <a:close/>
                              </a:path>
                              <a:path w="3075940" h="2795270">
                                <a:moveTo>
                                  <a:pt x="3075432" y="0"/>
                                </a:moveTo>
                                <a:lnTo>
                                  <a:pt x="2941320" y="0"/>
                                </a:lnTo>
                                <a:lnTo>
                                  <a:pt x="2941320" y="2795016"/>
                                </a:lnTo>
                                <a:lnTo>
                                  <a:pt x="3075432" y="2795016"/>
                                </a:lnTo>
                                <a:lnTo>
                                  <a:pt x="3075432" y="0"/>
                                </a:lnTo>
                                <a:close/>
                              </a:path>
                            </a:pathLst>
                          </a:custGeom>
                          <a:solidFill>
                            <a:srgbClr val="EC7C30"/>
                          </a:solidFill>
                        </wps:spPr>
                        <wps:bodyPr wrap="square" lIns="0" tIns="0" rIns="0" bIns="0" rtlCol="0">
                          <a:prstTxWarp prst="textNoShape">
                            <a:avLst/>
                          </a:prstTxWarp>
                          <a:noAutofit/>
                        </wps:bodyPr>
                      </wps:wsp>
                      <wps:wsp>
                        <wps:cNvPr id="26" name="Graphic 26"/>
                        <wps:cNvSpPr/>
                        <wps:spPr>
                          <a:xfrm>
                            <a:off x="408432" y="3047"/>
                            <a:ext cx="3075940" cy="2795270"/>
                          </a:xfrm>
                          <a:custGeom>
                            <a:avLst/>
                            <a:gdLst/>
                            <a:ahLst/>
                            <a:cxnLst/>
                            <a:rect l="l" t="t" r="r" b="b"/>
                            <a:pathLst>
                              <a:path w="3075940" h="2795270">
                                <a:moveTo>
                                  <a:pt x="132588" y="1397508"/>
                                </a:moveTo>
                                <a:lnTo>
                                  <a:pt x="0" y="1397508"/>
                                </a:lnTo>
                                <a:lnTo>
                                  <a:pt x="0" y="2795016"/>
                                </a:lnTo>
                                <a:lnTo>
                                  <a:pt x="132588" y="2795016"/>
                                </a:lnTo>
                                <a:lnTo>
                                  <a:pt x="132588" y="1397508"/>
                                </a:lnTo>
                                <a:close/>
                              </a:path>
                              <a:path w="3075940" h="2795270">
                                <a:moveTo>
                                  <a:pt x="868680" y="0"/>
                                </a:moveTo>
                                <a:lnTo>
                                  <a:pt x="734568" y="0"/>
                                </a:lnTo>
                                <a:lnTo>
                                  <a:pt x="734568" y="2795016"/>
                                </a:lnTo>
                                <a:lnTo>
                                  <a:pt x="868680" y="2795016"/>
                                </a:lnTo>
                                <a:lnTo>
                                  <a:pt x="868680" y="0"/>
                                </a:lnTo>
                                <a:close/>
                              </a:path>
                              <a:path w="3075940" h="2795270">
                                <a:moveTo>
                                  <a:pt x="2339340" y="0"/>
                                </a:moveTo>
                                <a:lnTo>
                                  <a:pt x="2205228" y="0"/>
                                </a:lnTo>
                                <a:lnTo>
                                  <a:pt x="2205228" y="2795016"/>
                                </a:lnTo>
                                <a:lnTo>
                                  <a:pt x="2339340" y="2795016"/>
                                </a:lnTo>
                                <a:lnTo>
                                  <a:pt x="2339340" y="0"/>
                                </a:lnTo>
                                <a:close/>
                              </a:path>
                              <a:path w="3075940" h="2795270">
                                <a:moveTo>
                                  <a:pt x="3075432" y="0"/>
                                </a:moveTo>
                                <a:lnTo>
                                  <a:pt x="2941320" y="0"/>
                                </a:lnTo>
                                <a:lnTo>
                                  <a:pt x="2941320" y="2795016"/>
                                </a:lnTo>
                                <a:lnTo>
                                  <a:pt x="3075432" y="2795016"/>
                                </a:lnTo>
                                <a:lnTo>
                                  <a:pt x="3075432" y="0"/>
                                </a:lnTo>
                                <a:close/>
                              </a:path>
                            </a:pathLst>
                          </a:custGeom>
                          <a:solidFill>
                            <a:srgbClr val="A4A4A4"/>
                          </a:solidFill>
                        </wps:spPr>
                        <wps:bodyPr wrap="square" lIns="0" tIns="0" rIns="0" bIns="0" rtlCol="0">
                          <a:prstTxWarp prst="textNoShape">
                            <a:avLst/>
                          </a:prstTxWarp>
                          <a:noAutofit/>
                        </wps:bodyPr>
                      </wps:wsp>
                      <wps:wsp>
                        <wps:cNvPr id="27" name="Graphic 27"/>
                        <wps:cNvSpPr/>
                        <wps:spPr>
                          <a:xfrm>
                            <a:off x="541020" y="3047"/>
                            <a:ext cx="3075940" cy="2795270"/>
                          </a:xfrm>
                          <a:custGeom>
                            <a:avLst/>
                            <a:gdLst/>
                            <a:ahLst/>
                            <a:cxnLst/>
                            <a:rect l="l" t="t" r="r" b="b"/>
                            <a:pathLst>
                              <a:path w="3075940" h="2795270">
                                <a:moveTo>
                                  <a:pt x="134112" y="0"/>
                                </a:moveTo>
                                <a:lnTo>
                                  <a:pt x="0" y="0"/>
                                </a:lnTo>
                                <a:lnTo>
                                  <a:pt x="0" y="2795016"/>
                                </a:lnTo>
                                <a:lnTo>
                                  <a:pt x="134112" y="2795016"/>
                                </a:lnTo>
                                <a:lnTo>
                                  <a:pt x="134112" y="0"/>
                                </a:lnTo>
                                <a:close/>
                              </a:path>
                              <a:path w="3075940" h="2795270">
                                <a:moveTo>
                                  <a:pt x="870204" y="399288"/>
                                </a:moveTo>
                                <a:lnTo>
                                  <a:pt x="736092" y="399288"/>
                                </a:lnTo>
                                <a:lnTo>
                                  <a:pt x="736092" y="2795016"/>
                                </a:lnTo>
                                <a:lnTo>
                                  <a:pt x="870204" y="2795016"/>
                                </a:lnTo>
                                <a:lnTo>
                                  <a:pt x="870204" y="399288"/>
                                </a:lnTo>
                                <a:close/>
                              </a:path>
                              <a:path w="3075940" h="2795270">
                                <a:moveTo>
                                  <a:pt x="1604772" y="798576"/>
                                </a:moveTo>
                                <a:lnTo>
                                  <a:pt x="1472184" y="798576"/>
                                </a:lnTo>
                                <a:lnTo>
                                  <a:pt x="1472184" y="2795016"/>
                                </a:lnTo>
                                <a:lnTo>
                                  <a:pt x="1604772" y="2795016"/>
                                </a:lnTo>
                                <a:lnTo>
                                  <a:pt x="1604772" y="798576"/>
                                </a:lnTo>
                                <a:close/>
                              </a:path>
                              <a:path w="3075940" h="2795270">
                                <a:moveTo>
                                  <a:pt x="2340864" y="0"/>
                                </a:moveTo>
                                <a:lnTo>
                                  <a:pt x="2206752" y="0"/>
                                </a:lnTo>
                                <a:lnTo>
                                  <a:pt x="2206752" y="2795016"/>
                                </a:lnTo>
                                <a:lnTo>
                                  <a:pt x="2340864" y="2795016"/>
                                </a:lnTo>
                                <a:lnTo>
                                  <a:pt x="2340864" y="0"/>
                                </a:lnTo>
                                <a:close/>
                              </a:path>
                              <a:path w="3075940" h="2795270">
                                <a:moveTo>
                                  <a:pt x="3075432" y="798576"/>
                                </a:moveTo>
                                <a:lnTo>
                                  <a:pt x="2942844" y="798576"/>
                                </a:lnTo>
                                <a:lnTo>
                                  <a:pt x="2942844" y="2795016"/>
                                </a:lnTo>
                                <a:lnTo>
                                  <a:pt x="3075432" y="2795016"/>
                                </a:lnTo>
                                <a:lnTo>
                                  <a:pt x="3075432" y="798576"/>
                                </a:lnTo>
                                <a:close/>
                              </a:path>
                            </a:pathLst>
                          </a:custGeom>
                          <a:solidFill>
                            <a:srgbClr val="FFC000"/>
                          </a:solidFill>
                        </wps:spPr>
                        <wps:bodyPr wrap="square" lIns="0" tIns="0" rIns="0" bIns="0" rtlCol="0">
                          <a:prstTxWarp prst="textNoShape">
                            <a:avLst/>
                          </a:prstTxWarp>
                          <a:noAutofit/>
                        </wps:bodyPr>
                      </wps:wsp>
                      <wps:wsp>
                        <wps:cNvPr id="28" name="Graphic 28"/>
                        <wps:cNvSpPr/>
                        <wps:spPr>
                          <a:xfrm>
                            <a:off x="0" y="3047"/>
                            <a:ext cx="3717290" cy="2834640"/>
                          </a:xfrm>
                          <a:custGeom>
                            <a:avLst/>
                            <a:gdLst/>
                            <a:ahLst/>
                            <a:cxnLst/>
                            <a:rect l="l" t="t" r="r" b="b"/>
                            <a:pathLst>
                              <a:path w="3717290" h="2834640">
                                <a:moveTo>
                                  <a:pt x="39623" y="2795016"/>
                                </a:moveTo>
                                <a:lnTo>
                                  <a:pt x="39623" y="0"/>
                                </a:lnTo>
                              </a:path>
                              <a:path w="3717290" h="2834640">
                                <a:moveTo>
                                  <a:pt x="0" y="2795016"/>
                                </a:moveTo>
                                <a:lnTo>
                                  <a:pt x="39623" y="2795016"/>
                                </a:lnTo>
                              </a:path>
                              <a:path w="3717290" h="2834640">
                                <a:moveTo>
                                  <a:pt x="0" y="2516124"/>
                                </a:moveTo>
                                <a:lnTo>
                                  <a:pt x="39623" y="2516124"/>
                                </a:lnTo>
                              </a:path>
                              <a:path w="3717290" h="2834640">
                                <a:moveTo>
                                  <a:pt x="0" y="2235708"/>
                                </a:moveTo>
                                <a:lnTo>
                                  <a:pt x="39623" y="2235708"/>
                                </a:lnTo>
                              </a:path>
                              <a:path w="3717290" h="2834640">
                                <a:moveTo>
                                  <a:pt x="0" y="1956816"/>
                                </a:moveTo>
                                <a:lnTo>
                                  <a:pt x="39623" y="1956816"/>
                                </a:lnTo>
                              </a:path>
                              <a:path w="3717290" h="2834640">
                                <a:moveTo>
                                  <a:pt x="0" y="1676400"/>
                                </a:moveTo>
                                <a:lnTo>
                                  <a:pt x="39623" y="1676400"/>
                                </a:lnTo>
                              </a:path>
                              <a:path w="3717290" h="2834640">
                                <a:moveTo>
                                  <a:pt x="0" y="1397508"/>
                                </a:moveTo>
                                <a:lnTo>
                                  <a:pt x="39623" y="1397508"/>
                                </a:lnTo>
                              </a:path>
                              <a:path w="3717290" h="2834640">
                                <a:moveTo>
                                  <a:pt x="0" y="1118616"/>
                                </a:moveTo>
                                <a:lnTo>
                                  <a:pt x="39623" y="1118616"/>
                                </a:lnTo>
                              </a:path>
                              <a:path w="3717290" h="2834640">
                                <a:moveTo>
                                  <a:pt x="0" y="838200"/>
                                </a:moveTo>
                                <a:lnTo>
                                  <a:pt x="39623" y="838200"/>
                                </a:lnTo>
                              </a:path>
                              <a:path w="3717290" h="2834640">
                                <a:moveTo>
                                  <a:pt x="0" y="559308"/>
                                </a:moveTo>
                                <a:lnTo>
                                  <a:pt x="39623" y="559308"/>
                                </a:lnTo>
                              </a:path>
                              <a:path w="3717290" h="2834640">
                                <a:moveTo>
                                  <a:pt x="0" y="278892"/>
                                </a:moveTo>
                                <a:lnTo>
                                  <a:pt x="39623" y="278892"/>
                                </a:lnTo>
                              </a:path>
                              <a:path w="3717290" h="2834640">
                                <a:moveTo>
                                  <a:pt x="0" y="0"/>
                                </a:moveTo>
                                <a:lnTo>
                                  <a:pt x="39623" y="0"/>
                                </a:lnTo>
                              </a:path>
                              <a:path w="3717290" h="2834640">
                                <a:moveTo>
                                  <a:pt x="39623" y="2795016"/>
                                </a:moveTo>
                                <a:lnTo>
                                  <a:pt x="3717036" y="2795016"/>
                                </a:lnTo>
                              </a:path>
                              <a:path w="3717290" h="2834640">
                                <a:moveTo>
                                  <a:pt x="39623" y="2795016"/>
                                </a:moveTo>
                                <a:lnTo>
                                  <a:pt x="39623" y="2834640"/>
                                </a:lnTo>
                              </a:path>
                              <a:path w="3717290" h="2834640">
                                <a:moveTo>
                                  <a:pt x="775716" y="2795016"/>
                                </a:moveTo>
                                <a:lnTo>
                                  <a:pt x="775716" y="2834640"/>
                                </a:lnTo>
                              </a:path>
                              <a:path w="3717290" h="2834640">
                                <a:moveTo>
                                  <a:pt x="1510284" y="2795016"/>
                                </a:moveTo>
                                <a:lnTo>
                                  <a:pt x="1510284" y="2834640"/>
                                </a:lnTo>
                              </a:path>
                              <a:path w="3717290" h="2834640">
                                <a:moveTo>
                                  <a:pt x="2246376" y="2795016"/>
                                </a:moveTo>
                                <a:lnTo>
                                  <a:pt x="2246376" y="2834640"/>
                                </a:lnTo>
                              </a:path>
                              <a:path w="3717290" h="2834640">
                                <a:moveTo>
                                  <a:pt x="2980944" y="2795016"/>
                                </a:moveTo>
                                <a:lnTo>
                                  <a:pt x="2980944" y="2834640"/>
                                </a:lnTo>
                              </a:path>
                              <a:path w="3717290" h="2834640">
                                <a:moveTo>
                                  <a:pt x="3717036" y="2795016"/>
                                </a:moveTo>
                                <a:lnTo>
                                  <a:pt x="3717036" y="2834640"/>
                                </a:lnTo>
                              </a:path>
                            </a:pathLst>
                          </a:custGeom>
                          <a:ln w="6096">
                            <a:solidFill>
                              <a:srgbClr val="8888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5.519997pt;margin-top:6.514531pt;width:292.95pt;height:223.45pt;mso-position-horizontal-relative:page;mso-position-vertical-relative:paragraph;z-index:-30610432" id="docshapegroup14" coordorigin="2510,130" coordsize="5859,4469">
                <v:shape style="position:absolute;left:2731;top:247;width:4844;height:4289" id="docshape15" coordorigin="2731,248" coordsize="4844,4289" path="m2942,248l2731,248,2731,4537,2942,4537,2942,248xm4102,358l3890,358,3890,4537,4102,4537,4102,358xm5258,1261l5047,1261,5047,4537,5258,4537,5258,1261xm6418,248l6206,248,6206,4537,6418,4537,6418,248xm7574,812l7366,812,7366,4537,7574,4537,7574,812xe" filled="true" fillcolor="#5b9bd4" stroked="false">
                  <v:path arrowok="t"/>
                  <v:fill type="solid"/>
                </v:shape>
                <v:shape style="position:absolute;left:2942;top:135;width:4844;height:4402" id="docshape16" coordorigin="2942,135" coordsize="4844,4402" path="m3154,135l2942,135,2942,4537,3154,4537,3154,135xm4310,135l4102,135,4102,4537,4310,4537,4310,135xm5470,2336l5258,2336,5258,4537,5470,4537,5470,2336xm6626,135l6418,135,6418,4537,6626,4537,6626,135xm7786,135l7574,135,7574,4537,7786,4537,7786,135xe" filled="true" fillcolor="#ec7c30" stroked="false">
                  <v:path arrowok="t"/>
                  <v:fill type="solid"/>
                </v:shape>
                <v:shape style="position:absolute;left:3153;top:135;width:4844;height:4402" id="docshape17" coordorigin="3154,135" coordsize="4844,4402" path="m3362,2336l3154,2336,3154,4537,3362,4537,3362,2336xm4522,135l4310,135,4310,4537,4522,4537,4522,135xm6838,135l6626,135,6626,4537,6838,4537,6838,135xm7997,135l7786,135,7786,4537,7997,4537,7997,135xe" filled="true" fillcolor="#a4a4a4" stroked="false">
                  <v:path arrowok="t"/>
                  <v:fill type="solid"/>
                </v:shape>
                <v:shape style="position:absolute;left:3362;top:135;width:4844;height:4402" id="docshape18" coordorigin="3362,135" coordsize="4844,4402" path="m3574,135l3362,135,3362,4537,3574,4537,3574,135xm4733,764l4522,764,4522,4537,4733,4537,4733,764xm5890,1393l5681,1393,5681,4537,5890,4537,5890,1393xm7049,135l6838,135,6838,4537,7049,4537,7049,135xm8206,1393l7997,1393,7997,4537,8206,4537,8206,1393xe" filled="true" fillcolor="#ffc000" stroked="false">
                  <v:path arrowok="t"/>
                  <v:fill type="solid"/>
                </v:shape>
                <v:shape style="position:absolute;left:2510;top:135;width:5854;height:4464" id="docshape19" coordorigin="2510,135" coordsize="5854,4464" path="m2573,4537l2573,135m2510,4537l2573,4537m2510,4097l2573,4097m2510,3656l2573,3656m2510,3217l2573,3217m2510,2775l2573,2775m2510,2336l2573,2336m2510,1897l2573,1897m2510,1455l2573,1455m2510,1016l2573,1016m2510,574l2573,574m2510,135l2573,135m2573,4537l8364,4537m2573,4537l2573,4599m3732,4537l3732,4599m4889,4537l4889,4599m6048,4537l6048,4599m7205,4537l7205,4599m8364,4537l8364,4599e" filled="false" stroked="true" strokeweight=".48pt" strokecolor="#888888">
                  <v:path arrowok="t"/>
                  <v:stroke dashstyle="solid"/>
                </v:shape>
                <w10:wrap type="none"/>
              </v:group>
            </w:pict>
          </mc:Fallback>
        </mc:AlternateContent>
      </w:r>
      <w:r>
        <w:rPr>
          <w:spacing w:val="-5"/>
          <w:sz w:val="20"/>
        </w:rPr>
        <w:t>100</w:t>
      </w:r>
    </w:p>
    <w:p>
      <w:pPr>
        <w:spacing w:before="196"/>
        <w:ind w:left="1125" w:right="0" w:firstLine="0"/>
        <w:jc w:val="left"/>
        <w:rPr>
          <w:sz w:val="20"/>
        </w:rPr>
      </w:pPr>
      <w:r>
        <w:rPr>
          <w:spacing w:val="-5"/>
          <w:sz w:val="20"/>
        </w:rPr>
        <w:t>90</w:t>
      </w:r>
    </w:p>
    <w:p>
      <w:pPr>
        <w:spacing w:before="196"/>
        <w:ind w:left="1125" w:right="0" w:firstLine="0"/>
        <w:jc w:val="left"/>
        <w:rPr>
          <w:sz w:val="20"/>
        </w:rPr>
      </w:pPr>
      <w:r>
        <w:rPr/>
        <mc:AlternateContent>
          <mc:Choice Requires="wps">
            <w:drawing>
              <wp:anchor distT="0" distB="0" distL="0" distR="0" allowOverlap="1" layoutInCell="1" locked="0" behindDoc="0" simplePos="0" relativeHeight="15731712">
                <wp:simplePos x="0" y="0"/>
                <wp:positionH relativeFrom="page">
                  <wp:posOffset>1086332</wp:posOffset>
                </wp:positionH>
                <wp:positionV relativeFrom="paragraph">
                  <wp:posOffset>167926</wp:posOffset>
                </wp:positionV>
                <wp:extent cx="152400" cy="1764664"/>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52400" cy="1764664"/>
                        </a:xfrm>
                        <a:prstGeom prst="rect">
                          <a:avLst/>
                        </a:prstGeom>
                      </wps:spPr>
                      <wps:txbx>
                        <w:txbxContent>
                          <w:p>
                            <w:pPr>
                              <w:spacing w:line="223" w:lineRule="exact" w:before="0"/>
                              <w:ind w:left="20" w:right="0" w:firstLine="0"/>
                              <w:jc w:val="left"/>
                              <w:rPr>
                                <w:b/>
                                <w:sz w:val="20"/>
                              </w:rPr>
                            </w:pPr>
                            <w:r>
                              <w:rPr>
                                <w:b/>
                                <w:spacing w:val="-2"/>
                                <w:sz w:val="20"/>
                              </w:rPr>
                              <w:t>percentage</w:t>
                            </w:r>
                            <w:r>
                              <w:rPr>
                                <w:b/>
                                <w:spacing w:val="4"/>
                                <w:sz w:val="20"/>
                              </w:rPr>
                              <w:t> </w:t>
                            </w:r>
                            <w:r>
                              <w:rPr>
                                <w:b/>
                                <w:spacing w:val="-2"/>
                                <w:sz w:val="20"/>
                              </w:rPr>
                              <w:t>susceptibility</w:t>
                            </w:r>
                            <w:r>
                              <w:rPr>
                                <w:b/>
                                <w:spacing w:val="12"/>
                                <w:sz w:val="20"/>
                              </w:rPr>
                              <w:t> </w:t>
                            </w:r>
                            <w:r>
                              <w:rPr>
                                <w:b/>
                                <w:spacing w:val="-2"/>
                                <w:sz w:val="20"/>
                              </w:rPr>
                              <w:t>pattern</w:t>
                            </w:r>
                          </w:p>
                        </w:txbxContent>
                      </wps:txbx>
                      <wps:bodyPr wrap="square" lIns="0" tIns="0" rIns="0" bIns="0" rtlCol="0" vert="vert270">
                        <a:noAutofit/>
                      </wps:bodyPr>
                    </wps:wsp>
                  </a:graphicData>
                </a:graphic>
              </wp:anchor>
            </w:drawing>
          </mc:Choice>
          <mc:Fallback>
            <w:pict>
              <v:shape style="position:absolute;margin-left:85.538002pt;margin-top:13.222561pt;width:12pt;height:138.950pt;mso-position-horizontal-relative:page;mso-position-vertical-relative:paragraph;z-index:15731712" type="#_x0000_t202" id="docshape20" filled="false" stroked="false">
                <v:textbox inset="0,0,0,0" style="layout-flow:vertical;mso-layout-flow-alt:bottom-to-top">
                  <w:txbxContent>
                    <w:p>
                      <w:pPr>
                        <w:spacing w:line="223" w:lineRule="exact" w:before="0"/>
                        <w:ind w:left="20" w:right="0" w:firstLine="0"/>
                        <w:jc w:val="left"/>
                        <w:rPr>
                          <w:b/>
                          <w:sz w:val="20"/>
                        </w:rPr>
                      </w:pPr>
                      <w:r>
                        <w:rPr>
                          <w:b/>
                          <w:spacing w:val="-2"/>
                          <w:sz w:val="20"/>
                        </w:rPr>
                        <w:t>percentage</w:t>
                      </w:r>
                      <w:r>
                        <w:rPr>
                          <w:b/>
                          <w:spacing w:val="4"/>
                          <w:sz w:val="20"/>
                        </w:rPr>
                        <w:t> </w:t>
                      </w:r>
                      <w:r>
                        <w:rPr>
                          <w:b/>
                          <w:spacing w:val="-2"/>
                          <w:sz w:val="20"/>
                        </w:rPr>
                        <w:t>susceptibility</w:t>
                      </w:r>
                      <w:r>
                        <w:rPr>
                          <w:b/>
                          <w:spacing w:val="12"/>
                          <w:sz w:val="20"/>
                        </w:rPr>
                        <w:t> </w:t>
                      </w:r>
                      <w:r>
                        <w:rPr>
                          <w:b/>
                          <w:spacing w:val="-2"/>
                          <w:sz w:val="20"/>
                        </w:rPr>
                        <w:t>pattern</w:t>
                      </w:r>
                    </w:p>
                  </w:txbxContent>
                </v:textbox>
                <w10:wrap type="none"/>
              </v:shape>
            </w:pict>
          </mc:Fallback>
        </mc:AlternateContent>
      </w:r>
      <w:r>
        <w:rPr>
          <w:spacing w:val="-5"/>
          <w:sz w:val="20"/>
        </w:rPr>
        <w:t>80</w:t>
      </w:r>
    </w:p>
    <w:p>
      <w:pPr>
        <w:spacing w:before="196"/>
        <w:ind w:left="1125" w:right="0" w:firstLine="0"/>
        <w:jc w:val="left"/>
        <w:rPr>
          <w:sz w:val="20"/>
        </w:rPr>
      </w:pPr>
      <w:r>
        <w:rPr>
          <w:spacing w:val="-5"/>
          <w:sz w:val="20"/>
        </w:rPr>
        <w:t>70</w:t>
      </w:r>
    </w:p>
    <w:p>
      <w:pPr>
        <w:spacing w:before="197"/>
        <w:ind w:left="1125" w:right="0" w:firstLine="0"/>
        <w:jc w:val="left"/>
        <w:rPr>
          <w:sz w:val="20"/>
        </w:rPr>
      </w:pPr>
      <w:r>
        <w:rPr>
          <w:spacing w:val="-5"/>
          <w:sz w:val="20"/>
        </w:rPr>
        <w:t>60</w:t>
      </w:r>
    </w:p>
    <w:p>
      <w:pPr>
        <w:tabs>
          <w:tab w:pos="7625" w:val="left" w:leader="none"/>
        </w:tabs>
        <w:spacing w:line="237" w:lineRule="auto" w:before="80"/>
        <w:ind w:left="1125" w:right="0" w:firstLine="0"/>
        <w:jc w:val="left"/>
        <w:rPr>
          <w:sz w:val="20"/>
        </w:rPr>
      </w:pPr>
      <w:r>
        <w:rPr>
          <w:spacing w:val="-5"/>
          <w:position w:val="-11"/>
          <w:sz w:val="20"/>
        </w:rPr>
        <w:t>50</w:t>
      </w:r>
      <w:r>
        <w:rPr>
          <w:position w:val="-11"/>
          <w:sz w:val="20"/>
        </w:rPr>
        <w:tab/>
      </w:r>
      <w:r>
        <w:rPr>
          <w:sz w:val="20"/>
        </w:rPr>
        <w:drawing>
          <wp:inline distT="0" distB="0" distL="0" distR="0">
            <wp:extent cx="68579" cy="70103"/>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251" cstate="print"/>
                    <a:stretch>
                      <a:fillRect/>
                    </a:stretch>
                  </pic:blipFill>
                  <pic:spPr>
                    <a:xfrm>
                      <a:off x="0" y="0"/>
                      <a:ext cx="68579" cy="70103"/>
                    </a:xfrm>
                    <a:prstGeom prst="rect">
                      <a:avLst/>
                    </a:prstGeom>
                  </pic:spPr>
                </pic:pic>
              </a:graphicData>
            </a:graphic>
          </wp:inline>
        </w:drawing>
      </w:r>
      <w:r>
        <w:rPr>
          <w:sz w:val="20"/>
        </w:rPr>
      </w:r>
      <w:r>
        <w:rPr>
          <w:rFonts w:ascii="Times New Roman"/>
          <w:sz w:val="20"/>
        </w:rPr>
        <w:t> </w:t>
      </w:r>
      <w:r>
        <w:rPr>
          <w:sz w:val="20"/>
        </w:rPr>
        <w:t>Sputum</w:t>
      </w:r>
    </w:p>
    <w:p>
      <w:pPr>
        <w:spacing w:line="219" w:lineRule="exact" w:before="0"/>
        <w:ind w:left="7625" w:right="0" w:firstLine="0"/>
        <w:jc w:val="left"/>
        <w:rPr>
          <w:sz w:val="20"/>
        </w:rPr>
      </w:pPr>
      <w:r>
        <w:rPr/>
        <w:drawing>
          <wp:inline distT="0" distB="0" distL="0" distR="0">
            <wp:extent cx="68579" cy="70103"/>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252" cstate="print"/>
                    <a:stretch>
                      <a:fillRect/>
                    </a:stretch>
                  </pic:blipFill>
                  <pic:spPr>
                    <a:xfrm>
                      <a:off x="0" y="0"/>
                      <a:ext cx="68579" cy="70103"/>
                    </a:xfrm>
                    <a:prstGeom prst="rect">
                      <a:avLst/>
                    </a:prstGeom>
                  </pic:spPr>
                </pic:pic>
              </a:graphicData>
            </a:graphic>
          </wp:inline>
        </w:drawing>
      </w:r>
      <w:r>
        <w:rPr/>
      </w:r>
      <w:r>
        <w:rPr>
          <w:rFonts w:ascii="Times New Roman"/>
          <w:sz w:val="20"/>
        </w:rPr>
        <w:t> </w:t>
      </w:r>
      <w:r>
        <w:rPr>
          <w:sz w:val="20"/>
        </w:rPr>
        <w:t>Ear</w:t>
      </w:r>
      <w:r>
        <w:rPr>
          <w:spacing w:val="-1"/>
          <w:sz w:val="20"/>
        </w:rPr>
        <w:t> </w:t>
      </w:r>
      <w:r>
        <w:rPr>
          <w:sz w:val="20"/>
        </w:rPr>
        <w:t>swab</w:t>
      </w:r>
    </w:p>
    <w:p>
      <w:pPr>
        <w:spacing w:line="181" w:lineRule="exact" w:before="0"/>
        <w:ind w:left="1125" w:right="0" w:firstLine="0"/>
        <w:jc w:val="left"/>
        <w:rPr>
          <w:sz w:val="20"/>
        </w:rPr>
      </w:pPr>
      <w:r>
        <w:rPr>
          <w:spacing w:val="-5"/>
          <w:sz w:val="20"/>
        </w:rPr>
        <w:t>40</w:t>
      </w:r>
    </w:p>
    <w:p>
      <w:pPr>
        <w:spacing w:line="205" w:lineRule="exact" w:before="0"/>
        <w:ind w:left="7625" w:right="0" w:firstLine="0"/>
        <w:jc w:val="left"/>
        <w:rPr>
          <w:sz w:val="20"/>
        </w:rPr>
      </w:pPr>
      <w:r>
        <w:rPr/>
        <w:drawing>
          <wp:inline distT="0" distB="0" distL="0" distR="0">
            <wp:extent cx="68579" cy="70103"/>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253" cstate="print"/>
                    <a:stretch>
                      <a:fillRect/>
                    </a:stretch>
                  </pic:blipFill>
                  <pic:spPr>
                    <a:xfrm>
                      <a:off x="0" y="0"/>
                      <a:ext cx="68579" cy="70103"/>
                    </a:xfrm>
                    <a:prstGeom prst="rect">
                      <a:avLst/>
                    </a:prstGeom>
                  </pic:spPr>
                </pic:pic>
              </a:graphicData>
            </a:graphic>
          </wp:inline>
        </w:drawing>
      </w:r>
      <w:r>
        <w:rPr/>
      </w:r>
      <w:r>
        <w:rPr>
          <w:rFonts w:ascii="Times New Roman"/>
          <w:sz w:val="20"/>
        </w:rPr>
        <w:t> </w:t>
      </w:r>
      <w:r>
        <w:rPr>
          <w:sz w:val="20"/>
        </w:rPr>
        <w:t>Nasal</w:t>
      </w:r>
      <w:r>
        <w:rPr>
          <w:spacing w:val="-1"/>
          <w:sz w:val="20"/>
        </w:rPr>
        <w:t> </w:t>
      </w:r>
      <w:r>
        <w:rPr>
          <w:sz w:val="20"/>
        </w:rPr>
        <w:t>secretion</w:t>
      </w:r>
    </w:p>
    <w:p>
      <w:pPr>
        <w:tabs>
          <w:tab w:pos="7625" w:val="left" w:leader="none"/>
        </w:tabs>
        <w:spacing w:before="27"/>
        <w:ind w:left="1125" w:right="0" w:firstLine="0"/>
        <w:jc w:val="left"/>
        <w:rPr>
          <w:sz w:val="20"/>
        </w:rPr>
      </w:pPr>
      <w:r>
        <w:rPr>
          <w:spacing w:val="-5"/>
          <w:position w:val="9"/>
          <w:sz w:val="20"/>
        </w:rPr>
        <w:t>30</w:t>
      </w:r>
      <w:r>
        <w:rPr>
          <w:position w:val="9"/>
          <w:sz w:val="20"/>
        </w:rPr>
        <w:tab/>
      </w:r>
      <w:r>
        <w:rPr>
          <w:sz w:val="20"/>
        </w:rPr>
        <w:drawing>
          <wp:inline distT="0" distB="0" distL="0" distR="0">
            <wp:extent cx="68579" cy="70103"/>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254" cstate="print"/>
                    <a:stretch>
                      <a:fillRect/>
                    </a:stretch>
                  </pic:blipFill>
                  <pic:spPr>
                    <a:xfrm>
                      <a:off x="0" y="0"/>
                      <a:ext cx="68579" cy="70103"/>
                    </a:xfrm>
                    <a:prstGeom prst="rect">
                      <a:avLst/>
                    </a:prstGeom>
                  </pic:spPr>
                </pic:pic>
              </a:graphicData>
            </a:graphic>
          </wp:inline>
        </w:drawing>
      </w:r>
      <w:r>
        <w:rPr>
          <w:sz w:val="20"/>
        </w:rPr>
      </w:r>
      <w:r>
        <w:rPr>
          <w:rFonts w:ascii="Times New Roman"/>
          <w:sz w:val="20"/>
        </w:rPr>
        <w:t> </w:t>
      </w:r>
      <w:r>
        <w:rPr>
          <w:sz w:val="20"/>
        </w:rPr>
        <w:t>Throat</w:t>
      </w:r>
      <w:r>
        <w:rPr>
          <w:spacing w:val="-2"/>
          <w:sz w:val="20"/>
        </w:rPr>
        <w:t> </w:t>
      </w:r>
      <w:r>
        <w:rPr>
          <w:sz w:val="20"/>
        </w:rPr>
        <w:t>swab</w:t>
      </w:r>
    </w:p>
    <w:p>
      <w:pPr>
        <w:spacing w:before="108"/>
        <w:ind w:left="1125" w:right="0" w:firstLine="0"/>
        <w:jc w:val="left"/>
        <w:rPr>
          <w:sz w:val="20"/>
        </w:rPr>
      </w:pPr>
      <w:r>
        <w:rPr>
          <w:spacing w:val="-5"/>
          <w:sz w:val="20"/>
        </w:rPr>
        <w:t>20</w:t>
      </w:r>
    </w:p>
    <w:p>
      <w:pPr>
        <w:spacing w:before="197"/>
        <w:ind w:left="1125" w:right="0" w:firstLine="0"/>
        <w:jc w:val="left"/>
        <w:rPr>
          <w:sz w:val="20"/>
        </w:rPr>
      </w:pPr>
      <w:r>
        <w:rPr>
          <w:spacing w:val="-5"/>
          <w:sz w:val="20"/>
        </w:rPr>
        <w:t>10</w:t>
      </w:r>
    </w:p>
    <w:p>
      <w:pPr>
        <w:spacing w:before="196"/>
        <w:ind w:left="1226" w:right="0" w:firstLine="0"/>
        <w:jc w:val="left"/>
        <w:rPr>
          <w:sz w:val="20"/>
        </w:rPr>
      </w:pPr>
      <w:r>
        <w:rPr>
          <w:spacing w:val="-10"/>
          <w:sz w:val="20"/>
        </w:rPr>
        <w:t>0</w:t>
      </w:r>
    </w:p>
    <w:p>
      <w:pPr>
        <w:tabs>
          <w:tab w:pos="3133" w:val="left" w:leader="none"/>
          <w:tab w:pos="4215" w:val="left" w:leader="none"/>
          <w:tab w:pos="5421" w:val="left" w:leader="none"/>
          <w:tab w:pos="6536" w:val="left" w:leader="none"/>
        </w:tabs>
        <w:spacing w:before="74"/>
        <w:ind w:left="1920" w:right="0" w:firstLine="0"/>
        <w:jc w:val="left"/>
        <w:rPr>
          <w:sz w:val="20"/>
        </w:rPr>
      </w:pPr>
      <w:r>
        <w:rPr>
          <w:spacing w:val="-5"/>
          <w:sz w:val="20"/>
        </w:rPr>
        <w:t>CRO</w:t>
      </w:r>
      <w:r>
        <w:rPr>
          <w:sz w:val="20"/>
        </w:rPr>
        <w:tab/>
      </w:r>
      <w:r>
        <w:rPr>
          <w:spacing w:val="-5"/>
          <w:sz w:val="20"/>
        </w:rPr>
        <w:t>CN</w:t>
      </w:r>
      <w:r>
        <w:rPr>
          <w:sz w:val="20"/>
        </w:rPr>
        <w:tab/>
      </w:r>
      <w:r>
        <w:rPr>
          <w:spacing w:val="-5"/>
          <w:sz w:val="20"/>
        </w:rPr>
        <w:t>AMC</w:t>
      </w:r>
      <w:r>
        <w:rPr>
          <w:sz w:val="20"/>
        </w:rPr>
        <w:tab/>
      </w:r>
      <w:r>
        <w:rPr>
          <w:spacing w:val="-5"/>
          <w:sz w:val="20"/>
        </w:rPr>
        <w:t>LEV</w:t>
      </w:r>
      <w:r>
        <w:rPr>
          <w:sz w:val="20"/>
        </w:rPr>
        <w:tab/>
      </w:r>
      <w:r>
        <w:rPr>
          <w:spacing w:val="-5"/>
          <w:sz w:val="20"/>
        </w:rPr>
        <w:t>AZM</w:t>
      </w:r>
    </w:p>
    <w:p>
      <w:pPr>
        <w:pStyle w:val="BodyText"/>
        <w:spacing w:before="66"/>
        <w:rPr>
          <w:sz w:val="20"/>
        </w:rPr>
      </w:pPr>
    </w:p>
    <w:p>
      <w:pPr>
        <w:spacing w:before="0"/>
        <w:ind w:left="0" w:right="1732" w:firstLine="0"/>
        <w:jc w:val="center"/>
        <w:rPr>
          <w:b/>
          <w:sz w:val="20"/>
        </w:rPr>
      </w:pPr>
      <w:r>
        <w:rPr>
          <w:b/>
          <w:spacing w:val="-2"/>
          <w:sz w:val="20"/>
        </w:rPr>
        <w:t>Antibiotics</w:t>
      </w:r>
    </w:p>
    <w:p>
      <w:pPr>
        <w:pStyle w:val="BodyText"/>
        <w:spacing w:before="43"/>
        <w:rPr>
          <w:b/>
        </w:rPr>
      </w:pPr>
    </w:p>
    <w:p>
      <w:pPr>
        <w:pStyle w:val="BodyText"/>
        <w:tabs>
          <w:tab w:pos="1820" w:val="left" w:leader="none"/>
        </w:tabs>
        <w:spacing w:line="261" w:lineRule="auto"/>
        <w:ind w:left="1820" w:right="980" w:hanging="1440"/>
      </w:pPr>
      <w:r>
        <w:rPr/>
        <w:t>Figure 4.3:</w:t>
        <w:tab/>
        <w:t>Susceptibility</w:t>
      </w:r>
      <w:r>
        <w:rPr>
          <w:spacing w:val="40"/>
        </w:rPr>
        <w:t> </w:t>
      </w:r>
      <w:r>
        <w:rPr/>
        <w:t>pattern</w:t>
      </w:r>
      <w:r>
        <w:rPr>
          <w:spacing w:val="40"/>
        </w:rPr>
        <w:t> </w:t>
      </w:r>
      <w:r>
        <w:rPr/>
        <w:t>of</w:t>
      </w:r>
      <w:r>
        <w:rPr>
          <w:spacing w:val="40"/>
        </w:rPr>
        <w:t> </w:t>
      </w:r>
      <w:r>
        <w:rPr/>
        <w:t>the</w:t>
      </w:r>
      <w:r>
        <w:rPr>
          <w:spacing w:val="40"/>
        </w:rPr>
        <w:t> </w:t>
      </w:r>
      <w:r>
        <w:rPr/>
        <w:t>test</w:t>
      </w:r>
      <w:r>
        <w:rPr>
          <w:spacing w:val="40"/>
        </w:rPr>
        <w:t> </w:t>
      </w:r>
      <w:r>
        <w:rPr/>
        <w:t>bacteria</w:t>
      </w:r>
      <w:r>
        <w:rPr>
          <w:spacing w:val="40"/>
        </w:rPr>
        <w:t> </w:t>
      </w:r>
      <w:r>
        <w:rPr/>
        <w:t>isolates</w:t>
      </w:r>
      <w:r>
        <w:rPr>
          <w:spacing w:val="40"/>
        </w:rPr>
        <w:t> </w:t>
      </w:r>
      <w:r>
        <w:rPr/>
        <w:t>to</w:t>
      </w:r>
      <w:r>
        <w:rPr>
          <w:spacing w:val="40"/>
        </w:rPr>
        <w:t> </w:t>
      </w:r>
      <w:r>
        <w:rPr/>
        <w:t>standard</w:t>
      </w:r>
      <w:r>
        <w:rPr>
          <w:spacing w:val="40"/>
        </w:rPr>
        <w:t> </w:t>
      </w:r>
      <w:r>
        <w:rPr/>
        <w:t>antibiotics</w:t>
      </w:r>
      <w:r>
        <w:rPr>
          <w:spacing w:val="40"/>
        </w:rPr>
        <w:t> </w:t>
      </w:r>
      <w:r>
        <w:rPr/>
        <w:t>as</w:t>
      </w:r>
      <w:r>
        <w:rPr>
          <w:spacing w:val="40"/>
        </w:rPr>
        <w:t> </w:t>
      </w:r>
      <w:r>
        <w:rPr/>
        <w:t>per </w:t>
      </w:r>
      <w:r>
        <w:rPr>
          <w:spacing w:val="-2"/>
        </w:rPr>
        <w:t>source.</w:t>
      </w:r>
    </w:p>
    <w:p>
      <w:pPr>
        <w:pStyle w:val="BodyText"/>
        <w:spacing w:line="259" w:lineRule="auto" w:before="195"/>
        <w:ind w:left="1820" w:right="975" w:hanging="1440"/>
      </w:pPr>
      <w:r>
        <w:rPr/>
        <w:t>Key:</w:t>
      </w:r>
      <w:r>
        <w:rPr>
          <w:spacing w:val="-6"/>
        </w:rPr>
        <w:t> </w:t>
      </w:r>
      <w:r>
        <w:rPr/>
        <w:t>CN=Gentamicin,</w:t>
      </w:r>
      <w:r>
        <w:rPr>
          <w:spacing w:val="-6"/>
        </w:rPr>
        <w:t> </w:t>
      </w:r>
      <w:r>
        <w:rPr/>
        <w:t>CRO=Ceftriaxone,</w:t>
      </w:r>
      <w:r>
        <w:rPr>
          <w:spacing w:val="-6"/>
        </w:rPr>
        <w:t> </w:t>
      </w:r>
      <w:r>
        <w:rPr/>
        <w:t>AMC=Amoxicillin-Clavulanic</w:t>
      </w:r>
      <w:r>
        <w:rPr>
          <w:spacing w:val="-6"/>
        </w:rPr>
        <w:t> </w:t>
      </w:r>
      <w:r>
        <w:rPr/>
        <w:t>acid,</w:t>
      </w:r>
      <w:r>
        <w:rPr>
          <w:spacing w:val="-8"/>
        </w:rPr>
        <w:t> </w:t>
      </w:r>
      <w:r>
        <w:rPr/>
        <w:t>LEV=Levofloxacin, </w:t>
      </w:r>
      <w:r>
        <w:rPr>
          <w:spacing w:val="-2"/>
        </w:rPr>
        <w:t>AZM=Azithromycin.</w:t>
      </w:r>
    </w:p>
    <w:p>
      <w:pPr>
        <w:spacing w:after="0" w:line="259"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6"/>
      </w:pPr>
    </w:p>
    <w:p>
      <w:pPr>
        <w:pStyle w:val="Heading3"/>
        <w:numPr>
          <w:ilvl w:val="2"/>
          <w:numId w:val="4"/>
        </w:numPr>
        <w:tabs>
          <w:tab w:pos="1100" w:val="left" w:leader="none"/>
        </w:tabs>
        <w:spacing w:line="240" w:lineRule="auto" w:before="0" w:after="0"/>
        <w:ind w:left="1100" w:right="0" w:hanging="720"/>
        <w:jc w:val="left"/>
      </w:pPr>
      <w:r>
        <w:rPr/>
        <w:t>Susceptibility</w:t>
      </w:r>
      <w:r>
        <w:rPr>
          <w:spacing w:val="-4"/>
        </w:rPr>
        <w:t> </w:t>
      </w:r>
      <w:r>
        <w:rPr/>
        <w:t>Pattern</w:t>
      </w:r>
      <w:r>
        <w:rPr>
          <w:spacing w:val="-4"/>
        </w:rPr>
        <w:t> </w:t>
      </w:r>
      <w:r>
        <w:rPr/>
        <w:t>of</w:t>
      </w:r>
      <w:r>
        <w:rPr>
          <w:spacing w:val="-4"/>
        </w:rPr>
        <w:t> </w:t>
      </w:r>
      <w:r>
        <w:rPr/>
        <w:t>the</w:t>
      </w:r>
      <w:r>
        <w:rPr>
          <w:spacing w:val="-5"/>
        </w:rPr>
        <w:t> </w:t>
      </w:r>
      <w:r>
        <w:rPr/>
        <w:t>Bacterial</w:t>
      </w:r>
      <w:r>
        <w:rPr>
          <w:spacing w:val="-6"/>
        </w:rPr>
        <w:t> </w:t>
      </w:r>
      <w:r>
        <w:rPr/>
        <w:t>Isolates</w:t>
      </w:r>
      <w:r>
        <w:rPr>
          <w:spacing w:val="-4"/>
        </w:rPr>
        <w:t> </w:t>
      </w:r>
      <w:r>
        <w:rPr/>
        <w:t>to</w:t>
      </w:r>
      <w:r>
        <w:rPr>
          <w:spacing w:val="-5"/>
        </w:rPr>
        <w:t> </w:t>
      </w:r>
      <w:r>
        <w:rPr/>
        <w:t>Honey</w:t>
      </w:r>
      <w:r>
        <w:rPr>
          <w:spacing w:val="-3"/>
        </w:rPr>
        <w:t> </w:t>
      </w:r>
      <w:r>
        <w:rPr/>
        <w:t>and</w:t>
      </w:r>
      <w:r>
        <w:rPr>
          <w:spacing w:val="-5"/>
        </w:rPr>
        <w:t> </w:t>
      </w:r>
      <w:r>
        <w:rPr/>
        <w:t>Lemon</w:t>
      </w:r>
      <w:r>
        <w:rPr>
          <w:spacing w:val="-4"/>
        </w:rPr>
        <w:t> </w:t>
      </w:r>
      <w:r>
        <w:rPr>
          <w:spacing w:val="-2"/>
        </w:rPr>
        <w:t>Juice.</w:t>
      </w:r>
    </w:p>
    <w:p>
      <w:pPr>
        <w:pStyle w:val="BodyText"/>
        <w:spacing w:before="158"/>
        <w:rPr>
          <w:b/>
        </w:rPr>
      </w:pPr>
    </w:p>
    <w:p>
      <w:pPr>
        <w:pStyle w:val="BodyText"/>
        <w:spacing w:line="480" w:lineRule="auto" w:before="1"/>
        <w:ind w:left="1100" w:right="974" w:firstLine="720"/>
        <w:jc w:val="both"/>
      </w:pPr>
      <w:r>
        <w:rPr/>
        <w:t>Figure 4.4 shows the percentage susceptibility pattern of all the test bacterial</w:t>
      </w:r>
      <w:r>
        <w:rPr>
          <w:spacing w:val="40"/>
        </w:rPr>
        <w:t> </w:t>
      </w:r>
      <w:r>
        <w:rPr/>
        <w:t>isolates to</w:t>
      </w:r>
      <w:r>
        <w:rPr>
          <w:spacing w:val="-1"/>
        </w:rPr>
        <w:t> </w:t>
      </w:r>
      <w:r>
        <w:rPr/>
        <w:t>Honey,</w:t>
      </w:r>
      <w:r>
        <w:rPr>
          <w:spacing w:val="-2"/>
        </w:rPr>
        <w:t> </w:t>
      </w:r>
      <w:r>
        <w:rPr/>
        <w:t>Lemon and the</w:t>
      </w:r>
      <w:r>
        <w:rPr>
          <w:spacing w:val="-2"/>
        </w:rPr>
        <w:t> </w:t>
      </w:r>
      <w:r>
        <w:rPr/>
        <w:t>mixture</w:t>
      </w:r>
      <w:r>
        <w:rPr>
          <w:spacing w:val="-2"/>
        </w:rPr>
        <w:t> </w:t>
      </w:r>
      <w:r>
        <w:rPr/>
        <w:t>of Honey and Lemon.</w:t>
      </w:r>
      <w:r>
        <w:rPr>
          <w:spacing w:val="-3"/>
        </w:rPr>
        <w:t> </w:t>
      </w:r>
      <w:r>
        <w:rPr/>
        <w:t>All the test</w:t>
      </w:r>
      <w:r>
        <w:rPr>
          <w:spacing w:val="-1"/>
        </w:rPr>
        <w:t> </w:t>
      </w:r>
      <w:r>
        <w:rPr/>
        <w:t>bacterial isolates were susceptible to pure Honey, undiluted Lemon juice, Honey/Lemon juice at crude concentrations;</w:t>
      </w:r>
      <w:r>
        <w:rPr>
          <w:spacing w:val="3"/>
        </w:rPr>
        <w:t> </w:t>
      </w:r>
      <w:r>
        <w:rPr/>
        <w:t>98.2</w:t>
      </w:r>
      <w:r>
        <w:rPr>
          <w:spacing w:val="4"/>
        </w:rPr>
        <w:t> </w:t>
      </w:r>
      <w:r>
        <w:rPr/>
        <w:t>%</w:t>
      </w:r>
      <w:r>
        <w:rPr>
          <w:spacing w:val="6"/>
        </w:rPr>
        <w:t> </w:t>
      </w:r>
      <w:r>
        <w:rPr/>
        <w:t>and</w:t>
      </w:r>
      <w:r>
        <w:rPr>
          <w:spacing w:val="1"/>
        </w:rPr>
        <w:t> </w:t>
      </w:r>
      <w:r>
        <w:rPr/>
        <w:t>94.6</w:t>
      </w:r>
      <w:r>
        <w:rPr>
          <w:spacing w:val="3"/>
        </w:rPr>
        <w:t> </w:t>
      </w:r>
      <w:r>
        <w:rPr/>
        <w:t>%</w:t>
      </w:r>
      <w:r>
        <w:rPr>
          <w:spacing w:val="6"/>
        </w:rPr>
        <w:t> </w:t>
      </w:r>
      <w:r>
        <w:rPr/>
        <w:t>susceptible</w:t>
      </w:r>
      <w:r>
        <w:rPr>
          <w:spacing w:val="4"/>
        </w:rPr>
        <w:t> </w:t>
      </w:r>
      <w:r>
        <w:rPr/>
        <w:t>to</w:t>
      </w:r>
      <w:r>
        <w:rPr>
          <w:spacing w:val="3"/>
        </w:rPr>
        <w:t> </w:t>
      </w:r>
      <w:r>
        <w:rPr/>
        <w:t>Lemon</w:t>
      </w:r>
      <w:r>
        <w:rPr>
          <w:spacing w:val="7"/>
        </w:rPr>
        <w:t> </w:t>
      </w:r>
      <w:r>
        <w:rPr/>
        <w:t>juice</w:t>
      </w:r>
      <w:r>
        <w:rPr>
          <w:spacing w:val="5"/>
        </w:rPr>
        <w:t> </w:t>
      </w:r>
      <w:r>
        <w:rPr/>
        <w:t>and</w:t>
      </w:r>
      <w:r>
        <w:rPr>
          <w:spacing w:val="3"/>
        </w:rPr>
        <w:t> </w:t>
      </w:r>
      <w:r>
        <w:rPr/>
        <w:t>Honey</w:t>
      </w:r>
      <w:r>
        <w:rPr>
          <w:spacing w:val="6"/>
        </w:rPr>
        <w:t> </w:t>
      </w:r>
      <w:r>
        <w:rPr/>
        <w:t>respectively,</w:t>
      </w:r>
      <w:r>
        <w:rPr>
          <w:spacing w:val="4"/>
        </w:rPr>
        <w:t> </w:t>
      </w:r>
      <w:r>
        <w:rPr/>
        <w:t>at</w:t>
      </w:r>
      <w:r>
        <w:rPr>
          <w:spacing w:val="3"/>
        </w:rPr>
        <w:t> </w:t>
      </w:r>
      <w:r>
        <w:rPr>
          <w:spacing w:val="-5"/>
        </w:rPr>
        <w:t>50</w:t>
      </w:r>
    </w:p>
    <w:p>
      <w:pPr>
        <w:pStyle w:val="BodyText"/>
        <w:spacing w:line="480" w:lineRule="auto"/>
        <w:ind w:left="1100" w:right="977"/>
        <w:jc w:val="both"/>
      </w:pPr>
      <w:r>
        <w:rPr/>
        <w:t>%</w:t>
      </w:r>
      <w:r>
        <w:rPr>
          <w:spacing w:val="-1"/>
        </w:rPr>
        <w:t> </w:t>
      </w:r>
      <w:r>
        <w:rPr/>
        <w:t>v/v dilution</w:t>
      </w:r>
      <w:r>
        <w:rPr>
          <w:spacing w:val="-3"/>
        </w:rPr>
        <w:t> </w:t>
      </w:r>
      <w:r>
        <w:rPr/>
        <w:t>in</w:t>
      </w:r>
      <w:r>
        <w:rPr>
          <w:spacing w:val="-2"/>
        </w:rPr>
        <w:t> </w:t>
      </w:r>
      <w:r>
        <w:rPr/>
        <w:t>water;</w:t>
      </w:r>
      <w:r>
        <w:rPr>
          <w:spacing w:val="-2"/>
        </w:rPr>
        <w:t> </w:t>
      </w:r>
      <w:r>
        <w:rPr/>
        <w:t>and</w:t>
      </w:r>
      <w:r>
        <w:rPr>
          <w:spacing w:val="-3"/>
        </w:rPr>
        <w:t> </w:t>
      </w:r>
      <w:r>
        <w:rPr/>
        <w:t>23.2</w:t>
      </w:r>
      <w:r>
        <w:rPr>
          <w:spacing w:val="-1"/>
        </w:rPr>
        <w:t> </w:t>
      </w:r>
      <w:r>
        <w:rPr/>
        <w:t>%</w:t>
      </w:r>
      <w:r>
        <w:rPr>
          <w:spacing w:val="-1"/>
        </w:rPr>
        <w:t> </w:t>
      </w:r>
      <w:r>
        <w:rPr/>
        <w:t>and</w:t>
      </w:r>
      <w:r>
        <w:rPr>
          <w:spacing w:val="-3"/>
        </w:rPr>
        <w:t> </w:t>
      </w:r>
      <w:r>
        <w:rPr/>
        <w:t>67.9</w:t>
      </w:r>
      <w:r>
        <w:rPr>
          <w:spacing w:val="-1"/>
        </w:rPr>
        <w:t> </w:t>
      </w:r>
      <w:r>
        <w:rPr/>
        <w:t>%</w:t>
      </w:r>
      <w:r>
        <w:rPr>
          <w:spacing w:val="-1"/>
        </w:rPr>
        <w:t> </w:t>
      </w:r>
      <w:r>
        <w:rPr/>
        <w:t>susceptible</w:t>
      </w:r>
      <w:r>
        <w:rPr>
          <w:spacing w:val="-2"/>
        </w:rPr>
        <w:t> </w:t>
      </w:r>
      <w:r>
        <w:rPr/>
        <w:t>to</w:t>
      </w:r>
      <w:r>
        <w:rPr>
          <w:spacing w:val="-1"/>
        </w:rPr>
        <w:t> </w:t>
      </w:r>
      <w:r>
        <w:rPr/>
        <w:t>Honey</w:t>
      </w:r>
      <w:r>
        <w:rPr>
          <w:spacing w:val="-1"/>
        </w:rPr>
        <w:t> </w:t>
      </w:r>
      <w:r>
        <w:rPr/>
        <w:t>and</w:t>
      </w:r>
      <w:r>
        <w:rPr>
          <w:spacing w:val="-4"/>
        </w:rPr>
        <w:t> </w:t>
      </w:r>
      <w:r>
        <w:rPr/>
        <w:t>Lemon</w:t>
      </w:r>
      <w:r>
        <w:rPr>
          <w:spacing w:val="-3"/>
        </w:rPr>
        <w:t> </w:t>
      </w:r>
      <w:r>
        <w:rPr/>
        <w:t>respectively, at 25 % v/v dilution in water.</w:t>
      </w:r>
    </w:p>
    <w:p>
      <w:pPr>
        <w:spacing w:line="480" w:lineRule="auto" w:before="161"/>
        <w:ind w:left="1100" w:right="973" w:firstLine="720"/>
        <w:jc w:val="both"/>
        <w:rPr>
          <w:sz w:val="22"/>
        </w:rPr>
      </w:pPr>
      <w:r>
        <w:rPr>
          <w:sz w:val="22"/>
        </w:rPr>
        <w:t>Figure 4.5 shows the susceptibility pattern of isolates species to Honey, Lemon and Honey/Lemon juice mixture. All isolates of </w:t>
      </w:r>
      <w:r>
        <w:rPr>
          <w:i/>
          <w:sz w:val="22"/>
        </w:rPr>
        <w:t>Haemophilus influenzae, Streptococcus Pneumoniae, </w:t>
      </w:r>
      <w:r>
        <w:rPr>
          <w:sz w:val="22"/>
        </w:rPr>
        <w:t>and </w:t>
      </w:r>
      <w:r>
        <w:rPr>
          <w:i/>
          <w:sz w:val="22"/>
        </w:rPr>
        <w:t>Streptococcus pyogenes </w:t>
      </w:r>
      <w:r>
        <w:rPr>
          <w:sz w:val="22"/>
        </w:rPr>
        <w:t>were sensitive to the undiluted Honey and Lemon juice</w:t>
      </w:r>
      <w:r>
        <w:rPr>
          <w:spacing w:val="-2"/>
          <w:sz w:val="22"/>
        </w:rPr>
        <w:t> </w:t>
      </w:r>
      <w:r>
        <w:rPr>
          <w:sz w:val="22"/>
        </w:rPr>
        <w:t>as</w:t>
      </w:r>
      <w:r>
        <w:rPr>
          <w:spacing w:val="-2"/>
          <w:sz w:val="22"/>
        </w:rPr>
        <w:t> </w:t>
      </w:r>
      <w:r>
        <w:rPr>
          <w:sz w:val="22"/>
        </w:rPr>
        <w:t>well</w:t>
      </w:r>
      <w:r>
        <w:rPr>
          <w:spacing w:val="-2"/>
          <w:sz w:val="22"/>
        </w:rPr>
        <w:t> </w:t>
      </w:r>
      <w:r>
        <w:rPr>
          <w:sz w:val="22"/>
        </w:rPr>
        <w:t>as</w:t>
      </w:r>
      <w:r>
        <w:rPr>
          <w:spacing w:val="-1"/>
          <w:sz w:val="22"/>
        </w:rPr>
        <w:t> </w:t>
      </w:r>
      <w:r>
        <w:rPr>
          <w:sz w:val="22"/>
        </w:rPr>
        <w:t>50</w:t>
      </w:r>
      <w:r>
        <w:rPr>
          <w:spacing w:val="-1"/>
          <w:sz w:val="22"/>
        </w:rPr>
        <w:t> </w:t>
      </w:r>
      <w:r>
        <w:rPr>
          <w:sz w:val="22"/>
        </w:rPr>
        <w:t>%</w:t>
      </w:r>
      <w:r>
        <w:rPr>
          <w:spacing w:val="-3"/>
          <w:sz w:val="22"/>
        </w:rPr>
        <w:t> </w:t>
      </w:r>
      <w:r>
        <w:rPr>
          <w:sz w:val="22"/>
        </w:rPr>
        <w:t>v/v</w:t>
      </w:r>
      <w:r>
        <w:rPr>
          <w:spacing w:val="-1"/>
          <w:sz w:val="22"/>
        </w:rPr>
        <w:t> </w:t>
      </w:r>
      <w:r>
        <w:rPr>
          <w:sz w:val="22"/>
        </w:rPr>
        <w:t>dilution</w:t>
      </w:r>
      <w:r>
        <w:rPr>
          <w:spacing w:val="-3"/>
          <w:sz w:val="22"/>
        </w:rPr>
        <w:t> </w:t>
      </w:r>
      <w:r>
        <w:rPr>
          <w:sz w:val="22"/>
        </w:rPr>
        <w:t>in</w:t>
      </w:r>
      <w:r>
        <w:rPr>
          <w:spacing w:val="-2"/>
          <w:sz w:val="22"/>
        </w:rPr>
        <w:t> </w:t>
      </w:r>
      <w:r>
        <w:rPr>
          <w:sz w:val="22"/>
        </w:rPr>
        <w:t>water,</w:t>
      </w:r>
      <w:r>
        <w:rPr>
          <w:spacing w:val="-1"/>
          <w:sz w:val="22"/>
        </w:rPr>
        <w:t> </w:t>
      </w:r>
      <w:r>
        <w:rPr>
          <w:sz w:val="22"/>
        </w:rPr>
        <w:t>and</w:t>
      </w:r>
      <w:r>
        <w:rPr>
          <w:spacing w:val="-4"/>
          <w:sz w:val="22"/>
        </w:rPr>
        <w:t> </w:t>
      </w:r>
      <w:r>
        <w:rPr>
          <w:sz w:val="22"/>
        </w:rPr>
        <w:t>Lemon</w:t>
      </w:r>
      <w:r>
        <w:rPr>
          <w:spacing w:val="-5"/>
          <w:sz w:val="22"/>
        </w:rPr>
        <w:t> </w:t>
      </w:r>
      <w:r>
        <w:rPr>
          <w:sz w:val="22"/>
        </w:rPr>
        <w:t>at</w:t>
      </w:r>
      <w:r>
        <w:rPr>
          <w:spacing w:val="-2"/>
          <w:sz w:val="22"/>
        </w:rPr>
        <w:t> </w:t>
      </w:r>
      <w:r>
        <w:rPr>
          <w:sz w:val="22"/>
        </w:rPr>
        <w:t>25</w:t>
      </w:r>
      <w:r>
        <w:rPr>
          <w:spacing w:val="-2"/>
          <w:sz w:val="22"/>
        </w:rPr>
        <w:t> </w:t>
      </w:r>
      <w:r>
        <w:rPr>
          <w:sz w:val="22"/>
        </w:rPr>
        <w:t>%</w:t>
      </w:r>
      <w:r>
        <w:rPr>
          <w:spacing w:val="-3"/>
          <w:sz w:val="22"/>
        </w:rPr>
        <w:t> </w:t>
      </w:r>
      <w:r>
        <w:rPr>
          <w:sz w:val="22"/>
        </w:rPr>
        <w:t>v/v dilution</w:t>
      </w:r>
      <w:r>
        <w:rPr>
          <w:spacing w:val="-3"/>
          <w:sz w:val="22"/>
        </w:rPr>
        <w:t> </w:t>
      </w:r>
      <w:r>
        <w:rPr>
          <w:sz w:val="22"/>
        </w:rPr>
        <w:t>in</w:t>
      </w:r>
      <w:r>
        <w:rPr>
          <w:spacing w:val="-2"/>
          <w:sz w:val="22"/>
        </w:rPr>
        <w:t> </w:t>
      </w:r>
      <w:r>
        <w:rPr>
          <w:sz w:val="22"/>
        </w:rPr>
        <w:t>water.</w:t>
      </w:r>
      <w:r>
        <w:rPr>
          <w:spacing w:val="-1"/>
          <w:sz w:val="22"/>
        </w:rPr>
        <w:t> </w:t>
      </w:r>
      <w:r>
        <w:rPr>
          <w:spacing w:val="-2"/>
          <w:sz w:val="22"/>
        </w:rPr>
        <w:t>However,</w:t>
      </w:r>
    </w:p>
    <w:p>
      <w:pPr>
        <w:spacing w:before="1"/>
        <w:ind w:left="1100" w:right="0" w:firstLine="0"/>
        <w:jc w:val="both"/>
        <w:rPr>
          <w:sz w:val="22"/>
        </w:rPr>
      </w:pPr>
      <w:r>
        <w:rPr>
          <w:i/>
          <w:sz w:val="22"/>
        </w:rPr>
        <w:t>H.</w:t>
      </w:r>
      <w:r>
        <w:rPr>
          <w:i/>
          <w:spacing w:val="-6"/>
          <w:sz w:val="22"/>
        </w:rPr>
        <w:t> </w:t>
      </w:r>
      <w:r>
        <w:rPr>
          <w:i/>
          <w:sz w:val="22"/>
        </w:rPr>
        <w:t>influenzae,</w:t>
      </w:r>
      <w:r>
        <w:rPr>
          <w:i/>
          <w:spacing w:val="-3"/>
          <w:sz w:val="22"/>
        </w:rPr>
        <w:t> </w:t>
      </w:r>
      <w:r>
        <w:rPr>
          <w:i/>
          <w:sz w:val="22"/>
        </w:rPr>
        <w:t>K.</w:t>
      </w:r>
      <w:r>
        <w:rPr>
          <w:i/>
          <w:spacing w:val="-3"/>
          <w:sz w:val="22"/>
        </w:rPr>
        <w:t> </w:t>
      </w:r>
      <w:r>
        <w:rPr>
          <w:i/>
          <w:sz w:val="22"/>
        </w:rPr>
        <w:t>Pneumoniae</w:t>
      </w:r>
      <w:r>
        <w:rPr>
          <w:sz w:val="22"/>
        </w:rPr>
        <w:t>,</w:t>
      </w:r>
      <w:r>
        <w:rPr>
          <w:spacing w:val="-3"/>
          <w:sz w:val="22"/>
        </w:rPr>
        <w:t> </w:t>
      </w:r>
      <w:r>
        <w:rPr>
          <w:i/>
          <w:sz w:val="22"/>
        </w:rPr>
        <w:t>S.</w:t>
      </w:r>
      <w:r>
        <w:rPr>
          <w:i/>
          <w:spacing w:val="-3"/>
          <w:sz w:val="22"/>
        </w:rPr>
        <w:t> </w:t>
      </w:r>
      <w:r>
        <w:rPr>
          <w:i/>
          <w:sz w:val="22"/>
        </w:rPr>
        <w:t>pneumoniae</w:t>
      </w:r>
      <w:r>
        <w:rPr>
          <w:i/>
          <w:spacing w:val="-4"/>
          <w:sz w:val="22"/>
        </w:rPr>
        <w:t> </w:t>
      </w:r>
      <w:r>
        <w:rPr>
          <w:sz w:val="22"/>
        </w:rPr>
        <w:t>and</w:t>
      </w:r>
      <w:r>
        <w:rPr>
          <w:spacing w:val="-4"/>
          <w:sz w:val="22"/>
        </w:rPr>
        <w:t> </w:t>
      </w:r>
      <w:r>
        <w:rPr>
          <w:i/>
          <w:sz w:val="22"/>
        </w:rPr>
        <w:t>S.</w:t>
      </w:r>
      <w:r>
        <w:rPr>
          <w:i/>
          <w:spacing w:val="-6"/>
          <w:sz w:val="22"/>
        </w:rPr>
        <w:t> </w:t>
      </w:r>
      <w:r>
        <w:rPr>
          <w:i/>
          <w:sz w:val="22"/>
        </w:rPr>
        <w:t>Pyogene</w:t>
      </w:r>
      <w:r>
        <w:rPr>
          <w:i/>
          <w:spacing w:val="-4"/>
          <w:sz w:val="22"/>
        </w:rPr>
        <w:t> </w:t>
      </w:r>
      <w:r>
        <w:rPr>
          <w:sz w:val="22"/>
        </w:rPr>
        <w:t>were</w:t>
      </w:r>
      <w:r>
        <w:rPr>
          <w:spacing w:val="-3"/>
          <w:sz w:val="22"/>
        </w:rPr>
        <w:t> </w:t>
      </w:r>
      <w:r>
        <w:rPr>
          <w:sz w:val="22"/>
        </w:rPr>
        <w:t>100</w:t>
      </w:r>
      <w:r>
        <w:rPr>
          <w:spacing w:val="-1"/>
          <w:sz w:val="22"/>
        </w:rPr>
        <w:t> </w:t>
      </w:r>
      <w:r>
        <w:rPr>
          <w:sz w:val="22"/>
        </w:rPr>
        <w:t>%,</w:t>
      </w:r>
      <w:r>
        <w:rPr>
          <w:spacing w:val="-5"/>
          <w:sz w:val="22"/>
        </w:rPr>
        <w:t> </w:t>
      </w:r>
      <w:r>
        <w:rPr>
          <w:sz w:val="22"/>
        </w:rPr>
        <w:t>86.7</w:t>
      </w:r>
      <w:r>
        <w:rPr>
          <w:spacing w:val="-5"/>
          <w:sz w:val="22"/>
        </w:rPr>
        <w:t> </w:t>
      </w:r>
      <w:r>
        <w:rPr>
          <w:sz w:val="22"/>
        </w:rPr>
        <w:t>%,</w:t>
      </w:r>
      <w:r>
        <w:rPr>
          <w:spacing w:val="-3"/>
          <w:sz w:val="22"/>
        </w:rPr>
        <w:t> </w:t>
      </w:r>
      <w:r>
        <w:rPr>
          <w:sz w:val="22"/>
        </w:rPr>
        <w:t>85.7</w:t>
      </w:r>
      <w:r>
        <w:rPr>
          <w:spacing w:val="-4"/>
          <w:sz w:val="22"/>
        </w:rPr>
        <w:t> </w:t>
      </w:r>
      <w:r>
        <w:rPr>
          <w:sz w:val="22"/>
        </w:rPr>
        <w:t>%</w:t>
      </w:r>
      <w:r>
        <w:rPr>
          <w:spacing w:val="-2"/>
          <w:sz w:val="22"/>
        </w:rPr>
        <w:t> </w:t>
      </w:r>
      <w:r>
        <w:rPr>
          <w:spacing w:val="-5"/>
          <w:sz w:val="22"/>
        </w:rPr>
        <w:t>and</w:t>
      </w:r>
    </w:p>
    <w:p>
      <w:pPr>
        <w:pStyle w:val="BodyText"/>
      </w:pPr>
    </w:p>
    <w:p>
      <w:pPr>
        <w:pStyle w:val="BodyText"/>
        <w:spacing w:line="480" w:lineRule="auto"/>
        <w:ind w:left="1100" w:right="973"/>
        <w:jc w:val="both"/>
      </w:pPr>
      <w:r>
        <w:rPr/>
        <w:t>83.3 % resistance to Honey at 25 % v/v concentrations respectively. </w:t>
      </w:r>
      <w:r>
        <w:rPr>
          <w:i/>
        </w:rPr>
        <w:t>Staphylococcus aureus </w:t>
      </w:r>
      <w:r>
        <w:rPr/>
        <w:t>and </w:t>
      </w:r>
      <w:r>
        <w:rPr>
          <w:i/>
        </w:rPr>
        <w:t>Pseudomonas aeruginosa </w:t>
      </w:r>
      <w:r>
        <w:rPr/>
        <w:t>are 50.0 %, 83.3 % resistance to Lemon juice at 25 % v/v dilution in water respectively and 64.3 %, 66.7 % resistant to Honey at 25 % v/v dilution in </w:t>
      </w:r>
      <w:r>
        <w:rPr>
          <w:spacing w:val="-2"/>
        </w:rPr>
        <w:t>water.</w:t>
      </w:r>
    </w:p>
    <w:p>
      <w:pPr>
        <w:spacing w:after="0" w:line="480" w:lineRule="auto"/>
        <w:jc w:val="both"/>
        <w:sectPr>
          <w:pgSz w:w="11910" w:h="16840"/>
          <w:pgMar w:header="0" w:footer="1055" w:top="1920" w:bottom="1240" w:left="1060" w:right="460"/>
        </w:sectPr>
      </w:pPr>
    </w:p>
    <w:p>
      <w:pPr>
        <w:pStyle w:val="BodyText"/>
        <w:spacing w:line="480" w:lineRule="auto" w:before="38"/>
        <w:ind w:left="1100" w:right="974" w:firstLine="720"/>
        <w:jc w:val="both"/>
      </w:pPr>
      <w:r>
        <w:rPr/>
        <w:t>Figure 4.6 shows the susceptibility pattern of the test organisms to Honey, Lemon and the mixture of Honey and Lemon juice. All isolates from ear swab were sensitive to undiluted Honey and Lemon and 50% dilutions, while 87.5% and 62.5% resistance to Honey and Lemon at 25% dilution; All isolates from nasal secretion were sensitive to undiluted Honey and Lemon juice, while all were resistant to Honey at 25% dilution; All isolates from throat swab were sensitive to undiluted Honey and Lemon juice and 50% diluted, while 57.1% resistance to Honey at 25% dilution.</w:t>
      </w:r>
    </w:p>
    <w:p>
      <w:pPr>
        <w:pStyle w:val="BodyText"/>
        <w:spacing w:line="480" w:lineRule="auto" w:before="201"/>
        <w:ind w:left="1100" w:right="974" w:firstLine="720"/>
        <w:jc w:val="both"/>
      </w:pPr>
      <w:r>
        <w:rPr/>
        <w:t>Plate</w:t>
      </w:r>
      <w:r>
        <w:rPr>
          <w:spacing w:val="-3"/>
        </w:rPr>
        <w:t> </w:t>
      </w:r>
      <w:r>
        <w:rPr/>
        <w:t>IV</w:t>
      </w:r>
      <w:r>
        <w:rPr>
          <w:vertAlign w:val="subscript"/>
        </w:rPr>
        <w:t>a</w:t>
      </w:r>
      <w:r>
        <w:rPr>
          <w:vertAlign w:val="baseline"/>
        </w:rPr>
        <w:t> shows the susceptibility plate</w:t>
      </w:r>
      <w:r>
        <w:rPr>
          <w:spacing w:val="-3"/>
          <w:vertAlign w:val="baseline"/>
        </w:rPr>
        <w:t> </w:t>
      </w:r>
      <w:r>
        <w:rPr>
          <w:vertAlign w:val="baseline"/>
        </w:rPr>
        <w:t>of</w:t>
      </w:r>
      <w:r>
        <w:rPr>
          <w:spacing w:val="-1"/>
          <w:vertAlign w:val="baseline"/>
        </w:rPr>
        <w:t> </w:t>
      </w:r>
      <w:r>
        <w:rPr>
          <w:i/>
          <w:vertAlign w:val="baseline"/>
        </w:rPr>
        <w:t>Streptococus</w:t>
      </w:r>
      <w:r>
        <w:rPr>
          <w:i/>
          <w:spacing w:val="-3"/>
          <w:vertAlign w:val="baseline"/>
        </w:rPr>
        <w:t> </w:t>
      </w:r>
      <w:r>
        <w:rPr>
          <w:i/>
          <w:vertAlign w:val="baseline"/>
        </w:rPr>
        <w:t>pneumoniae </w:t>
      </w:r>
      <w:r>
        <w:rPr>
          <w:vertAlign w:val="baseline"/>
        </w:rPr>
        <w:t>(Sample number S232), to Lemon (100-25 % v/v concentrations), CN, AMC and CRO showing various zones of inhibition. The largest zone of inhibition was shown with undiluted Lemon; while the lowest zone of inhibition was shown by AMC.</w:t>
      </w:r>
    </w:p>
    <w:p>
      <w:pPr>
        <w:pStyle w:val="BodyText"/>
        <w:spacing w:line="482" w:lineRule="auto" w:before="199"/>
        <w:ind w:left="1100" w:right="974" w:firstLine="720"/>
        <w:jc w:val="both"/>
      </w:pPr>
      <w:r>
        <w:rPr/>
        <w:t>Plate</w:t>
      </w:r>
      <w:r>
        <w:rPr>
          <w:spacing w:val="-3"/>
        </w:rPr>
        <w:t> </w:t>
      </w:r>
      <w:r>
        <w:rPr/>
        <w:t>IV</w:t>
      </w:r>
      <w:r>
        <w:rPr>
          <w:vertAlign w:val="subscript"/>
        </w:rPr>
        <w:t>b</w:t>
      </w:r>
      <w:r>
        <w:rPr>
          <w:spacing w:val="-2"/>
          <w:vertAlign w:val="baseline"/>
        </w:rPr>
        <w:t> </w:t>
      </w:r>
      <w:r>
        <w:rPr>
          <w:vertAlign w:val="baseline"/>
        </w:rPr>
        <w:t>shows the susceptibility plate</w:t>
      </w:r>
      <w:r>
        <w:rPr>
          <w:spacing w:val="-5"/>
          <w:vertAlign w:val="baseline"/>
        </w:rPr>
        <w:t> </w:t>
      </w:r>
      <w:r>
        <w:rPr>
          <w:vertAlign w:val="baseline"/>
        </w:rPr>
        <w:t>of</w:t>
      </w:r>
      <w:r>
        <w:rPr>
          <w:spacing w:val="-2"/>
          <w:vertAlign w:val="baseline"/>
        </w:rPr>
        <w:t> </w:t>
      </w:r>
      <w:r>
        <w:rPr>
          <w:i/>
          <w:vertAlign w:val="baseline"/>
        </w:rPr>
        <w:t>Streptococus</w:t>
      </w:r>
      <w:r>
        <w:rPr>
          <w:i/>
          <w:spacing w:val="-3"/>
          <w:vertAlign w:val="baseline"/>
        </w:rPr>
        <w:t> </w:t>
      </w:r>
      <w:r>
        <w:rPr>
          <w:i/>
          <w:vertAlign w:val="baseline"/>
        </w:rPr>
        <w:t>pneumoniae </w:t>
      </w:r>
      <w:r>
        <w:rPr>
          <w:vertAlign w:val="baseline"/>
        </w:rPr>
        <w:t>(Sample</w:t>
      </w:r>
      <w:r>
        <w:rPr>
          <w:spacing w:val="-3"/>
          <w:vertAlign w:val="baseline"/>
        </w:rPr>
        <w:t> </w:t>
      </w:r>
      <w:r>
        <w:rPr>
          <w:vertAlign w:val="baseline"/>
        </w:rPr>
        <w:t>number S232), to Honey (100-25 % v/v concentrations), Honey and Lemon mixture (30:50 % v/v concentration), LEV and AZM showing various zones of inhibition. The largest zone was observed with Honey and Lemon juice mixture, followed by LEV and undiluted Honey.</w:t>
      </w:r>
    </w:p>
    <w:p>
      <w:pPr>
        <w:spacing w:after="0" w:line="482" w:lineRule="auto"/>
        <w:jc w:val="both"/>
        <w:sectPr>
          <w:pgSz w:w="11910" w:h="16840"/>
          <w:pgMar w:header="0" w:footer="1055" w:top="1380" w:bottom="1240" w:left="1060" w:right="460"/>
        </w:sectPr>
      </w:pPr>
    </w:p>
    <w:p>
      <w:pPr>
        <w:spacing w:before="42"/>
        <w:ind w:left="1534" w:right="0" w:firstLine="0"/>
        <w:jc w:val="left"/>
        <w:rPr>
          <w:sz w:val="20"/>
        </w:rPr>
      </w:pPr>
      <w:r>
        <w:rPr/>
        <mc:AlternateContent>
          <mc:Choice Requires="wps">
            <w:drawing>
              <wp:anchor distT="0" distB="0" distL="0" distR="0" allowOverlap="1" layoutInCell="1" locked="0" behindDoc="1" simplePos="0" relativeHeight="472707072">
                <wp:simplePos x="0" y="0"/>
                <wp:positionH relativeFrom="page">
                  <wp:posOffset>1917192</wp:posOffset>
                </wp:positionH>
                <wp:positionV relativeFrom="paragraph">
                  <wp:posOffset>85343</wp:posOffset>
                </wp:positionV>
                <wp:extent cx="4099560" cy="303657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4099560" cy="3036570"/>
                          <a:chExt cx="4099560" cy="3036570"/>
                        </a:xfrm>
                      </wpg:grpSpPr>
                      <pic:pic>
                        <pic:nvPicPr>
                          <pic:cNvPr id="35" name="Image 35"/>
                          <pic:cNvPicPr/>
                        </pic:nvPicPr>
                        <pic:blipFill>
                          <a:blip r:embed="rId257" cstate="print"/>
                          <a:stretch>
                            <a:fillRect/>
                          </a:stretch>
                        </pic:blipFill>
                        <pic:spPr>
                          <a:xfrm>
                            <a:off x="30480" y="0"/>
                            <a:ext cx="4069079" cy="2999231"/>
                          </a:xfrm>
                          <a:prstGeom prst="rect">
                            <a:avLst/>
                          </a:prstGeom>
                        </pic:spPr>
                      </pic:pic>
                      <wps:wsp>
                        <wps:cNvPr id="36" name="Graphic 36"/>
                        <wps:cNvSpPr/>
                        <wps:spPr>
                          <a:xfrm>
                            <a:off x="0" y="19811"/>
                            <a:ext cx="3977004" cy="3016885"/>
                          </a:xfrm>
                          <a:custGeom>
                            <a:avLst/>
                            <a:gdLst/>
                            <a:ahLst/>
                            <a:cxnLst/>
                            <a:rect l="l" t="t" r="r" b="b"/>
                            <a:pathLst>
                              <a:path w="3977004" h="3016885">
                                <a:moveTo>
                                  <a:pt x="154812" y="2469896"/>
                                </a:moveTo>
                                <a:lnTo>
                                  <a:pt x="114300" y="2469896"/>
                                </a:lnTo>
                              </a:path>
                              <a:path w="3977004" h="3016885">
                                <a:moveTo>
                                  <a:pt x="143256" y="2235708"/>
                                </a:moveTo>
                                <a:lnTo>
                                  <a:pt x="103631" y="2235708"/>
                                </a:lnTo>
                              </a:path>
                              <a:path w="3977004" h="3016885">
                                <a:moveTo>
                                  <a:pt x="132587" y="1997964"/>
                                </a:moveTo>
                                <a:lnTo>
                                  <a:pt x="92963" y="1997964"/>
                                </a:lnTo>
                              </a:path>
                              <a:path w="3977004" h="3016885">
                                <a:moveTo>
                                  <a:pt x="121919" y="1757172"/>
                                </a:moveTo>
                                <a:lnTo>
                                  <a:pt x="82295" y="1757172"/>
                                </a:lnTo>
                              </a:path>
                              <a:path w="3977004" h="3016885">
                                <a:moveTo>
                                  <a:pt x="111251" y="1514855"/>
                                </a:moveTo>
                                <a:lnTo>
                                  <a:pt x="70103" y="1514855"/>
                                </a:lnTo>
                              </a:path>
                              <a:path w="3977004" h="3016885">
                                <a:moveTo>
                                  <a:pt x="99059" y="1269492"/>
                                </a:moveTo>
                                <a:lnTo>
                                  <a:pt x="59435" y="1269492"/>
                                </a:lnTo>
                              </a:path>
                              <a:path w="3977004" h="3016885">
                                <a:moveTo>
                                  <a:pt x="88391" y="1021079"/>
                                </a:moveTo>
                                <a:lnTo>
                                  <a:pt x="47243" y="1021079"/>
                                </a:lnTo>
                              </a:path>
                              <a:path w="3977004" h="3016885">
                                <a:moveTo>
                                  <a:pt x="76200" y="769620"/>
                                </a:moveTo>
                                <a:lnTo>
                                  <a:pt x="36575" y="769620"/>
                                </a:lnTo>
                              </a:path>
                              <a:path w="3977004" h="3016885">
                                <a:moveTo>
                                  <a:pt x="64007" y="516636"/>
                                </a:moveTo>
                                <a:lnTo>
                                  <a:pt x="24383" y="516636"/>
                                </a:lnTo>
                              </a:path>
                              <a:path w="3977004" h="3016885">
                                <a:moveTo>
                                  <a:pt x="53339" y="259079"/>
                                </a:moveTo>
                                <a:lnTo>
                                  <a:pt x="12191" y="259079"/>
                                </a:lnTo>
                              </a:path>
                              <a:path w="3977004" h="3016885">
                                <a:moveTo>
                                  <a:pt x="41147" y="0"/>
                                </a:moveTo>
                                <a:lnTo>
                                  <a:pt x="0" y="0"/>
                                </a:lnTo>
                              </a:path>
                              <a:path w="3977004" h="3016885">
                                <a:moveTo>
                                  <a:pt x="155447" y="2470404"/>
                                </a:moveTo>
                                <a:lnTo>
                                  <a:pt x="155447" y="2510028"/>
                                </a:lnTo>
                              </a:path>
                              <a:path w="3977004" h="3016885">
                                <a:moveTo>
                                  <a:pt x="649224" y="2535936"/>
                                </a:moveTo>
                                <a:lnTo>
                                  <a:pt x="649224" y="2575560"/>
                                </a:lnTo>
                              </a:path>
                              <a:path w="3977004" h="3016885">
                                <a:moveTo>
                                  <a:pt x="1159764" y="2602992"/>
                                </a:moveTo>
                                <a:lnTo>
                                  <a:pt x="1159764" y="2644140"/>
                                </a:lnTo>
                              </a:path>
                              <a:path w="3977004" h="3016885">
                                <a:moveTo>
                                  <a:pt x="1687068" y="2673096"/>
                                </a:moveTo>
                                <a:lnTo>
                                  <a:pt x="1687068" y="2712720"/>
                                </a:lnTo>
                              </a:path>
                              <a:path w="3977004" h="3016885">
                                <a:moveTo>
                                  <a:pt x="2231135" y="2744724"/>
                                </a:moveTo>
                                <a:lnTo>
                                  <a:pt x="2231135" y="2785872"/>
                                </a:lnTo>
                              </a:path>
                              <a:path w="3977004" h="3016885">
                                <a:moveTo>
                                  <a:pt x="2793492" y="2819400"/>
                                </a:moveTo>
                                <a:lnTo>
                                  <a:pt x="2793492" y="2860548"/>
                                </a:lnTo>
                              </a:path>
                              <a:path w="3977004" h="3016885">
                                <a:moveTo>
                                  <a:pt x="3375659" y="2897124"/>
                                </a:moveTo>
                                <a:lnTo>
                                  <a:pt x="3375659" y="2936748"/>
                                </a:lnTo>
                              </a:path>
                              <a:path w="3977004" h="3016885">
                                <a:moveTo>
                                  <a:pt x="3976624" y="2976372"/>
                                </a:moveTo>
                                <a:lnTo>
                                  <a:pt x="3976624" y="3016377"/>
                                </a:lnTo>
                              </a:path>
                            </a:pathLst>
                          </a:custGeom>
                          <a:ln w="12700">
                            <a:solidFill>
                              <a:srgbClr val="8888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0.960007pt;margin-top:6.72pt;width:322.8pt;height:239.1pt;mso-position-horizontal-relative:page;mso-position-vertical-relative:paragraph;z-index:-30609408" id="docshapegroup21" coordorigin="3019,134" coordsize="6456,4782">
                <v:shape style="position:absolute;left:3067;top:134;width:6408;height:4724" type="#_x0000_t75" id="docshape22" stroked="false">
                  <v:imagedata r:id="rId257" o:title=""/>
                </v:shape>
                <v:shape style="position:absolute;left:3019;top:165;width:6263;height:4751" id="docshape23" coordorigin="3019,166" coordsize="6263,4751" path="m3263,4055l3199,4055m3245,3686l3182,3686m3228,3312l3166,3312m3211,2933l3149,2933m3194,2551l3130,2551m3175,2165l3113,2165m3158,1774l3094,1774m3139,1378l3077,1378m3120,979l3058,979m3103,574l3038,574m3084,166l3019,166m3264,4056l3264,4118m4042,4159l4042,4222m4846,4265l4846,4330m5676,4375l5676,4438m6533,4488l6533,4553m7418,4606l7418,4670m8335,4728l8335,4790m9282,4853l9282,4916e" filled="false" stroked="true" strokeweight="1pt" strokecolor="#888888">
                  <v:path arrowok="t"/>
                  <v:stroke dashstyle="solid"/>
                </v:shape>
                <w10:wrap type="none"/>
              </v:group>
            </w:pict>
          </mc:Fallback>
        </mc:AlternateContent>
      </w:r>
      <w:r>
        <w:rPr>
          <w:spacing w:val="-5"/>
          <w:sz w:val="20"/>
        </w:rPr>
        <w:t>100</w:t>
      </w:r>
    </w:p>
    <w:p>
      <w:pPr>
        <w:spacing w:before="165"/>
        <w:ind w:left="1654" w:right="0" w:firstLine="0"/>
        <w:jc w:val="left"/>
        <w:rPr>
          <w:sz w:val="20"/>
        </w:rPr>
      </w:pPr>
      <w:r>
        <w:rPr>
          <w:spacing w:val="-5"/>
          <w:sz w:val="20"/>
        </w:rPr>
        <w:t>90</w:t>
      </w:r>
    </w:p>
    <w:p>
      <w:pPr>
        <w:spacing w:before="160"/>
        <w:ind w:left="1673" w:right="0" w:firstLine="0"/>
        <w:jc w:val="left"/>
        <w:rPr>
          <w:sz w:val="20"/>
        </w:rPr>
      </w:pPr>
      <w:r>
        <w:rPr/>
        <mc:AlternateContent>
          <mc:Choice Requires="wps">
            <w:drawing>
              <wp:anchor distT="0" distB="0" distL="0" distR="0" allowOverlap="1" layoutInCell="1" locked="0" behindDoc="0" simplePos="0" relativeHeight="15732736">
                <wp:simplePos x="0" y="0"/>
                <wp:positionH relativeFrom="page">
                  <wp:posOffset>1409471</wp:posOffset>
                </wp:positionH>
                <wp:positionV relativeFrom="paragraph">
                  <wp:posOffset>17742</wp:posOffset>
                </wp:positionV>
                <wp:extent cx="152400" cy="176530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52400" cy="1765300"/>
                        </a:xfrm>
                        <a:prstGeom prst="rect">
                          <a:avLst/>
                        </a:prstGeom>
                      </wps:spPr>
                      <wps:txbx>
                        <w:txbxContent>
                          <w:p>
                            <w:pPr>
                              <w:spacing w:line="223" w:lineRule="exact" w:before="0"/>
                              <w:ind w:left="20" w:right="0" w:firstLine="0"/>
                              <w:jc w:val="left"/>
                              <w:rPr>
                                <w:b/>
                                <w:sz w:val="20"/>
                              </w:rPr>
                            </w:pPr>
                            <w:r>
                              <w:rPr>
                                <w:b/>
                                <w:spacing w:val="-2"/>
                                <w:sz w:val="20"/>
                              </w:rPr>
                              <w:t>Percentage</w:t>
                            </w:r>
                            <w:r>
                              <w:rPr>
                                <w:b/>
                                <w:spacing w:val="3"/>
                                <w:sz w:val="20"/>
                              </w:rPr>
                              <w:t> </w:t>
                            </w:r>
                            <w:r>
                              <w:rPr>
                                <w:b/>
                                <w:spacing w:val="-2"/>
                                <w:sz w:val="20"/>
                              </w:rPr>
                              <w:t>susceptibility</w:t>
                            </w:r>
                            <w:r>
                              <w:rPr>
                                <w:b/>
                                <w:spacing w:val="6"/>
                                <w:sz w:val="20"/>
                              </w:rPr>
                              <w:t> </w:t>
                            </w:r>
                            <w:r>
                              <w:rPr>
                                <w:b/>
                                <w:spacing w:val="-2"/>
                                <w:sz w:val="20"/>
                              </w:rPr>
                              <w:t>pattern</w:t>
                            </w:r>
                          </w:p>
                        </w:txbxContent>
                      </wps:txbx>
                      <wps:bodyPr wrap="square" lIns="0" tIns="0" rIns="0" bIns="0" rtlCol="0" vert="vert270">
                        <a:noAutofit/>
                      </wps:bodyPr>
                    </wps:wsp>
                  </a:graphicData>
                </a:graphic>
              </wp:anchor>
            </w:drawing>
          </mc:Choice>
          <mc:Fallback>
            <w:pict>
              <v:shape style="position:absolute;margin-left:110.982002pt;margin-top:1.397057pt;width:12pt;height:139pt;mso-position-horizontal-relative:page;mso-position-vertical-relative:paragraph;z-index:15732736" type="#_x0000_t202" id="docshape24" filled="false" stroked="false">
                <v:textbox inset="0,0,0,0" style="layout-flow:vertical;mso-layout-flow-alt:bottom-to-top">
                  <w:txbxContent>
                    <w:p>
                      <w:pPr>
                        <w:spacing w:line="223" w:lineRule="exact" w:before="0"/>
                        <w:ind w:left="20" w:right="0" w:firstLine="0"/>
                        <w:jc w:val="left"/>
                        <w:rPr>
                          <w:b/>
                          <w:sz w:val="20"/>
                        </w:rPr>
                      </w:pPr>
                      <w:r>
                        <w:rPr>
                          <w:b/>
                          <w:spacing w:val="-2"/>
                          <w:sz w:val="20"/>
                        </w:rPr>
                        <w:t>Percentage</w:t>
                      </w:r>
                      <w:r>
                        <w:rPr>
                          <w:b/>
                          <w:spacing w:val="3"/>
                          <w:sz w:val="20"/>
                        </w:rPr>
                        <w:t> </w:t>
                      </w:r>
                      <w:r>
                        <w:rPr>
                          <w:b/>
                          <w:spacing w:val="-2"/>
                          <w:sz w:val="20"/>
                        </w:rPr>
                        <w:t>susceptibility</w:t>
                      </w:r>
                      <w:r>
                        <w:rPr>
                          <w:b/>
                          <w:spacing w:val="6"/>
                          <w:sz w:val="20"/>
                        </w:rPr>
                        <w:t> </w:t>
                      </w:r>
                      <w:r>
                        <w:rPr>
                          <w:b/>
                          <w:spacing w:val="-2"/>
                          <w:sz w:val="20"/>
                        </w:rPr>
                        <w:t>pattern</w:t>
                      </w:r>
                    </w:p>
                  </w:txbxContent>
                </v:textbox>
                <w10:wrap type="none"/>
              </v:shape>
            </w:pict>
          </mc:Fallback>
        </mc:AlternateContent>
      </w:r>
      <w:r>
        <w:rPr>
          <w:spacing w:val="-5"/>
          <w:sz w:val="20"/>
        </w:rPr>
        <w:t>80</w:t>
      </w:r>
    </w:p>
    <w:p>
      <w:pPr>
        <w:spacing w:after="0"/>
        <w:jc w:val="left"/>
        <w:rPr>
          <w:sz w:val="20"/>
        </w:rPr>
        <w:sectPr>
          <w:pgSz w:w="11910" w:h="16840"/>
          <w:pgMar w:header="0" w:footer="1055" w:top="1640" w:bottom="1240" w:left="1060" w:right="460"/>
        </w:sectPr>
      </w:pPr>
    </w:p>
    <w:p>
      <w:pPr>
        <w:spacing w:before="156"/>
        <w:ind w:left="0" w:right="1602" w:firstLine="0"/>
        <w:jc w:val="right"/>
        <w:rPr>
          <w:sz w:val="20"/>
        </w:rPr>
      </w:pPr>
      <w:r>
        <w:rPr>
          <w:spacing w:val="-5"/>
          <w:sz w:val="20"/>
        </w:rPr>
        <w:t>70</w:t>
      </w:r>
    </w:p>
    <w:p>
      <w:pPr>
        <w:spacing w:before="151"/>
        <w:ind w:left="0" w:right="1584" w:firstLine="0"/>
        <w:jc w:val="right"/>
        <w:rPr>
          <w:sz w:val="20"/>
        </w:rPr>
      </w:pPr>
      <w:r>
        <w:rPr>
          <w:spacing w:val="-5"/>
          <w:sz w:val="20"/>
        </w:rPr>
        <w:t>60</w:t>
      </w:r>
    </w:p>
    <w:p>
      <w:pPr>
        <w:spacing w:before="147"/>
        <w:ind w:left="0" w:right="1566" w:firstLine="0"/>
        <w:jc w:val="right"/>
        <w:rPr>
          <w:sz w:val="20"/>
        </w:rPr>
      </w:pPr>
      <w:r>
        <w:rPr>
          <w:spacing w:val="-5"/>
          <w:sz w:val="20"/>
        </w:rPr>
        <w:t>50</w:t>
      </w:r>
    </w:p>
    <w:p>
      <w:pPr>
        <w:spacing w:before="142"/>
        <w:ind w:left="0" w:right="1548" w:firstLine="0"/>
        <w:jc w:val="right"/>
        <w:rPr>
          <w:sz w:val="20"/>
        </w:rPr>
      </w:pPr>
      <w:r>
        <w:rPr>
          <w:spacing w:val="-5"/>
          <w:sz w:val="20"/>
        </w:rPr>
        <w:t>40</w:t>
      </w:r>
    </w:p>
    <w:p>
      <w:pPr>
        <w:spacing w:before="139"/>
        <w:ind w:left="0" w:right="1530" w:firstLine="0"/>
        <w:jc w:val="right"/>
        <w:rPr>
          <w:sz w:val="20"/>
        </w:rPr>
      </w:pPr>
      <w:r>
        <w:rPr>
          <w:spacing w:val="-5"/>
          <w:sz w:val="20"/>
        </w:rPr>
        <w:t>30</w:t>
      </w:r>
    </w:p>
    <w:p>
      <w:pPr>
        <w:spacing w:before="134"/>
        <w:ind w:left="0" w:right="1513" w:firstLine="0"/>
        <w:jc w:val="right"/>
        <w:rPr>
          <w:sz w:val="20"/>
        </w:rPr>
      </w:pPr>
      <w:r>
        <w:rPr>
          <w:spacing w:val="-5"/>
          <w:sz w:val="20"/>
        </w:rPr>
        <w:t>20</w:t>
      </w:r>
    </w:p>
    <w:p>
      <w:pPr>
        <w:spacing w:before="130"/>
        <w:ind w:left="0" w:right="1496" w:firstLine="0"/>
        <w:jc w:val="right"/>
        <w:rPr>
          <w:sz w:val="20"/>
        </w:rPr>
      </w:pPr>
      <w:r>
        <w:rPr>
          <w:spacing w:val="-5"/>
          <w:sz w:val="20"/>
        </w:rPr>
        <w:t>10</w:t>
      </w:r>
    </w:p>
    <w:p>
      <w:pPr>
        <w:spacing w:before="125"/>
        <w:ind w:left="0" w:right="1478" w:firstLine="0"/>
        <w:jc w:val="right"/>
        <w:rPr>
          <w:sz w:val="20"/>
        </w:rPr>
      </w:pPr>
      <w:r>
        <w:rPr>
          <w:spacing w:val="-10"/>
          <w:sz w:val="20"/>
        </w:rPr>
        <w:t>0</w:t>
      </w:r>
    </w:p>
    <w:p>
      <w:pPr>
        <w:tabs>
          <w:tab w:pos="793" w:val="left" w:leader="none"/>
        </w:tabs>
        <w:spacing w:before="132"/>
        <w:ind w:left="0" w:right="0" w:firstLine="0"/>
        <w:jc w:val="right"/>
        <w:rPr>
          <w:sz w:val="20"/>
        </w:rPr>
      </w:pPr>
      <w:r>
        <w:rPr>
          <w:spacing w:val="-5"/>
          <w:sz w:val="20"/>
        </w:rPr>
        <w:t>HA</w:t>
      </w:r>
      <w:r>
        <w:rPr>
          <w:sz w:val="20"/>
        </w:rPr>
        <w:tab/>
      </w:r>
      <w:r>
        <w:rPr>
          <w:spacing w:val="-5"/>
          <w:position w:val="-9"/>
          <w:sz w:val="20"/>
        </w:rPr>
        <w:t>HB</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tabs>
          <w:tab w:pos="1403" w:val="left" w:leader="none"/>
        </w:tabs>
        <w:spacing w:before="0"/>
        <w:ind w:left="545" w:right="0" w:firstLine="0"/>
        <w:jc w:val="left"/>
        <w:rPr>
          <w:sz w:val="20"/>
        </w:rPr>
      </w:pPr>
      <w:r>
        <w:rPr>
          <w:spacing w:val="-5"/>
          <w:sz w:val="20"/>
        </w:rPr>
        <w:t>HC</w:t>
      </w:r>
      <w:r>
        <w:rPr>
          <w:sz w:val="20"/>
        </w:rPr>
        <w:tab/>
      </w:r>
      <w:r>
        <w:rPr>
          <w:spacing w:val="-5"/>
          <w:position w:val="-10"/>
          <w:sz w:val="20"/>
        </w:rPr>
        <w:t>LA</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7"/>
        <w:rPr>
          <w:sz w:val="20"/>
        </w:rPr>
      </w:pPr>
    </w:p>
    <w:p>
      <w:pPr>
        <w:tabs>
          <w:tab w:pos="1537" w:val="left" w:leader="none"/>
        </w:tabs>
        <w:spacing w:before="0"/>
        <w:ind w:left="636" w:right="0" w:firstLine="0"/>
        <w:jc w:val="left"/>
        <w:rPr>
          <w:sz w:val="20"/>
        </w:rPr>
      </w:pPr>
      <w:r>
        <w:rPr>
          <w:spacing w:val="-5"/>
          <w:sz w:val="20"/>
        </w:rPr>
        <w:t>LB</w:t>
      </w:r>
      <w:r>
        <w:rPr>
          <w:sz w:val="20"/>
        </w:rPr>
        <w:tab/>
      </w:r>
      <w:r>
        <w:rPr>
          <w:spacing w:val="-5"/>
          <w:position w:val="-11"/>
          <w:sz w:val="20"/>
        </w:rPr>
        <w:t>LC</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2"/>
        <w:rPr>
          <w:sz w:val="20"/>
        </w:rPr>
      </w:pPr>
    </w:p>
    <w:p>
      <w:pPr>
        <w:spacing w:before="0"/>
        <w:ind w:left="652" w:right="0" w:firstLine="0"/>
        <w:jc w:val="left"/>
        <w:rPr>
          <w:sz w:val="20"/>
        </w:rPr>
      </w:pPr>
      <w:r>
        <w:rPr>
          <w:spacing w:val="-5"/>
          <w:sz w:val="20"/>
        </w:rPr>
        <w:t>H/L</w:t>
      </w:r>
    </w:p>
    <w:p>
      <w:pPr>
        <w:spacing w:after="0"/>
        <w:jc w:val="left"/>
        <w:rPr>
          <w:sz w:val="20"/>
        </w:rPr>
        <w:sectPr>
          <w:type w:val="continuous"/>
          <w:pgSz w:w="11910" w:h="16840"/>
          <w:pgMar w:header="0" w:footer="1055" w:top="1360" w:bottom="1240" w:left="1060" w:right="460"/>
          <w:cols w:num="4" w:equalWidth="0">
            <w:col w:w="3499" w:space="40"/>
            <w:col w:w="1603" w:space="39"/>
            <w:col w:w="1728" w:space="40"/>
            <w:col w:w="3441"/>
          </w:cols>
        </w:sectPr>
      </w:pPr>
    </w:p>
    <w:p>
      <w:pPr>
        <w:spacing w:before="194"/>
        <w:ind w:left="38" w:right="0" w:firstLine="0"/>
        <w:jc w:val="center"/>
        <w:rPr>
          <w:b/>
          <w:sz w:val="20"/>
        </w:rPr>
      </w:pPr>
      <w:r>
        <w:rPr>
          <w:b/>
          <w:spacing w:val="-2"/>
          <w:sz w:val="20"/>
        </w:rPr>
        <w:t>Test</w:t>
      </w:r>
      <w:r>
        <w:rPr>
          <w:b/>
          <w:spacing w:val="5"/>
          <w:sz w:val="20"/>
        </w:rPr>
        <w:t> </w:t>
      </w:r>
      <w:r>
        <w:rPr>
          <w:b/>
          <w:spacing w:val="-2"/>
          <w:sz w:val="20"/>
        </w:rPr>
        <w:t>antibacterial</w:t>
      </w:r>
      <w:r>
        <w:rPr>
          <w:b/>
          <w:spacing w:val="4"/>
          <w:sz w:val="20"/>
        </w:rPr>
        <w:t> </w:t>
      </w:r>
      <w:r>
        <w:rPr>
          <w:b/>
          <w:spacing w:val="-2"/>
          <w:sz w:val="20"/>
        </w:rPr>
        <w:t>agents</w:t>
      </w:r>
    </w:p>
    <w:p>
      <w:pPr>
        <w:pStyle w:val="BodyText"/>
        <w:spacing w:before="250"/>
        <w:rPr>
          <w:b/>
        </w:rPr>
      </w:pPr>
    </w:p>
    <w:p>
      <w:pPr>
        <w:pStyle w:val="BodyText"/>
        <w:tabs>
          <w:tab w:pos="1820" w:val="left" w:leader="none"/>
        </w:tabs>
        <w:spacing w:line="261" w:lineRule="auto"/>
        <w:ind w:left="1820" w:right="975" w:hanging="1440"/>
      </w:pPr>
      <w:r>
        <w:rPr/>
        <w:t>Figure 4.4:</w:t>
        <w:tab/>
        <w:t>Susceptibility pattern</w:t>
      </w:r>
      <w:r>
        <w:rPr>
          <w:spacing w:val="-2"/>
        </w:rPr>
        <w:t> </w:t>
      </w:r>
      <w:r>
        <w:rPr/>
        <w:t>of</w:t>
      </w:r>
      <w:r>
        <w:rPr>
          <w:spacing w:val="-2"/>
        </w:rPr>
        <w:t> </w:t>
      </w:r>
      <w:r>
        <w:rPr/>
        <w:t>the test bacterial isolates to</w:t>
      </w:r>
      <w:r>
        <w:rPr>
          <w:spacing w:val="-1"/>
        </w:rPr>
        <w:t> </w:t>
      </w:r>
      <w:r>
        <w:rPr/>
        <w:t>honey,</w:t>
      </w:r>
      <w:r>
        <w:rPr>
          <w:spacing w:val="-2"/>
        </w:rPr>
        <w:t> </w:t>
      </w:r>
      <w:r>
        <w:rPr/>
        <w:t>lemon juice and</w:t>
      </w:r>
      <w:r>
        <w:rPr>
          <w:spacing w:val="-3"/>
        </w:rPr>
        <w:t> </w:t>
      </w:r>
      <w:r>
        <w:rPr/>
        <w:t>mixture of honey/lemon juice.</w:t>
      </w:r>
    </w:p>
    <w:p>
      <w:pPr>
        <w:pStyle w:val="BodyText"/>
        <w:tabs>
          <w:tab w:pos="1820" w:val="left" w:leader="none"/>
        </w:tabs>
        <w:spacing w:line="259" w:lineRule="auto" w:before="195"/>
        <w:ind w:left="1820" w:right="1209" w:hanging="1440"/>
      </w:pPr>
      <w:r>
        <w:rPr>
          <w:spacing w:val="-4"/>
        </w:rPr>
        <w:t>Key:</w:t>
      </w:r>
      <w:r>
        <w:rPr/>
        <w:tab/>
        <w:t>H:</w:t>
      </w:r>
      <w:r>
        <w:rPr>
          <w:spacing w:val="-2"/>
        </w:rPr>
        <w:t> </w:t>
      </w:r>
      <w:r>
        <w:rPr/>
        <w:t>Honey,</w:t>
      </w:r>
      <w:r>
        <w:rPr>
          <w:spacing w:val="-4"/>
        </w:rPr>
        <w:t> </w:t>
      </w:r>
      <w:r>
        <w:rPr/>
        <w:t>L:</w:t>
      </w:r>
      <w:r>
        <w:rPr>
          <w:spacing w:val="-4"/>
        </w:rPr>
        <w:t> </w:t>
      </w:r>
      <w:r>
        <w:rPr/>
        <w:t>Lemon</w:t>
      </w:r>
      <w:r>
        <w:rPr>
          <w:spacing w:val="-1"/>
        </w:rPr>
        <w:t> </w:t>
      </w:r>
      <w:r>
        <w:rPr/>
        <w:t>juice,</w:t>
      </w:r>
      <w:r>
        <w:rPr>
          <w:spacing w:val="-5"/>
        </w:rPr>
        <w:t> </w:t>
      </w:r>
      <w:r>
        <w:rPr/>
        <w:t>H/L:</w:t>
      </w:r>
      <w:r>
        <w:rPr>
          <w:spacing w:val="-2"/>
        </w:rPr>
        <w:t> </w:t>
      </w:r>
      <w:r>
        <w:rPr/>
        <w:t>Honey</w:t>
      </w:r>
      <w:r>
        <w:rPr>
          <w:spacing w:val="-1"/>
        </w:rPr>
        <w:t> </w:t>
      </w:r>
      <w:r>
        <w:rPr/>
        <w:t>and</w:t>
      </w:r>
      <w:r>
        <w:rPr>
          <w:spacing w:val="-6"/>
        </w:rPr>
        <w:t> </w:t>
      </w:r>
      <w:r>
        <w:rPr/>
        <w:t>Lemon</w:t>
      </w:r>
      <w:r>
        <w:rPr>
          <w:spacing w:val="-1"/>
        </w:rPr>
        <w:t> </w:t>
      </w:r>
      <w:r>
        <w:rPr/>
        <w:t>juice</w:t>
      </w:r>
      <w:r>
        <w:rPr>
          <w:b/>
        </w:rPr>
        <w:t>,</w:t>
      </w:r>
      <w:r>
        <w:rPr>
          <w:b/>
          <w:spacing w:val="-4"/>
        </w:rPr>
        <w:t> </w:t>
      </w:r>
      <w:r>
        <w:rPr/>
        <w:t>HA:</w:t>
      </w:r>
      <w:r>
        <w:rPr>
          <w:spacing w:val="-4"/>
        </w:rPr>
        <w:t> </w:t>
      </w:r>
      <w:r>
        <w:rPr/>
        <w:t>Pure</w:t>
      </w:r>
      <w:r>
        <w:rPr>
          <w:spacing w:val="-2"/>
        </w:rPr>
        <w:t> </w:t>
      </w:r>
      <w:r>
        <w:rPr/>
        <w:t>Honey,</w:t>
      </w:r>
      <w:r>
        <w:rPr>
          <w:spacing w:val="-5"/>
        </w:rPr>
        <w:t> </w:t>
      </w:r>
      <w:r>
        <w:rPr/>
        <w:t>LA:</w:t>
      </w:r>
      <w:r>
        <w:rPr>
          <w:spacing w:val="40"/>
        </w:rPr>
        <w:t> </w:t>
      </w:r>
      <w:r>
        <w:rPr/>
        <w:t>Crude Lemon juice</w:t>
      </w:r>
      <w:r>
        <w:rPr>
          <w:b/>
        </w:rPr>
        <w:t>, </w:t>
      </w:r>
      <w:r>
        <w:rPr/>
        <w:t>HB: 50% Honey, LB: 50% Lemon</w:t>
      </w:r>
      <w:r>
        <w:rPr>
          <w:b/>
        </w:rPr>
        <w:t>, </w:t>
      </w:r>
      <w:r>
        <w:rPr/>
        <w:t>HC: 25% Honey, LC: 25% Lemon.</w:t>
      </w:r>
    </w:p>
    <w:p>
      <w:pPr>
        <w:spacing w:after="0" w:line="259" w:lineRule="auto"/>
        <w:sectPr>
          <w:type w:val="continuous"/>
          <w:pgSz w:w="11910" w:h="16840"/>
          <w:pgMar w:header="0" w:footer="1055" w:top="1360" w:bottom="1240" w:left="1060" w:right="460"/>
        </w:sectPr>
      </w:pPr>
    </w:p>
    <w:p>
      <w:pPr>
        <w:pStyle w:val="BodyText"/>
        <w:spacing w:before="63"/>
        <w:rPr>
          <w:sz w:val="20"/>
        </w:rPr>
      </w:pPr>
    </w:p>
    <w:p>
      <w:pPr>
        <w:spacing w:before="0"/>
        <w:ind w:left="1001" w:right="0" w:firstLine="0"/>
        <w:jc w:val="left"/>
        <w:rPr>
          <w:sz w:val="20"/>
        </w:rPr>
      </w:pPr>
      <w:r>
        <w:rPr/>
        <mc:AlternateContent>
          <mc:Choice Requires="wps">
            <w:drawing>
              <wp:anchor distT="0" distB="0" distL="0" distR="0" allowOverlap="1" layoutInCell="1" locked="0" behindDoc="1" simplePos="0" relativeHeight="472708096">
                <wp:simplePos x="0" y="0"/>
                <wp:positionH relativeFrom="page">
                  <wp:posOffset>1578863</wp:posOffset>
                </wp:positionH>
                <wp:positionV relativeFrom="paragraph">
                  <wp:posOffset>81317</wp:posOffset>
                </wp:positionV>
                <wp:extent cx="3558540" cy="357251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3558540" cy="3572510"/>
                          <a:chExt cx="3558540" cy="3572510"/>
                        </a:xfrm>
                      </wpg:grpSpPr>
                      <wps:wsp>
                        <wps:cNvPr id="39" name="Graphic 39"/>
                        <wps:cNvSpPr/>
                        <wps:spPr>
                          <a:xfrm>
                            <a:off x="89916" y="3047"/>
                            <a:ext cx="3081655" cy="3528060"/>
                          </a:xfrm>
                          <a:custGeom>
                            <a:avLst/>
                            <a:gdLst/>
                            <a:ahLst/>
                            <a:cxnLst/>
                            <a:rect l="l" t="t" r="r" b="b"/>
                            <a:pathLst>
                              <a:path w="3081655" h="3528060">
                                <a:moveTo>
                                  <a:pt x="67056" y="0"/>
                                </a:moveTo>
                                <a:lnTo>
                                  <a:pt x="0" y="0"/>
                                </a:lnTo>
                                <a:lnTo>
                                  <a:pt x="0" y="3528060"/>
                                </a:lnTo>
                                <a:lnTo>
                                  <a:pt x="67056" y="3528060"/>
                                </a:lnTo>
                                <a:lnTo>
                                  <a:pt x="67056" y="0"/>
                                </a:lnTo>
                                <a:close/>
                              </a:path>
                              <a:path w="3081655" h="3528060">
                                <a:moveTo>
                                  <a:pt x="569976" y="236220"/>
                                </a:moveTo>
                                <a:lnTo>
                                  <a:pt x="502920" y="236220"/>
                                </a:lnTo>
                                <a:lnTo>
                                  <a:pt x="502920" y="3528060"/>
                                </a:lnTo>
                                <a:lnTo>
                                  <a:pt x="569976" y="3528060"/>
                                </a:lnTo>
                                <a:lnTo>
                                  <a:pt x="569976" y="236220"/>
                                </a:lnTo>
                                <a:close/>
                              </a:path>
                              <a:path w="3081655" h="3528060">
                                <a:moveTo>
                                  <a:pt x="1071372" y="3058680"/>
                                </a:moveTo>
                                <a:lnTo>
                                  <a:pt x="1005840" y="3058680"/>
                                </a:lnTo>
                                <a:lnTo>
                                  <a:pt x="1005840" y="3528060"/>
                                </a:lnTo>
                                <a:lnTo>
                                  <a:pt x="1071372" y="3528060"/>
                                </a:lnTo>
                                <a:lnTo>
                                  <a:pt x="1071372" y="3058680"/>
                                </a:lnTo>
                                <a:close/>
                              </a:path>
                              <a:path w="3081655" h="3528060">
                                <a:moveTo>
                                  <a:pt x="1574292" y="0"/>
                                </a:moveTo>
                                <a:lnTo>
                                  <a:pt x="1507236" y="0"/>
                                </a:lnTo>
                                <a:lnTo>
                                  <a:pt x="1507236" y="3528060"/>
                                </a:lnTo>
                                <a:lnTo>
                                  <a:pt x="1574292" y="3528060"/>
                                </a:lnTo>
                                <a:lnTo>
                                  <a:pt x="1574292" y="0"/>
                                </a:lnTo>
                                <a:close/>
                              </a:path>
                              <a:path w="3081655" h="3528060">
                                <a:moveTo>
                                  <a:pt x="2077212" y="0"/>
                                </a:moveTo>
                                <a:lnTo>
                                  <a:pt x="2010156" y="0"/>
                                </a:lnTo>
                                <a:lnTo>
                                  <a:pt x="2010156" y="3528060"/>
                                </a:lnTo>
                                <a:lnTo>
                                  <a:pt x="2077212" y="3528060"/>
                                </a:lnTo>
                                <a:lnTo>
                                  <a:pt x="2077212" y="0"/>
                                </a:lnTo>
                                <a:close/>
                              </a:path>
                              <a:path w="3081655" h="3528060">
                                <a:moveTo>
                                  <a:pt x="2578608" y="236220"/>
                                </a:moveTo>
                                <a:lnTo>
                                  <a:pt x="2511552" y="236220"/>
                                </a:lnTo>
                                <a:lnTo>
                                  <a:pt x="2511552" y="3528060"/>
                                </a:lnTo>
                                <a:lnTo>
                                  <a:pt x="2578608" y="3528060"/>
                                </a:lnTo>
                                <a:lnTo>
                                  <a:pt x="2578608" y="236220"/>
                                </a:lnTo>
                                <a:close/>
                              </a:path>
                              <a:path w="3081655" h="3528060">
                                <a:moveTo>
                                  <a:pt x="3081515" y="0"/>
                                </a:moveTo>
                                <a:lnTo>
                                  <a:pt x="3014472" y="0"/>
                                </a:lnTo>
                                <a:lnTo>
                                  <a:pt x="3014472" y="3528060"/>
                                </a:lnTo>
                                <a:lnTo>
                                  <a:pt x="3081515" y="3528060"/>
                                </a:lnTo>
                                <a:lnTo>
                                  <a:pt x="3081515" y="0"/>
                                </a:lnTo>
                                <a:close/>
                              </a:path>
                            </a:pathLst>
                          </a:custGeom>
                          <a:solidFill>
                            <a:srgbClr val="5088BB"/>
                          </a:solidFill>
                        </wps:spPr>
                        <wps:bodyPr wrap="square" lIns="0" tIns="0" rIns="0" bIns="0" rtlCol="0">
                          <a:prstTxWarp prst="textNoShape">
                            <a:avLst/>
                          </a:prstTxWarp>
                          <a:noAutofit/>
                        </wps:bodyPr>
                      </wps:wsp>
                      <wps:wsp>
                        <wps:cNvPr id="40" name="Graphic 40"/>
                        <wps:cNvSpPr/>
                        <wps:spPr>
                          <a:xfrm>
                            <a:off x="156972" y="3047"/>
                            <a:ext cx="3081655" cy="3528060"/>
                          </a:xfrm>
                          <a:custGeom>
                            <a:avLst/>
                            <a:gdLst/>
                            <a:ahLst/>
                            <a:cxnLst/>
                            <a:rect l="l" t="t" r="r" b="b"/>
                            <a:pathLst>
                              <a:path w="3081655" h="3528060">
                                <a:moveTo>
                                  <a:pt x="67056" y="0"/>
                                </a:moveTo>
                                <a:lnTo>
                                  <a:pt x="0" y="0"/>
                                </a:lnTo>
                                <a:lnTo>
                                  <a:pt x="0" y="3528060"/>
                                </a:lnTo>
                                <a:lnTo>
                                  <a:pt x="67056" y="3528060"/>
                                </a:lnTo>
                                <a:lnTo>
                                  <a:pt x="67056" y="0"/>
                                </a:lnTo>
                                <a:close/>
                              </a:path>
                              <a:path w="3081655" h="3528060">
                                <a:moveTo>
                                  <a:pt x="569976" y="504444"/>
                                </a:moveTo>
                                <a:lnTo>
                                  <a:pt x="502920" y="504444"/>
                                </a:lnTo>
                                <a:lnTo>
                                  <a:pt x="502920" y="3528060"/>
                                </a:lnTo>
                                <a:lnTo>
                                  <a:pt x="569976" y="3528060"/>
                                </a:lnTo>
                                <a:lnTo>
                                  <a:pt x="569976" y="504444"/>
                                </a:lnTo>
                                <a:close/>
                              </a:path>
                              <a:path w="3081655" h="3528060">
                                <a:moveTo>
                                  <a:pt x="1071372" y="2267724"/>
                                </a:moveTo>
                                <a:lnTo>
                                  <a:pt x="1004316" y="2267724"/>
                                </a:lnTo>
                                <a:lnTo>
                                  <a:pt x="1004316" y="3528060"/>
                                </a:lnTo>
                                <a:lnTo>
                                  <a:pt x="1071372" y="3528060"/>
                                </a:lnTo>
                                <a:lnTo>
                                  <a:pt x="1071372" y="2267724"/>
                                </a:lnTo>
                                <a:close/>
                              </a:path>
                              <a:path w="3081655" h="3528060">
                                <a:moveTo>
                                  <a:pt x="1574292" y="0"/>
                                </a:moveTo>
                                <a:lnTo>
                                  <a:pt x="1507236" y="0"/>
                                </a:lnTo>
                                <a:lnTo>
                                  <a:pt x="1507236" y="3528060"/>
                                </a:lnTo>
                                <a:lnTo>
                                  <a:pt x="1574292" y="3528060"/>
                                </a:lnTo>
                                <a:lnTo>
                                  <a:pt x="1574292" y="0"/>
                                </a:lnTo>
                                <a:close/>
                              </a:path>
                              <a:path w="3081655" h="3528060">
                                <a:moveTo>
                                  <a:pt x="2077199" y="249948"/>
                                </a:moveTo>
                                <a:lnTo>
                                  <a:pt x="2010156" y="249948"/>
                                </a:lnTo>
                                <a:lnTo>
                                  <a:pt x="2010156" y="3528060"/>
                                </a:lnTo>
                                <a:lnTo>
                                  <a:pt x="2077199" y="3528060"/>
                                </a:lnTo>
                                <a:lnTo>
                                  <a:pt x="2077199" y="249948"/>
                                </a:lnTo>
                                <a:close/>
                              </a:path>
                              <a:path w="3081655" h="3528060">
                                <a:moveTo>
                                  <a:pt x="2578595" y="1763268"/>
                                </a:moveTo>
                                <a:lnTo>
                                  <a:pt x="2511552" y="1763268"/>
                                </a:lnTo>
                                <a:lnTo>
                                  <a:pt x="2511552" y="3528060"/>
                                </a:lnTo>
                                <a:lnTo>
                                  <a:pt x="2578595" y="3528060"/>
                                </a:lnTo>
                                <a:lnTo>
                                  <a:pt x="2578595" y="1763268"/>
                                </a:lnTo>
                                <a:close/>
                              </a:path>
                              <a:path w="3081655" h="3528060">
                                <a:moveTo>
                                  <a:pt x="3081528" y="0"/>
                                </a:moveTo>
                                <a:lnTo>
                                  <a:pt x="3014472" y="0"/>
                                </a:lnTo>
                                <a:lnTo>
                                  <a:pt x="3014472" y="3528060"/>
                                </a:lnTo>
                                <a:lnTo>
                                  <a:pt x="3081528" y="3528060"/>
                                </a:lnTo>
                                <a:lnTo>
                                  <a:pt x="3081528" y="0"/>
                                </a:lnTo>
                                <a:close/>
                              </a:path>
                            </a:pathLst>
                          </a:custGeom>
                          <a:solidFill>
                            <a:srgbClr val="D26D2A"/>
                          </a:solidFill>
                        </wps:spPr>
                        <wps:bodyPr wrap="square" lIns="0" tIns="0" rIns="0" bIns="0" rtlCol="0">
                          <a:prstTxWarp prst="textNoShape">
                            <a:avLst/>
                          </a:prstTxWarp>
                          <a:noAutofit/>
                        </wps:bodyPr>
                      </wps:wsp>
                      <wps:wsp>
                        <wps:cNvPr id="41" name="Graphic 41"/>
                        <wps:cNvSpPr/>
                        <wps:spPr>
                          <a:xfrm>
                            <a:off x="224028" y="3047"/>
                            <a:ext cx="3081655" cy="3528060"/>
                          </a:xfrm>
                          <a:custGeom>
                            <a:avLst/>
                            <a:gdLst/>
                            <a:ahLst/>
                            <a:cxnLst/>
                            <a:rect l="l" t="t" r="r" b="b"/>
                            <a:pathLst>
                              <a:path w="3081655" h="3528060">
                                <a:moveTo>
                                  <a:pt x="67056" y="0"/>
                                </a:moveTo>
                                <a:lnTo>
                                  <a:pt x="0" y="0"/>
                                </a:lnTo>
                                <a:lnTo>
                                  <a:pt x="0" y="3528060"/>
                                </a:lnTo>
                                <a:lnTo>
                                  <a:pt x="67056" y="3528060"/>
                                </a:lnTo>
                                <a:lnTo>
                                  <a:pt x="67056" y="0"/>
                                </a:lnTo>
                                <a:close/>
                              </a:path>
                              <a:path w="3081655" h="3528060">
                                <a:moveTo>
                                  <a:pt x="569976" y="0"/>
                                </a:moveTo>
                                <a:lnTo>
                                  <a:pt x="502920" y="0"/>
                                </a:lnTo>
                                <a:lnTo>
                                  <a:pt x="502920" y="3528060"/>
                                </a:lnTo>
                                <a:lnTo>
                                  <a:pt x="569976" y="3528060"/>
                                </a:lnTo>
                                <a:lnTo>
                                  <a:pt x="569976" y="0"/>
                                </a:lnTo>
                                <a:close/>
                              </a:path>
                              <a:path w="3081655" h="3528060">
                                <a:moveTo>
                                  <a:pt x="1574279" y="0"/>
                                </a:moveTo>
                                <a:lnTo>
                                  <a:pt x="1507236" y="0"/>
                                </a:lnTo>
                                <a:lnTo>
                                  <a:pt x="1507236" y="3528060"/>
                                </a:lnTo>
                                <a:lnTo>
                                  <a:pt x="1574279" y="3528060"/>
                                </a:lnTo>
                                <a:lnTo>
                                  <a:pt x="1574279" y="0"/>
                                </a:lnTo>
                                <a:close/>
                              </a:path>
                              <a:path w="3081655" h="3528060">
                                <a:moveTo>
                                  <a:pt x="2075688" y="0"/>
                                </a:moveTo>
                                <a:lnTo>
                                  <a:pt x="2010156" y="0"/>
                                </a:lnTo>
                                <a:lnTo>
                                  <a:pt x="2010156" y="3528060"/>
                                </a:lnTo>
                                <a:lnTo>
                                  <a:pt x="2075688" y="3528060"/>
                                </a:lnTo>
                                <a:lnTo>
                                  <a:pt x="2075688" y="0"/>
                                </a:lnTo>
                                <a:close/>
                              </a:path>
                              <a:path w="3081655" h="3528060">
                                <a:moveTo>
                                  <a:pt x="2578608" y="0"/>
                                </a:moveTo>
                                <a:lnTo>
                                  <a:pt x="2511552" y="0"/>
                                </a:lnTo>
                                <a:lnTo>
                                  <a:pt x="2511552" y="3528060"/>
                                </a:lnTo>
                                <a:lnTo>
                                  <a:pt x="2578608" y="3528060"/>
                                </a:lnTo>
                                <a:lnTo>
                                  <a:pt x="2578608" y="0"/>
                                </a:lnTo>
                                <a:close/>
                              </a:path>
                              <a:path w="3081655" h="3528060">
                                <a:moveTo>
                                  <a:pt x="3081515" y="0"/>
                                </a:moveTo>
                                <a:lnTo>
                                  <a:pt x="3014472" y="0"/>
                                </a:lnTo>
                                <a:lnTo>
                                  <a:pt x="3014472" y="3528060"/>
                                </a:lnTo>
                                <a:lnTo>
                                  <a:pt x="3081515" y="3528060"/>
                                </a:lnTo>
                                <a:lnTo>
                                  <a:pt x="3081515" y="0"/>
                                </a:lnTo>
                                <a:close/>
                              </a:path>
                            </a:pathLst>
                          </a:custGeom>
                          <a:solidFill>
                            <a:srgbClr val="929292"/>
                          </a:solidFill>
                        </wps:spPr>
                        <wps:bodyPr wrap="square" lIns="0" tIns="0" rIns="0" bIns="0" rtlCol="0">
                          <a:prstTxWarp prst="textNoShape">
                            <a:avLst/>
                          </a:prstTxWarp>
                          <a:noAutofit/>
                        </wps:bodyPr>
                      </wps:wsp>
                      <wps:wsp>
                        <wps:cNvPr id="42" name="Graphic 42"/>
                        <wps:cNvSpPr/>
                        <wps:spPr>
                          <a:xfrm>
                            <a:off x="291084" y="3047"/>
                            <a:ext cx="3081655" cy="3528060"/>
                          </a:xfrm>
                          <a:custGeom>
                            <a:avLst/>
                            <a:gdLst/>
                            <a:ahLst/>
                            <a:cxnLst/>
                            <a:rect l="l" t="t" r="r" b="b"/>
                            <a:pathLst>
                              <a:path w="3081655" h="3528060">
                                <a:moveTo>
                                  <a:pt x="67056" y="0"/>
                                </a:moveTo>
                                <a:lnTo>
                                  <a:pt x="0" y="0"/>
                                </a:lnTo>
                                <a:lnTo>
                                  <a:pt x="0" y="3528060"/>
                                </a:lnTo>
                                <a:lnTo>
                                  <a:pt x="67056" y="3528060"/>
                                </a:lnTo>
                                <a:lnTo>
                                  <a:pt x="67056" y="0"/>
                                </a:lnTo>
                                <a:close/>
                              </a:path>
                              <a:path w="3081655" h="3528060">
                                <a:moveTo>
                                  <a:pt x="569976" y="0"/>
                                </a:moveTo>
                                <a:lnTo>
                                  <a:pt x="502920" y="0"/>
                                </a:lnTo>
                                <a:lnTo>
                                  <a:pt x="502920" y="3528060"/>
                                </a:lnTo>
                                <a:lnTo>
                                  <a:pt x="569976" y="3528060"/>
                                </a:lnTo>
                                <a:lnTo>
                                  <a:pt x="569976" y="0"/>
                                </a:lnTo>
                                <a:close/>
                              </a:path>
                              <a:path w="3081655" h="3528060">
                                <a:moveTo>
                                  <a:pt x="1071372" y="2353056"/>
                                </a:moveTo>
                                <a:lnTo>
                                  <a:pt x="1004316" y="2353056"/>
                                </a:lnTo>
                                <a:lnTo>
                                  <a:pt x="1004316" y="3528060"/>
                                </a:lnTo>
                                <a:lnTo>
                                  <a:pt x="1071372" y="3528060"/>
                                </a:lnTo>
                                <a:lnTo>
                                  <a:pt x="1071372" y="2353056"/>
                                </a:lnTo>
                                <a:close/>
                              </a:path>
                              <a:path w="3081655" h="3528060">
                                <a:moveTo>
                                  <a:pt x="1574292" y="0"/>
                                </a:moveTo>
                                <a:lnTo>
                                  <a:pt x="1507236" y="0"/>
                                </a:lnTo>
                                <a:lnTo>
                                  <a:pt x="1507236" y="3528060"/>
                                </a:lnTo>
                                <a:lnTo>
                                  <a:pt x="1574292" y="3528060"/>
                                </a:lnTo>
                                <a:lnTo>
                                  <a:pt x="1574292" y="0"/>
                                </a:lnTo>
                                <a:close/>
                              </a:path>
                              <a:path w="3081655" h="3528060">
                                <a:moveTo>
                                  <a:pt x="2075675" y="0"/>
                                </a:moveTo>
                                <a:lnTo>
                                  <a:pt x="2008632" y="0"/>
                                </a:lnTo>
                                <a:lnTo>
                                  <a:pt x="2008632" y="3528060"/>
                                </a:lnTo>
                                <a:lnTo>
                                  <a:pt x="2075675" y="3528060"/>
                                </a:lnTo>
                                <a:lnTo>
                                  <a:pt x="2075675" y="0"/>
                                </a:lnTo>
                                <a:close/>
                              </a:path>
                              <a:path w="3081655" h="3528060">
                                <a:moveTo>
                                  <a:pt x="2578608" y="2938272"/>
                                </a:moveTo>
                                <a:lnTo>
                                  <a:pt x="2511552" y="2938272"/>
                                </a:lnTo>
                                <a:lnTo>
                                  <a:pt x="2511552" y="3528060"/>
                                </a:lnTo>
                                <a:lnTo>
                                  <a:pt x="2578608" y="3528060"/>
                                </a:lnTo>
                                <a:lnTo>
                                  <a:pt x="2578608" y="2938272"/>
                                </a:lnTo>
                                <a:close/>
                              </a:path>
                              <a:path w="3081655" h="3528060">
                                <a:moveTo>
                                  <a:pt x="3081528" y="0"/>
                                </a:moveTo>
                                <a:lnTo>
                                  <a:pt x="3014472" y="0"/>
                                </a:lnTo>
                                <a:lnTo>
                                  <a:pt x="3014472" y="3528060"/>
                                </a:lnTo>
                                <a:lnTo>
                                  <a:pt x="3081528" y="3528060"/>
                                </a:lnTo>
                                <a:lnTo>
                                  <a:pt x="3081528" y="0"/>
                                </a:lnTo>
                                <a:close/>
                              </a:path>
                            </a:pathLst>
                          </a:custGeom>
                          <a:solidFill>
                            <a:srgbClr val="E1AA00"/>
                          </a:solidFill>
                        </wps:spPr>
                        <wps:bodyPr wrap="square" lIns="0" tIns="0" rIns="0" bIns="0" rtlCol="0">
                          <a:prstTxWarp prst="textNoShape">
                            <a:avLst/>
                          </a:prstTxWarp>
                          <a:noAutofit/>
                        </wps:bodyPr>
                      </wps:wsp>
                      <wps:wsp>
                        <wps:cNvPr id="43" name="Graphic 43"/>
                        <wps:cNvSpPr/>
                        <wps:spPr>
                          <a:xfrm>
                            <a:off x="358140" y="3047"/>
                            <a:ext cx="3081655" cy="3528060"/>
                          </a:xfrm>
                          <a:custGeom>
                            <a:avLst/>
                            <a:gdLst/>
                            <a:ahLst/>
                            <a:cxnLst/>
                            <a:rect l="l" t="t" r="r" b="b"/>
                            <a:pathLst>
                              <a:path w="3081655" h="3528060">
                                <a:moveTo>
                                  <a:pt x="67056" y="0"/>
                                </a:moveTo>
                                <a:lnTo>
                                  <a:pt x="0" y="0"/>
                                </a:lnTo>
                                <a:lnTo>
                                  <a:pt x="0" y="3528060"/>
                                </a:lnTo>
                                <a:lnTo>
                                  <a:pt x="67056" y="3528060"/>
                                </a:lnTo>
                                <a:lnTo>
                                  <a:pt x="67056" y="0"/>
                                </a:lnTo>
                                <a:close/>
                              </a:path>
                              <a:path w="3081655" h="3528060">
                                <a:moveTo>
                                  <a:pt x="569976" y="0"/>
                                </a:moveTo>
                                <a:lnTo>
                                  <a:pt x="502920" y="0"/>
                                </a:lnTo>
                                <a:lnTo>
                                  <a:pt x="502920" y="3528060"/>
                                </a:lnTo>
                                <a:lnTo>
                                  <a:pt x="569976" y="3528060"/>
                                </a:lnTo>
                                <a:lnTo>
                                  <a:pt x="569976" y="0"/>
                                </a:lnTo>
                                <a:close/>
                              </a:path>
                              <a:path w="3081655" h="3528060">
                                <a:moveTo>
                                  <a:pt x="1071372" y="3023628"/>
                                </a:moveTo>
                                <a:lnTo>
                                  <a:pt x="1004316" y="3023628"/>
                                </a:lnTo>
                                <a:lnTo>
                                  <a:pt x="1004316" y="3528060"/>
                                </a:lnTo>
                                <a:lnTo>
                                  <a:pt x="1071372" y="3528060"/>
                                </a:lnTo>
                                <a:lnTo>
                                  <a:pt x="1071372" y="3023628"/>
                                </a:lnTo>
                                <a:close/>
                              </a:path>
                              <a:path w="3081655" h="3528060">
                                <a:moveTo>
                                  <a:pt x="1574279" y="0"/>
                                </a:moveTo>
                                <a:lnTo>
                                  <a:pt x="1507236" y="0"/>
                                </a:lnTo>
                                <a:lnTo>
                                  <a:pt x="1507236" y="3528060"/>
                                </a:lnTo>
                                <a:lnTo>
                                  <a:pt x="1574279" y="3528060"/>
                                </a:lnTo>
                                <a:lnTo>
                                  <a:pt x="1574279" y="0"/>
                                </a:lnTo>
                                <a:close/>
                              </a:path>
                              <a:path w="3081655" h="3528060">
                                <a:moveTo>
                                  <a:pt x="2075688" y="0"/>
                                </a:moveTo>
                                <a:lnTo>
                                  <a:pt x="2008632" y="0"/>
                                </a:lnTo>
                                <a:lnTo>
                                  <a:pt x="2008632" y="3528060"/>
                                </a:lnTo>
                                <a:lnTo>
                                  <a:pt x="2075688" y="3528060"/>
                                </a:lnTo>
                                <a:lnTo>
                                  <a:pt x="2075688" y="0"/>
                                </a:lnTo>
                                <a:close/>
                              </a:path>
                              <a:path w="3081655" h="3528060">
                                <a:moveTo>
                                  <a:pt x="2578595" y="0"/>
                                </a:moveTo>
                                <a:lnTo>
                                  <a:pt x="2511552" y="0"/>
                                </a:lnTo>
                                <a:lnTo>
                                  <a:pt x="2511552" y="3528060"/>
                                </a:lnTo>
                                <a:lnTo>
                                  <a:pt x="2578595" y="3528060"/>
                                </a:lnTo>
                                <a:lnTo>
                                  <a:pt x="2578595" y="0"/>
                                </a:lnTo>
                                <a:close/>
                              </a:path>
                              <a:path w="3081655" h="3528060">
                                <a:moveTo>
                                  <a:pt x="3081515" y="0"/>
                                </a:moveTo>
                                <a:lnTo>
                                  <a:pt x="3014472" y="0"/>
                                </a:lnTo>
                                <a:lnTo>
                                  <a:pt x="3014472" y="3528060"/>
                                </a:lnTo>
                                <a:lnTo>
                                  <a:pt x="3081515" y="3528060"/>
                                </a:lnTo>
                                <a:lnTo>
                                  <a:pt x="3081515" y="0"/>
                                </a:lnTo>
                                <a:close/>
                              </a:path>
                            </a:pathLst>
                          </a:custGeom>
                          <a:solidFill>
                            <a:srgbClr val="3A63AC"/>
                          </a:solidFill>
                        </wps:spPr>
                        <wps:bodyPr wrap="square" lIns="0" tIns="0" rIns="0" bIns="0" rtlCol="0">
                          <a:prstTxWarp prst="textNoShape">
                            <a:avLst/>
                          </a:prstTxWarp>
                          <a:noAutofit/>
                        </wps:bodyPr>
                      </wps:wsp>
                      <wps:wsp>
                        <wps:cNvPr id="44" name="Graphic 44"/>
                        <wps:cNvSpPr/>
                        <wps:spPr>
                          <a:xfrm>
                            <a:off x="425196" y="3047"/>
                            <a:ext cx="3080385" cy="3528060"/>
                          </a:xfrm>
                          <a:custGeom>
                            <a:avLst/>
                            <a:gdLst/>
                            <a:ahLst/>
                            <a:cxnLst/>
                            <a:rect l="l" t="t" r="r" b="b"/>
                            <a:pathLst>
                              <a:path w="3080385" h="3528060">
                                <a:moveTo>
                                  <a:pt x="67056" y="0"/>
                                </a:moveTo>
                                <a:lnTo>
                                  <a:pt x="0" y="0"/>
                                </a:lnTo>
                                <a:lnTo>
                                  <a:pt x="0" y="3528060"/>
                                </a:lnTo>
                                <a:lnTo>
                                  <a:pt x="67056" y="3528060"/>
                                </a:lnTo>
                                <a:lnTo>
                                  <a:pt x="67056" y="0"/>
                                </a:lnTo>
                                <a:close/>
                              </a:path>
                              <a:path w="3080385" h="3528060">
                                <a:moveTo>
                                  <a:pt x="569976" y="0"/>
                                </a:moveTo>
                                <a:lnTo>
                                  <a:pt x="502920" y="0"/>
                                </a:lnTo>
                                <a:lnTo>
                                  <a:pt x="502920" y="3528060"/>
                                </a:lnTo>
                                <a:lnTo>
                                  <a:pt x="569976" y="3528060"/>
                                </a:lnTo>
                                <a:lnTo>
                                  <a:pt x="569976" y="0"/>
                                </a:lnTo>
                                <a:close/>
                              </a:path>
                              <a:path w="3080385" h="3528060">
                                <a:moveTo>
                                  <a:pt x="1071372" y="2938272"/>
                                </a:moveTo>
                                <a:lnTo>
                                  <a:pt x="1004316" y="2938272"/>
                                </a:lnTo>
                                <a:lnTo>
                                  <a:pt x="1004316" y="3528060"/>
                                </a:lnTo>
                                <a:lnTo>
                                  <a:pt x="1071372" y="3528060"/>
                                </a:lnTo>
                                <a:lnTo>
                                  <a:pt x="1071372" y="2938272"/>
                                </a:lnTo>
                                <a:close/>
                              </a:path>
                              <a:path w="3080385" h="3528060">
                                <a:moveTo>
                                  <a:pt x="1574292" y="0"/>
                                </a:moveTo>
                                <a:lnTo>
                                  <a:pt x="1507236" y="0"/>
                                </a:lnTo>
                                <a:lnTo>
                                  <a:pt x="1507236" y="3528060"/>
                                </a:lnTo>
                                <a:lnTo>
                                  <a:pt x="1574292" y="3528060"/>
                                </a:lnTo>
                                <a:lnTo>
                                  <a:pt x="1574292" y="0"/>
                                </a:lnTo>
                                <a:close/>
                              </a:path>
                              <a:path w="3080385" h="3528060">
                                <a:moveTo>
                                  <a:pt x="2075675" y="0"/>
                                </a:moveTo>
                                <a:lnTo>
                                  <a:pt x="2008632" y="0"/>
                                </a:lnTo>
                                <a:lnTo>
                                  <a:pt x="2008632" y="3528060"/>
                                </a:lnTo>
                                <a:lnTo>
                                  <a:pt x="2075675" y="3528060"/>
                                </a:lnTo>
                                <a:lnTo>
                                  <a:pt x="2075675" y="0"/>
                                </a:lnTo>
                                <a:close/>
                              </a:path>
                              <a:path w="3080385" h="3528060">
                                <a:moveTo>
                                  <a:pt x="2578608" y="0"/>
                                </a:moveTo>
                                <a:lnTo>
                                  <a:pt x="2511552" y="0"/>
                                </a:lnTo>
                                <a:lnTo>
                                  <a:pt x="2511552" y="3528060"/>
                                </a:lnTo>
                                <a:lnTo>
                                  <a:pt x="2578608" y="3528060"/>
                                </a:lnTo>
                                <a:lnTo>
                                  <a:pt x="2578608" y="0"/>
                                </a:lnTo>
                                <a:close/>
                              </a:path>
                              <a:path w="3080385" h="3528060">
                                <a:moveTo>
                                  <a:pt x="3080004" y="0"/>
                                </a:moveTo>
                                <a:lnTo>
                                  <a:pt x="3014472" y="0"/>
                                </a:lnTo>
                                <a:lnTo>
                                  <a:pt x="3014472" y="3528060"/>
                                </a:lnTo>
                                <a:lnTo>
                                  <a:pt x="3080004" y="3528060"/>
                                </a:lnTo>
                                <a:lnTo>
                                  <a:pt x="3080004" y="0"/>
                                </a:lnTo>
                                <a:close/>
                              </a:path>
                            </a:pathLst>
                          </a:custGeom>
                          <a:solidFill>
                            <a:srgbClr val="61993D"/>
                          </a:solidFill>
                        </wps:spPr>
                        <wps:bodyPr wrap="square" lIns="0" tIns="0" rIns="0" bIns="0" rtlCol="0">
                          <a:prstTxWarp prst="textNoShape">
                            <a:avLst/>
                          </a:prstTxWarp>
                          <a:noAutofit/>
                        </wps:bodyPr>
                      </wps:wsp>
                      <wps:wsp>
                        <wps:cNvPr id="45" name="Graphic 45"/>
                        <wps:cNvSpPr/>
                        <wps:spPr>
                          <a:xfrm>
                            <a:off x="0" y="3047"/>
                            <a:ext cx="3556000" cy="3569335"/>
                          </a:xfrm>
                          <a:custGeom>
                            <a:avLst/>
                            <a:gdLst/>
                            <a:ahLst/>
                            <a:cxnLst/>
                            <a:rect l="l" t="t" r="r" b="b"/>
                            <a:pathLst>
                              <a:path w="3556000" h="3569335">
                                <a:moveTo>
                                  <a:pt x="39624" y="3528060"/>
                                </a:moveTo>
                                <a:lnTo>
                                  <a:pt x="39624" y="0"/>
                                </a:lnTo>
                              </a:path>
                              <a:path w="3556000" h="3569335">
                                <a:moveTo>
                                  <a:pt x="0" y="3528060"/>
                                </a:moveTo>
                                <a:lnTo>
                                  <a:pt x="39624" y="3528060"/>
                                </a:lnTo>
                              </a:path>
                              <a:path w="3556000" h="3569335">
                                <a:moveTo>
                                  <a:pt x="0" y="3176016"/>
                                </a:moveTo>
                                <a:lnTo>
                                  <a:pt x="39624" y="3176016"/>
                                </a:lnTo>
                              </a:path>
                              <a:path w="3556000" h="3569335">
                                <a:moveTo>
                                  <a:pt x="0" y="2822448"/>
                                </a:moveTo>
                                <a:lnTo>
                                  <a:pt x="39624" y="2822448"/>
                                </a:lnTo>
                              </a:path>
                              <a:path w="3556000" h="3569335">
                                <a:moveTo>
                                  <a:pt x="0" y="2470404"/>
                                </a:moveTo>
                                <a:lnTo>
                                  <a:pt x="39624" y="2470404"/>
                                </a:lnTo>
                              </a:path>
                              <a:path w="3556000" h="3569335">
                                <a:moveTo>
                                  <a:pt x="0" y="2116835"/>
                                </a:moveTo>
                                <a:lnTo>
                                  <a:pt x="39624" y="2116835"/>
                                </a:lnTo>
                              </a:path>
                              <a:path w="3556000" h="3569335">
                                <a:moveTo>
                                  <a:pt x="0" y="1763268"/>
                                </a:moveTo>
                                <a:lnTo>
                                  <a:pt x="39624" y="1763268"/>
                                </a:lnTo>
                              </a:path>
                              <a:path w="3556000" h="3569335">
                                <a:moveTo>
                                  <a:pt x="0" y="1411224"/>
                                </a:moveTo>
                                <a:lnTo>
                                  <a:pt x="39624" y="1411224"/>
                                </a:lnTo>
                              </a:path>
                              <a:path w="3556000" h="3569335">
                                <a:moveTo>
                                  <a:pt x="0" y="1059179"/>
                                </a:moveTo>
                                <a:lnTo>
                                  <a:pt x="39624" y="1059179"/>
                                </a:lnTo>
                              </a:path>
                              <a:path w="3556000" h="3569335">
                                <a:moveTo>
                                  <a:pt x="0" y="705611"/>
                                </a:moveTo>
                                <a:lnTo>
                                  <a:pt x="39624" y="705611"/>
                                </a:lnTo>
                              </a:path>
                              <a:path w="3556000" h="3569335">
                                <a:moveTo>
                                  <a:pt x="0" y="352044"/>
                                </a:moveTo>
                                <a:lnTo>
                                  <a:pt x="39624" y="352044"/>
                                </a:lnTo>
                              </a:path>
                              <a:path w="3556000" h="3569335">
                                <a:moveTo>
                                  <a:pt x="0" y="0"/>
                                </a:moveTo>
                                <a:lnTo>
                                  <a:pt x="39624" y="0"/>
                                </a:lnTo>
                              </a:path>
                              <a:path w="3556000" h="3569335">
                                <a:moveTo>
                                  <a:pt x="39624" y="3528060"/>
                                </a:moveTo>
                                <a:lnTo>
                                  <a:pt x="3555491" y="3528060"/>
                                </a:lnTo>
                              </a:path>
                              <a:path w="3556000" h="3569335">
                                <a:moveTo>
                                  <a:pt x="39624" y="3528060"/>
                                </a:moveTo>
                                <a:lnTo>
                                  <a:pt x="39624" y="3569208"/>
                                </a:lnTo>
                              </a:path>
                              <a:path w="3556000" h="3569335">
                                <a:moveTo>
                                  <a:pt x="542544" y="3528060"/>
                                </a:moveTo>
                                <a:lnTo>
                                  <a:pt x="542544" y="3569208"/>
                                </a:lnTo>
                              </a:path>
                              <a:path w="3556000" h="3569335">
                                <a:moveTo>
                                  <a:pt x="1043940" y="3528060"/>
                                </a:moveTo>
                                <a:lnTo>
                                  <a:pt x="1043940" y="3569208"/>
                                </a:lnTo>
                              </a:path>
                              <a:path w="3556000" h="3569335">
                                <a:moveTo>
                                  <a:pt x="1546860" y="3528060"/>
                                </a:moveTo>
                                <a:lnTo>
                                  <a:pt x="1546860" y="3569208"/>
                                </a:lnTo>
                              </a:path>
                              <a:path w="3556000" h="3569335">
                                <a:moveTo>
                                  <a:pt x="2048256" y="3528060"/>
                                </a:moveTo>
                                <a:lnTo>
                                  <a:pt x="2048256" y="3569208"/>
                                </a:lnTo>
                              </a:path>
                              <a:path w="3556000" h="3569335">
                                <a:moveTo>
                                  <a:pt x="2551176" y="3528060"/>
                                </a:moveTo>
                                <a:lnTo>
                                  <a:pt x="2551176" y="3569208"/>
                                </a:lnTo>
                              </a:path>
                              <a:path w="3556000" h="3569335">
                                <a:moveTo>
                                  <a:pt x="3052572" y="3528060"/>
                                </a:moveTo>
                                <a:lnTo>
                                  <a:pt x="3052572" y="3569208"/>
                                </a:lnTo>
                              </a:path>
                              <a:path w="3556000" h="3569335">
                                <a:moveTo>
                                  <a:pt x="3555491" y="3528060"/>
                                </a:moveTo>
                                <a:lnTo>
                                  <a:pt x="3555491" y="3569208"/>
                                </a:lnTo>
                              </a:path>
                            </a:pathLst>
                          </a:custGeom>
                          <a:ln w="6096">
                            <a:solidFill>
                              <a:srgbClr val="8888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4.32pt;margin-top:6.402969pt;width:280.2pt;height:281.3pt;mso-position-horizontal-relative:page;mso-position-vertical-relative:paragraph;z-index:-30608384" id="docshapegroup25" coordorigin="2486,128" coordsize="5604,5626">
                <v:shape style="position:absolute;left:2628;top:132;width:4853;height:5556" id="docshape26" coordorigin="2628,133" coordsize="4853,5556" path="m2734,133l2628,133,2628,5689,2734,5689,2734,133xm3526,505l3420,505,3420,5689,3526,5689,3526,505xm4315,4950l4212,4950,4212,5689,4315,5689,4315,4950xm5107,133l5002,133,5002,5689,5107,5689,5107,133xm5899,133l5794,133,5794,5689,5899,5689,5899,133xm6689,505l6583,505,6583,5689,6689,5689,6689,505xm7481,133l7375,133,7375,5689,7481,5689,7481,133xe" filled="true" fillcolor="#5088bb" stroked="false">
                  <v:path arrowok="t"/>
                  <v:fill type="solid"/>
                </v:shape>
                <v:shape style="position:absolute;left:2733;top:132;width:4853;height:5556" id="docshape27" coordorigin="2734,133" coordsize="4853,5556" path="m2839,133l2734,133,2734,5689,2839,5689,2839,133xm3631,927l3526,927,3526,5689,3631,5689,3631,927xm4421,3704l4315,3704,4315,5689,4421,5689,4421,3704xm5213,133l5107,133,5107,5689,5213,5689,5213,133xm6005,526l5899,526,5899,5689,6005,5689,6005,526xm6794,2910l6689,2910,6689,5689,6794,5689,6794,2910xm7586,133l7481,133,7481,5689,7586,5689,7586,133xe" filled="true" fillcolor="#d26d2a" stroked="false">
                  <v:path arrowok="t"/>
                  <v:fill type="solid"/>
                </v:shape>
                <v:shape style="position:absolute;left:2839;top:132;width:4853;height:5556" id="docshape28" coordorigin="2839,133" coordsize="4853,5556" path="m2945,133l2839,133,2839,5689,2945,5689,2945,133xm3737,133l3631,133,3631,5689,3737,5689,3737,133xm5318,133l5213,133,5213,5689,5318,5689,5318,133xm6108,133l6005,133,6005,5689,6108,5689,6108,133xm6900,133l6794,133,6794,5689,6900,5689,6900,133xm7692,133l7586,133,7586,5689,7692,5689,7692,133xe" filled="true" fillcolor="#929292" stroked="false">
                  <v:path arrowok="t"/>
                  <v:fill type="solid"/>
                </v:shape>
                <v:shape style="position:absolute;left:2944;top:132;width:4853;height:5556" id="docshape29" coordorigin="2945,133" coordsize="4853,5556" path="m3050,133l2945,133,2945,5689,3050,5689,3050,133xm3842,133l3737,133,3737,5689,3842,5689,3842,133xm4632,3838l4526,3838,4526,5689,4632,5689,4632,3838xm5424,133l5318,133,5318,5689,5424,5689,5424,133xm6214,133l6108,133,6108,5689,6214,5689,6214,133xm7006,4760l6900,4760,6900,5689,7006,5689,7006,4760xm7798,133l7692,133,7692,5689,7798,5689,7798,133xe" filled="true" fillcolor="#e1aa00" stroked="false">
                  <v:path arrowok="t"/>
                  <v:fill type="solid"/>
                </v:shape>
                <v:shape style="position:absolute;left:3050;top:132;width:4853;height:5556" id="docshape30" coordorigin="3050,133" coordsize="4853,5556" path="m3156,133l3050,133,3050,5689,3156,5689,3156,133xm3948,133l3842,133,3842,5689,3948,5689,3948,133xm4738,4894l4632,4894,4632,5689,4738,5689,4738,4894xm5530,133l5424,133,5424,5689,5530,5689,5530,133xm6319,133l6214,133,6214,5689,6319,5689,6319,133xm7111,133l7006,133,7006,5689,7111,5689,7111,133xm7903,133l7798,133,7798,5689,7903,5689,7903,133xe" filled="true" fillcolor="#3a63ac" stroked="false">
                  <v:path arrowok="t"/>
                  <v:fill type="solid"/>
                </v:shape>
                <v:shape style="position:absolute;left:3156;top:132;width:4851;height:5556" id="docshape31" coordorigin="3156,133" coordsize="4851,5556" path="m3262,133l3156,133,3156,5689,3262,5689,3262,133xm4054,133l3948,133,3948,5689,4054,5689,4054,133xm4843,4760l4738,4760,4738,5689,4843,5689,4843,4760xm5635,133l5530,133,5530,5689,5635,5689,5635,133xm6425,133l6319,133,6319,5689,6425,5689,6425,133xm7217,133l7111,133,7111,5689,7217,5689,7217,133xm8006,133l7903,133,7903,5689,8006,5689,8006,133xe" filled="true" fillcolor="#61993d" stroked="false">
                  <v:path arrowok="t"/>
                  <v:fill type="solid"/>
                </v:shape>
                <v:shape style="position:absolute;left:2486;top:132;width:5600;height:5621" id="docshape32" coordorigin="2486,133" coordsize="5600,5621" path="m2549,5689l2549,133m2486,5689l2549,5689m2486,5134l2549,5134m2486,4578l2549,4578m2486,4023l2549,4023m2486,3466l2549,3466m2486,2910l2549,2910m2486,2355l2549,2355m2486,1801l2549,1801m2486,1244l2549,1244m2486,687l2549,687m2486,133l2549,133m2549,5689l8086,5689m2549,5689l2549,5754m3341,5689l3341,5754m4130,5689l4130,5754m4922,5689l4922,5754m5712,5689l5712,5754m6504,5689l6504,5754m7294,5689l7294,5754m8086,5689l8086,5754e" filled="false" stroked="true" strokeweight=".48pt" strokecolor="#888888">
                  <v:path arrowok="t"/>
                  <v:stroke dashstyle="solid"/>
                </v:shape>
                <w10:wrap type="none"/>
              </v:group>
            </w:pict>
          </mc:Fallback>
        </mc:AlternateContent>
      </w:r>
      <w:r>
        <w:rPr>
          <w:spacing w:val="-5"/>
          <w:sz w:val="20"/>
        </w:rPr>
        <w:t>100</w:t>
      </w:r>
    </w:p>
    <w:p>
      <w:pPr>
        <w:pStyle w:val="BodyText"/>
        <w:spacing w:before="67"/>
        <w:rPr>
          <w:sz w:val="20"/>
        </w:rPr>
      </w:pPr>
    </w:p>
    <w:p>
      <w:pPr>
        <w:spacing w:before="0"/>
        <w:ind w:left="1102" w:right="0" w:firstLine="0"/>
        <w:jc w:val="left"/>
        <w:rPr>
          <w:sz w:val="20"/>
        </w:rPr>
      </w:pPr>
      <w:r>
        <w:rPr>
          <w:spacing w:val="-5"/>
          <w:sz w:val="20"/>
        </w:rPr>
        <w:t>90</w:t>
      </w:r>
    </w:p>
    <w:p>
      <w:pPr>
        <w:pStyle w:val="BodyText"/>
        <w:spacing w:before="68"/>
        <w:rPr>
          <w:sz w:val="20"/>
        </w:rPr>
      </w:pPr>
    </w:p>
    <w:p>
      <w:pPr>
        <w:spacing w:before="0"/>
        <w:ind w:left="1102" w:right="0" w:firstLine="0"/>
        <w:jc w:val="left"/>
        <w:rPr>
          <w:sz w:val="20"/>
        </w:rPr>
      </w:pPr>
      <w:r>
        <w:rPr>
          <w:spacing w:val="-5"/>
          <w:sz w:val="20"/>
        </w:rPr>
        <w:t>80</w:t>
      </w:r>
    </w:p>
    <w:p>
      <w:pPr>
        <w:pStyle w:val="BodyText"/>
        <w:spacing w:before="67"/>
        <w:rPr>
          <w:sz w:val="20"/>
        </w:rPr>
      </w:pPr>
    </w:p>
    <w:p>
      <w:pPr>
        <w:spacing w:before="0"/>
        <w:ind w:left="1102" w:right="0" w:firstLine="0"/>
        <w:jc w:val="left"/>
        <w:rPr>
          <w:sz w:val="20"/>
        </w:rPr>
      </w:pPr>
      <w:r>
        <w:rPr/>
        <mc:AlternateContent>
          <mc:Choice Requires="wps">
            <w:drawing>
              <wp:anchor distT="0" distB="0" distL="0" distR="0" allowOverlap="1" layoutInCell="1" locked="0" behindDoc="0" simplePos="0" relativeHeight="15734272">
                <wp:simplePos x="0" y="0"/>
                <wp:positionH relativeFrom="page">
                  <wp:posOffset>1071702</wp:posOffset>
                </wp:positionH>
                <wp:positionV relativeFrom="paragraph">
                  <wp:posOffset>-88697</wp:posOffset>
                </wp:positionV>
                <wp:extent cx="152400" cy="176530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52400" cy="1765300"/>
                        </a:xfrm>
                        <a:prstGeom prst="rect">
                          <a:avLst/>
                        </a:prstGeom>
                      </wps:spPr>
                      <wps:txbx>
                        <w:txbxContent>
                          <w:p>
                            <w:pPr>
                              <w:spacing w:line="223" w:lineRule="exact" w:before="0"/>
                              <w:ind w:left="20" w:right="0" w:firstLine="0"/>
                              <w:jc w:val="left"/>
                              <w:rPr>
                                <w:b/>
                                <w:sz w:val="20"/>
                              </w:rPr>
                            </w:pPr>
                            <w:r>
                              <w:rPr>
                                <w:b/>
                                <w:spacing w:val="-2"/>
                                <w:sz w:val="20"/>
                              </w:rPr>
                              <w:t>Percentage</w:t>
                            </w:r>
                            <w:r>
                              <w:rPr>
                                <w:b/>
                                <w:spacing w:val="6"/>
                                <w:sz w:val="20"/>
                              </w:rPr>
                              <w:t> </w:t>
                            </w:r>
                            <w:r>
                              <w:rPr>
                                <w:b/>
                                <w:spacing w:val="-2"/>
                                <w:sz w:val="20"/>
                              </w:rPr>
                              <w:t>susceptibility</w:t>
                            </w:r>
                            <w:r>
                              <w:rPr>
                                <w:b/>
                                <w:spacing w:val="12"/>
                                <w:sz w:val="20"/>
                              </w:rPr>
                              <w:t> </w:t>
                            </w:r>
                            <w:r>
                              <w:rPr>
                                <w:b/>
                                <w:spacing w:val="-2"/>
                                <w:sz w:val="20"/>
                              </w:rPr>
                              <w:t>pattern</w:t>
                            </w:r>
                          </w:p>
                        </w:txbxContent>
                      </wps:txbx>
                      <wps:bodyPr wrap="square" lIns="0" tIns="0" rIns="0" bIns="0" rtlCol="0" vert="vert270">
                        <a:noAutofit/>
                      </wps:bodyPr>
                    </wps:wsp>
                  </a:graphicData>
                </a:graphic>
              </wp:anchor>
            </w:drawing>
          </mc:Choice>
          <mc:Fallback>
            <w:pict>
              <v:shape style="position:absolute;margin-left:84.386002pt;margin-top:-6.984089pt;width:12pt;height:139pt;mso-position-horizontal-relative:page;mso-position-vertical-relative:paragraph;z-index:15734272" type="#_x0000_t202" id="docshape33" filled="false" stroked="false">
                <v:textbox inset="0,0,0,0" style="layout-flow:vertical;mso-layout-flow-alt:bottom-to-top">
                  <w:txbxContent>
                    <w:p>
                      <w:pPr>
                        <w:spacing w:line="223" w:lineRule="exact" w:before="0"/>
                        <w:ind w:left="20" w:right="0" w:firstLine="0"/>
                        <w:jc w:val="left"/>
                        <w:rPr>
                          <w:b/>
                          <w:sz w:val="20"/>
                        </w:rPr>
                      </w:pPr>
                      <w:r>
                        <w:rPr>
                          <w:b/>
                          <w:spacing w:val="-2"/>
                          <w:sz w:val="20"/>
                        </w:rPr>
                        <w:t>Percentage</w:t>
                      </w:r>
                      <w:r>
                        <w:rPr>
                          <w:b/>
                          <w:spacing w:val="6"/>
                          <w:sz w:val="20"/>
                        </w:rPr>
                        <w:t> </w:t>
                      </w:r>
                      <w:r>
                        <w:rPr>
                          <w:b/>
                          <w:spacing w:val="-2"/>
                          <w:sz w:val="20"/>
                        </w:rPr>
                        <w:t>susceptibility</w:t>
                      </w:r>
                      <w:r>
                        <w:rPr>
                          <w:b/>
                          <w:spacing w:val="12"/>
                          <w:sz w:val="20"/>
                        </w:rPr>
                        <w:t> </w:t>
                      </w:r>
                      <w:r>
                        <w:rPr>
                          <w:b/>
                          <w:spacing w:val="-2"/>
                          <w:sz w:val="20"/>
                        </w:rPr>
                        <w:t>pattern</w:t>
                      </w:r>
                    </w:p>
                  </w:txbxContent>
                </v:textbox>
                <w10:wrap type="none"/>
              </v:shape>
            </w:pict>
          </mc:Fallback>
        </mc:AlternateContent>
      </w:r>
      <w:r>
        <w:rPr>
          <w:spacing w:val="-5"/>
          <w:sz w:val="20"/>
        </w:rPr>
        <w:t>70</w:t>
      </w:r>
    </w:p>
    <w:p>
      <w:pPr>
        <w:pStyle w:val="BodyText"/>
        <w:spacing w:before="65"/>
        <w:rPr>
          <w:sz w:val="20"/>
        </w:rPr>
      </w:pPr>
    </w:p>
    <w:p>
      <w:pPr>
        <w:tabs>
          <w:tab w:pos="7347" w:val="left" w:leader="none"/>
        </w:tabs>
        <w:spacing w:before="0"/>
        <w:ind w:left="1102" w:right="0" w:firstLine="0"/>
        <w:jc w:val="left"/>
        <w:rPr>
          <w:i/>
          <w:sz w:val="20"/>
        </w:rPr>
      </w:pPr>
      <w:r>
        <w:rPr>
          <w:spacing w:val="-5"/>
          <w:position w:val="8"/>
          <w:sz w:val="20"/>
        </w:rPr>
        <w:t>60</w:t>
      </w:r>
      <w:r>
        <w:rPr>
          <w:position w:val="8"/>
          <w:sz w:val="20"/>
        </w:rPr>
        <w:tab/>
      </w:r>
      <w:r>
        <w:rPr>
          <w:sz w:val="20"/>
        </w:rPr>
        <w:drawing>
          <wp:inline distT="0" distB="0" distL="0" distR="0">
            <wp:extent cx="68579" cy="70103"/>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258" cstate="print"/>
                    <a:stretch>
                      <a:fillRect/>
                    </a:stretch>
                  </pic:blipFill>
                  <pic:spPr>
                    <a:xfrm>
                      <a:off x="0" y="0"/>
                      <a:ext cx="68579" cy="70103"/>
                    </a:xfrm>
                    <a:prstGeom prst="rect">
                      <a:avLst/>
                    </a:prstGeom>
                  </pic:spPr>
                </pic:pic>
              </a:graphicData>
            </a:graphic>
          </wp:inline>
        </w:drawing>
      </w:r>
      <w:r>
        <w:rPr>
          <w:sz w:val="20"/>
        </w:rPr>
      </w:r>
      <w:r>
        <w:rPr>
          <w:rFonts w:ascii="Times New Roman"/>
          <w:sz w:val="20"/>
        </w:rPr>
        <w:t> </w:t>
      </w:r>
      <w:r>
        <w:rPr>
          <w:i/>
          <w:sz w:val="20"/>
        </w:rPr>
        <w:t>Kleb. Pneumoniae</w:t>
      </w:r>
    </w:p>
    <w:p>
      <w:pPr>
        <w:tabs>
          <w:tab w:pos="7347" w:val="left" w:leader="none"/>
        </w:tabs>
        <w:spacing w:line="237" w:lineRule="auto" w:before="119"/>
        <w:ind w:left="1102" w:right="0" w:firstLine="0"/>
        <w:jc w:val="left"/>
        <w:rPr>
          <w:i/>
          <w:sz w:val="20"/>
        </w:rPr>
      </w:pPr>
      <w:r>
        <w:rPr>
          <w:spacing w:val="-5"/>
          <w:position w:val="-11"/>
          <w:sz w:val="20"/>
        </w:rPr>
        <w:t>50</w:t>
      </w:r>
      <w:r>
        <w:rPr>
          <w:position w:val="-11"/>
          <w:sz w:val="20"/>
        </w:rPr>
        <w:tab/>
      </w:r>
      <w:r>
        <w:rPr>
          <w:sz w:val="20"/>
        </w:rPr>
        <w:drawing>
          <wp:inline distT="0" distB="0" distL="0" distR="0">
            <wp:extent cx="68579" cy="70103"/>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259" cstate="print"/>
                    <a:stretch>
                      <a:fillRect/>
                    </a:stretch>
                  </pic:blipFill>
                  <pic:spPr>
                    <a:xfrm>
                      <a:off x="0" y="0"/>
                      <a:ext cx="68579" cy="70103"/>
                    </a:xfrm>
                    <a:prstGeom prst="rect">
                      <a:avLst/>
                    </a:prstGeom>
                  </pic:spPr>
                </pic:pic>
              </a:graphicData>
            </a:graphic>
          </wp:inline>
        </w:drawing>
      </w:r>
      <w:r>
        <w:rPr>
          <w:sz w:val="20"/>
        </w:rPr>
      </w:r>
      <w:r>
        <w:rPr>
          <w:rFonts w:ascii="Times New Roman"/>
          <w:sz w:val="20"/>
        </w:rPr>
        <w:t> </w:t>
      </w:r>
      <w:r>
        <w:rPr>
          <w:i/>
          <w:sz w:val="20"/>
        </w:rPr>
        <w:t>Staph</w:t>
      </w:r>
      <w:r>
        <w:rPr>
          <w:i/>
          <w:spacing w:val="-2"/>
          <w:sz w:val="20"/>
        </w:rPr>
        <w:t> </w:t>
      </w:r>
      <w:r>
        <w:rPr>
          <w:i/>
          <w:sz w:val="20"/>
        </w:rPr>
        <w:t>aureus</w:t>
      </w:r>
    </w:p>
    <w:p>
      <w:pPr>
        <w:spacing w:line="243" w:lineRule="exact" w:before="0"/>
        <w:ind w:left="0" w:right="1825" w:firstLine="0"/>
        <w:jc w:val="right"/>
        <w:rPr>
          <w:i/>
          <w:sz w:val="20"/>
        </w:rPr>
      </w:pPr>
      <w:r>
        <w:rPr/>
        <mc:AlternateContent>
          <mc:Choice Requires="wps">
            <w:drawing>
              <wp:anchor distT="0" distB="0" distL="0" distR="0" allowOverlap="1" layoutInCell="1" locked="0" behindDoc="0" simplePos="0" relativeHeight="15733760">
                <wp:simplePos x="0" y="0"/>
                <wp:positionH relativeFrom="page">
                  <wp:posOffset>5338571</wp:posOffset>
                </wp:positionH>
                <wp:positionV relativeFrom="paragraph">
                  <wp:posOffset>48701</wp:posOffset>
                </wp:positionV>
                <wp:extent cx="68580" cy="6858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68580" cy="68580"/>
                        </a:xfrm>
                        <a:custGeom>
                          <a:avLst/>
                          <a:gdLst/>
                          <a:ahLst/>
                          <a:cxnLst/>
                          <a:rect l="l" t="t" r="r" b="b"/>
                          <a:pathLst>
                            <a:path w="68580" h="68580">
                              <a:moveTo>
                                <a:pt x="68579" y="0"/>
                              </a:moveTo>
                              <a:lnTo>
                                <a:pt x="0" y="0"/>
                              </a:lnTo>
                              <a:lnTo>
                                <a:pt x="0" y="68579"/>
                              </a:lnTo>
                              <a:lnTo>
                                <a:pt x="68579" y="68579"/>
                              </a:lnTo>
                              <a:lnTo>
                                <a:pt x="68579" y="0"/>
                              </a:lnTo>
                              <a:close/>
                            </a:path>
                          </a:pathLst>
                        </a:custGeom>
                        <a:solidFill>
                          <a:srgbClr val="929292"/>
                        </a:solidFill>
                      </wps:spPr>
                      <wps:bodyPr wrap="square" lIns="0" tIns="0" rIns="0" bIns="0" rtlCol="0">
                        <a:prstTxWarp prst="textNoShape">
                          <a:avLst/>
                        </a:prstTxWarp>
                        <a:noAutofit/>
                      </wps:bodyPr>
                    </wps:wsp>
                  </a:graphicData>
                </a:graphic>
              </wp:anchor>
            </w:drawing>
          </mc:Choice>
          <mc:Fallback>
            <w:pict>
              <v:rect style="position:absolute;margin-left:420.359985pt;margin-top:3.834727pt;width:5.4pt;height:5.4pt;mso-position-horizontal-relative:page;mso-position-vertical-relative:paragraph;z-index:15733760" id="docshape34" filled="true" fillcolor="#929292" stroked="false">
                <v:fill type="solid"/>
                <w10:wrap type="none"/>
              </v:rect>
            </w:pict>
          </mc:Fallback>
        </mc:AlternateContent>
      </w:r>
      <w:r>
        <w:rPr>
          <w:i/>
          <w:sz w:val="20"/>
        </w:rPr>
        <w:t>H.</w:t>
      </w:r>
      <w:r>
        <w:rPr>
          <w:i/>
          <w:spacing w:val="-4"/>
          <w:sz w:val="20"/>
        </w:rPr>
        <w:t> </w:t>
      </w:r>
      <w:r>
        <w:rPr>
          <w:i/>
          <w:spacing w:val="-2"/>
          <w:sz w:val="20"/>
        </w:rPr>
        <w:t>influenzae</w:t>
      </w:r>
    </w:p>
    <w:p>
      <w:pPr>
        <w:tabs>
          <w:tab w:pos="7347" w:val="left" w:leader="none"/>
        </w:tabs>
        <w:spacing w:before="68"/>
        <w:ind w:left="1102" w:right="0" w:firstLine="0"/>
        <w:jc w:val="left"/>
        <w:rPr>
          <w:i/>
          <w:sz w:val="20"/>
        </w:rPr>
      </w:pPr>
      <w:r>
        <w:rPr>
          <w:spacing w:val="-5"/>
          <w:position w:val="5"/>
          <w:sz w:val="20"/>
        </w:rPr>
        <w:t>40</w:t>
      </w:r>
      <w:r>
        <w:rPr>
          <w:position w:val="5"/>
          <w:sz w:val="20"/>
        </w:rPr>
        <w:tab/>
      </w:r>
      <w:r>
        <w:rPr>
          <w:sz w:val="20"/>
        </w:rPr>
        <w:drawing>
          <wp:inline distT="0" distB="0" distL="0" distR="0">
            <wp:extent cx="68579" cy="70103"/>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260" cstate="print"/>
                    <a:stretch>
                      <a:fillRect/>
                    </a:stretch>
                  </pic:blipFill>
                  <pic:spPr>
                    <a:xfrm>
                      <a:off x="0" y="0"/>
                      <a:ext cx="68579" cy="70103"/>
                    </a:xfrm>
                    <a:prstGeom prst="rect">
                      <a:avLst/>
                    </a:prstGeom>
                  </pic:spPr>
                </pic:pic>
              </a:graphicData>
            </a:graphic>
          </wp:inline>
        </w:drawing>
      </w:r>
      <w:r>
        <w:rPr>
          <w:sz w:val="20"/>
        </w:rPr>
      </w:r>
      <w:r>
        <w:rPr>
          <w:rFonts w:ascii="Times New Roman"/>
          <w:sz w:val="20"/>
        </w:rPr>
        <w:t> </w:t>
      </w:r>
      <w:r>
        <w:rPr>
          <w:i/>
          <w:sz w:val="20"/>
        </w:rPr>
        <w:t>Ps.aeruginosa</w:t>
      </w:r>
    </w:p>
    <w:p>
      <w:pPr>
        <w:spacing w:line="194" w:lineRule="exact" w:before="117"/>
        <w:ind w:left="7347" w:right="0" w:firstLine="0"/>
        <w:jc w:val="left"/>
        <w:rPr>
          <w:i/>
          <w:sz w:val="20"/>
        </w:rPr>
      </w:pPr>
      <w:r>
        <w:rPr/>
        <w:drawing>
          <wp:inline distT="0" distB="0" distL="0" distR="0">
            <wp:extent cx="68579" cy="70103"/>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261" cstate="print"/>
                    <a:stretch>
                      <a:fillRect/>
                    </a:stretch>
                  </pic:blipFill>
                  <pic:spPr>
                    <a:xfrm>
                      <a:off x="0" y="0"/>
                      <a:ext cx="68579" cy="70103"/>
                    </a:xfrm>
                    <a:prstGeom prst="rect">
                      <a:avLst/>
                    </a:prstGeom>
                  </pic:spPr>
                </pic:pic>
              </a:graphicData>
            </a:graphic>
          </wp:inline>
        </w:drawing>
      </w:r>
      <w:r>
        <w:rPr/>
      </w:r>
      <w:r>
        <w:rPr>
          <w:rFonts w:ascii="Times New Roman"/>
          <w:sz w:val="20"/>
        </w:rPr>
        <w:t> </w:t>
      </w:r>
      <w:r>
        <w:rPr>
          <w:i/>
          <w:sz w:val="20"/>
        </w:rPr>
        <w:t>Strept.</w:t>
      </w:r>
      <w:r>
        <w:rPr>
          <w:i/>
          <w:spacing w:val="-1"/>
          <w:sz w:val="20"/>
        </w:rPr>
        <w:t> </w:t>
      </w:r>
      <w:r>
        <w:rPr>
          <w:i/>
          <w:sz w:val="20"/>
        </w:rPr>
        <w:t>pneumoniae</w:t>
      </w:r>
    </w:p>
    <w:p>
      <w:pPr>
        <w:spacing w:line="181" w:lineRule="exact" w:before="0"/>
        <w:ind w:left="1102" w:right="0" w:firstLine="0"/>
        <w:jc w:val="left"/>
        <w:rPr>
          <w:sz w:val="20"/>
        </w:rPr>
      </w:pPr>
      <w:r>
        <w:rPr>
          <w:spacing w:val="-5"/>
          <w:sz w:val="20"/>
        </w:rPr>
        <w:t>30</w:t>
      </w:r>
    </w:p>
    <w:p>
      <w:pPr>
        <w:spacing w:line="231" w:lineRule="exact" w:before="0"/>
        <w:ind w:left="7347" w:right="0" w:firstLine="0"/>
        <w:jc w:val="left"/>
        <w:rPr>
          <w:i/>
          <w:sz w:val="20"/>
        </w:rPr>
      </w:pPr>
      <w:r>
        <w:rPr>
          <w:position w:val="1"/>
        </w:rPr>
        <w:drawing>
          <wp:inline distT="0" distB="0" distL="0" distR="0">
            <wp:extent cx="68579" cy="68579"/>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262" cstate="print"/>
                    <a:stretch>
                      <a:fillRect/>
                    </a:stretch>
                  </pic:blipFill>
                  <pic:spPr>
                    <a:xfrm>
                      <a:off x="0" y="0"/>
                      <a:ext cx="68579" cy="68579"/>
                    </a:xfrm>
                    <a:prstGeom prst="rect">
                      <a:avLst/>
                    </a:prstGeom>
                  </pic:spPr>
                </pic:pic>
              </a:graphicData>
            </a:graphic>
          </wp:inline>
        </w:drawing>
      </w:r>
      <w:r>
        <w:rPr>
          <w:position w:val="1"/>
        </w:rPr>
      </w:r>
      <w:r>
        <w:rPr>
          <w:rFonts w:ascii="Times New Roman"/>
          <w:sz w:val="20"/>
        </w:rPr>
        <w:t> </w:t>
      </w:r>
      <w:r>
        <w:rPr>
          <w:i/>
          <w:sz w:val="20"/>
        </w:rPr>
        <w:t>strept.</w:t>
      </w:r>
      <w:r>
        <w:rPr>
          <w:i/>
          <w:spacing w:val="-1"/>
          <w:sz w:val="20"/>
        </w:rPr>
        <w:t> </w:t>
      </w:r>
      <w:r>
        <w:rPr>
          <w:i/>
          <w:sz w:val="20"/>
        </w:rPr>
        <w:t>pyogene</w:t>
      </w:r>
    </w:p>
    <w:p>
      <w:pPr>
        <w:spacing w:before="93"/>
        <w:ind w:left="1102" w:right="0" w:firstLine="0"/>
        <w:jc w:val="left"/>
        <w:rPr>
          <w:sz w:val="20"/>
        </w:rPr>
      </w:pPr>
      <w:r>
        <w:rPr>
          <w:spacing w:val="-5"/>
          <w:sz w:val="20"/>
        </w:rPr>
        <w:t>20</w:t>
      </w:r>
    </w:p>
    <w:p>
      <w:pPr>
        <w:pStyle w:val="BodyText"/>
        <w:spacing w:before="68"/>
        <w:rPr>
          <w:sz w:val="20"/>
        </w:rPr>
      </w:pPr>
    </w:p>
    <w:p>
      <w:pPr>
        <w:spacing w:before="0"/>
        <w:ind w:left="1102" w:right="0" w:firstLine="0"/>
        <w:jc w:val="left"/>
        <w:rPr>
          <w:sz w:val="20"/>
        </w:rPr>
      </w:pPr>
      <w:r>
        <w:rPr>
          <w:spacing w:val="-5"/>
          <w:sz w:val="20"/>
        </w:rPr>
        <w:t>10</w:t>
      </w:r>
    </w:p>
    <w:p>
      <w:pPr>
        <w:pStyle w:val="BodyText"/>
        <w:spacing w:before="67"/>
        <w:rPr>
          <w:sz w:val="20"/>
        </w:rPr>
      </w:pPr>
    </w:p>
    <w:p>
      <w:pPr>
        <w:spacing w:before="0"/>
        <w:ind w:left="1203" w:right="0" w:firstLine="0"/>
        <w:jc w:val="left"/>
        <w:rPr>
          <w:sz w:val="20"/>
        </w:rPr>
      </w:pPr>
      <w:r>
        <w:rPr>
          <w:spacing w:val="-10"/>
          <w:sz w:val="20"/>
        </w:rPr>
        <w:t>0</w:t>
      </w:r>
    </w:p>
    <w:p>
      <w:pPr>
        <w:tabs>
          <w:tab w:pos="2561" w:val="left" w:leader="none"/>
          <w:tab w:pos="3352" w:val="left" w:leader="none"/>
          <w:tab w:pos="4160" w:val="left" w:leader="none"/>
          <w:tab w:pos="4953" w:val="left" w:leader="none"/>
          <w:tab w:pos="5747" w:val="left" w:leader="none"/>
          <w:tab w:pos="6490" w:val="left" w:leader="none"/>
        </w:tabs>
        <w:spacing w:before="74"/>
        <w:ind w:left="1765" w:right="0" w:firstLine="0"/>
        <w:jc w:val="left"/>
        <w:rPr>
          <w:sz w:val="20"/>
        </w:rPr>
      </w:pPr>
      <w:r>
        <w:rPr>
          <w:spacing w:val="-5"/>
          <w:sz w:val="20"/>
        </w:rPr>
        <w:t>HA</w:t>
      </w:r>
      <w:r>
        <w:rPr>
          <w:sz w:val="20"/>
        </w:rPr>
        <w:tab/>
      </w:r>
      <w:r>
        <w:rPr>
          <w:spacing w:val="-5"/>
          <w:sz w:val="20"/>
        </w:rPr>
        <w:t>HB</w:t>
      </w:r>
      <w:r>
        <w:rPr>
          <w:sz w:val="20"/>
        </w:rPr>
        <w:tab/>
      </w:r>
      <w:r>
        <w:rPr>
          <w:spacing w:val="-5"/>
          <w:sz w:val="20"/>
        </w:rPr>
        <w:t>HC</w:t>
      </w:r>
      <w:r>
        <w:rPr>
          <w:sz w:val="20"/>
        </w:rPr>
        <w:tab/>
      </w:r>
      <w:r>
        <w:rPr>
          <w:spacing w:val="-5"/>
          <w:sz w:val="20"/>
        </w:rPr>
        <w:t>LA</w:t>
      </w:r>
      <w:r>
        <w:rPr>
          <w:sz w:val="20"/>
        </w:rPr>
        <w:tab/>
      </w:r>
      <w:r>
        <w:rPr>
          <w:spacing w:val="-5"/>
          <w:sz w:val="20"/>
        </w:rPr>
        <w:t>LB</w:t>
      </w:r>
      <w:r>
        <w:rPr>
          <w:sz w:val="20"/>
        </w:rPr>
        <w:tab/>
      </w:r>
      <w:r>
        <w:rPr>
          <w:spacing w:val="-5"/>
          <w:sz w:val="20"/>
        </w:rPr>
        <w:t>LC</w:t>
      </w:r>
      <w:r>
        <w:rPr>
          <w:sz w:val="20"/>
        </w:rPr>
        <w:tab/>
      </w:r>
      <w:r>
        <w:rPr>
          <w:spacing w:val="-5"/>
          <w:sz w:val="20"/>
        </w:rPr>
        <w:t>H/L</w:t>
      </w:r>
    </w:p>
    <w:p>
      <w:pPr>
        <w:spacing w:before="119"/>
        <w:ind w:left="3191" w:right="0" w:firstLine="0"/>
        <w:jc w:val="left"/>
        <w:rPr>
          <w:b/>
          <w:sz w:val="20"/>
        </w:rPr>
      </w:pPr>
      <w:r>
        <w:rPr>
          <w:b/>
          <w:spacing w:val="-2"/>
          <w:sz w:val="20"/>
        </w:rPr>
        <w:t>Test</w:t>
      </w:r>
      <w:r>
        <w:rPr>
          <w:b/>
          <w:spacing w:val="5"/>
          <w:sz w:val="20"/>
        </w:rPr>
        <w:t> </w:t>
      </w:r>
      <w:r>
        <w:rPr>
          <w:b/>
          <w:spacing w:val="-2"/>
          <w:sz w:val="20"/>
        </w:rPr>
        <w:t>antibacterial</w:t>
      </w:r>
      <w:r>
        <w:rPr>
          <w:b/>
          <w:spacing w:val="4"/>
          <w:sz w:val="20"/>
        </w:rPr>
        <w:t> </w:t>
      </w:r>
      <w:r>
        <w:rPr>
          <w:b/>
          <w:spacing w:val="-2"/>
          <w:sz w:val="20"/>
        </w:rPr>
        <w:t>agents</w:t>
      </w:r>
    </w:p>
    <w:p>
      <w:pPr>
        <w:pStyle w:val="BodyText"/>
        <w:rPr>
          <w:b/>
        </w:rPr>
      </w:pPr>
    </w:p>
    <w:p>
      <w:pPr>
        <w:pStyle w:val="BodyText"/>
        <w:spacing w:before="241"/>
        <w:rPr>
          <w:b/>
        </w:rPr>
      </w:pPr>
    </w:p>
    <w:p>
      <w:pPr>
        <w:pStyle w:val="BodyText"/>
        <w:tabs>
          <w:tab w:pos="1820" w:val="left" w:leader="none"/>
        </w:tabs>
        <w:spacing w:line="259" w:lineRule="auto"/>
        <w:ind w:left="1820" w:right="978" w:hanging="1440"/>
      </w:pPr>
      <w:r>
        <w:rPr/>
        <w:t>Figure 4.5:</w:t>
        <w:tab/>
        <w:t>Susceptibility</w:t>
      </w:r>
      <w:r>
        <w:rPr>
          <w:spacing w:val="40"/>
        </w:rPr>
        <w:t> </w:t>
      </w:r>
      <w:r>
        <w:rPr/>
        <w:t>pattern</w:t>
      </w:r>
      <w:r>
        <w:rPr>
          <w:spacing w:val="40"/>
        </w:rPr>
        <w:t> </w:t>
      </w:r>
      <w:r>
        <w:rPr/>
        <w:t>of</w:t>
      </w:r>
      <w:r>
        <w:rPr>
          <w:spacing w:val="40"/>
        </w:rPr>
        <w:t> </w:t>
      </w:r>
      <w:r>
        <w:rPr/>
        <w:t>each</w:t>
      </w:r>
      <w:r>
        <w:rPr>
          <w:spacing w:val="40"/>
        </w:rPr>
        <w:t> </w:t>
      </w:r>
      <w:r>
        <w:rPr/>
        <w:t>of</w:t>
      </w:r>
      <w:r>
        <w:rPr>
          <w:spacing w:val="40"/>
        </w:rPr>
        <w:t> </w:t>
      </w:r>
      <w:r>
        <w:rPr/>
        <w:t>the</w:t>
      </w:r>
      <w:r>
        <w:rPr>
          <w:spacing w:val="40"/>
        </w:rPr>
        <w:t> </w:t>
      </w:r>
      <w:r>
        <w:rPr/>
        <w:t>bacterial</w:t>
      </w:r>
      <w:r>
        <w:rPr>
          <w:spacing w:val="40"/>
        </w:rPr>
        <w:t> </w:t>
      </w:r>
      <w:r>
        <w:rPr/>
        <w:t>species</w:t>
      </w:r>
      <w:r>
        <w:rPr>
          <w:spacing w:val="40"/>
        </w:rPr>
        <w:t> </w:t>
      </w:r>
      <w:r>
        <w:rPr/>
        <w:t>to</w:t>
      </w:r>
      <w:r>
        <w:rPr>
          <w:spacing w:val="40"/>
        </w:rPr>
        <w:t> </w:t>
      </w:r>
      <w:r>
        <w:rPr/>
        <w:t>Honey,</w:t>
      </w:r>
      <w:r>
        <w:rPr>
          <w:spacing w:val="40"/>
        </w:rPr>
        <w:t> </w:t>
      </w:r>
      <w:r>
        <w:rPr/>
        <w:t>Lemon</w:t>
      </w:r>
      <w:r>
        <w:rPr>
          <w:spacing w:val="40"/>
        </w:rPr>
        <w:t> </w:t>
      </w:r>
      <w:r>
        <w:rPr/>
        <w:t>juice</w:t>
      </w:r>
      <w:r>
        <w:rPr>
          <w:spacing w:val="40"/>
        </w:rPr>
        <w:t> </w:t>
      </w:r>
      <w:r>
        <w:rPr/>
        <w:t>&amp; Honey/Lemon mixture.</w:t>
      </w:r>
    </w:p>
    <w:p>
      <w:pPr>
        <w:pStyle w:val="BodyText"/>
        <w:tabs>
          <w:tab w:pos="1820" w:val="left" w:leader="none"/>
        </w:tabs>
        <w:spacing w:line="259" w:lineRule="auto" w:before="198"/>
        <w:ind w:left="1820" w:right="1209" w:hanging="1440"/>
      </w:pPr>
      <w:r>
        <w:rPr>
          <w:spacing w:val="-4"/>
        </w:rPr>
        <w:t>Key:</w:t>
      </w:r>
      <w:r>
        <w:rPr/>
        <w:tab/>
        <w:t>H:</w:t>
      </w:r>
      <w:r>
        <w:rPr>
          <w:spacing w:val="-2"/>
        </w:rPr>
        <w:t> </w:t>
      </w:r>
      <w:r>
        <w:rPr/>
        <w:t>Honey,</w:t>
      </w:r>
      <w:r>
        <w:rPr>
          <w:spacing w:val="-4"/>
        </w:rPr>
        <w:t> </w:t>
      </w:r>
      <w:r>
        <w:rPr/>
        <w:t>L:</w:t>
      </w:r>
      <w:r>
        <w:rPr>
          <w:spacing w:val="-4"/>
        </w:rPr>
        <w:t> </w:t>
      </w:r>
      <w:r>
        <w:rPr/>
        <w:t>Lemon</w:t>
      </w:r>
      <w:r>
        <w:rPr>
          <w:spacing w:val="-1"/>
        </w:rPr>
        <w:t> </w:t>
      </w:r>
      <w:r>
        <w:rPr/>
        <w:t>juice,</w:t>
      </w:r>
      <w:r>
        <w:rPr>
          <w:spacing w:val="-5"/>
        </w:rPr>
        <w:t> </w:t>
      </w:r>
      <w:r>
        <w:rPr/>
        <w:t>H/L:</w:t>
      </w:r>
      <w:r>
        <w:rPr>
          <w:spacing w:val="-2"/>
        </w:rPr>
        <w:t> </w:t>
      </w:r>
      <w:r>
        <w:rPr/>
        <w:t>Honey</w:t>
      </w:r>
      <w:r>
        <w:rPr>
          <w:spacing w:val="-1"/>
        </w:rPr>
        <w:t> </w:t>
      </w:r>
      <w:r>
        <w:rPr/>
        <w:t>and</w:t>
      </w:r>
      <w:r>
        <w:rPr>
          <w:spacing w:val="-6"/>
        </w:rPr>
        <w:t> </w:t>
      </w:r>
      <w:r>
        <w:rPr/>
        <w:t>Lemon</w:t>
      </w:r>
      <w:r>
        <w:rPr>
          <w:spacing w:val="-1"/>
        </w:rPr>
        <w:t> </w:t>
      </w:r>
      <w:r>
        <w:rPr/>
        <w:t>juice,</w:t>
      </w:r>
      <w:r>
        <w:rPr>
          <w:spacing w:val="-5"/>
        </w:rPr>
        <w:t> </w:t>
      </w:r>
      <w:r>
        <w:rPr/>
        <w:t>HA:</w:t>
      </w:r>
      <w:r>
        <w:rPr>
          <w:spacing w:val="-2"/>
        </w:rPr>
        <w:t> </w:t>
      </w:r>
      <w:r>
        <w:rPr/>
        <w:t>100%</w:t>
      </w:r>
      <w:r>
        <w:rPr>
          <w:spacing w:val="-1"/>
        </w:rPr>
        <w:t> </w:t>
      </w:r>
      <w:r>
        <w:rPr/>
        <w:t>Honey,</w:t>
      </w:r>
      <w:r>
        <w:rPr>
          <w:spacing w:val="-2"/>
        </w:rPr>
        <w:t> </w:t>
      </w:r>
      <w:r>
        <w:rPr/>
        <w:t>LA:</w:t>
      </w:r>
      <w:r>
        <w:rPr>
          <w:spacing w:val="-3"/>
        </w:rPr>
        <w:t> </w:t>
      </w:r>
      <w:r>
        <w:rPr/>
        <w:t>100% Lemon</w:t>
      </w:r>
      <w:r>
        <w:rPr>
          <w:b/>
        </w:rPr>
        <w:t>, </w:t>
      </w:r>
      <w:r>
        <w:rPr/>
        <w:t>HB: 50% Honey, LB: 50% Lemon</w:t>
      </w:r>
      <w:r>
        <w:rPr>
          <w:b/>
        </w:rPr>
        <w:t>, </w:t>
      </w:r>
      <w:r>
        <w:rPr/>
        <w:t>HC: 25% Honey, LC: 25% Lemon.</w:t>
      </w:r>
    </w:p>
    <w:p>
      <w:pPr>
        <w:spacing w:after="0" w:line="259" w:lineRule="auto"/>
        <w:sectPr>
          <w:pgSz w:w="11910" w:h="16840"/>
          <w:pgMar w:header="0" w:footer="1055" w:top="1920" w:bottom="1240" w:left="1060" w:right="460"/>
        </w:sectPr>
      </w:pPr>
    </w:p>
    <w:p>
      <w:pPr>
        <w:spacing w:before="30"/>
        <w:ind w:left="1024" w:right="0" w:firstLine="0"/>
        <w:jc w:val="left"/>
        <w:rPr>
          <w:sz w:val="20"/>
        </w:rPr>
      </w:pPr>
      <w:r>
        <w:rPr/>
        <mc:AlternateContent>
          <mc:Choice Requires="wps">
            <w:drawing>
              <wp:anchor distT="0" distB="0" distL="0" distR="0" allowOverlap="1" layoutInCell="1" locked="0" behindDoc="1" simplePos="0" relativeHeight="472709632">
                <wp:simplePos x="0" y="0"/>
                <wp:positionH relativeFrom="page">
                  <wp:posOffset>3704209</wp:posOffset>
                </wp:positionH>
                <wp:positionV relativeFrom="page">
                  <wp:posOffset>9895161</wp:posOffset>
                </wp:positionV>
                <wp:extent cx="152400" cy="16891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52400" cy="168910"/>
                        </a:xfrm>
                        <a:prstGeom prst="rect">
                          <a:avLst/>
                        </a:prstGeom>
                      </wps:spPr>
                      <wps:txbx>
                        <w:txbxContent>
                          <w:p>
                            <w:pPr>
                              <w:spacing w:line="266" w:lineRule="exact" w:before="0"/>
                              <w:ind w:left="0" w:right="0" w:firstLine="0"/>
                              <w:jc w:val="left"/>
                              <w:rPr>
                                <w:rFonts w:ascii="Times New Roman"/>
                                <w:sz w:val="24"/>
                              </w:rPr>
                            </w:pPr>
                            <w:r>
                              <w:rPr>
                                <w:rFonts w:ascii="Times New Roman"/>
                                <w:spacing w:val="-5"/>
                                <w:sz w:val="24"/>
                              </w:rPr>
                              <w:t>90</w:t>
                            </w:r>
                          </w:p>
                        </w:txbxContent>
                      </wps:txbx>
                      <wps:bodyPr wrap="square" lIns="0" tIns="0" rIns="0" bIns="0" rtlCol="0">
                        <a:noAutofit/>
                      </wps:bodyPr>
                    </wps:wsp>
                  </a:graphicData>
                </a:graphic>
              </wp:anchor>
            </w:drawing>
          </mc:Choice>
          <mc:Fallback>
            <w:pict>
              <v:shape style="position:absolute;margin-left:291.670013pt;margin-top:779.146606pt;width:12pt;height:13.3pt;mso-position-horizontal-relative:page;mso-position-vertical-relative:page;z-index:-30606848" type="#_x0000_t202" id="docshape35" filled="false" stroked="false">
                <v:textbox inset="0,0,0,0">
                  <w:txbxContent>
                    <w:p>
                      <w:pPr>
                        <w:spacing w:line="266" w:lineRule="exact" w:before="0"/>
                        <w:ind w:left="0" w:right="0" w:firstLine="0"/>
                        <w:jc w:val="left"/>
                        <w:rPr>
                          <w:rFonts w:ascii="Times New Roman"/>
                          <w:sz w:val="24"/>
                        </w:rPr>
                      </w:pPr>
                      <w:r>
                        <w:rPr>
                          <w:rFonts w:ascii="Times New Roman"/>
                          <w:spacing w:val="-5"/>
                          <w:sz w:val="24"/>
                        </w:rPr>
                        <w:t>90</w:t>
                      </w:r>
                    </w:p>
                  </w:txbxContent>
                </v:textbox>
                <w10:wrap type="none"/>
              </v:shape>
            </w:pict>
          </mc:Fallback>
        </mc:AlternateContent>
      </w:r>
      <w:r>
        <w:rPr/>
        <mc:AlternateContent>
          <mc:Choice Requires="wps">
            <w:drawing>
              <wp:anchor distT="0" distB="0" distL="0" distR="0" allowOverlap="1" layoutInCell="1" locked="0" behindDoc="1" simplePos="0" relativeHeight="472710144">
                <wp:simplePos x="0" y="0"/>
                <wp:positionH relativeFrom="page">
                  <wp:posOffset>1594103</wp:posOffset>
                </wp:positionH>
                <wp:positionV relativeFrom="paragraph">
                  <wp:posOffset>101600</wp:posOffset>
                </wp:positionV>
                <wp:extent cx="4352925" cy="324485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4352925" cy="3244850"/>
                          <a:chExt cx="4352925" cy="3244850"/>
                        </a:xfrm>
                      </wpg:grpSpPr>
                      <wps:wsp>
                        <wps:cNvPr id="55" name="Graphic 55"/>
                        <wps:cNvSpPr/>
                        <wps:spPr>
                          <a:xfrm>
                            <a:off x="124968" y="3047"/>
                            <a:ext cx="3804285" cy="3200400"/>
                          </a:xfrm>
                          <a:custGeom>
                            <a:avLst/>
                            <a:gdLst/>
                            <a:ahLst/>
                            <a:cxnLst/>
                            <a:rect l="l" t="t" r="r" b="b"/>
                            <a:pathLst>
                              <a:path w="3804285" h="3200400">
                                <a:moveTo>
                                  <a:pt x="111252" y="0"/>
                                </a:moveTo>
                                <a:lnTo>
                                  <a:pt x="0" y="0"/>
                                </a:lnTo>
                                <a:lnTo>
                                  <a:pt x="0" y="3200400"/>
                                </a:lnTo>
                                <a:lnTo>
                                  <a:pt x="111252" y="3200400"/>
                                </a:lnTo>
                                <a:lnTo>
                                  <a:pt x="111252" y="0"/>
                                </a:lnTo>
                                <a:close/>
                              </a:path>
                              <a:path w="3804285" h="3200400">
                                <a:moveTo>
                                  <a:pt x="726948" y="163068"/>
                                </a:moveTo>
                                <a:lnTo>
                                  <a:pt x="614172" y="163068"/>
                                </a:lnTo>
                                <a:lnTo>
                                  <a:pt x="614172" y="3200400"/>
                                </a:lnTo>
                                <a:lnTo>
                                  <a:pt x="726948" y="3200400"/>
                                </a:lnTo>
                                <a:lnTo>
                                  <a:pt x="726948" y="163068"/>
                                </a:lnTo>
                                <a:close/>
                              </a:path>
                              <a:path w="3804285" h="3200400">
                                <a:moveTo>
                                  <a:pt x="1342631" y="2545080"/>
                                </a:moveTo>
                                <a:lnTo>
                                  <a:pt x="1229868" y="2545080"/>
                                </a:lnTo>
                                <a:lnTo>
                                  <a:pt x="1229868" y="3200400"/>
                                </a:lnTo>
                                <a:lnTo>
                                  <a:pt x="1342631" y="3200400"/>
                                </a:lnTo>
                                <a:lnTo>
                                  <a:pt x="1342631" y="2545080"/>
                                </a:lnTo>
                                <a:close/>
                              </a:path>
                              <a:path w="3804285" h="3200400">
                                <a:moveTo>
                                  <a:pt x="1958340" y="0"/>
                                </a:moveTo>
                                <a:lnTo>
                                  <a:pt x="1845564" y="0"/>
                                </a:lnTo>
                                <a:lnTo>
                                  <a:pt x="1845564" y="3200400"/>
                                </a:lnTo>
                                <a:lnTo>
                                  <a:pt x="1958340" y="3200400"/>
                                </a:lnTo>
                                <a:lnTo>
                                  <a:pt x="1958340" y="0"/>
                                </a:lnTo>
                                <a:close/>
                              </a:path>
                              <a:path w="3804285" h="3200400">
                                <a:moveTo>
                                  <a:pt x="2574036" y="0"/>
                                </a:moveTo>
                                <a:lnTo>
                                  <a:pt x="2461260" y="0"/>
                                </a:lnTo>
                                <a:lnTo>
                                  <a:pt x="2461260" y="3200400"/>
                                </a:lnTo>
                                <a:lnTo>
                                  <a:pt x="2574036" y="3200400"/>
                                </a:lnTo>
                                <a:lnTo>
                                  <a:pt x="2574036" y="0"/>
                                </a:lnTo>
                                <a:close/>
                              </a:path>
                              <a:path w="3804285" h="3200400">
                                <a:moveTo>
                                  <a:pt x="3188208" y="739140"/>
                                </a:moveTo>
                                <a:lnTo>
                                  <a:pt x="3076956" y="739140"/>
                                </a:lnTo>
                                <a:lnTo>
                                  <a:pt x="3076956" y="3200400"/>
                                </a:lnTo>
                                <a:lnTo>
                                  <a:pt x="3188208" y="3200400"/>
                                </a:lnTo>
                                <a:lnTo>
                                  <a:pt x="3188208" y="739140"/>
                                </a:lnTo>
                                <a:close/>
                              </a:path>
                              <a:path w="3804285" h="3200400">
                                <a:moveTo>
                                  <a:pt x="3803904" y="0"/>
                                </a:moveTo>
                                <a:lnTo>
                                  <a:pt x="3692652" y="0"/>
                                </a:lnTo>
                                <a:lnTo>
                                  <a:pt x="3692652" y="3200400"/>
                                </a:lnTo>
                                <a:lnTo>
                                  <a:pt x="3803904" y="3200400"/>
                                </a:lnTo>
                                <a:lnTo>
                                  <a:pt x="3803904" y="0"/>
                                </a:lnTo>
                                <a:close/>
                              </a:path>
                            </a:pathLst>
                          </a:custGeom>
                          <a:solidFill>
                            <a:srgbClr val="5B9BD4"/>
                          </a:solidFill>
                        </wps:spPr>
                        <wps:bodyPr wrap="square" lIns="0" tIns="0" rIns="0" bIns="0" rtlCol="0">
                          <a:prstTxWarp prst="textNoShape">
                            <a:avLst/>
                          </a:prstTxWarp>
                          <a:noAutofit/>
                        </wps:bodyPr>
                      </wps:wsp>
                      <wps:wsp>
                        <wps:cNvPr id="56" name="Graphic 56"/>
                        <wps:cNvSpPr/>
                        <wps:spPr>
                          <a:xfrm>
                            <a:off x="236220" y="3047"/>
                            <a:ext cx="3805554" cy="3200400"/>
                          </a:xfrm>
                          <a:custGeom>
                            <a:avLst/>
                            <a:gdLst/>
                            <a:ahLst/>
                            <a:cxnLst/>
                            <a:rect l="l" t="t" r="r" b="b"/>
                            <a:pathLst>
                              <a:path w="3805554" h="3200400">
                                <a:moveTo>
                                  <a:pt x="111252" y="0"/>
                                </a:moveTo>
                                <a:lnTo>
                                  <a:pt x="0" y="0"/>
                                </a:lnTo>
                                <a:lnTo>
                                  <a:pt x="0" y="3200400"/>
                                </a:lnTo>
                                <a:lnTo>
                                  <a:pt x="111252" y="3200400"/>
                                </a:lnTo>
                                <a:lnTo>
                                  <a:pt x="111252" y="0"/>
                                </a:lnTo>
                                <a:close/>
                              </a:path>
                              <a:path w="3805554" h="3200400">
                                <a:moveTo>
                                  <a:pt x="726935" y="0"/>
                                </a:moveTo>
                                <a:lnTo>
                                  <a:pt x="615696" y="0"/>
                                </a:lnTo>
                                <a:lnTo>
                                  <a:pt x="615696" y="3200400"/>
                                </a:lnTo>
                                <a:lnTo>
                                  <a:pt x="726935" y="3200400"/>
                                </a:lnTo>
                                <a:lnTo>
                                  <a:pt x="726935" y="0"/>
                                </a:lnTo>
                                <a:close/>
                              </a:path>
                              <a:path w="3805554" h="3200400">
                                <a:moveTo>
                                  <a:pt x="1342644" y="2801112"/>
                                </a:moveTo>
                                <a:lnTo>
                                  <a:pt x="1231392" y="2801112"/>
                                </a:lnTo>
                                <a:lnTo>
                                  <a:pt x="1231392" y="3200400"/>
                                </a:lnTo>
                                <a:lnTo>
                                  <a:pt x="1342644" y="3200400"/>
                                </a:lnTo>
                                <a:lnTo>
                                  <a:pt x="1342644" y="2801112"/>
                                </a:lnTo>
                                <a:close/>
                              </a:path>
                              <a:path w="3805554" h="3200400">
                                <a:moveTo>
                                  <a:pt x="1958340" y="0"/>
                                </a:moveTo>
                                <a:lnTo>
                                  <a:pt x="1847088" y="0"/>
                                </a:lnTo>
                                <a:lnTo>
                                  <a:pt x="1847088" y="3200400"/>
                                </a:lnTo>
                                <a:lnTo>
                                  <a:pt x="1958340" y="3200400"/>
                                </a:lnTo>
                                <a:lnTo>
                                  <a:pt x="1958340" y="0"/>
                                </a:lnTo>
                                <a:close/>
                              </a:path>
                              <a:path w="3805554" h="3200400">
                                <a:moveTo>
                                  <a:pt x="2574036" y="0"/>
                                </a:moveTo>
                                <a:lnTo>
                                  <a:pt x="2462784" y="0"/>
                                </a:lnTo>
                                <a:lnTo>
                                  <a:pt x="2462784" y="3200400"/>
                                </a:lnTo>
                                <a:lnTo>
                                  <a:pt x="2574036" y="3200400"/>
                                </a:lnTo>
                                <a:lnTo>
                                  <a:pt x="2574036" y="0"/>
                                </a:lnTo>
                                <a:close/>
                              </a:path>
                              <a:path w="3805554" h="3200400">
                                <a:moveTo>
                                  <a:pt x="3189732" y="1999500"/>
                                </a:moveTo>
                                <a:lnTo>
                                  <a:pt x="3076956" y="1999500"/>
                                </a:lnTo>
                                <a:lnTo>
                                  <a:pt x="3076956" y="3200400"/>
                                </a:lnTo>
                                <a:lnTo>
                                  <a:pt x="3189732" y="3200400"/>
                                </a:lnTo>
                                <a:lnTo>
                                  <a:pt x="3189732" y="1999500"/>
                                </a:lnTo>
                                <a:close/>
                              </a:path>
                              <a:path w="3805554" h="3200400">
                                <a:moveTo>
                                  <a:pt x="3805428" y="0"/>
                                </a:moveTo>
                                <a:lnTo>
                                  <a:pt x="3692652" y="0"/>
                                </a:lnTo>
                                <a:lnTo>
                                  <a:pt x="3692652" y="3200400"/>
                                </a:lnTo>
                                <a:lnTo>
                                  <a:pt x="3805428" y="3200400"/>
                                </a:lnTo>
                                <a:lnTo>
                                  <a:pt x="3805428" y="0"/>
                                </a:lnTo>
                                <a:close/>
                              </a:path>
                            </a:pathLst>
                          </a:custGeom>
                          <a:solidFill>
                            <a:srgbClr val="EC7C30"/>
                          </a:solidFill>
                        </wps:spPr>
                        <wps:bodyPr wrap="square" lIns="0" tIns="0" rIns="0" bIns="0" rtlCol="0">
                          <a:prstTxWarp prst="textNoShape">
                            <a:avLst/>
                          </a:prstTxWarp>
                          <a:noAutofit/>
                        </wps:bodyPr>
                      </wps:wsp>
                      <wps:wsp>
                        <wps:cNvPr id="57" name="Graphic 57"/>
                        <wps:cNvSpPr/>
                        <wps:spPr>
                          <a:xfrm>
                            <a:off x="347472" y="3047"/>
                            <a:ext cx="3805554" cy="3200400"/>
                          </a:xfrm>
                          <a:custGeom>
                            <a:avLst/>
                            <a:gdLst/>
                            <a:ahLst/>
                            <a:cxnLst/>
                            <a:rect l="l" t="t" r="r" b="b"/>
                            <a:pathLst>
                              <a:path w="3805554" h="3200400">
                                <a:moveTo>
                                  <a:pt x="112776" y="0"/>
                                </a:moveTo>
                                <a:lnTo>
                                  <a:pt x="0" y="0"/>
                                </a:lnTo>
                                <a:lnTo>
                                  <a:pt x="0" y="3200400"/>
                                </a:lnTo>
                                <a:lnTo>
                                  <a:pt x="112776" y="3200400"/>
                                </a:lnTo>
                                <a:lnTo>
                                  <a:pt x="112776" y="0"/>
                                </a:lnTo>
                                <a:close/>
                              </a:path>
                              <a:path w="3805554" h="3200400">
                                <a:moveTo>
                                  <a:pt x="728472" y="1600200"/>
                                </a:moveTo>
                                <a:lnTo>
                                  <a:pt x="615696" y="1600200"/>
                                </a:lnTo>
                                <a:lnTo>
                                  <a:pt x="615696" y="3200400"/>
                                </a:lnTo>
                                <a:lnTo>
                                  <a:pt x="728472" y="3200400"/>
                                </a:lnTo>
                                <a:lnTo>
                                  <a:pt x="728472" y="1600200"/>
                                </a:lnTo>
                                <a:close/>
                              </a:path>
                              <a:path w="3805554" h="3200400">
                                <a:moveTo>
                                  <a:pt x="1959864" y="0"/>
                                </a:moveTo>
                                <a:lnTo>
                                  <a:pt x="1847088" y="0"/>
                                </a:lnTo>
                                <a:lnTo>
                                  <a:pt x="1847088" y="3200400"/>
                                </a:lnTo>
                                <a:lnTo>
                                  <a:pt x="1959864" y="3200400"/>
                                </a:lnTo>
                                <a:lnTo>
                                  <a:pt x="1959864" y="0"/>
                                </a:lnTo>
                                <a:close/>
                              </a:path>
                              <a:path w="3805554" h="3200400">
                                <a:moveTo>
                                  <a:pt x="2574036" y="1600200"/>
                                </a:moveTo>
                                <a:lnTo>
                                  <a:pt x="2462784" y="1600200"/>
                                </a:lnTo>
                                <a:lnTo>
                                  <a:pt x="2462784" y="3200400"/>
                                </a:lnTo>
                                <a:lnTo>
                                  <a:pt x="2574036" y="3200400"/>
                                </a:lnTo>
                                <a:lnTo>
                                  <a:pt x="2574036" y="1600200"/>
                                </a:lnTo>
                                <a:close/>
                              </a:path>
                              <a:path w="3805554" h="3200400">
                                <a:moveTo>
                                  <a:pt x="3189719" y="1600200"/>
                                </a:moveTo>
                                <a:lnTo>
                                  <a:pt x="3078480" y="1600200"/>
                                </a:lnTo>
                                <a:lnTo>
                                  <a:pt x="3078480" y="3200400"/>
                                </a:lnTo>
                                <a:lnTo>
                                  <a:pt x="3189719" y="3200400"/>
                                </a:lnTo>
                                <a:lnTo>
                                  <a:pt x="3189719" y="1600200"/>
                                </a:lnTo>
                                <a:close/>
                              </a:path>
                              <a:path w="3805554" h="3200400">
                                <a:moveTo>
                                  <a:pt x="3805428" y="0"/>
                                </a:moveTo>
                                <a:lnTo>
                                  <a:pt x="3694176" y="0"/>
                                </a:lnTo>
                                <a:lnTo>
                                  <a:pt x="3694176" y="3200400"/>
                                </a:lnTo>
                                <a:lnTo>
                                  <a:pt x="3805428" y="3200400"/>
                                </a:lnTo>
                                <a:lnTo>
                                  <a:pt x="3805428" y="0"/>
                                </a:lnTo>
                                <a:close/>
                              </a:path>
                            </a:pathLst>
                          </a:custGeom>
                          <a:solidFill>
                            <a:srgbClr val="A4A4A4"/>
                          </a:solidFill>
                        </wps:spPr>
                        <wps:bodyPr wrap="square" lIns="0" tIns="0" rIns="0" bIns="0" rtlCol="0">
                          <a:prstTxWarp prst="textNoShape">
                            <a:avLst/>
                          </a:prstTxWarp>
                          <a:noAutofit/>
                        </wps:bodyPr>
                      </wps:wsp>
                      <wps:wsp>
                        <wps:cNvPr id="58" name="Graphic 58"/>
                        <wps:cNvSpPr/>
                        <wps:spPr>
                          <a:xfrm>
                            <a:off x="460248" y="3047"/>
                            <a:ext cx="3805554" cy="3200400"/>
                          </a:xfrm>
                          <a:custGeom>
                            <a:avLst/>
                            <a:gdLst/>
                            <a:ahLst/>
                            <a:cxnLst/>
                            <a:rect l="l" t="t" r="r" b="b"/>
                            <a:pathLst>
                              <a:path w="3805554" h="3200400">
                                <a:moveTo>
                                  <a:pt x="111239" y="0"/>
                                </a:moveTo>
                                <a:lnTo>
                                  <a:pt x="0" y="0"/>
                                </a:lnTo>
                                <a:lnTo>
                                  <a:pt x="0" y="3200400"/>
                                </a:lnTo>
                                <a:lnTo>
                                  <a:pt x="111239" y="3200400"/>
                                </a:lnTo>
                                <a:lnTo>
                                  <a:pt x="111239" y="0"/>
                                </a:lnTo>
                                <a:close/>
                              </a:path>
                              <a:path w="3805554" h="3200400">
                                <a:moveTo>
                                  <a:pt x="726948" y="0"/>
                                </a:moveTo>
                                <a:lnTo>
                                  <a:pt x="615696" y="0"/>
                                </a:lnTo>
                                <a:lnTo>
                                  <a:pt x="615696" y="3200400"/>
                                </a:lnTo>
                                <a:lnTo>
                                  <a:pt x="726948" y="3200400"/>
                                </a:lnTo>
                                <a:lnTo>
                                  <a:pt x="726948" y="0"/>
                                </a:lnTo>
                                <a:close/>
                              </a:path>
                              <a:path w="3805554" h="3200400">
                                <a:moveTo>
                                  <a:pt x="1342644" y="1827276"/>
                                </a:moveTo>
                                <a:lnTo>
                                  <a:pt x="1231392" y="1827276"/>
                                </a:lnTo>
                                <a:lnTo>
                                  <a:pt x="1231392" y="3200400"/>
                                </a:lnTo>
                                <a:lnTo>
                                  <a:pt x="1342644" y="3200400"/>
                                </a:lnTo>
                                <a:lnTo>
                                  <a:pt x="1342644" y="1827276"/>
                                </a:lnTo>
                                <a:close/>
                              </a:path>
                              <a:path w="3805554" h="3200400">
                                <a:moveTo>
                                  <a:pt x="1958340" y="0"/>
                                </a:moveTo>
                                <a:lnTo>
                                  <a:pt x="1847088" y="0"/>
                                </a:lnTo>
                                <a:lnTo>
                                  <a:pt x="1847088" y="3200400"/>
                                </a:lnTo>
                                <a:lnTo>
                                  <a:pt x="1958340" y="3200400"/>
                                </a:lnTo>
                                <a:lnTo>
                                  <a:pt x="1958340" y="0"/>
                                </a:lnTo>
                                <a:close/>
                              </a:path>
                              <a:path w="3805554" h="3200400">
                                <a:moveTo>
                                  <a:pt x="2574036" y="0"/>
                                </a:moveTo>
                                <a:lnTo>
                                  <a:pt x="2461260" y="0"/>
                                </a:lnTo>
                                <a:lnTo>
                                  <a:pt x="2461260" y="3200400"/>
                                </a:lnTo>
                                <a:lnTo>
                                  <a:pt x="2574036" y="3200400"/>
                                </a:lnTo>
                                <a:lnTo>
                                  <a:pt x="2574036" y="0"/>
                                </a:lnTo>
                                <a:close/>
                              </a:path>
                              <a:path w="3805554" h="3200400">
                                <a:moveTo>
                                  <a:pt x="3189732" y="457200"/>
                                </a:moveTo>
                                <a:lnTo>
                                  <a:pt x="3076956" y="457200"/>
                                </a:lnTo>
                                <a:lnTo>
                                  <a:pt x="3076956" y="3200400"/>
                                </a:lnTo>
                                <a:lnTo>
                                  <a:pt x="3189732" y="3200400"/>
                                </a:lnTo>
                                <a:lnTo>
                                  <a:pt x="3189732" y="457200"/>
                                </a:lnTo>
                                <a:close/>
                              </a:path>
                              <a:path w="3805554" h="3200400">
                                <a:moveTo>
                                  <a:pt x="3805428" y="0"/>
                                </a:moveTo>
                                <a:lnTo>
                                  <a:pt x="3692652" y="0"/>
                                </a:lnTo>
                                <a:lnTo>
                                  <a:pt x="3692652" y="3200400"/>
                                </a:lnTo>
                                <a:lnTo>
                                  <a:pt x="3805428" y="3200400"/>
                                </a:lnTo>
                                <a:lnTo>
                                  <a:pt x="3805428" y="0"/>
                                </a:lnTo>
                                <a:close/>
                              </a:path>
                            </a:pathLst>
                          </a:custGeom>
                          <a:solidFill>
                            <a:srgbClr val="FFC000"/>
                          </a:solidFill>
                        </wps:spPr>
                        <wps:bodyPr wrap="square" lIns="0" tIns="0" rIns="0" bIns="0" rtlCol="0">
                          <a:prstTxWarp prst="textNoShape">
                            <a:avLst/>
                          </a:prstTxWarp>
                          <a:noAutofit/>
                        </wps:bodyPr>
                      </wps:wsp>
                      <wps:wsp>
                        <wps:cNvPr id="59" name="Graphic 59"/>
                        <wps:cNvSpPr/>
                        <wps:spPr>
                          <a:xfrm>
                            <a:off x="0" y="3047"/>
                            <a:ext cx="4349750" cy="3241675"/>
                          </a:xfrm>
                          <a:custGeom>
                            <a:avLst/>
                            <a:gdLst/>
                            <a:ahLst/>
                            <a:cxnLst/>
                            <a:rect l="l" t="t" r="r" b="b"/>
                            <a:pathLst>
                              <a:path w="4349750" h="3241675">
                                <a:moveTo>
                                  <a:pt x="39623" y="3200400"/>
                                </a:moveTo>
                                <a:lnTo>
                                  <a:pt x="39623" y="0"/>
                                </a:lnTo>
                              </a:path>
                              <a:path w="4349750" h="3241675">
                                <a:moveTo>
                                  <a:pt x="0" y="3200400"/>
                                </a:moveTo>
                                <a:lnTo>
                                  <a:pt x="39623" y="3200400"/>
                                </a:lnTo>
                              </a:path>
                              <a:path w="4349750" h="3241675">
                                <a:moveTo>
                                  <a:pt x="0" y="2880359"/>
                                </a:moveTo>
                                <a:lnTo>
                                  <a:pt x="39623" y="2880359"/>
                                </a:lnTo>
                              </a:path>
                              <a:path w="4349750" h="3241675">
                                <a:moveTo>
                                  <a:pt x="0" y="2560320"/>
                                </a:moveTo>
                                <a:lnTo>
                                  <a:pt x="39623" y="2560320"/>
                                </a:lnTo>
                              </a:path>
                              <a:path w="4349750" h="3241675">
                                <a:moveTo>
                                  <a:pt x="0" y="2240279"/>
                                </a:moveTo>
                                <a:lnTo>
                                  <a:pt x="39623" y="2240279"/>
                                </a:lnTo>
                              </a:path>
                              <a:path w="4349750" h="3241675">
                                <a:moveTo>
                                  <a:pt x="0" y="1920240"/>
                                </a:moveTo>
                                <a:lnTo>
                                  <a:pt x="39623" y="1920240"/>
                                </a:lnTo>
                              </a:path>
                              <a:path w="4349750" h="3241675">
                                <a:moveTo>
                                  <a:pt x="0" y="1600200"/>
                                </a:moveTo>
                                <a:lnTo>
                                  <a:pt x="39623" y="1600200"/>
                                </a:lnTo>
                              </a:path>
                              <a:path w="4349750" h="3241675">
                                <a:moveTo>
                                  <a:pt x="0" y="1280159"/>
                                </a:moveTo>
                                <a:lnTo>
                                  <a:pt x="39623" y="1280159"/>
                                </a:lnTo>
                              </a:path>
                              <a:path w="4349750" h="3241675">
                                <a:moveTo>
                                  <a:pt x="0" y="960120"/>
                                </a:moveTo>
                                <a:lnTo>
                                  <a:pt x="39623" y="960120"/>
                                </a:lnTo>
                              </a:path>
                              <a:path w="4349750" h="3241675">
                                <a:moveTo>
                                  <a:pt x="0" y="640079"/>
                                </a:moveTo>
                                <a:lnTo>
                                  <a:pt x="39623" y="640079"/>
                                </a:lnTo>
                              </a:path>
                              <a:path w="4349750" h="3241675">
                                <a:moveTo>
                                  <a:pt x="0" y="320040"/>
                                </a:moveTo>
                                <a:lnTo>
                                  <a:pt x="39623" y="320040"/>
                                </a:lnTo>
                              </a:path>
                              <a:path w="4349750" h="3241675">
                                <a:moveTo>
                                  <a:pt x="0" y="0"/>
                                </a:moveTo>
                                <a:lnTo>
                                  <a:pt x="39623" y="0"/>
                                </a:lnTo>
                              </a:path>
                              <a:path w="4349750" h="3241675">
                                <a:moveTo>
                                  <a:pt x="39623" y="3200400"/>
                                </a:moveTo>
                                <a:lnTo>
                                  <a:pt x="4349496" y="3200400"/>
                                </a:lnTo>
                              </a:path>
                              <a:path w="4349750" h="3241675">
                                <a:moveTo>
                                  <a:pt x="39623" y="3200400"/>
                                </a:moveTo>
                                <a:lnTo>
                                  <a:pt x="39623" y="3241548"/>
                                </a:lnTo>
                              </a:path>
                              <a:path w="4349750" h="3241675">
                                <a:moveTo>
                                  <a:pt x="655320" y="3200400"/>
                                </a:moveTo>
                                <a:lnTo>
                                  <a:pt x="655320" y="3241548"/>
                                </a:lnTo>
                              </a:path>
                              <a:path w="4349750" h="3241675">
                                <a:moveTo>
                                  <a:pt x="1271016" y="3200400"/>
                                </a:moveTo>
                                <a:lnTo>
                                  <a:pt x="1271016" y="3241548"/>
                                </a:lnTo>
                              </a:path>
                              <a:path w="4349750" h="3241675">
                                <a:moveTo>
                                  <a:pt x="1886712" y="3200400"/>
                                </a:moveTo>
                                <a:lnTo>
                                  <a:pt x="1886712" y="3241548"/>
                                </a:lnTo>
                              </a:path>
                              <a:path w="4349750" h="3241675">
                                <a:moveTo>
                                  <a:pt x="2502408" y="3200400"/>
                                </a:moveTo>
                                <a:lnTo>
                                  <a:pt x="2502408" y="3241548"/>
                                </a:lnTo>
                              </a:path>
                              <a:path w="4349750" h="3241675">
                                <a:moveTo>
                                  <a:pt x="3118104" y="3200400"/>
                                </a:moveTo>
                                <a:lnTo>
                                  <a:pt x="3118104" y="3241548"/>
                                </a:lnTo>
                              </a:path>
                              <a:path w="4349750" h="3241675">
                                <a:moveTo>
                                  <a:pt x="3733800" y="3200400"/>
                                </a:moveTo>
                                <a:lnTo>
                                  <a:pt x="3733800" y="3241548"/>
                                </a:lnTo>
                              </a:path>
                              <a:path w="4349750" h="3241675">
                                <a:moveTo>
                                  <a:pt x="4349496" y="3200400"/>
                                </a:moveTo>
                                <a:lnTo>
                                  <a:pt x="4349496" y="3241548"/>
                                </a:lnTo>
                              </a:path>
                            </a:pathLst>
                          </a:custGeom>
                          <a:ln w="6096">
                            <a:solidFill>
                              <a:srgbClr val="8888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5.519997pt;margin-top:8pt;width:342.75pt;height:255.5pt;mso-position-horizontal-relative:page;mso-position-vertical-relative:paragraph;z-index:-30606336" id="docshapegroup36" coordorigin="2510,160" coordsize="6855,5110">
                <v:shape style="position:absolute;left:2707;top:164;width:5991;height:5040" id="docshape37" coordorigin="2707,165" coordsize="5991,5040" path="m2882,165l2707,165,2707,5205,2882,5205,2882,165xm3852,422l3674,422,3674,5205,3852,5205,3852,422xm4822,4173l4644,4173,4644,5205,4822,5205,4822,4173xm5791,165l5614,165,5614,5205,5791,5205,5791,165xm6761,165l6583,165,6583,5205,6761,5205,6761,165xm7728,1329l7553,1329,7553,5205,7728,5205,7728,1329xm8698,165l8522,165,8522,5205,8698,5205,8698,165xe" filled="true" fillcolor="#5b9bd4" stroked="false">
                  <v:path arrowok="t"/>
                  <v:fill type="solid"/>
                </v:shape>
                <v:shape style="position:absolute;left:2882;top:164;width:5993;height:5040" id="docshape38" coordorigin="2882,165" coordsize="5993,5040" path="m3058,165l2882,165,2882,5205,3058,5205,3058,165xm4027,165l3852,165,3852,5205,4027,5205,4027,165xm4997,4576l4822,4576,4822,5205,4997,5205,4997,4576xm5966,165l5791,165,5791,5205,5966,5205,5966,165xm6936,165l6761,165,6761,5205,6936,5205,6936,165xm7906,3314l7728,3314,7728,5205,7906,5205,7906,3314xm8875,165l8698,165,8698,5205,8875,5205,8875,165xe" filled="true" fillcolor="#ec7c30" stroked="false">
                  <v:path arrowok="t"/>
                  <v:fill type="solid"/>
                </v:shape>
                <v:shape style="position:absolute;left:3057;top:164;width:5993;height:5040" id="docshape39" coordorigin="3058,165" coordsize="5993,5040" path="m3235,165l3058,165,3058,5205,3235,5205,3235,165xm4205,2685l4027,2685,4027,5205,4205,5205,4205,2685xm6144,165l5966,165,5966,5205,6144,5205,6144,165xm7111,2685l6936,2685,6936,5205,7111,5205,7111,2685xm8081,2685l7906,2685,7906,5205,8081,5205,8081,2685xm9050,165l8875,165,8875,5205,9050,5205,9050,165xe" filled="true" fillcolor="#a4a4a4" stroked="false">
                  <v:path arrowok="t"/>
                  <v:fill type="solid"/>
                </v:shape>
                <v:shape style="position:absolute;left:3235;top:164;width:5993;height:5040" id="docshape40" coordorigin="3235,165" coordsize="5993,5040" path="m3410,165l3235,165,3235,5205,3410,5205,3410,165xm4380,165l4205,165,4205,5205,4380,5205,4380,165xm5350,3042l5174,3042,5174,5205,5350,5205,5350,3042xm6319,165l6144,165,6144,5205,6319,5205,6319,165xm7289,165l7111,165,7111,5205,7289,5205,7289,165xm8258,885l8081,885,8081,5205,8258,5205,8258,885xm9228,165l9050,165,9050,5205,9228,5205,9228,165xe" filled="true" fillcolor="#ffc000" stroked="false">
                  <v:path arrowok="t"/>
                  <v:fill type="solid"/>
                </v:shape>
                <v:shape style="position:absolute;left:2510;top:164;width:6850;height:5105" id="docshape41" coordorigin="2510,165" coordsize="6850,5105" path="m2573,5205l2573,165m2510,5205l2573,5205m2510,4701l2573,4701m2510,4197l2573,4197m2510,3693l2573,3693m2510,3189l2573,3189m2510,2685l2573,2685m2510,2181l2573,2181m2510,1677l2573,1677m2510,1173l2573,1173m2510,669l2573,669m2510,165l2573,165m2573,5205l9360,5205m2573,5205l2573,5270m3542,5205l3542,5270m4512,5205l4512,5270m5482,5205l5482,5270m6451,5205l6451,5270m7421,5205l7421,5270m8390,5205l8390,5270m9360,5205l9360,5270e" filled="false" stroked="true" strokeweight=".48pt" strokecolor="#888888">
                  <v:path arrowok="t"/>
                  <v:stroke dashstyle="solid"/>
                </v:shape>
                <w10:wrap type="none"/>
              </v:group>
            </w:pict>
          </mc:Fallback>
        </mc:AlternateContent>
      </w:r>
      <w:r>
        <w:rPr/>
        <mc:AlternateContent>
          <mc:Choice Requires="wps">
            <w:drawing>
              <wp:anchor distT="0" distB="0" distL="0" distR="0" allowOverlap="1" layoutInCell="1" locked="0" behindDoc="0" simplePos="0" relativeHeight="15735808">
                <wp:simplePos x="0" y="0"/>
                <wp:positionH relativeFrom="page">
                  <wp:posOffset>950893</wp:posOffset>
                </wp:positionH>
                <wp:positionV relativeFrom="page">
                  <wp:posOffset>9385415</wp:posOffset>
                </wp:positionV>
                <wp:extent cx="5688330" cy="1307465"/>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5688330" cy="1307465"/>
                          <a:chExt cx="5688330" cy="1307465"/>
                        </a:xfrm>
                      </wpg:grpSpPr>
                      <pic:pic>
                        <pic:nvPicPr>
                          <pic:cNvPr id="61" name="Image 61"/>
                          <pic:cNvPicPr/>
                        </pic:nvPicPr>
                        <pic:blipFill>
                          <a:blip r:embed="rId264" cstate="print"/>
                          <a:stretch>
                            <a:fillRect/>
                          </a:stretch>
                        </pic:blipFill>
                        <pic:spPr>
                          <a:xfrm>
                            <a:off x="0" y="0"/>
                            <a:ext cx="5687815" cy="1306968"/>
                          </a:xfrm>
                          <a:prstGeom prst="rect">
                            <a:avLst/>
                          </a:prstGeom>
                        </pic:spPr>
                      </pic:pic>
                      <wps:wsp>
                        <wps:cNvPr id="62" name="Graphic 62"/>
                        <wps:cNvSpPr/>
                        <wps:spPr>
                          <a:xfrm>
                            <a:off x="756672" y="848739"/>
                            <a:ext cx="3892550" cy="172720"/>
                          </a:xfrm>
                          <a:custGeom>
                            <a:avLst/>
                            <a:gdLst/>
                            <a:ahLst/>
                            <a:cxnLst/>
                            <a:rect l="l" t="t" r="r" b="b"/>
                            <a:pathLst>
                              <a:path w="3892550" h="172720">
                                <a:moveTo>
                                  <a:pt x="1145463" y="41592"/>
                                </a:moveTo>
                                <a:lnTo>
                                  <a:pt x="1142784" y="38239"/>
                                </a:lnTo>
                                <a:lnTo>
                                  <a:pt x="72910" y="38239"/>
                                </a:lnTo>
                                <a:lnTo>
                                  <a:pt x="72910" y="0"/>
                                </a:lnTo>
                                <a:lnTo>
                                  <a:pt x="0" y="45885"/>
                                </a:lnTo>
                                <a:lnTo>
                                  <a:pt x="72910" y="91757"/>
                                </a:lnTo>
                                <a:lnTo>
                                  <a:pt x="72910" y="53530"/>
                                </a:lnTo>
                                <a:lnTo>
                                  <a:pt x="1142784" y="53530"/>
                                </a:lnTo>
                                <a:lnTo>
                                  <a:pt x="1145463" y="50012"/>
                                </a:lnTo>
                                <a:lnTo>
                                  <a:pt x="1145463" y="41592"/>
                                </a:lnTo>
                                <a:close/>
                              </a:path>
                              <a:path w="3892550" h="172720">
                                <a:moveTo>
                                  <a:pt x="3892143" y="126161"/>
                                </a:moveTo>
                                <a:lnTo>
                                  <a:pt x="3880561" y="118973"/>
                                </a:lnTo>
                                <a:lnTo>
                                  <a:pt x="3818979" y="80746"/>
                                </a:lnTo>
                                <a:lnTo>
                                  <a:pt x="3819182" y="119075"/>
                                </a:lnTo>
                                <a:lnTo>
                                  <a:pt x="2415489" y="129984"/>
                                </a:lnTo>
                                <a:lnTo>
                                  <a:pt x="2412085" y="129984"/>
                                </a:lnTo>
                                <a:lnTo>
                                  <a:pt x="2409418" y="133350"/>
                                </a:lnTo>
                                <a:lnTo>
                                  <a:pt x="2409418" y="141922"/>
                                </a:lnTo>
                                <a:lnTo>
                                  <a:pt x="2412212" y="145288"/>
                                </a:lnTo>
                                <a:lnTo>
                                  <a:pt x="2415489" y="145288"/>
                                </a:lnTo>
                                <a:lnTo>
                                  <a:pt x="3819258" y="134366"/>
                                </a:lnTo>
                                <a:lnTo>
                                  <a:pt x="3819461" y="172504"/>
                                </a:lnTo>
                                <a:lnTo>
                                  <a:pt x="3892143" y="126161"/>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4648817" y="825797"/>
                            <a:ext cx="346710" cy="321310"/>
                          </a:xfrm>
                          <a:custGeom>
                            <a:avLst/>
                            <a:gdLst/>
                            <a:ahLst/>
                            <a:cxnLst/>
                            <a:rect l="l" t="t" r="r" b="b"/>
                            <a:pathLst>
                              <a:path w="346710" h="321310">
                                <a:moveTo>
                                  <a:pt x="346373" y="0"/>
                                </a:moveTo>
                                <a:lnTo>
                                  <a:pt x="0" y="0"/>
                                </a:lnTo>
                                <a:lnTo>
                                  <a:pt x="0" y="321143"/>
                                </a:lnTo>
                                <a:lnTo>
                                  <a:pt x="346373" y="321143"/>
                                </a:lnTo>
                                <a:lnTo>
                                  <a:pt x="346373"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4648817" y="825797"/>
                            <a:ext cx="346710" cy="321310"/>
                          </a:xfrm>
                          <a:custGeom>
                            <a:avLst/>
                            <a:gdLst/>
                            <a:ahLst/>
                            <a:cxnLst/>
                            <a:rect l="l" t="t" r="r" b="b"/>
                            <a:pathLst>
                              <a:path w="346710" h="321310">
                                <a:moveTo>
                                  <a:pt x="0" y="321143"/>
                                </a:moveTo>
                                <a:lnTo>
                                  <a:pt x="346373" y="321143"/>
                                </a:lnTo>
                                <a:lnTo>
                                  <a:pt x="346373" y="0"/>
                                </a:lnTo>
                                <a:lnTo>
                                  <a:pt x="0" y="0"/>
                                </a:lnTo>
                                <a:lnTo>
                                  <a:pt x="0" y="321143"/>
                                </a:lnTo>
                                <a:close/>
                              </a:path>
                            </a:pathLst>
                          </a:custGeom>
                          <a:ln w="10381">
                            <a:solidFill>
                              <a:srgbClr val="000000"/>
                            </a:solidFill>
                            <a:prstDash val="solid"/>
                          </a:ln>
                        </wps:spPr>
                        <wps:bodyPr wrap="square" lIns="0" tIns="0" rIns="0" bIns="0" rtlCol="0">
                          <a:prstTxWarp prst="textNoShape">
                            <a:avLst/>
                          </a:prstTxWarp>
                          <a:noAutofit/>
                        </wps:bodyPr>
                      </wps:wsp>
                      <wps:wsp>
                        <wps:cNvPr id="65" name="Textbox 65"/>
                        <wps:cNvSpPr txBox="1"/>
                        <wps:spPr>
                          <a:xfrm>
                            <a:off x="4741790" y="920152"/>
                            <a:ext cx="171450" cy="168910"/>
                          </a:xfrm>
                          <a:prstGeom prst="rect">
                            <a:avLst/>
                          </a:prstGeom>
                        </wps:spPr>
                        <wps:txbx>
                          <w:txbxContent>
                            <w:p>
                              <w:pPr>
                                <w:spacing w:line="266" w:lineRule="exact" w:before="0"/>
                                <w:ind w:left="0" w:right="0" w:firstLine="0"/>
                                <w:jc w:val="left"/>
                                <w:rPr>
                                  <w:sz w:val="26"/>
                                </w:rPr>
                              </w:pPr>
                              <w:r>
                                <w:rPr>
                                  <w:spacing w:val="-5"/>
                                  <w:w w:val="85"/>
                                  <w:sz w:val="26"/>
                                </w:rPr>
                                <w:t>CN</w:t>
                              </w:r>
                            </w:p>
                          </w:txbxContent>
                        </wps:txbx>
                        <wps:bodyPr wrap="square" lIns="0" tIns="0" rIns="0" bIns="0" rtlCol="0">
                          <a:noAutofit/>
                        </wps:bodyPr>
                      </wps:wsp>
                      <wps:wsp>
                        <wps:cNvPr id="66" name="Textbox 66"/>
                        <wps:cNvSpPr txBox="1"/>
                        <wps:spPr>
                          <a:xfrm>
                            <a:off x="200653" y="722573"/>
                            <a:ext cx="574675" cy="332740"/>
                          </a:xfrm>
                          <a:prstGeom prst="rect">
                            <a:avLst/>
                          </a:prstGeom>
                          <a:solidFill>
                            <a:srgbClr val="FFFFFF"/>
                          </a:solidFill>
                          <a:ln w="11057">
                            <a:solidFill>
                              <a:srgbClr val="000000"/>
                            </a:solidFill>
                            <a:prstDash val="solid"/>
                          </a:ln>
                        </wps:spPr>
                        <wps:txbx>
                          <w:txbxContent>
                            <w:p>
                              <w:pPr>
                                <w:spacing w:before="91"/>
                                <w:ind w:left="135" w:right="0" w:firstLine="0"/>
                                <w:jc w:val="left"/>
                                <w:rPr>
                                  <w:color w:val="000000"/>
                                  <w:sz w:val="26"/>
                                </w:rPr>
                              </w:pPr>
                              <w:r>
                                <w:rPr>
                                  <w:color w:val="000000"/>
                                  <w:spacing w:val="-2"/>
                                  <w:w w:val="90"/>
                                  <w:sz w:val="26"/>
                                </w:rPr>
                                <w:t>L(25%)</w:t>
                              </w:r>
                            </w:p>
                          </w:txbxContent>
                        </wps:txbx>
                        <wps:bodyPr wrap="square" lIns="0" tIns="0" rIns="0" bIns="0" rtlCol="0">
                          <a:noAutofit/>
                        </wps:bodyPr>
                      </wps:wsp>
                      <wps:wsp>
                        <wps:cNvPr id="67" name="Textbox 67"/>
                        <wps:cNvSpPr txBox="1"/>
                        <wps:spPr>
                          <a:xfrm>
                            <a:off x="82157" y="91755"/>
                            <a:ext cx="501650" cy="355600"/>
                          </a:xfrm>
                          <a:prstGeom prst="rect">
                            <a:avLst/>
                          </a:prstGeom>
                          <a:solidFill>
                            <a:srgbClr val="FFFFFF"/>
                          </a:solidFill>
                          <a:ln w="10901">
                            <a:solidFill>
                              <a:srgbClr val="000000"/>
                            </a:solidFill>
                            <a:prstDash val="solid"/>
                          </a:ln>
                        </wps:spPr>
                        <wps:txbx>
                          <w:txbxContent>
                            <w:p>
                              <w:pPr>
                                <w:spacing w:before="90"/>
                                <w:ind w:left="136" w:right="0" w:firstLine="0"/>
                                <w:jc w:val="left"/>
                                <w:rPr>
                                  <w:color w:val="000000"/>
                                  <w:sz w:val="26"/>
                                </w:rPr>
                              </w:pPr>
                              <w:r>
                                <w:rPr>
                                  <w:color w:val="000000"/>
                                  <w:spacing w:val="-4"/>
                                  <w:w w:val="90"/>
                                  <w:sz w:val="26"/>
                                </w:rPr>
                                <w:t>S232</w:t>
                              </w:r>
                            </w:p>
                          </w:txbxContent>
                        </wps:txbx>
                        <wps:bodyPr wrap="square" lIns="0" tIns="0" rIns="0" bIns="0" rtlCol="0">
                          <a:noAutofit/>
                        </wps:bodyPr>
                      </wps:wsp>
                    </wpg:wgp>
                  </a:graphicData>
                </a:graphic>
              </wp:anchor>
            </w:drawing>
          </mc:Choice>
          <mc:Fallback>
            <w:pict>
              <v:group style="position:absolute;margin-left:74.873474pt;margin-top:739.009094pt;width:447.9pt;height:102.95pt;mso-position-horizontal-relative:page;mso-position-vertical-relative:page;z-index:15735808" id="docshapegroup42" coordorigin="1497,14780" coordsize="8958,2059">
                <v:shape style="position:absolute;left:1497;top:14780;width:8958;height:2059" type="#_x0000_t75" id="docshape43" stroked="false">
                  <v:imagedata r:id="rId264" o:title=""/>
                </v:shape>
                <v:shape style="position:absolute;left:2689;top:16116;width:6130;height:272" id="docshape44" coordorigin="2689,16117" coordsize="6130,272" path="m4493,16182l4489,16177,2804,16177,2804,16117,2689,16189,2804,16261,2804,16201,4489,16201,4493,16196,4493,16182xm8818,16315l8800,16304,8703,16244,8704,16304,6493,16321,6488,16321,6483,16327,6483,16340,6488,16346,6493,16346,8704,16328,8704,16388,8818,16315xe" filled="true" fillcolor="#000000" stroked="false">
                  <v:path arrowok="t"/>
                  <v:fill type="solid"/>
                </v:shape>
                <v:rect style="position:absolute;left:8818;top:16080;width:546;height:506" id="docshape45" filled="true" fillcolor="#ffffff" stroked="false">
                  <v:fill type="solid"/>
                </v:rect>
                <v:rect style="position:absolute;left:8818;top:16080;width:546;height:506" id="docshape46" filled="false" stroked="true" strokeweight=".81741pt" strokecolor="#000000">
                  <v:stroke dashstyle="solid"/>
                </v:rect>
                <v:shape style="position:absolute;left:8964;top:16229;width:270;height:266" type="#_x0000_t202" id="docshape47" filled="false" stroked="false">
                  <v:textbox inset="0,0,0,0">
                    <w:txbxContent>
                      <w:p>
                        <w:pPr>
                          <w:spacing w:line="266" w:lineRule="exact" w:before="0"/>
                          <w:ind w:left="0" w:right="0" w:firstLine="0"/>
                          <w:jc w:val="left"/>
                          <w:rPr>
                            <w:sz w:val="26"/>
                          </w:rPr>
                        </w:pPr>
                        <w:r>
                          <w:rPr>
                            <w:spacing w:val="-5"/>
                            <w:w w:val="85"/>
                            <w:sz w:val="26"/>
                          </w:rPr>
                          <w:t>CN</w:t>
                        </w:r>
                      </w:p>
                    </w:txbxContent>
                  </v:textbox>
                  <w10:wrap type="none"/>
                </v:shape>
                <v:shape style="position:absolute;left:1813;top:15918;width:905;height:524" type="#_x0000_t202" id="docshape48" filled="true" fillcolor="#ffffff" stroked="true" strokeweight=".870691pt" strokecolor="#000000">
                  <v:textbox inset="0,0,0,0">
                    <w:txbxContent>
                      <w:p>
                        <w:pPr>
                          <w:spacing w:before="91"/>
                          <w:ind w:left="135" w:right="0" w:firstLine="0"/>
                          <w:jc w:val="left"/>
                          <w:rPr>
                            <w:color w:val="000000"/>
                            <w:sz w:val="26"/>
                          </w:rPr>
                        </w:pPr>
                        <w:r>
                          <w:rPr>
                            <w:color w:val="000000"/>
                            <w:spacing w:val="-2"/>
                            <w:w w:val="90"/>
                            <w:sz w:val="26"/>
                          </w:rPr>
                          <w:t>L(25%)</w:t>
                        </w:r>
                      </w:p>
                    </w:txbxContent>
                  </v:textbox>
                  <v:fill type="solid"/>
                  <v:stroke dashstyle="solid"/>
                  <w10:wrap type="none"/>
                </v:shape>
                <v:shape style="position:absolute;left:1626;top:14924;width:790;height:560" type="#_x0000_t202" id="docshape49" filled="true" fillcolor="#ffffff" stroked="true" strokeweight=".858409pt" strokecolor="#000000">
                  <v:textbox inset="0,0,0,0">
                    <w:txbxContent>
                      <w:p>
                        <w:pPr>
                          <w:spacing w:before="90"/>
                          <w:ind w:left="136" w:right="0" w:firstLine="0"/>
                          <w:jc w:val="left"/>
                          <w:rPr>
                            <w:color w:val="000000"/>
                            <w:sz w:val="26"/>
                          </w:rPr>
                        </w:pPr>
                        <w:r>
                          <w:rPr>
                            <w:color w:val="000000"/>
                            <w:spacing w:val="-4"/>
                            <w:w w:val="90"/>
                            <w:sz w:val="26"/>
                          </w:rPr>
                          <w:t>S232</w:t>
                        </w:r>
                      </w:p>
                    </w:txbxContent>
                  </v:textbox>
                  <v:fill type="solid"/>
                  <v:stroke dashstyle="solid"/>
                  <w10:wrap type="none"/>
                </v:shape>
                <w10:wrap type="none"/>
              </v:group>
            </w:pict>
          </mc:Fallback>
        </mc:AlternateContent>
      </w:r>
      <w:r>
        <w:rPr>
          <w:spacing w:val="-5"/>
          <w:sz w:val="20"/>
        </w:rPr>
        <w:t>100</w:t>
      </w:r>
    </w:p>
    <w:p>
      <w:pPr>
        <w:pStyle w:val="BodyText"/>
        <w:spacing w:before="15"/>
        <w:rPr>
          <w:sz w:val="20"/>
        </w:rPr>
      </w:pPr>
    </w:p>
    <w:p>
      <w:pPr>
        <w:spacing w:before="0"/>
        <w:ind w:left="1125" w:right="0" w:firstLine="0"/>
        <w:jc w:val="left"/>
        <w:rPr>
          <w:sz w:val="20"/>
        </w:rPr>
      </w:pPr>
      <w:r>
        <w:rPr>
          <w:spacing w:val="-5"/>
          <w:sz w:val="20"/>
        </w:rPr>
        <w:t>90</w:t>
      </w:r>
    </w:p>
    <w:p>
      <w:pPr>
        <w:pStyle w:val="BodyText"/>
        <w:spacing w:before="17"/>
        <w:rPr>
          <w:sz w:val="20"/>
        </w:rPr>
      </w:pPr>
    </w:p>
    <w:p>
      <w:pPr>
        <w:spacing w:before="0"/>
        <w:ind w:left="1125" w:right="0" w:firstLine="0"/>
        <w:jc w:val="left"/>
        <w:rPr>
          <w:sz w:val="20"/>
        </w:rPr>
      </w:pPr>
      <w:r>
        <w:rPr>
          <w:spacing w:val="-5"/>
          <w:sz w:val="20"/>
        </w:rPr>
        <w:t>80</w:t>
      </w:r>
    </w:p>
    <w:p>
      <w:pPr>
        <w:pStyle w:val="BodyText"/>
        <w:spacing w:before="15"/>
        <w:rPr>
          <w:sz w:val="20"/>
        </w:rPr>
      </w:pPr>
    </w:p>
    <w:p>
      <w:pPr>
        <w:spacing w:before="0"/>
        <w:ind w:left="1125" w:right="0" w:firstLine="0"/>
        <w:jc w:val="left"/>
        <w:rPr>
          <w:sz w:val="20"/>
        </w:rPr>
      </w:pPr>
      <w:r>
        <w:rPr/>
        <mc:AlternateContent>
          <mc:Choice Requires="wps">
            <w:drawing>
              <wp:anchor distT="0" distB="0" distL="0" distR="0" allowOverlap="1" layoutInCell="1" locked="0" behindDoc="0" simplePos="0" relativeHeight="15736320">
                <wp:simplePos x="0" y="0"/>
                <wp:positionH relativeFrom="page">
                  <wp:posOffset>1086332</wp:posOffset>
                </wp:positionH>
                <wp:positionV relativeFrom="paragraph">
                  <wp:posOffset>-154267</wp:posOffset>
                </wp:positionV>
                <wp:extent cx="152400" cy="176530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52400" cy="1765300"/>
                        </a:xfrm>
                        <a:prstGeom prst="rect">
                          <a:avLst/>
                        </a:prstGeom>
                      </wps:spPr>
                      <wps:txbx>
                        <w:txbxContent>
                          <w:p>
                            <w:pPr>
                              <w:spacing w:line="223" w:lineRule="exact" w:before="0"/>
                              <w:ind w:left="20" w:right="0" w:firstLine="0"/>
                              <w:jc w:val="left"/>
                              <w:rPr>
                                <w:b/>
                                <w:sz w:val="20"/>
                              </w:rPr>
                            </w:pPr>
                            <w:r>
                              <w:rPr>
                                <w:b/>
                                <w:spacing w:val="-2"/>
                                <w:sz w:val="20"/>
                              </w:rPr>
                              <w:t>Percentage</w:t>
                            </w:r>
                            <w:r>
                              <w:rPr>
                                <w:b/>
                                <w:spacing w:val="6"/>
                                <w:sz w:val="20"/>
                              </w:rPr>
                              <w:t> </w:t>
                            </w:r>
                            <w:r>
                              <w:rPr>
                                <w:b/>
                                <w:spacing w:val="-2"/>
                                <w:sz w:val="20"/>
                              </w:rPr>
                              <w:t>susceptibility</w:t>
                            </w:r>
                            <w:r>
                              <w:rPr>
                                <w:b/>
                                <w:spacing w:val="12"/>
                                <w:sz w:val="20"/>
                              </w:rPr>
                              <w:t> </w:t>
                            </w:r>
                            <w:r>
                              <w:rPr>
                                <w:b/>
                                <w:spacing w:val="-2"/>
                                <w:sz w:val="20"/>
                              </w:rPr>
                              <w:t>pattern</w:t>
                            </w:r>
                          </w:p>
                        </w:txbxContent>
                      </wps:txbx>
                      <wps:bodyPr wrap="square" lIns="0" tIns="0" rIns="0" bIns="0" rtlCol="0" vert="vert270">
                        <a:noAutofit/>
                      </wps:bodyPr>
                    </wps:wsp>
                  </a:graphicData>
                </a:graphic>
              </wp:anchor>
            </w:drawing>
          </mc:Choice>
          <mc:Fallback>
            <w:pict>
              <v:shape style="position:absolute;margin-left:85.538002pt;margin-top:-12.147058pt;width:12pt;height:139pt;mso-position-horizontal-relative:page;mso-position-vertical-relative:paragraph;z-index:15736320" type="#_x0000_t202" id="docshape50" filled="false" stroked="false">
                <v:textbox inset="0,0,0,0" style="layout-flow:vertical;mso-layout-flow-alt:bottom-to-top">
                  <w:txbxContent>
                    <w:p>
                      <w:pPr>
                        <w:spacing w:line="223" w:lineRule="exact" w:before="0"/>
                        <w:ind w:left="20" w:right="0" w:firstLine="0"/>
                        <w:jc w:val="left"/>
                        <w:rPr>
                          <w:b/>
                          <w:sz w:val="20"/>
                        </w:rPr>
                      </w:pPr>
                      <w:r>
                        <w:rPr>
                          <w:b/>
                          <w:spacing w:val="-2"/>
                          <w:sz w:val="20"/>
                        </w:rPr>
                        <w:t>Percentage</w:t>
                      </w:r>
                      <w:r>
                        <w:rPr>
                          <w:b/>
                          <w:spacing w:val="6"/>
                          <w:sz w:val="20"/>
                        </w:rPr>
                        <w:t> </w:t>
                      </w:r>
                      <w:r>
                        <w:rPr>
                          <w:b/>
                          <w:spacing w:val="-2"/>
                          <w:sz w:val="20"/>
                        </w:rPr>
                        <w:t>susceptibility</w:t>
                      </w:r>
                      <w:r>
                        <w:rPr>
                          <w:b/>
                          <w:spacing w:val="12"/>
                          <w:sz w:val="20"/>
                        </w:rPr>
                        <w:t> </w:t>
                      </w:r>
                      <w:r>
                        <w:rPr>
                          <w:b/>
                          <w:spacing w:val="-2"/>
                          <w:sz w:val="20"/>
                        </w:rPr>
                        <w:t>pattern</w:t>
                      </w:r>
                    </w:p>
                  </w:txbxContent>
                </v:textbox>
                <w10:wrap type="none"/>
              </v:shape>
            </w:pict>
          </mc:Fallback>
        </mc:AlternateContent>
      </w:r>
      <w:r>
        <w:rPr>
          <w:spacing w:val="-5"/>
          <w:sz w:val="20"/>
        </w:rPr>
        <w:t>70</w:t>
      </w:r>
    </w:p>
    <w:p>
      <w:pPr>
        <w:pStyle w:val="BodyText"/>
        <w:spacing w:before="16"/>
        <w:rPr>
          <w:sz w:val="20"/>
        </w:rPr>
      </w:pPr>
    </w:p>
    <w:p>
      <w:pPr>
        <w:spacing w:before="1"/>
        <w:ind w:left="1125" w:right="0" w:firstLine="0"/>
        <w:jc w:val="left"/>
        <w:rPr>
          <w:sz w:val="20"/>
        </w:rPr>
      </w:pPr>
      <w:r>
        <w:rPr>
          <w:spacing w:val="-5"/>
          <w:sz w:val="20"/>
        </w:rPr>
        <w:t>60</w:t>
      </w:r>
    </w:p>
    <w:p>
      <w:pPr>
        <w:tabs>
          <w:tab w:pos="8619" w:val="left" w:leader="none"/>
        </w:tabs>
        <w:spacing w:line="237" w:lineRule="auto" w:before="144"/>
        <w:ind w:left="1125" w:right="0" w:firstLine="0"/>
        <w:jc w:val="left"/>
        <w:rPr>
          <w:sz w:val="20"/>
        </w:rPr>
      </w:pPr>
      <w:r>
        <w:rPr>
          <w:spacing w:val="-5"/>
          <w:position w:val="-11"/>
          <w:sz w:val="20"/>
        </w:rPr>
        <w:t>50</w:t>
      </w:r>
      <w:r>
        <w:rPr>
          <w:position w:val="-11"/>
          <w:sz w:val="20"/>
        </w:rPr>
        <w:tab/>
      </w:r>
      <w:r>
        <w:rPr>
          <w:sz w:val="20"/>
        </w:rPr>
        <w:drawing>
          <wp:inline distT="0" distB="0" distL="0" distR="0">
            <wp:extent cx="70103" cy="70103"/>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251" cstate="print"/>
                    <a:stretch>
                      <a:fillRect/>
                    </a:stretch>
                  </pic:blipFill>
                  <pic:spPr>
                    <a:xfrm>
                      <a:off x="0" y="0"/>
                      <a:ext cx="70103" cy="70103"/>
                    </a:xfrm>
                    <a:prstGeom prst="rect">
                      <a:avLst/>
                    </a:prstGeom>
                  </pic:spPr>
                </pic:pic>
              </a:graphicData>
            </a:graphic>
          </wp:inline>
        </w:drawing>
      </w:r>
      <w:r>
        <w:rPr>
          <w:sz w:val="20"/>
        </w:rPr>
      </w:r>
      <w:r>
        <w:rPr>
          <w:rFonts w:ascii="Times New Roman"/>
          <w:sz w:val="20"/>
        </w:rPr>
        <w:t> </w:t>
      </w:r>
      <w:r>
        <w:rPr>
          <w:sz w:val="20"/>
        </w:rPr>
        <w:t>SP</w:t>
      </w:r>
    </w:p>
    <w:p>
      <w:pPr>
        <w:spacing w:line="244" w:lineRule="exact" w:before="0"/>
        <w:ind w:left="0" w:right="1414" w:firstLine="0"/>
        <w:jc w:val="right"/>
        <w:rPr>
          <w:sz w:val="20"/>
        </w:rPr>
      </w:pPr>
      <w:r>
        <w:rPr/>
        <w:drawing>
          <wp:inline distT="0" distB="0" distL="0" distR="0">
            <wp:extent cx="70103" cy="70103"/>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252" cstate="print"/>
                    <a:stretch>
                      <a:fillRect/>
                    </a:stretch>
                  </pic:blipFill>
                  <pic:spPr>
                    <a:xfrm>
                      <a:off x="0" y="0"/>
                      <a:ext cx="70103" cy="70103"/>
                    </a:xfrm>
                    <a:prstGeom prst="rect">
                      <a:avLst/>
                    </a:prstGeom>
                  </pic:spPr>
                </pic:pic>
              </a:graphicData>
            </a:graphic>
          </wp:inline>
        </w:drawing>
      </w:r>
      <w:r>
        <w:rPr/>
      </w:r>
      <w:r>
        <w:rPr>
          <w:rFonts w:ascii="Times New Roman"/>
          <w:sz w:val="20"/>
        </w:rPr>
        <w:t> </w:t>
      </w:r>
      <w:r>
        <w:rPr>
          <w:sz w:val="20"/>
        </w:rPr>
        <w:t>ES</w:t>
      </w:r>
    </w:p>
    <w:p>
      <w:pPr>
        <w:tabs>
          <w:tab w:pos="8619" w:val="left" w:leader="none"/>
        </w:tabs>
        <w:spacing w:before="17"/>
        <w:ind w:left="1125" w:right="0" w:firstLine="0"/>
        <w:jc w:val="left"/>
        <w:rPr>
          <w:sz w:val="20"/>
        </w:rPr>
      </w:pPr>
      <w:r>
        <w:rPr>
          <w:spacing w:val="-5"/>
          <w:position w:val="10"/>
          <w:sz w:val="20"/>
        </w:rPr>
        <w:t>40</w:t>
      </w:r>
      <w:r>
        <w:rPr>
          <w:position w:val="10"/>
          <w:sz w:val="20"/>
        </w:rPr>
        <w:tab/>
      </w:r>
      <w:r>
        <w:rPr>
          <w:sz w:val="20"/>
        </w:rPr>
        <w:drawing>
          <wp:inline distT="0" distB="0" distL="0" distR="0">
            <wp:extent cx="70103" cy="70103"/>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253" cstate="print"/>
                    <a:stretch>
                      <a:fillRect/>
                    </a:stretch>
                  </pic:blipFill>
                  <pic:spPr>
                    <a:xfrm>
                      <a:off x="0" y="0"/>
                      <a:ext cx="70103" cy="70103"/>
                    </a:xfrm>
                    <a:prstGeom prst="rect">
                      <a:avLst/>
                    </a:prstGeom>
                  </pic:spPr>
                </pic:pic>
              </a:graphicData>
            </a:graphic>
          </wp:inline>
        </w:drawing>
      </w:r>
      <w:r>
        <w:rPr>
          <w:sz w:val="20"/>
        </w:rPr>
      </w:r>
      <w:r>
        <w:rPr>
          <w:rFonts w:ascii="Times New Roman"/>
          <w:sz w:val="20"/>
        </w:rPr>
        <w:t> </w:t>
      </w:r>
      <w:r>
        <w:rPr>
          <w:sz w:val="20"/>
        </w:rPr>
        <w:t>NS</w:t>
      </w:r>
    </w:p>
    <w:p>
      <w:pPr>
        <w:tabs>
          <w:tab w:pos="8619" w:val="left" w:leader="none"/>
        </w:tabs>
        <w:spacing w:before="117"/>
        <w:ind w:left="1125" w:right="0" w:firstLine="0"/>
        <w:jc w:val="left"/>
        <w:rPr>
          <w:sz w:val="20"/>
        </w:rPr>
      </w:pPr>
      <w:r>
        <w:rPr>
          <w:spacing w:val="-5"/>
          <w:position w:val="-3"/>
          <w:sz w:val="20"/>
        </w:rPr>
        <w:t>30</w:t>
      </w:r>
      <w:r>
        <w:rPr>
          <w:position w:val="-3"/>
          <w:sz w:val="20"/>
        </w:rPr>
        <w:tab/>
      </w:r>
      <w:r>
        <w:rPr>
          <w:sz w:val="20"/>
        </w:rPr>
        <w:drawing>
          <wp:inline distT="0" distB="0" distL="0" distR="0">
            <wp:extent cx="70103" cy="70103"/>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254" cstate="print"/>
                    <a:stretch>
                      <a:fillRect/>
                    </a:stretch>
                  </pic:blipFill>
                  <pic:spPr>
                    <a:xfrm>
                      <a:off x="0" y="0"/>
                      <a:ext cx="70103" cy="70103"/>
                    </a:xfrm>
                    <a:prstGeom prst="rect">
                      <a:avLst/>
                    </a:prstGeom>
                  </pic:spPr>
                </pic:pic>
              </a:graphicData>
            </a:graphic>
          </wp:inline>
        </w:drawing>
      </w:r>
      <w:r>
        <w:rPr>
          <w:sz w:val="20"/>
        </w:rPr>
      </w:r>
      <w:r>
        <w:rPr>
          <w:rFonts w:ascii="Times New Roman"/>
          <w:sz w:val="20"/>
        </w:rPr>
        <w:t> </w:t>
      </w:r>
      <w:r>
        <w:rPr>
          <w:sz w:val="20"/>
        </w:rPr>
        <w:t>TS</w:t>
      </w:r>
    </w:p>
    <w:p>
      <w:pPr>
        <w:pStyle w:val="BodyText"/>
        <w:spacing w:before="16"/>
        <w:rPr>
          <w:sz w:val="20"/>
        </w:rPr>
      </w:pPr>
    </w:p>
    <w:p>
      <w:pPr>
        <w:spacing w:before="1"/>
        <w:ind w:left="1125" w:right="0" w:firstLine="0"/>
        <w:jc w:val="left"/>
        <w:rPr>
          <w:sz w:val="20"/>
        </w:rPr>
      </w:pPr>
      <w:r>
        <w:rPr>
          <w:spacing w:val="-5"/>
          <w:sz w:val="20"/>
        </w:rPr>
        <w:t>20</w:t>
      </w:r>
    </w:p>
    <w:p>
      <w:pPr>
        <w:pStyle w:val="BodyText"/>
        <w:spacing w:before="15"/>
        <w:rPr>
          <w:sz w:val="20"/>
        </w:rPr>
      </w:pPr>
    </w:p>
    <w:p>
      <w:pPr>
        <w:spacing w:before="0"/>
        <w:ind w:left="1125" w:right="0" w:firstLine="0"/>
        <w:jc w:val="left"/>
        <w:rPr>
          <w:sz w:val="20"/>
        </w:rPr>
      </w:pPr>
      <w:r>
        <w:rPr>
          <w:spacing w:val="-5"/>
          <w:sz w:val="20"/>
        </w:rPr>
        <w:t>10</w:t>
      </w:r>
    </w:p>
    <w:p>
      <w:pPr>
        <w:pStyle w:val="BodyText"/>
        <w:spacing w:before="16"/>
        <w:rPr>
          <w:sz w:val="20"/>
        </w:rPr>
      </w:pPr>
    </w:p>
    <w:p>
      <w:pPr>
        <w:spacing w:before="0"/>
        <w:ind w:left="1226" w:right="0" w:firstLine="0"/>
        <w:jc w:val="left"/>
        <w:rPr>
          <w:sz w:val="20"/>
        </w:rPr>
      </w:pPr>
      <w:r>
        <w:rPr>
          <w:spacing w:val="-10"/>
          <w:sz w:val="20"/>
        </w:rPr>
        <w:t>0</w:t>
      </w:r>
    </w:p>
    <w:p>
      <w:pPr>
        <w:tabs>
          <w:tab w:pos="2851" w:val="left" w:leader="none"/>
          <w:tab w:pos="3823" w:val="left" w:leader="none"/>
          <w:tab w:pos="4807" w:val="left" w:leader="none"/>
          <w:tab w:pos="5781" w:val="left" w:leader="none"/>
          <w:tab w:pos="6751" w:val="left" w:leader="none"/>
          <w:tab w:pos="7673" w:val="left" w:leader="none"/>
        </w:tabs>
        <w:spacing w:before="75"/>
        <w:ind w:left="1879" w:right="0" w:firstLine="0"/>
        <w:jc w:val="left"/>
        <w:rPr>
          <w:sz w:val="20"/>
        </w:rPr>
      </w:pPr>
      <w:r>
        <w:rPr>
          <w:spacing w:val="-5"/>
          <w:sz w:val="20"/>
        </w:rPr>
        <w:t>HA</w:t>
      </w:r>
      <w:r>
        <w:rPr>
          <w:sz w:val="20"/>
        </w:rPr>
        <w:tab/>
      </w:r>
      <w:r>
        <w:rPr>
          <w:spacing w:val="-5"/>
          <w:sz w:val="20"/>
        </w:rPr>
        <w:t>HB</w:t>
      </w:r>
      <w:r>
        <w:rPr>
          <w:sz w:val="20"/>
        </w:rPr>
        <w:tab/>
      </w:r>
      <w:r>
        <w:rPr>
          <w:spacing w:val="-5"/>
          <w:sz w:val="20"/>
        </w:rPr>
        <w:t>HC</w:t>
      </w:r>
      <w:r>
        <w:rPr>
          <w:sz w:val="20"/>
        </w:rPr>
        <w:tab/>
      </w:r>
      <w:r>
        <w:rPr>
          <w:spacing w:val="-5"/>
          <w:sz w:val="20"/>
        </w:rPr>
        <w:t>LA</w:t>
      </w:r>
      <w:r>
        <w:rPr>
          <w:sz w:val="20"/>
        </w:rPr>
        <w:tab/>
      </w:r>
      <w:r>
        <w:rPr>
          <w:spacing w:val="-5"/>
          <w:sz w:val="20"/>
        </w:rPr>
        <w:t>LB</w:t>
      </w:r>
      <w:r>
        <w:rPr>
          <w:sz w:val="20"/>
        </w:rPr>
        <w:tab/>
      </w:r>
      <w:r>
        <w:rPr>
          <w:spacing w:val="-5"/>
          <w:sz w:val="20"/>
        </w:rPr>
        <w:t>LC</w:t>
      </w:r>
      <w:r>
        <w:rPr>
          <w:sz w:val="20"/>
        </w:rPr>
        <w:tab/>
      </w:r>
      <w:r>
        <w:rPr>
          <w:spacing w:val="-5"/>
          <w:sz w:val="20"/>
        </w:rPr>
        <w:t>H/L</w:t>
      </w:r>
    </w:p>
    <w:p>
      <w:pPr>
        <w:pStyle w:val="BodyText"/>
        <w:spacing w:before="26"/>
        <w:rPr>
          <w:sz w:val="20"/>
        </w:rPr>
      </w:pPr>
    </w:p>
    <w:p>
      <w:pPr>
        <w:spacing w:before="0"/>
        <w:ind w:left="0" w:right="546" w:firstLine="0"/>
        <w:jc w:val="center"/>
        <w:rPr>
          <w:b/>
          <w:sz w:val="20"/>
        </w:rPr>
      </w:pPr>
      <w:r>
        <w:rPr>
          <w:b/>
          <w:spacing w:val="-2"/>
          <w:sz w:val="20"/>
        </w:rPr>
        <w:t>Test</w:t>
      </w:r>
      <w:r>
        <w:rPr>
          <w:b/>
          <w:spacing w:val="5"/>
          <w:sz w:val="20"/>
        </w:rPr>
        <w:t> </w:t>
      </w:r>
      <w:r>
        <w:rPr>
          <w:b/>
          <w:spacing w:val="-2"/>
          <w:sz w:val="20"/>
        </w:rPr>
        <w:t>antibacterial</w:t>
      </w:r>
      <w:r>
        <w:rPr>
          <w:b/>
          <w:spacing w:val="4"/>
          <w:sz w:val="20"/>
        </w:rPr>
        <w:t> </w:t>
      </w:r>
      <w:r>
        <w:rPr>
          <w:b/>
          <w:spacing w:val="-2"/>
          <w:sz w:val="20"/>
        </w:rPr>
        <w:t>agents</w:t>
      </w:r>
    </w:p>
    <w:p>
      <w:pPr>
        <w:pStyle w:val="BodyText"/>
        <w:spacing w:before="88"/>
        <w:rPr>
          <w:b/>
        </w:rPr>
      </w:pPr>
    </w:p>
    <w:p>
      <w:pPr>
        <w:pStyle w:val="BodyText"/>
        <w:tabs>
          <w:tab w:pos="1820" w:val="left" w:leader="none"/>
        </w:tabs>
        <w:spacing w:line="261" w:lineRule="auto"/>
        <w:ind w:left="1820" w:right="1114" w:hanging="1440"/>
      </w:pPr>
      <w:r>
        <w:rPr/>
        <w:t>Figure 4.6:</w:t>
        <w:tab/>
        <w:t>Susceptibility pattern of the test bacterial isolates to honey, lemon and mixture of</w:t>
      </w:r>
      <w:r>
        <w:rPr>
          <w:spacing w:val="40"/>
        </w:rPr>
        <w:t> </w:t>
      </w:r>
      <w:r>
        <w:rPr/>
        <w:t>honey/lemon as per source.</w:t>
      </w:r>
    </w:p>
    <w:p>
      <w:pPr>
        <w:pStyle w:val="BodyText"/>
        <w:tabs>
          <w:tab w:pos="1820" w:val="left" w:leader="none"/>
        </w:tabs>
        <w:spacing w:line="259" w:lineRule="auto" w:before="195"/>
        <w:ind w:left="1820" w:right="1069" w:hanging="1440"/>
      </w:pPr>
      <w:r>
        <w:rPr>
          <w:spacing w:val="-4"/>
        </w:rPr>
        <w:t>Key:</w:t>
      </w:r>
      <w:r>
        <w:rPr/>
        <w:tab/>
        <w:t>H:</w:t>
      </w:r>
      <w:r>
        <w:rPr>
          <w:spacing w:val="-2"/>
        </w:rPr>
        <w:t> </w:t>
      </w:r>
      <w:r>
        <w:rPr/>
        <w:t>Honey,</w:t>
      </w:r>
      <w:r>
        <w:rPr>
          <w:spacing w:val="-4"/>
        </w:rPr>
        <w:t> </w:t>
      </w:r>
      <w:r>
        <w:rPr/>
        <w:t>L:</w:t>
      </w:r>
      <w:r>
        <w:rPr>
          <w:spacing w:val="-4"/>
        </w:rPr>
        <w:t> </w:t>
      </w:r>
      <w:r>
        <w:rPr/>
        <w:t>Lemon,</w:t>
      </w:r>
      <w:r>
        <w:rPr>
          <w:spacing w:val="-2"/>
        </w:rPr>
        <w:t> </w:t>
      </w:r>
      <w:r>
        <w:rPr/>
        <w:t>H/L:</w:t>
      </w:r>
      <w:r>
        <w:rPr>
          <w:spacing w:val="-4"/>
        </w:rPr>
        <w:t> </w:t>
      </w:r>
      <w:r>
        <w:rPr/>
        <w:t>Honey</w:t>
      </w:r>
      <w:r>
        <w:rPr>
          <w:spacing w:val="-3"/>
        </w:rPr>
        <w:t> </w:t>
      </w:r>
      <w:r>
        <w:rPr/>
        <w:t>and</w:t>
      </w:r>
      <w:r>
        <w:rPr>
          <w:spacing w:val="-4"/>
        </w:rPr>
        <w:t> </w:t>
      </w:r>
      <w:r>
        <w:rPr/>
        <w:t>Lemon,</w:t>
      </w:r>
      <w:r>
        <w:rPr>
          <w:spacing w:val="-2"/>
        </w:rPr>
        <w:t> </w:t>
      </w:r>
      <w:r>
        <w:rPr/>
        <w:t>HA:</w:t>
      </w:r>
      <w:r>
        <w:rPr>
          <w:spacing w:val="-2"/>
        </w:rPr>
        <w:t> </w:t>
      </w:r>
      <w:r>
        <w:rPr/>
        <w:t>100%</w:t>
      </w:r>
      <w:r>
        <w:rPr>
          <w:spacing w:val="-4"/>
        </w:rPr>
        <w:t> </w:t>
      </w:r>
      <w:r>
        <w:rPr/>
        <w:t>Honey,</w:t>
      </w:r>
      <w:r>
        <w:rPr>
          <w:spacing w:val="-2"/>
        </w:rPr>
        <w:t> </w:t>
      </w:r>
      <w:r>
        <w:rPr/>
        <w:t>LA: 100%</w:t>
      </w:r>
      <w:r>
        <w:rPr>
          <w:spacing w:val="-4"/>
        </w:rPr>
        <w:t> </w:t>
      </w:r>
      <w:r>
        <w:rPr/>
        <w:t>Lemon</w:t>
      </w:r>
      <w:r>
        <w:rPr>
          <w:b/>
        </w:rPr>
        <w:t>,</w:t>
      </w:r>
      <w:r>
        <w:rPr>
          <w:b/>
          <w:spacing w:val="-1"/>
        </w:rPr>
        <w:t> </w:t>
      </w:r>
      <w:r>
        <w:rPr/>
        <w:t>HB: 50% Honey, LB: 50% Lemon</w:t>
      </w:r>
      <w:r>
        <w:rPr>
          <w:b/>
        </w:rPr>
        <w:t>, </w:t>
      </w:r>
      <w:r>
        <w:rPr/>
        <w:t>HC: 25% Honey, LC: 25% Lemon.</w:t>
      </w:r>
    </w:p>
    <w:p>
      <w:pPr>
        <w:spacing w:after="0" w:line="259" w:lineRule="auto"/>
        <w:sectPr>
          <w:footerReference w:type="default" r:id="rId263"/>
          <w:pgSz w:w="11910" w:h="16840"/>
          <w:pgMar w:header="0" w:footer="0" w:top="1480" w:bottom="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3"/>
      </w:pPr>
    </w:p>
    <w:p>
      <w:pPr>
        <w:spacing w:before="0"/>
        <w:ind w:left="380" w:right="0" w:firstLine="0"/>
        <w:jc w:val="left"/>
        <w:rPr>
          <w:sz w:val="22"/>
        </w:rPr>
      </w:pPr>
      <w:r>
        <w:rPr>
          <w:sz w:val="22"/>
        </w:rPr>
        <w:t>Plate</w:t>
      </w:r>
      <w:r>
        <w:rPr>
          <w:spacing w:val="-7"/>
          <w:sz w:val="22"/>
        </w:rPr>
        <w:t> </w:t>
      </w:r>
      <w:r>
        <w:rPr>
          <w:sz w:val="22"/>
        </w:rPr>
        <w:t>IV</w:t>
      </w:r>
      <w:r>
        <w:rPr>
          <w:sz w:val="22"/>
          <w:vertAlign w:val="subscript"/>
        </w:rPr>
        <w:t>a</w:t>
      </w:r>
      <w:r>
        <w:rPr>
          <w:sz w:val="22"/>
          <w:vertAlign w:val="baseline"/>
        </w:rPr>
        <w:t>:</w:t>
      </w:r>
      <w:r>
        <w:rPr>
          <w:spacing w:val="-4"/>
          <w:sz w:val="22"/>
          <w:vertAlign w:val="baseline"/>
        </w:rPr>
        <w:t> </w:t>
      </w:r>
      <w:r>
        <w:rPr>
          <w:sz w:val="22"/>
          <w:vertAlign w:val="baseline"/>
        </w:rPr>
        <w:t>Susceptibility</w:t>
      </w:r>
      <w:r>
        <w:rPr>
          <w:spacing w:val="-6"/>
          <w:sz w:val="22"/>
          <w:vertAlign w:val="baseline"/>
        </w:rPr>
        <w:t> </w:t>
      </w:r>
      <w:r>
        <w:rPr>
          <w:sz w:val="22"/>
          <w:vertAlign w:val="baseline"/>
        </w:rPr>
        <w:t>Test</w:t>
      </w:r>
      <w:r>
        <w:rPr>
          <w:spacing w:val="-5"/>
          <w:sz w:val="22"/>
          <w:vertAlign w:val="baseline"/>
        </w:rPr>
        <w:t> </w:t>
      </w:r>
      <w:r>
        <w:rPr>
          <w:sz w:val="22"/>
          <w:vertAlign w:val="baseline"/>
        </w:rPr>
        <w:t>plate</w:t>
      </w:r>
      <w:r>
        <w:rPr>
          <w:spacing w:val="-6"/>
          <w:sz w:val="22"/>
          <w:vertAlign w:val="baseline"/>
        </w:rPr>
        <w:t> </w:t>
      </w:r>
      <w:r>
        <w:rPr>
          <w:sz w:val="22"/>
          <w:vertAlign w:val="baseline"/>
        </w:rPr>
        <w:t>of</w:t>
      </w:r>
      <w:r>
        <w:rPr>
          <w:spacing w:val="-4"/>
          <w:sz w:val="22"/>
          <w:vertAlign w:val="baseline"/>
        </w:rPr>
        <w:t> </w:t>
      </w:r>
      <w:r>
        <w:rPr>
          <w:sz w:val="22"/>
          <w:vertAlign w:val="baseline"/>
        </w:rPr>
        <w:t>S</w:t>
      </w:r>
      <w:r>
        <w:rPr>
          <w:i/>
          <w:sz w:val="22"/>
          <w:vertAlign w:val="baseline"/>
        </w:rPr>
        <w:t>treptococcus</w:t>
      </w:r>
      <w:r>
        <w:rPr>
          <w:i/>
          <w:spacing w:val="-4"/>
          <w:sz w:val="22"/>
          <w:vertAlign w:val="baseline"/>
        </w:rPr>
        <w:t> </w:t>
      </w:r>
      <w:r>
        <w:rPr>
          <w:i/>
          <w:spacing w:val="-2"/>
          <w:sz w:val="22"/>
          <w:vertAlign w:val="baseline"/>
        </w:rPr>
        <w:t>pneumoniae_</w:t>
      </w:r>
      <w:r>
        <w:rPr>
          <w:spacing w:val="-2"/>
          <w:sz w:val="22"/>
          <w:vertAlign w:val="baseline"/>
        </w:rPr>
        <w:t>1.</w:t>
      </w:r>
    </w:p>
    <w:p>
      <w:pPr>
        <w:pStyle w:val="BodyText"/>
      </w:pPr>
    </w:p>
    <w:p>
      <w:pPr>
        <w:pStyle w:val="BodyText"/>
        <w:spacing w:before="95"/>
      </w:pPr>
    </w:p>
    <w:p>
      <w:pPr>
        <w:pStyle w:val="BodyText"/>
        <w:ind w:left="380"/>
      </w:pPr>
      <w:r>
        <w:rPr/>
        <w:t>Key:</w:t>
      </w:r>
      <w:r>
        <w:rPr>
          <w:spacing w:val="-8"/>
        </w:rPr>
        <w:t> </w:t>
      </w:r>
      <w:r>
        <w:rPr/>
        <w:t>L=Lemon</w:t>
      </w:r>
      <w:r>
        <w:rPr>
          <w:spacing w:val="-6"/>
        </w:rPr>
        <w:t> </w:t>
      </w:r>
      <w:r>
        <w:rPr/>
        <w:t>juice,</w:t>
      </w:r>
      <w:r>
        <w:rPr>
          <w:spacing w:val="-7"/>
        </w:rPr>
        <w:t> </w:t>
      </w:r>
      <w:r>
        <w:rPr/>
        <w:t>CN=Gentamicin,</w:t>
      </w:r>
      <w:r>
        <w:rPr>
          <w:spacing w:val="-5"/>
        </w:rPr>
        <w:t> </w:t>
      </w:r>
      <w:r>
        <w:rPr/>
        <w:t>AMC=Amoxicillin-Clavulanic</w:t>
      </w:r>
      <w:r>
        <w:rPr>
          <w:spacing w:val="-6"/>
        </w:rPr>
        <w:t> </w:t>
      </w:r>
      <w:r>
        <w:rPr/>
        <w:t>Acid</w:t>
      </w:r>
      <w:r>
        <w:rPr>
          <w:spacing w:val="-8"/>
        </w:rPr>
        <w:t> </w:t>
      </w:r>
      <w:r>
        <w:rPr/>
        <w:t>and</w:t>
      </w:r>
      <w:r>
        <w:rPr>
          <w:spacing w:val="-8"/>
        </w:rPr>
        <w:t> </w:t>
      </w:r>
      <w:r>
        <w:rPr>
          <w:spacing w:val="-2"/>
        </w:rPr>
        <w:t>CRO=Ceftriaxone.</w:t>
      </w:r>
    </w:p>
    <w:p>
      <w:pPr>
        <w:spacing w:after="0"/>
        <w:sectPr>
          <w:footerReference w:type="default" r:id="rId265"/>
          <w:pgSz w:w="11910" w:h="16840"/>
          <w:pgMar w:header="0" w:footer="1055" w:top="1920" w:bottom="1240" w:left="1060" w:right="460"/>
          <w:pgNumType w:start="9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6"/>
        <w:rPr>
          <w:sz w:val="20"/>
        </w:rPr>
      </w:pPr>
    </w:p>
    <w:p>
      <w:pPr>
        <w:pStyle w:val="BodyText"/>
        <w:ind w:left="377"/>
        <w:rPr>
          <w:sz w:val="20"/>
        </w:rPr>
      </w:pPr>
      <w:r>
        <w:rPr>
          <w:sz w:val="20"/>
        </w:rPr>
        <mc:AlternateContent>
          <mc:Choice Requires="wps">
            <w:drawing>
              <wp:inline distT="0" distB="0" distL="0" distR="0">
                <wp:extent cx="5697855" cy="4130040"/>
                <wp:effectExtent l="0" t="0" r="0" b="3810"/>
                <wp:docPr id="74" name="Group 74"/>
                <wp:cNvGraphicFramePr>
                  <a:graphicFrameLocks/>
                </wp:cNvGraphicFramePr>
                <a:graphic>
                  <a:graphicData uri="http://schemas.microsoft.com/office/word/2010/wordprocessingGroup">
                    <wpg:wgp>
                      <wpg:cNvPr id="74" name="Group 74"/>
                      <wpg:cNvGrpSpPr/>
                      <wpg:grpSpPr>
                        <a:xfrm>
                          <a:off x="0" y="0"/>
                          <a:ext cx="5697855" cy="4130040"/>
                          <a:chExt cx="5697855" cy="4130040"/>
                        </a:xfrm>
                      </wpg:grpSpPr>
                      <pic:pic>
                        <pic:nvPicPr>
                          <pic:cNvPr id="75" name="Image 75"/>
                          <pic:cNvPicPr/>
                        </pic:nvPicPr>
                        <pic:blipFill>
                          <a:blip r:embed="rId266" cstate="print"/>
                          <a:stretch>
                            <a:fillRect/>
                          </a:stretch>
                        </pic:blipFill>
                        <pic:spPr>
                          <a:xfrm>
                            <a:off x="0" y="0"/>
                            <a:ext cx="5697264" cy="4129940"/>
                          </a:xfrm>
                          <a:prstGeom prst="rect">
                            <a:avLst/>
                          </a:prstGeom>
                        </pic:spPr>
                      </pic:pic>
                      <wps:wsp>
                        <wps:cNvPr id="76" name="Graphic 76"/>
                        <wps:cNvSpPr/>
                        <wps:spPr>
                          <a:xfrm>
                            <a:off x="1068347" y="904588"/>
                            <a:ext cx="3816985" cy="2138680"/>
                          </a:xfrm>
                          <a:custGeom>
                            <a:avLst/>
                            <a:gdLst/>
                            <a:ahLst/>
                            <a:cxnLst/>
                            <a:rect l="l" t="t" r="r" b="b"/>
                            <a:pathLst>
                              <a:path w="3816985" h="2138680">
                                <a:moveTo>
                                  <a:pt x="928243" y="1053198"/>
                                </a:moveTo>
                                <a:lnTo>
                                  <a:pt x="925563" y="1049604"/>
                                </a:lnTo>
                                <a:lnTo>
                                  <a:pt x="73050" y="1049604"/>
                                </a:lnTo>
                                <a:lnTo>
                                  <a:pt x="73050" y="1010437"/>
                                </a:lnTo>
                                <a:lnTo>
                                  <a:pt x="0" y="1057427"/>
                                </a:lnTo>
                                <a:lnTo>
                                  <a:pt x="73050" y="1104430"/>
                                </a:lnTo>
                                <a:lnTo>
                                  <a:pt x="73050" y="1065263"/>
                                </a:lnTo>
                                <a:lnTo>
                                  <a:pt x="925563" y="1065263"/>
                                </a:lnTo>
                                <a:lnTo>
                                  <a:pt x="928243" y="1061821"/>
                                </a:lnTo>
                                <a:lnTo>
                                  <a:pt x="928243" y="1053198"/>
                                </a:lnTo>
                                <a:close/>
                              </a:path>
                              <a:path w="3816985" h="2138680">
                                <a:moveTo>
                                  <a:pt x="1512582" y="42773"/>
                                </a:moveTo>
                                <a:lnTo>
                                  <a:pt x="1509903" y="39166"/>
                                </a:lnTo>
                                <a:lnTo>
                                  <a:pt x="209994" y="39166"/>
                                </a:lnTo>
                                <a:lnTo>
                                  <a:pt x="209994" y="0"/>
                                </a:lnTo>
                                <a:lnTo>
                                  <a:pt x="136956" y="47002"/>
                                </a:lnTo>
                                <a:lnTo>
                                  <a:pt x="209994" y="93992"/>
                                </a:lnTo>
                                <a:lnTo>
                                  <a:pt x="209994" y="54825"/>
                                </a:lnTo>
                                <a:lnTo>
                                  <a:pt x="1509903" y="54825"/>
                                </a:lnTo>
                                <a:lnTo>
                                  <a:pt x="1512582" y="51384"/>
                                </a:lnTo>
                                <a:lnTo>
                                  <a:pt x="1512582" y="42773"/>
                                </a:lnTo>
                                <a:close/>
                              </a:path>
                              <a:path w="3816985" h="2138680">
                                <a:moveTo>
                                  <a:pt x="1640408" y="2087079"/>
                                </a:moveTo>
                                <a:lnTo>
                                  <a:pt x="1637728" y="2083562"/>
                                </a:lnTo>
                                <a:lnTo>
                                  <a:pt x="209994" y="2083562"/>
                                </a:lnTo>
                                <a:lnTo>
                                  <a:pt x="209994" y="2044395"/>
                                </a:lnTo>
                                <a:lnTo>
                                  <a:pt x="136956" y="2091397"/>
                                </a:lnTo>
                                <a:lnTo>
                                  <a:pt x="209994" y="2138400"/>
                                </a:lnTo>
                                <a:lnTo>
                                  <a:pt x="209994" y="2099233"/>
                                </a:lnTo>
                                <a:lnTo>
                                  <a:pt x="1637728" y="2099233"/>
                                </a:lnTo>
                                <a:lnTo>
                                  <a:pt x="1640408" y="2095741"/>
                                </a:lnTo>
                                <a:lnTo>
                                  <a:pt x="1640408" y="2087079"/>
                                </a:lnTo>
                                <a:close/>
                              </a:path>
                              <a:path w="3816985" h="2138680">
                                <a:moveTo>
                                  <a:pt x="3716007" y="47002"/>
                                </a:moveTo>
                                <a:lnTo>
                                  <a:pt x="3635667" y="27889"/>
                                </a:lnTo>
                                <a:lnTo>
                                  <a:pt x="3644150" y="65595"/>
                                </a:lnTo>
                                <a:lnTo>
                                  <a:pt x="2700845" y="415455"/>
                                </a:lnTo>
                                <a:lnTo>
                                  <a:pt x="2697683" y="416712"/>
                                </a:lnTo>
                                <a:lnTo>
                                  <a:pt x="2695740" y="421093"/>
                                </a:lnTo>
                                <a:lnTo>
                                  <a:pt x="2696705" y="425170"/>
                                </a:lnTo>
                                <a:lnTo>
                                  <a:pt x="2697683" y="429399"/>
                                </a:lnTo>
                                <a:lnTo>
                                  <a:pt x="2700972" y="431749"/>
                                </a:lnTo>
                                <a:lnTo>
                                  <a:pt x="2704261" y="430491"/>
                                </a:lnTo>
                                <a:lnTo>
                                  <a:pt x="3647516" y="80606"/>
                                </a:lnTo>
                                <a:lnTo>
                                  <a:pt x="3655987" y="118275"/>
                                </a:lnTo>
                                <a:lnTo>
                                  <a:pt x="3705060" y="59994"/>
                                </a:lnTo>
                                <a:lnTo>
                                  <a:pt x="3716007" y="47002"/>
                                </a:lnTo>
                                <a:close/>
                              </a:path>
                              <a:path w="3816985" h="2138680">
                                <a:moveTo>
                                  <a:pt x="3816439" y="1633143"/>
                                </a:moveTo>
                                <a:lnTo>
                                  <a:pt x="3804272" y="1625307"/>
                                </a:lnTo>
                                <a:lnTo>
                                  <a:pt x="3743401" y="1586153"/>
                                </a:lnTo>
                                <a:lnTo>
                                  <a:pt x="3743401" y="1625307"/>
                                </a:lnTo>
                                <a:lnTo>
                                  <a:pt x="2753931" y="1625307"/>
                                </a:lnTo>
                                <a:lnTo>
                                  <a:pt x="2751251" y="1628914"/>
                                </a:lnTo>
                                <a:lnTo>
                                  <a:pt x="2751251" y="1637538"/>
                                </a:lnTo>
                                <a:lnTo>
                                  <a:pt x="2753931" y="1640979"/>
                                </a:lnTo>
                                <a:lnTo>
                                  <a:pt x="3743401" y="1640979"/>
                                </a:lnTo>
                                <a:lnTo>
                                  <a:pt x="3743401" y="1680146"/>
                                </a:lnTo>
                                <a:lnTo>
                                  <a:pt x="3804272" y="1640979"/>
                                </a:lnTo>
                                <a:lnTo>
                                  <a:pt x="3816439" y="1633143"/>
                                </a:lnTo>
                                <a:close/>
                              </a:path>
                              <a:path w="3816985" h="2138680">
                                <a:moveTo>
                                  <a:pt x="3816439" y="951687"/>
                                </a:moveTo>
                                <a:lnTo>
                                  <a:pt x="3804272" y="943851"/>
                                </a:lnTo>
                                <a:lnTo>
                                  <a:pt x="3743401" y="904697"/>
                                </a:lnTo>
                                <a:lnTo>
                                  <a:pt x="3743401" y="943851"/>
                                </a:lnTo>
                                <a:lnTo>
                                  <a:pt x="2087422" y="943851"/>
                                </a:lnTo>
                                <a:lnTo>
                                  <a:pt x="2084743" y="947458"/>
                                </a:lnTo>
                                <a:lnTo>
                                  <a:pt x="2084743" y="956081"/>
                                </a:lnTo>
                                <a:lnTo>
                                  <a:pt x="2087422" y="959523"/>
                                </a:lnTo>
                                <a:lnTo>
                                  <a:pt x="3743401" y="959523"/>
                                </a:lnTo>
                                <a:lnTo>
                                  <a:pt x="3743401" y="998689"/>
                                </a:lnTo>
                                <a:lnTo>
                                  <a:pt x="3804272" y="959523"/>
                                </a:lnTo>
                                <a:lnTo>
                                  <a:pt x="3816439" y="951687"/>
                                </a:lnTo>
                                <a:close/>
                              </a:path>
                            </a:pathLst>
                          </a:custGeom>
                          <a:solidFill>
                            <a:srgbClr val="000000"/>
                          </a:solidFill>
                        </wps:spPr>
                        <wps:bodyPr wrap="square" lIns="0" tIns="0" rIns="0" bIns="0" rtlCol="0">
                          <a:prstTxWarp prst="textNoShape">
                            <a:avLst/>
                          </a:prstTxWarp>
                          <a:noAutofit/>
                        </wps:bodyPr>
                      </wps:wsp>
                      <wps:wsp>
                        <wps:cNvPr id="77" name="Textbox 77"/>
                        <wps:cNvSpPr txBox="1"/>
                        <wps:spPr>
                          <a:xfrm>
                            <a:off x="748800" y="2854989"/>
                            <a:ext cx="456565" cy="329565"/>
                          </a:xfrm>
                          <a:prstGeom prst="rect">
                            <a:avLst/>
                          </a:prstGeom>
                          <a:solidFill>
                            <a:srgbClr val="FFFFFF"/>
                          </a:solidFill>
                          <a:ln w="11124">
                            <a:solidFill>
                              <a:srgbClr val="000000"/>
                            </a:solidFill>
                            <a:prstDash val="solid"/>
                          </a:ln>
                        </wps:spPr>
                        <wps:txbx>
                          <w:txbxContent>
                            <w:p>
                              <w:pPr>
                                <w:spacing w:before="91"/>
                                <w:ind w:left="136" w:right="0" w:firstLine="0"/>
                                <w:jc w:val="left"/>
                                <w:rPr>
                                  <w:color w:val="000000"/>
                                  <w:sz w:val="27"/>
                                </w:rPr>
                              </w:pPr>
                              <w:r>
                                <w:rPr>
                                  <w:color w:val="000000"/>
                                  <w:spacing w:val="-5"/>
                                  <w:sz w:val="27"/>
                                </w:rPr>
                                <w:t>AZM</w:t>
                              </w:r>
                            </w:p>
                          </w:txbxContent>
                        </wps:txbx>
                        <wps:bodyPr wrap="square" lIns="0" tIns="0" rIns="0" bIns="0" rtlCol="0">
                          <a:noAutofit/>
                        </wps:bodyPr>
                      </wps:wsp>
                      <wps:wsp>
                        <wps:cNvPr id="78" name="Textbox 78"/>
                        <wps:cNvSpPr txBox="1"/>
                        <wps:spPr>
                          <a:xfrm>
                            <a:off x="4884795" y="2373270"/>
                            <a:ext cx="575310" cy="564515"/>
                          </a:xfrm>
                          <a:prstGeom prst="rect">
                            <a:avLst/>
                          </a:prstGeom>
                          <a:solidFill>
                            <a:srgbClr val="FFFFFF"/>
                          </a:solidFill>
                          <a:ln w="10787">
                            <a:solidFill>
                              <a:srgbClr val="000000"/>
                            </a:solidFill>
                            <a:prstDash val="solid"/>
                          </a:ln>
                        </wps:spPr>
                        <wps:txbx>
                          <w:txbxContent>
                            <w:p>
                              <w:pPr>
                                <w:spacing w:line="280" w:lineRule="auto" w:before="89"/>
                                <w:ind w:left="139" w:right="131" w:firstLine="0"/>
                                <w:jc w:val="left"/>
                                <w:rPr>
                                  <w:color w:val="000000"/>
                                  <w:sz w:val="27"/>
                                </w:rPr>
                              </w:pPr>
                              <w:r>
                                <w:rPr>
                                  <w:color w:val="000000"/>
                                  <w:spacing w:val="-4"/>
                                  <w:w w:val="95"/>
                                  <w:sz w:val="27"/>
                                </w:rPr>
                                <w:t>H/L </w:t>
                              </w:r>
                              <w:r>
                                <w:rPr>
                                  <w:color w:val="000000"/>
                                  <w:spacing w:val="-4"/>
                                  <w:w w:val="80"/>
                                  <w:sz w:val="27"/>
                                </w:rPr>
                                <w:t>(30:50)</w:t>
                              </w:r>
                            </w:p>
                          </w:txbxContent>
                        </wps:txbx>
                        <wps:bodyPr wrap="square" lIns="0" tIns="0" rIns="0" bIns="0" rtlCol="0">
                          <a:noAutofit/>
                        </wps:bodyPr>
                      </wps:wsp>
                      <wps:wsp>
                        <wps:cNvPr id="79" name="Textbox 79"/>
                        <wps:cNvSpPr txBox="1"/>
                        <wps:spPr>
                          <a:xfrm>
                            <a:off x="438372" y="1785776"/>
                            <a:ext cx="630555" cy="329565"/>
                          </a:xfrm>
                          <a:prstGeom prst="rect">
                            <a:avLst/>
                          </a:prstGeom>
                          <a:solidFill>
                            <a:srgbClr val="FFFFFF"/>
                          </a:solidFill>
                          <a:ln w="11378">
                            <a:solidFill>
                              <a:srgbClr val="000000"/>
                            </a:solidFill>
                            <a:prstDash val="solid"/>
                          </a:ln>
                        </wps:spPr>
                        <wps:txbx>
                          <w:txbxContent>
                            <w:p>
                              <w:pPr>
                                <w:spacing w:before="87"/>
                                <w:ind w:left="136" w:right="0" w:firstLine="0"/>
                                <w:jc w:val="left"/>
                                <w:rPr>
                                  <w:color w:val="000000"/>
                                  <w:sz w:val="27"/>
                                </w:rPr>
                              </w:pPr>
                              <w:r>
                                <w:rPr>
                                  <w:color w:val="000000"/>
                                  <w:spacing w:val="-6"/>
                                  <w:sz w:val="27"/>
                                </w:rPr>
                                <w:t>H(100%</w:t>
                              </w:r>
                            </w:p>
                          </w:txbxContent>
                        </wps:txbx>
                        <wps:bodyPr wrap="square" lIns="0" tIns="0" rIns="0" bIns="0" rtlCol="0">
                          <a:noAutofit/>
                        </wps:bodyPr>
                      </wps:wsp>
                      <wps:wsp>
                        <wps:cNvPr id="80" name="Textbox 80"/>
                        <wps:cNvSpPr txBox="1"/>
                        <wps:spPr>
                          <a:xfrm>
                            <a:off x="4884795" y="1691782"/>
                            <a:ext cx="411480" cy="270510"/>
                          </a:xfrm>
                          <a:prstGeom prst="rect">
                            <a:avLst/>
                          </a:prstGeom>
                          <a:solidFill>
                            <a:srgbClr val="FFFFFF"/>
                          </a:solidFill>
                          <a:ln w="11206">
                            <a:solidFill>
                              <a:srgbClr val="000000"/>
                            </a:solidFill>
                            <a:prstDash val="solid"/>
                          </a:ln>
                        </wps:spPr>
                        <wps:txbx>
                          <w:txbxContent>
                            <w:p>
                              <w:pPr>
                                <w:spacing w:line="317" w:lineRule="exact" w:before="90"/>
                                <w:ind w:left="139" w:right="0" w:firstLine="0"/>
                                <w:jc w:val="left"/>
                                <w:rPr>
                                  <w:color w:val="000000"/>
                                  <w:sz w:val="27"/>
                                </w:rPr>
                              </w:pPr>
                              <w:r>
                                <w:rPr>
                                  <w:color w:val="000000"/>
                                  <w:spacing w:val="-5"/>
                                  <w:sz w:val="27"/>
                                </w:rPr>
                                <w:t>Lev</w:t>
                              </w:r>
                            </w:p>
                          </w:txbxContent>
                        </wps:txbx>
                        <wps:bodyPr wrap="square" lIns="0" tIns="0" rIns="0" bIns="0" rtlCol="0">
                          <a:noAutofit/>
                        </wps:bodyPr>
                      </wps:wsp>
                      <wps:wsp>
                        <wps:cNvPr id="81" name="Textbox 81"/>
                        <wps:cNvSpPr txBox="1"/>
                        <wps:spPr>
                          <a:xfrm>
                            <a:off x="4784363" y="822337"/>
                            <a:ext cx="584835" cy="317500"/>
                          </a:xfrm>
                          <a:prstGeom prst="rect">
                            <a:avLst/>
                          </a:prstGeom>
                          <a:solidFill>
                            <a:srgbClr val="FFFFFF"/>
                          </a:solidFill>
                          <a:ln w="11353">
                            <a:solidFill>
                              <a:srgbClr val="000000"/>
                            </a:solidFill>
                            <a:prstDash val="solid"/>
                          </a:ln>
                        </wps:spPr>
                        <wps:txbx>
                          <w:txbxContent>
                            <w:p>
                              <w:pPr>
                                <w:spacing w:before="91"/>
                                <w:ind w:left="138" w:right="0" w:firstLine="0"/>
                                <w:jc w:val="left"/>
                                <w:rPr>
                                  <w:color w:val="000000"/>
                                  <w:sz w:val="27"/>
                                </w:rPr>
                              </w:pPr>
                              <w:r>
                                <w:rPr>
                                  <w:color w:val="000000"/>
                                  <w:spacing w:val="-9"/>
                                  <w:sz w:val="27"/>
                                </w:rPr>
                                <w:t>H(25%)</w:t>
                              </w:r>
                            </w:p>
                          </w:txbxContent>
                        </wps:txbx>
                        <wps:bodyPr wrap="square" lIns="0" tIns="0" rIns="0" bIns="0" rtlCol="0">
                          <a:noAutofit/>
                        </wps:bodyPr>
                      </wps:wsp>
                      <wps:wsp>
                        <wps:cNvPr id="82" name="Textbox 82"/>
                        <wps:cNvSpPr txBox="1"/>
                        <wps:spPr>
                          <a:xfrm>
                            <a:off x="602717" y="763591"/>
                            <a:ext cx="602615" cy="317500"/>
                          </a:xfrm>
                          <a:prstGeom prst="rect">
                            <a:avLst/>
                          </a:prstGeom>
                          <a:solidFill>
                            <a:srgbClr val="FFFFFF"/>
                          </a:solidFill>
                          <a:ln w="11373">
                            <a:solidFill>
                              <a:srgbClr val="000000"/>
                            </a:solidFill>
                            <a:prstDash val="solid"/>
                          </a:ln>
                        </wps:spPr>
                        <wps:txbx>
                          <w:txbxContent>
                            <w:p>
                              <w:pPr>
                                <w:spacing w:before="92"/>
                                <w:ind w:left="136" w:right="0" w:firstLine="0"/>
                                <w:jc w:val="left"/>
                                <w:rPr>
                                  <w:color w:val="000000"/>
                                  <w:sz w:val="27"/>
                                </w:rPr>
                              </w:pPr>
                              <w:r>
                                <w:rPr>
                                  <w:color w:val="000000"/>
                                  <w:spacing w:val="-4"/>
                                  <w:sz w:val="27"/>
                                </w:rPr>
                                <w:t>H(50%)</w:t>
                              </w:r>
                            </w:p>
                          </w:txbxContent>
                        </wps:txbx>
                        <wps:bodyPr wrap="square" lIns="0" tIns="0" rIns="0" bIns="0" rtlCol="0">
                          <a:noAutofit/>
                        </wps:bodyPr>
                      </wps:wsp>
                      <wps:wsp>
                        <wps:cNvPr id="83" name="Textbox 83"/>
                        <wps:cNvSpPr txBox="1"/>
                        <wps:spPr>
                          <a:xfrm>
                            <a:off x="9251" y="328869"/>
                            <a:ext cx="474980" cy="306070"/>
                          </a:xfrm>
                          <a:prstGeom prst="rect">
                            <a:avLst/>
                          </a:prstGeom>
                          <a:solidFill>
                            <a:srgbClr val="FFFFFF"/>
                          </a:solidFill>
                          <a:ln w="11225">
                            <a:solidFill>
                              <a:srgbClr val="000000"/>
                            </a:solidFill>
                            <a:prstDash val="solid"/>
                          </a:ln>
                        </wps:spPr>
                        <wps:txbx>
                          <w:txbxContent>
                            <w:p>
                              <w:pPr>
                                <w:spacing w:before="89"/>
                                <w:ind w:left="136" w:right="0" w:firstLine="0"/>
                                <w:jc w:val="left"/>
                                <w:rPr>
                                  <w:color w:val="000000"/>
                                  <w:sz w:val="27"/>
                                </w:rPr>
                              </w:pPr>
                              <w:r>
                                <w:rPr>
                                  <w:color w:val="000000"/>
                                  <w:spacing w:val="-4"/>
                                  <w:sz w:val="27"/>
                                </w:rPr>
                                <w:t>S232</w:t>
                              </w:r>
                            </w:p>
                          </w:txbxContent>
                        </wps:txbx>
                        <wps:bodyPr wrap="square" lIns="0" tIns="0" rIns="0" bIns="0" rtlCol="0">
                          <a:noAutofit/>
                        </wps:bodyPr>
                      </wps:wsp>
                    </wpg:wgp>
                  </a:graphicData>
                </a:graphic>
              </wp:inline>
            </w:drawing>
          </mc:Choice>
          <mc:Fallback>
            <w:pict>
              <v:group style="width:448.65pt;height:325.2pt;mso-position-horizontal-relative:char;mso-position-vertical-relative:line" id="docshapegroup52" coordorigin="0,0" coordsize="8973,6504">
                <v:shape style="position:absolute;left:0;top:0;width:8973;height:6504" type="#_x0000_t75" id="docshape53" stroked="false">
                  <v:imagedata r:id="rId266" o:title=""/>
                </v:shape>
                <v:shape style="position:absolute;left:1682;top:1424;width:6011;height:3368" id="docshape54" coordorigin="1682,1425" coordsize="6011,3368" path="m3144,3083l3140,3077,1797,3077,1797,3016,1682,3090,1797,3164,1797,3102,3140,3102,3144,3097,3144,3083xm4064,1492l4060,1486,2013,1486,2013,1425,1898,1499,2013,1573,2013,1511,4060,1511,4064,1505,4064,1492xm4266,4711l4262,4706,2013,4706,2013,4644,1898,4718,2013,4792,2013,4730,4262,4730,4266,4725,4266,4711xm7534,1499l7408,1468,7421,1528,5936,2079,5931,2081,5928,2088,5929,2094,5931,2101,5936,2104,5941,2102,7427,1551,7440,1611,7517,1519,7534,1499xm7693,3996l7673,3984,7578,3922,7578,3984,6019,3984,6015,3990,6015,4003,6019,4009,7578,4009,7578,4070,7673,4009,7693,3996xm7693,2923l7673,2911,7578,2849,7578,2911,4970,2911,4965,2917,4965,2930,4970,2936,7578,2936,7578,2997,7673,2936,7693,2923xe" filled="true" fillcolor="#000000" stroked="false">
                  <v:path arrowok="t"/>
                  <v:fill type="solid"/>
                </v:shape>
                <v:shape style="position:absolute;left:1179;top:4496;width:719;height:519" type="#_x0000_t202" id="docshape55" filled="true" fillcolor="#ffffff" stroked="true" strokeweight=".875906pt" strokecolor="#000000">
                  <v:textbox inset="0,0,0,0">
                    <w:txbxContent>
                      <w:p>
                        <w:pPr>
                          <w:spacing w:before="91"/>
                          <w:ind w:left="136" w:right="0" w:firstLine="0"/>
                          <w:jc w:val="left"/>
                          <w:rPr>
                            <w:color w:val="000000"/>
                            <w:sz w:val="27"/>
                          </w:rPr>
                        </w:pPr>
                        <w:r>
                          <w:rPr>
                            <w:color w:val="000000"/>
                            <w:spacing w:val="-5"/>
                            <w:sz w:val="27"/>
                          </w:rPr>
                          <w:t>AZM</w:t>
                        </w:r>
                      </w:p>
                    </w:txbxContent>
                  </v:textbox>
                  <v:fill type="solid"/>
                  <v:stroke dashstyle="solid"/>
                  <w10:wrap type="none"/>
                </v:shape>
                <v:shape style="position:absolute;left:7692;top:3737;width:906;height:889" type="#_x0000_t202" id="docshape56" filled="true" fillcolor="#ffffff" stroked="true" strokeweight=".849395pt" strokecolor="#000000">
                  <v:textbox inset="0,0,0,0">
                    <w:txbxContent>
                      <w:p>
                        <w:pPr>
                          <w:spacing w:line="280" w:lineRule="auto" w:before="89"/>
                          <w:ind w:left="139" w:right="131" w:firstLine="0"/>
                          <w:jc w:val="left"/>
                          <w:rPr>
                            <w:color w:val="000000"/>
                            <w:sz w:val="27"/>
                          </w:rPr>
                        </w:pPr>
                        <w:r>
                          <w:rPr>
                            <w:color w:val="000000"/>
                            <w:spacing w:val="-4"/>
                            <w:w w:val="95"/>
                            <w:sz w:val="27"/>
                          </w:rPr>
                          <w:t>H/L </w:t>
                        </w:r>
                        <w:r>
                          <w:rPr>
                            <w:color w:val="000000"/>
                            <w:spacing w:val="-4"/>
                            <w:w w:val="80"/>
                            <w:sz w:val="27"/>
                          </w:rPr>
                          <w:t>(30:50)</w:t>
                        </w:r>
                      </w:p>
                    </w:txbxContent>
                  </v:textbox>
                  <v:fill type="solid"/>
                  <v:stroke dashstyle="solid"/>
                  <w10:wrap type="none"/>
                </v:shape>
                <v:shape style="position:absolute;left:690;top:2812;width:993;height:519" type="#_x0000_t202" id="docshape57" filled="true" fillcolor="#ffffff" stroked="true" strokeweight=".89598pt" strokecolor="#000000">
                  <v:textbox inset="0,0,0,0">
                    <w:txbxContent>
                      <w:p>
                        <w:pPr>
                          <w:spacing w:before="87"/>
                          <w:ind w:left="136" w:right="0" w:firstLine="0"/>
                          <w:jc w:val="left"/>
                          <w:rPr>
                            <w:color w:val="000000"/>
                            <w:sz w:val="27"/>
                          </w:rPr>
                        </w:pPr>
                        <w:r>
                          <w:rPr>
                            <w:color w:val="000000"/>
                            <w:spacing w:val="-6"/>
                            <w:sz w:val="27"/>
                          </w:rPr>
                          <w:t>H(100%</w:t>
                        </w:r>
                      </w:p>
                    </w:txbxContent>
                  </v:textbox>
                  <v:fill type="solid"/>
                  <v:stroke dashstyle="solid"/>
                  <w10:wrap type="none"/>
                </v:shape>
                <v:shape style="position:absolute;left:7692;top:2664;width:648;height:426" type="#_x0000_t202" id="docshape58" filled="true" fillcolor="#ffffff" stroked="true" strokeweight=".882424pt" strokecolor="#000000">
                  <v:textbox inset="0,0,0,0">
                    <w:txbxContent>
                      <w:p>
                        <w:pPr>
                          <w:spacing w:line="317" w:lineRule="exact" w:before="90"/>
                          <w:ind w:left="139" w:right="0" w:firstLine="0"/>
                          <w:jc w:val="left"/>
                          <w:rPr>
                            <w:color w:val="000000"/>
                            <w:sz w:val="27"/>
                          </w:rPr>
                        </w:pPr>
                        <w:r>
                          <w:rPr>
                            <w:color w:val="000000"/>
                            <w:spacing w:val="-5"/>
                            <w:sz w:val="27"/>
                          </w:rPr>
                          <w:t>Lev</w:t>
                        </w:r>
                      </w:p>
                    </w:txbxContent>
                  </v:textbox>
                  <v:fill type="solid"/>
                  <v:stroke dashstyle="solid"/>
                  <w10:wrap type="none"/>
                </v:shape>
                <v:shape style="position:absolute;left:7534;top:1295;width:921;height:500" type="#_x0000_t202" id="docshape59" filled="true" fillcolor="#ffffff" stroked="true" strokeweight=".89398pt" strokecolor="#000000">
                  <v:textbox inset="0,0,0,0">
                    <w:txbxContent>
                      <w:p>
                        <w:pPr>
                          <w:spacing w:before="91"/>
                          <w:ind w:left="138" w:right="0" w:firstLine="0"/>
                          <w:jc w:val="left"/>
                          <w:rPr>
                            <w:color w:val="000000"/>
                            <w:sz w:val="27"/>
                          </w:rPr>
                        </w:pPr>
                        <w:r>
                          <w:rPr>
                            <w:color w:val="000000"/>
                            <w:spacing w:val="-9"/>
                            <w:sz w:val="27"/>
                          </w:rPr>
                          <w:t>H(25%)</w:t>
                        </w:r>
                      </w:p>
                    </w:txbxContent>
                  </v:textbox>
                  <v:fill type="solid"/>
                  <v:stroke dashstyle="solid"/>
                  <w10:wrap type="none"/>
                </v:shape>
                <v:shape style="position:absolute;left:949;top:1202;width:949;height:500" type="#_x0000_t202" id="docshape60" filled="true" fillcolor="#ffffff" stroked="true" strokeweight=".895573pt" strokecolor="#000000">
                  <v:textbox inset="0,0,0,0">
                    <w:txbxContent>
                      <w:p>
                        <w:pPr>
                          <w:spacing w:before="92"/>
                          <w:ind w:left="136" w:right="0" w:firstLine="0"/>
                          <w:jc w:val="left"/>
                          <w:rPr>
                            <w:color w:val="000000"/>
                            <w:sz w:val="27"/>
                          </w:rPr>
                        </w:pPr>
                        <w:r>
                          <w:rPr>
                            <w:color w:val="000000"/>
                            <w:spacing w:val="-4"/>
                            <w:sz w:val="27"/>
                          </w:rPr>
                          <w:t>H(50%)</w:t>
                        </w:r>
                      </w:p>
                    </w:txbxContent>
                  </v:textbox>
                  <v:fill type="solid"/>
                  <v:stroke dashstyle="solid"/>
                  <w10:wrap type="none"/>
                </v:shape>
                <v:shape style="position:absolute;left:14;top:517;width:748;height:482" type="#_x0000_t202" id="docshape61" filled="true" fillcolor="#ffffff" stroked="true" strokeweight=".883893pt" strokecolor="#000000">
                  <v:textbox inset="0,0,0,0">
                    <w:txbxContent>
                      <w:p>
                        <w:pPr>
                          <w:spacing w:before="89"/>
                          <w:ind w:left="136" w:right="0" w:firstLine="0"/>
                          <w:jc w:val="left"/>
                          <w:rPr>
                            <w:color w:val="000000"/>
                            <w:sz w:val="27"/>
                          </w:rPr>
                        </w:pPr>
                        <w:r>
                          <w:rPr>
                            <w:color w:val="000000"/>
                            <w:spacing w:val="-4"/>
                            <w:sz w:val="27"/>
                          </w:rPr>
                          <w:t>S232</w:t>
                        </w:r>
                      </w:p>
                    </w:txbxContent>
                  </v:textbox>
                  <v:fill type="solid"/>
                  <v:stroke dashstyle="solid"/>
                  <w10:wrap type="none"/>
                </v:shape>
              </v:group>
            </w:pict>
          </mc:Fallback>
        </mc:AlternateContent>
      </w:r>
      <w:r>
        <w:rPr>
          <w:sz w:val="20"/>
        </w:rPr>
      </w:r>
    </w:p>
    <w:p>
      <w:pPr>
        <w:spacing w:after="0"/>
        <w:rPr>
          <w:sz w:val="20"/>
        </w:rPr>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spacing w:before="136"/>
      </w:pPr>
    </w:p>
    <w:p>
      <w:pPr>
        <w:spacing w:before="0"/>
        <w:ind w:left="380" w:right="0" w:firstLine="0"/>
        <w:jc w:val="left"/>
        <w:rPr>
          <w:sz w:val="22"/>
        </w:rPr>
      </w:pPr>
      <w:r>
        <w:rPr>
          <w:sz w:val="22"/>
        </w:rPr>
        <w:t>Plate</w:t>
      </w:r>
      <w:r>
        <w:rPr>
          <w:spacing w:val="-7"/>
          <w:sz w:val="22"/>
        </w:rPr>
        <w:t> </w:t>
      </w:r>
      <w:r>
        <w:rPr>
          <w:sz w:val="22"/>
        </w:rPr>
        <w:t>IV</w:t>
      </w:r>
      <w:r>
        <w:rPr>
          <w:sz w:val="22"/>
          <w:vertAlign w:val="subscript"/>
        </w:rPr>
        <w:t>b</w:t>
      </w:r>
      <w:r>
        <w:rPr>
          <w:sz w:val="22"/>
          <w:vertAlign w:val="baseline"/>
        </w:rPr>
        <w:t>:</w:t>
      </w:r>
      <w:r>
        <w:rPr>
          <w:spacing w:val="-5"/>
          <w:sz w:val="22"/>
          <w:vertAlign w:val="baseline"/>
        </w:rPr>
        <w:t> </w:t>
      </w:r>
      <w:r>
        <w:rPr>
          <w:sz w:val="22"/>
          <w:vertAlign w:val="baseline"/>
        </w:rPr>
        <w:t>Susceptibility</w:t>
      </w:r>
      <w:r>
        <w:rPr>
          <w:spacing w:val="-5"/>
          <w:sz w:val="22"/>
          <w:vertAlign w:val="baseline"/>
        </w:rPr>
        <w:t> </w:t>
      </w:r>
      <w:r>
        <w:rPr>
          <w:sz w:val="22"/>
          <w:vertAlign w:val="baseline"/>
        </w:rPr>
        <w:t>Test</w:t>
      </w:r>
      <w:r>
        <w:rPr>
          <w:spacing w:val="-5"/>
          <w:sz w:val="22"/>
          <w:vertAlign w:val="baseline"/>
        </w:rPr>
        <w:t> </w:t>
      </w:r>
      <w:r>
        <w:rPr>
          <w:sz w:val="22"/>
          <w:vertAlign w:val="baseline"/>
        </w:rPr>
        <w:t>plate</w:t>
      </w:r>
      <w:r>
        <w:rPr>
          <w:spacing w:val="-6"/>
          <w:sz w:val="22"/>
          <w:vertAlign w:val="baseline"/>
        </w:rPr>
        <w:t> </w:t>
      </w:r>
      <w:r>
        <w:rPr>
          <w:sz w:val="22"/>
          <w:vertAlign w:val="baseline"/>
        </w:rPr>
        <w:t>of</w:t>
      </w:r>
      <w:r>
        <w:rPr>
          <w:spacing w:val="-6"/>
          <w:sz w:val="22"/>
          <w:vertAlign w:val="baseline"/>
        </w:rPr>
        <w:t> </w:t>
      </w:r>
      <w:r>
        <w:rPr>
          <w:i/>
          <w:sz w:val="22"/>
          <w:vertAlign w:val="baseline"/>
        </w:rPr>
        <w:t>Streptococcus</w:t>
      </w:r>
      <w:r>
        <w:rPr>
          <w:i/>
          <w:spacing w:val="-4"/>
          <w:sz w:val="22"/>
          <w:vertAlign w:val="baseline"/>
        </w:rPr>
        <w:t> </w:t>
      </w:r>
      <w:r>
        <w:rPr>
          <w:i/>
          <w:spacing w:val="-2"/>
          <w:sz w:val="22"/>
          <w:vertAlign w:val="baseline"/>
        </w:rPr>
        <w:t>pneumonia</w:t>
      </w:r>
      <w:r>
        <w:rPr>
          <w:spacing w:val="-2"/>
          <w:sz w:val="22"/>
          <w:vertAlign w:val="baseline"/>
        </w:rPr>
        <w:t>e_2.</w:t>
      </w:r>
    </w:p>
    <w:p>
      <w:pPr>
        <w:pStyle w:val="BodyText"/>
      </w:pPr>
    </w:p>
    <w:p>
      <w:pPr>
        <w:pStyle w:val="BodyText"/>
        <w:spacing w:before="94"/>
      </w:pPr>
    </w:p>
    <w:p>
      <w:pPr>
        <w:pStyle w:val="BodyText"/>
        <w:ind w:left="380"/>
      </w:pPr>
      <w:r>
        <w:rPr/>
        <w:t>Key:</w:t>
      </w:r>
      <w:r>
        <w:rPr>
          <w:spacing w:val="-10"/>
        </w:rPr>
        <w:t> </w:t>
      </w:r>
      <w:r>
        <w:rPr/>
        <w:t>H=Honey,</w:t>
      </w:r>
      <w:r>
        <w:rPr>
          <w:spacing w:val="-7"/>
        </w:rPr>
        <w:t> </w:t>
      </w:r>
      <w:r>
        <w:rPr/>
        <w:t>Lev=Levofloxacin,</w:t>
      </w:r>
      <w:r>
        <w:rPr>
          <w:spacing w:val="-7"/>
        </w:rPr>
        <w:t> </w:t>
      </w:r>
      <w:r>
        <w:rPr/>
        <w:t>AZM=Azithromycin,</w:t>
      </w:r>
      <w:r>
        <w:rPr>
          <w:spacing w:val="-9"/>
        </w:rPr>
        <w:t> </w:t>
      </w:r>
      <w:r>
        <w:rPr/>
        <w:t>H/L=Honey</w:t>
      </w:r>
      <w:r>
        <w:rPr>
          <w:spacing w:val="-7"/>
        </w:rPr>
        <w:t> </w:t>
      </w:r>
      <w:r>
        <w:rPr/>
        <w:t>and</w:t>
      </w:r>
      <w:r>
        <w:rPr>
          <w:spacing w:val="-9"/>
        </w:rPr>
        <w:t> </w:t>
      </w:r>
      <w:r>
        <w:rPr/>
        <w:t>Lemon</w:t>
      </w:r>
      <w:r>
        <w:rPr>
          <w:spacing w:val="-3"/>
        </w:rPr>
        <w:t> </w:t>
      </w:r>
      <w:r>
        <w:rPr>
          <w:spacing w:val="-2"/>
        </w:rPr>
        <w:t>juice.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3"/>
      </w:pPr>
    </w:p>
    <w:p>
      <w:pPr>
        <w:pStyle w:val="Heading3"/>
        <w:numPr>
          <w:ilvl w:val="1"/>
          <w:numId w:val="4"/>
        </w:numPr>
        <w:tabs>
          <w:tab w:pos="1100" w:val="left" w:leader="none"/>
          <w:tab w:pos="7609" w:val="left" w:leader="none"/>
        </w:tabs>
        <w:spacing w:line="256" w:lineRule="auto" w:before="0" w:after="0"/>
        <w:ind w:left="1100" w:right="1383" w:hanging="720"/>
        <w:jc w:val="left"/>
      </w:pPr>
      <w:r>
        <w:rPr/>
        <w:t>Minimum Inhibitory Concentration (MIC) and Minimum Bactericidal</w:t>
        <w:tab/>
      </w:r>
      <w:r>
        <w:rPr>
          <w:spacing w:val="-2"/>
        </w:rPr>
        <w:t>Concentrations (MBC)</w:t>
      </w:r>
    </w:p>
    <w:p>
      <w:pPr>
        <w:pStyle w:val="BodyText"/>
        <w:rPr>
          <w:b/>
        </w:rPr>
      </w:pPr>
    </w:p>
    <w:p>
      <w:pPr>
        <w:pStyle w:val="BodyText"/>
        <w:spacing w:before="76"/>
        <w:rPr>
          <w:b/>
        </w:rPr>
      </w:pPr>
    </w:p>
    <w:p>
      <w:pPr>
        <w:pStyle w:val="ListParagraph"/>
        <w:numPr>
          <w:ilvl w:val="2"/>
          <w:numId w:val="4"/>
        </w:numPr>
        <w:tabs>
          <w:tab w:pos="1100" w:val="left" w:leader="none"/>
        </w:tabs>
        <w:spacing w:line="480" w:lineRule="auto" w:before="0" w:after="0"/>
        <w:ind w:left="1100" w:right="1845" w:hanging="720"/>
        <w:jc w:val="left"/>
        <w:rPr>
          <w:b/>
          <w:sz w:val="22"/>
        </w:rPr>
      </w:pPr>
      <w:r>
        <w:rPr>
          <w:b/>
          <w:sz w:val="22"/>
        </w:rPr>
        <w:t>The</w:t>
      </w:r>
      <w:r>
        <w:rPr>
          <w:b/>
          <w:spacing w:val="-3"/>
          <w:sz w:val="22"/>
        </w:rPr>
        <w:t> </w:t>
      </w:r>
      <w:r>
        <w:rPr>
          <w:b/>
          <w:sz w:val="22"/>
        </w:rPr>
        <w:t>Percentage</w:t>
      </w:r>
      <w:r>
        <w:rPr>
          <w:b/>
          <w:spacing w:val="-3"/>
          <w:sz w:val="22"/>
        </w:rPr>
        <w:t> </w:t>
      </w:r>
      <w:r>
        <w:rPr>
          <w:b/>
          <w:sz w:val="22"/>
        </w:rPr>
        <w:t>Resistance</w:t>
      </w:r>
      <w:r>
        <w:rPr>
          <w:b/>
          <w:spacing w:val="-6"/>
          <w:sz w:val="22"/>
        </w:rPr>
        <w:t> </w:t>
      </w:r>
      <w:r>
        <w:rPr>
          <w:b/>
          <w:sz w:val="22"/>
        </w:rPr>
        <w:t>Profile</w:t>
      </w:r>
      <w:r>
        <w:rPr>
          <w:b/>
          <w:spacing w:val="-3"/>
          <w:sz w:val="22"/>
        </w:rPr>
        <w:t> </w:t>
      </w:r>
      <w:r>
        <w:rPr>
          <w:b/>
          <w:sz w:val="22"/>
        </w:rPr>
        <w:t>For</w:t>
      </w:r>
      <w:r>
        <w:rPr>
          <w:b/>
          <w:spacing w:val="-2"/>
          <w:sz w:val="22"/>
        </w:rPr>
        <w:t> </w:t>
      </w:r>
      <w:r>
        <w:rPr>
          <w:b/>
          <w:sz w:val="22"/>
        </w:rPr>
        <w:t>the</w:t>
      </w:r>
      <w:r>
        <w:rPr>
          <w:b/>
          <w:spacing w:val="-3"/>
          <w:sz w:val="22"/>
        </w:rPr>
        <w:t> </w:t>
      </w:r>
      <w:r>
        <w:rPr>
          <w:b/>
          <w:sz w:val="22"/>
        </w:rPr>
        <w:t>MIC</w:t>
      </w:r>
      <w:r>
        <w:rPr>
          <w:b/>
          <w:spacing w:val="-4"/>
          <w:sz w:val="22"/>
        </w:rPr>
        <w:t> </w:t>
      </w:r>
      <w:r>
        <w:rPr>
          <w:b/>
          <w:sz w:val="22"/>
        </w:rPr>
        <w:t>Tests</w:t>
      </w:r>
      <w:r>
        <w:rPr>
          <w:b/>
          <w:spacing w:val="-4"/>
          <w:sz w:val="22"/>
        </w:rPr>
        <w:t> </w:t>
      </w:r>
      <w:r>
        <w:rPr>
          <w:b/>
          <w:sz w:val="22"/>
        </w:rPr>
        <w:t>using</w:t>
      </w:r>
      <w:r>
        <w:rPr>
          <w:b/>
          <w:spacing w:val="-4"/>
          <w:sz w:val="22"/>
        </w:rPr>
        <w:t> </w:t>
      </w:r>
      <w:r>
        <w:rPr>
          <w:b/>
          <w:sz w:val="22"/>
        </w:rPr>
        <w:t>the</w:t>
      </w:r>
      <w:r>
        <w:rPr>
          <w:b/>
          <w:spacing w:val="-3"/>
          <w:sz w:val="22"/>
        </w:rPr>
        <w:t> </w:t>
      </w:r>
      <w:r>
        <w:rPr>
          <w:b/>
          <w:sz w:val="22"/>
        </w:rPr>
        <w:t>Standard</w:t>
      </w:r>
      <w:r>
        <w:rPr>
          <w:b/>
          <w:spacing w:val="-3"/>
          <w:sz w:val="22"/>
        </w:rPr>
        <w:t> </w:t>
      </w:r>
      <w:r>
        <w:rPr>
          <w:b/>
          <w:sz w:val="22"/>
        </w:rPr>
        <w:t>Antibiotic </w:t>
      </w:r>
      <w:r>
        <w:rPr>
          <w:b/>
          <w:spacing w:val="-2"/>
          <w:sz w:val="22"/>
        </w:rPr>
        <w:t>Formulations</w:t>
      </w:r>
    </w:p>
    <w:p>
      <w:pPr>
        <w:spacing w:after="0" w:line="480" w:lineRule="auto"/>
        <w:jc w:val="left"/>
        <w:rPr>
          <w:sz w:val="22"/>
        </w:rPr>
        <w:sectPr>
          <w:pgSz w:w="11910" w:h="16840"/>
          <w:pgMar w:header="0" w:footer="1055" w:top="1920" w:bottom="1240" w:left="1060" w:right="460"/>
        </w:sectPr>
      </w:pPr>
    </w:p>
    <w:p>
      <w:pPr>
        <w:pStyle w:val="BodyText"/>
        <w:spacing w:line="480" w:lineRule="auto" w:before="38"/>
        <w:ind w:left="1100" w:right="975" w:firstLine="720"/>
      </w:pPr>
      <w:r>
        <w:rPr/>
        <w:t>The</w:t>
      </w:r>
      <w:r>
        <w:rPr>
          <w:spacing w:val="-3"/>
        </w:rPr>
        <w:t> </w:t>
      </w:r>
      <w:r>
        <w:rPr/>
        <w:t>percentage</w:t>
      </w:r>
      <w:r>
        <w:rPr>
          <w:spacing w:val="-3"/>
        </w:rPr>
        <w:t> </w:t>
      </w:r>
      <w:r>
        <w:rPr/>
        <w:t>resistance</w:t>
      </w:r>
      <w:r>
        <w:rPr>
          <w:spacing w:val="-5"/>
        </w:rPr>
        <w:t> </w:t>
      </w:r>
      <w:r>
        <w:rPr/>
        <w:t>profile</w:t>
      </w:r>
      <w:r>
        <w:rPr>
          <w:spacing w:val="-3"/>
        </w:rPr>
        <w:t> </w:t>
      </w:r>
      <w:r>
        <w:rPr/>
        <w:t>to</w:t>
      </w:r>
      <w:r>
        <w:rPr>
          <w:spacing w:val="-4"/>
        </w:rPr>
        <w:t> </w:t>
      </w:r>
      <w:r>
        <w:rPr/>
        <w:t>the</w:t>
      </w:r>
      <w:r>
        <w:rPr>
          <w:spacing w:val="-3"/>
        </w:rPr>
        <w:t> </w:t>
      </w:r>
      <w:r>
        <w:rPr/>
        <w:t>standard</w:t>
      </w:r>
      <w:r>
        <w:rPr>
          <w:spacing w:val="-5"/>
        </w:rPr>
        <w:t> </w:t>
      </w:r>
      <w:r>
        <w:rPr/>
        <w:t>antibiotics</w:t>
      </w:r>
      <w:r>
        <w:rPr>
          <w:spacing w:val="-3"/>
        </w:rPr>
        <w:t> </w:t>
      </w:r>
      <w:r>
        <w:rPr/>
        <w:t>for</w:t>
      </w:r>
      <w:r>
        <w:rPr>
          <w:spacing w:val="-3"/>
        </w:rPr>
        <w:t> </w:t>
      </w:r>
      <w:r>
        <w:rPr/>
        <w:t>all</w:t>
      </w:r>
      <w:r>
        <w:rPr>
          <w:spacing w:val="-6"/>
        </w:rPr>
        <w:t> </w:t>
      </w:r>
      <w:r>
        <w:rPr/>
        <w:t>the</w:t>
      </w:r>
      <w:r>
        <w:rPr>
          <w:spacing w:val="-3"/>
        </w:rPr>
        <w:t> </w:t>
      </w:r>
      <w:r>
        <w:rPr/>
        <w:t>bacterial isolates are as shown in Figure 4.7. See appendix II for details.</w:t>
      </w:r>
    </w:p>
    <w:p>
      <w:pPr>
        <w:pStyle w:val="BodyText"/>
      </w:pPr>
    </w:p>
    <w:p>
      <w:pPr>
        <w:pStyle w:val="BodyText"/>
      </w:pPr>
    </w:p>
    <w:p>
      <w:pPr>
        <w:pStyle w:val="BodyText"/>
        <w:spacing w:before="53"/>
      </w:pPr>
    </w:p>
    <w:p>
      <w:pPr>
        <w:pStyle w:val="ListParagraph"/>
        <w:numPr>
          <w:ilvl w:val="2"/>
          <w:numId w:val="4"/>
        </w:numPr>
        <w:tabs>
          <w:tab w:pos="1096" w:val="left" w:leader="none"/>
          <w:tab w:pos="1100" w:val="left" w:leader="none"/>
        </w:tabs>
        <w:spacing w:line="480" w:lineRule="auto" w:before="0" w:after="0"/>
        <w:ind w:left="1100" w:right="1677" w:hanging="720"/>
        <w:jc w:val="both"/>
        <w:rPr>
          <w:b/>
          <w:sz w:val="22"/>
        </w:rPr>
      </w:pPr>
      <w:r>
        <w:rPr>
          <w:b/>
          <w:sz w:val="22"/>
        </w:rPr>
        <w:t>Comparing</w:t>
      </w:r>
      <w:r>
        <w:rPr>
          <w:b/>
          <w:spacing w:val="-5"/>
          <w:sz w:val="22"/>
        </w:rPr>
        <w:t> </w:t>
      </w:r>
      <w:r>
        <w:rPr>
          <w:b/>
          <w:sz w:val="22"/>
        </w:rPr>
        <w:t>the</w:t>
      </w:r>
      <w:r>
        <w:rPr>
          <w:b/>
          <w:spacing w:val="-4"/>
          <w:sz w:val="22"/>
        </w:rPr>
        <w:t> </w:t>
      </w:r>
      <w:r>
        <w:rPr>
          <w:b/>
          <w:sz w:val="22"/>
        </w:rPr>
        <w:t>Minimum</w:t>
      </w:r>
      <w:r>
        <w:rPr>
          <w:b/>
          <w:spacing w:val="-5"/>
          <w:sz w:val="22"/>
        </w:rPr>
        <w:t> </w:t>
      </w:r>
      <w:r>
        <w:rPr>
          <w:b/>
          <w:sz w:val="22"/>
        </w:rPr>
        <w:t>Inhibitory</w:t>
      </w:r>
      <w:r>
        <w:rPr>
          <w:b/>
          <w:spacing w:val="-5"/>
          <w:sz w:val="22"/>
        </w:rPr>
        <w:t> </w:t>
      </w:r>
      <w:r>
        <w:rPr>
          <w:b/>
          <w:sz w:val="22"/>
        </w:rPr>
        <w:t>Concentration</w:t>
      </w:r>
      <w:r>
        <w:rPr>
          <w:b/>
          <w:spacing w:val="-4"/>
          <w:sz w:val="22"/>
        </w:rPr>
        <w:t> </w:t>
      </w:r>
      <w:r>
        <w:rPr>
          <w:b/>
          <w:sz w:val="22"/>
        </w:rPr>
        <w:t>(MIC)</w:t>
      </w:r>
      <w:r>
        <w:rPr>
          <w:b/>
          <w:spacing w:val="-5"/>
          <w:sz w:val="22"/>
        </w:rPr>
        <w:t> </w:t>
      </w:r>
      <w:r>
        <w:rPr>
          <w:b/>
          <w:sz w:val="22"/>
        </w:rPr>
        <w:t>and</w:t>
      </w:r>
      <w:r>
        <w:rPr>
          <w:b/>
          <w:spacing w:val="-4"/>
          <w:sz w:val="22"/>
        </w:rPr>
        <w:t> </w:t>
      </w:r>
      <w:r>
        <w:rPr>
          <w:b/>
          <w:sz w:val="22"/>
        </w:rPr>
        <w:t>Minimum</w:t>
      </w:r>
      <w:r>
        <w:rPr>
          <w:b/>
          <w:spacing w:val="-3"/>
          <w:sz w:val="22"/>
        </w:rPr>
        <w:t> </w:t>
      </w:r>
      <w:r>
        <w:rPr>
          <w:b/>
          <w:sz w:val="22"/>
        </w:rPr>
        <w:t>Bactericidal Concentration</w:t>
      </w:r>
      <w:r>
        <w:rPr>
          <w:b/>
          <w:spacing w:val="-1"/>
          <w:sz w:val="22"/>
        </w:rPr>
        <w:t> </w:t>
      </w:r>
      <w:r>
        <w:rPr>
          <w:b/>
          <w:sz w:val="22"/>
        </w:rPr>
        <w:t>(MBC) Results between Honey, Lemon juice and Honey/Lemon juice </w:t>
      </w:r>
      <w:r>
        <w:rPr>
          <w:b/>
          <w:spacing w:val="-2"/>
          <w:sz w:val="22"/>
        </w:rPr>
        <w:t>mixture</w:t>
      </w:r>
    </w:p>
    <w:p>
      <w:pPr>
        <w:spacing w:line="480" w:lineRule="auto" w:before="155"/>
        <w:ind w:left="1100" w:right="975" w:firstLine="720"/>
        <w:jc w:val="left"/>
        <w:rPr>
          <w:rFonts w:ascii="Times New Roman"/>
          <w:sz w:val="24"/>
        </w:rPr>
      </w:pPr>
      <w:r>
        <w:rPr>
          <w:rFonts w:ascii="Times New Roman"/>
          <w:sz w:val="24"/>
        </w:rPr>
        <w:t>Generally,</w:t>
      </w:r>
      <w:r>
        <w:rPr>
          <w:rFonts w:ascii="Times New Roman"/>
          <w:spacing w:val="-2"/>
          <w:sz w:val="24"/>
        </w:rPr>
        <w:t> </w:t>
      </w:r>
      <w:r>
        <w:rPr>
          <w:rFonts w:ascii="Times New Roman"/>
          <w:sz w:val="24"/>
        </w:rPr>
        <w:t>there</w:t>
      </w:r>
      <w:r>
        <w:rPr>
          <w:rFonts w:ascii="Times New Roman"/>
          <w:spacing w:val="-4"/>
          <w:sz w:val="24"/>
        </w:rPr>
        <w:t> </w:t>
      </w:r>
      <w:r>
        <w:rPr>
          <w:rFonts w:ascii="Times New Roman"/>
          <w:sz w:val="24"/>
        </w:rPr>
        <w:t>is</w:t>
      </w:r>
      <w:r>
        <w:rPr>
          <w:rFonts w:ascii="Times New Roman"/>
          <w:spacing w:val="-2"/>
          <w:sz w:val="24"/>
        </w:rPr>
        <w:t> </w:t>
      </w:r>
      <w:r>
        <w:rPr>
          <w:rFonts w:ascii="Times New Roman"/>
          <w:sz w:val="24"/>
        </w:rPr>
        <w:t>a</w:t>
      </w:r>
      <w:r>
        <w:rPr>
          <w:rFonts w:ascii="Times New Roman"/>
          <w:spacing w:val="-2"/>
          <w:sz w:val="24"/>
        </w:rPr>
        <w:t> </w:t>
      </w:r>
      <w:r>
        <w:rPr>
          <w:rFonts w:ascii="Times New Roman"/>
          <w:sz w:val="24"/>
        </w:rPr>
        <w:t>reduction</w:t>
      </w:r>
      <w:r>
        <w:rPr>
          <w:rFonts w:ascii="Times New Roman"/>
          <w:spacing w:val="-2"/>
          <w:sz w:val="24"/>
        </w:rPr>
        <w:t> </w:t>
      </w:r>
      <w:r>
        <w:rPr>
          <w:rFonts w:ascii="Times New Roman"/>
          <w:sz w:val="24"/>
        </w:rPr>
        <w:t>in</w:t>
      </w:r>
      <w:r>
        <w:rPr>
          <w:rFonts w:ascii="Times New Roman"/>
          <w:spacing w:val="-2"/>
          <w:sz w:val="24"/>
        </w:rPr>
        <w:t> </w:t>
      </w:r>
      <w:r>
        <w:rPr>
          <w:rFonts w:ascii="Times New Roman"/>
          <w:sz w:val="24"/>
        </w:rPr>
        <w:t>MIC</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MBC</w:t>
      </w:r>
      <w:r>
        <w:rPr>
          <w:rFonts w:ascii="Times New Roman"/>
          <w:spacing w:val="-2"/>
          <w:sz w:val="24"/>
        </w:rPr>
        <w:t> </w:t>
      </w:r>
      <w:r>
        <w:rPr>
          <w:rFonts w:ascii="Times New Roman"/>
          <w:sz w:val="24"/>
        </w:rPr>
        <w:t>in</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mixture</w:t>
      </w:r>
      <w:r>
        <w:rPr>
          <w:rFonts w:ascii="Times New Roman"/>
          <w:spacing w:val="-4"/>
          <w:sz w:val="24"/>
        </w:rPr>
        <w:t> </w:t>
      </w:r>
      <w:r>
        <w:rPr>
          <w:rFonts w:ascii="Times New Roman"/>
          <w:sz w:val="24"/>
        </w:rPr>
        <w:t>of</w:t>
      </w:r>
      <w:r>
        <w:rPr>
          <w:rFonts w:ascii="Times New Roman"/>
          <w:spacing w:val="-2"/>
          <w:sz w:val="24"/>
        </w:rPr>
        <w:t> </w:t>
      </w:r>
      <w:r>
        <w:rPr>
          <w:rFonts w:ascii="Times New Roman"/>
          <w:sz w:val="24"/>
        </w:rPr>
        <w:t>Honey</w:t>
      </w:r>
      <w:r>
        <w:rPr>
          <w:rFonts w:ascii="Times New Roman"/>
          <w:spacing w:val="-5"/>
          <w:sz w:val="24"/>
        </w:rPr>
        <w:t> </w:t>
      </w:r>
      <w:r>
        <w:rPr>
          <w:rFonts w:ascii="Times New Roman"/>
          <w:sz w:val="24"/>
        </w:rPr>
        <w:t>and Lemon juice compared to the Honey alone (see appendix II).</w:t>
      </w:r>
    </w:p>
    <w:p>
      <w:pPr>
        <w:spacing w:line="482" w:lineRule="auto" w:before="0"/>
        <w:ind w:left="1100" w:right="975" w:firstLine="720"/>
        <w:jc w:val="left"/>
        <w:rPr>
          <w:rFonts w:ascii="Times New Roman"/>
          <w:sz w:val="24"/>
        </w:rPr>
      </w:pPr>
      <w:r>
        <w:rPr>
          <w:rFonts w:ascii="Times New Roman"/>
          <w:sz w:val="24"/>
        </w:rPr>
        <w:t>There</w:t>
      </w:r>
      <w:r>
        <w:rPr>
          <w:rFonts w:ascii="Times New Roman"/>
          <w:spacing w:val="-5"/>
          <w:sz w:val="24"/>
        </w:rPr>
        <w:t> </w:t>
      </w:r>
      <w:r>
        <w:rPr>
          <w:rFonts w:ascii="Times New Roman"/>
          <w:sz w:val="24"/>
        </w:rPr>
        <w:t>is</w:t>
      </w:r>
      <w:r>
        <w:rPr>
          <w:rFonts w:ascii="Times New Roman"/>
          <w:spacing w:val="-2"/>
          <w:sz w:val="24"/>
        </w:rPr>
        <w:t> </w:t>
      </w:r>
      <w:r>
        <w:rPr>
          <w:rFonts w:ascii="Times New Roman"/>
          <w:sz w:val="24"/>
        </w:rPr>
        <w:t>increase</w:t>
      </w:r>
      <w:r>
        <w:rPr>
          <w:rFonts w:ascii="Times New Roman"/>
          <w:spacing w:val="-4"/>
          <w:sz w:val="24"/>
        </w:rPr>
        <w:t> </w:t>
      </w:r>
      <w:r>
        <w:rPr>
          <w:rFonts w:ascii="Times New Roman"/>
          <w:sz w:val="24"/>
        </w:rPr>
        <w:t>in</w:t>
      </w:r>
      <w:r>
        <w:rPr>
          <w:rFonts w:ascii="Times New Roman"/>
          <w:spacing w:val="-3"/>
          <w:sz w:val="24"/>
        </w:rPr>
        <w:t> </w:t>
      </w:r>
      <w:r>
        <w:rPr>
          <w:rFonts w:ascii="Times New Roman"/>
          <w:sz w:val="24"/>
        </w:rPr>
        <w:t>MIC</w:t>
      </w:r>
      <w:r>
        <w:rPr>
          <w:rFonts w:ascii="Times New Roman"/>
          <w:spacing w:val="-1"/>
          <w:sz w:val="24"/>
        </w:rPr>
        <w:t> </w:t>
      </w:r>
      <w:r>
        <w:rPr>
          <w:rFonts w:ascii="Times New Roman"/>
          <w:sz w:val="24"/>
        </w:rPr>
        <w:t>and</w:t>
      </w:r>
      <w:r>
        <w:rPr>
          <w:rFonts w:ascii="Times New Roman"/>
          <w:spacing w:val="-3"/>
          <w:sz w:val="24"/>
        </w:rPr>
        <w:t> </w:t>
      </w:r>
      <w:r>
        <w:rPr>
          <w:rFonts w:ascii="Times New Roman"/>
          <w:sz w:val="24"/>
        </w:rPr>
        <w:t>MBC</w:t>
      </w:r>
      <w:r>
        <w:rPr>
          <w:rFonts w:ascii="Times New Roman"/>
          <w:spacing w:val="-3"/>
          <w:sz w:val="24"/>
        </w:rPr>
        <w:t> </w:t>
      </w:r>
      <w:r>
        <w:rPr>
          <w:rFonts w:ascii="Times New Roman"/>
          <w:sz w:val="24"/>
        </w:rPr>
        <w:t>in</w:t>
      </w:r>
      <w:r>
        <w:rPr>
          <w:rFonts w:ascii="Times New Roman"/>
          <w:spacing w:val="-3"/>
          <w:sz w:val="24"/>
        </w:rPr>
        <w:t> </w:t>
      </w:r>
      <w:r>
        <w:rPr>
          <w:rFonts w:ascii="Times New Roman"/>
          <w:sz w:val="24"/>
        </w:rPr>
        <w:t>the</w:t>
      </w:r>
      <w:r>
        <w:rPr>
          <w:rFonts w:ascii="Times New Roman"/>
          <w:spacing w:val="-4"/>
          <w:sz w:val="24"/>
        </w:rPr>
        <w:t> </w:t>
      </w:r>
      <w:r>
        <w:rPr>
          <w:rFonts w:ascii="Times New Roman"/>
          <w:sz w:val="24"/>
        </w:rPr>
        <w:t>mixture</w:t>
      </w:r>
      <w:r>
        <w:rPr>
          <w:rFonts w:ascii="Times New Roman"/>
          <w:spacing w:val="-5"/>
          <w:sz w:val="24"/>
        </w:rPr>
        <w:t> </w:t>
      </w:r>
      <w:r>
        <w:rPr>
          <w:rFonts w:ascii="Times New Roman"/>
          <w:sz w:val="24"/>
        </w:rPr>
        <w:t>of</w:t>
      </w:r>
      <w:r>
        <w:rPr>
          <w:rFonts w:ascii="Times New Roman"/>
          <w:spacing w:val="-3"/>
          <w:sz w:val="24"/>
        </w:rPr>
        <w:t> </w:t>
      </w:r>
      <w:r>
        <w:rPr>
          <w:rFonts w:ascii="Times New Roman"/>
          <w:sz w:val="24"/>
        </w:rPr>
        <w:t>Honey</w:t>
      </w:r>
      <w:r>
        <w:rPr>
          <w:rFonts w:ascii="Times New Roman"/>
          <w:spacing w:val="-8"/>
          <w:sz w:val="24"/>
        </w:rPr>
        <w:t> </w:t>
      </w:r>
      <w:r>
        <w:rPr>
          <w:rFonts w:ascii="Times New Roman"/>
          <w:sz w:val="24"/>
        </w:rPr>
        <w:t>and</w:t>
      </w:r>
      <w:r>
        <w:rPr>
          <w:rFonts w:ascii="Times New Roman"/>
          <w:spacing w:val="-1"/>
          <w:sz w:val="24"/>
        </w:rPr>
        <w:t> </w:t>
      </w:r>
      <w:r>
        <w:rPr>
          <w:rFonts w:ascii="Times New Roman"/>
          <w:sz w:val="24"/>
        </w:rPr>
        <w:t>Lemon juice compared to the Lemon juice alone (see appendix II).</w:t>
      </w:r>
    </w:p>
    <w:p>
      <w:pPr>
        <w:spacing w:after="0" w:line="482" w:lineRule="auto"/>
        <w:jc w:val="left"/>
        <w:rPr>
          <w:rFonts w:ascii="Times New Roman"/>
          <w:sz w:val="24"/>
        </w:rPr>
        <w:sectPr>
          <w:pgSz w:w="11910" w:h="16840"/>
          <w:pgMar w:header="0" w:footer="1055" w:top="1380" w:bottom="1240" w:left="1060" w:right="460"/>
        </w:sectPr>
      </w:pPr>
    </w:p>
    <w:p>
      <w:pPr>
        <w:pStyle w:val="BodyText"/>
        <w:ind w:left="1100"/>
        <w:rPr>
          <w:rFonts w:ascii="Times New Roman"/>
          <w:sz w:val="20"/>
        </w:rPr>
      </w:pPr>
      <w:r>
        <w:rPr>
          <w:rFonts w:ascii="Times New Roman"/>
          <w:sz w:val="20"/>
        </w:rPr>
        <mc:AlternateContent>
          <mc:Choice Requires="wps">
            <w:drawing>
              <wp:inline distT="0" distB="0" distL="0" distR="0">
                <wp:extent cx="5009515" cy="3819525"/>
                <wp:effectExtent l="0" t="0" r="0" b="0"/>
                <wp:docPr id="84" name="Group 84"/>
                <wp:cNvGraphicFramePr>
                  <a:graphicFrameLocks/>
                </wp:cNvGraphicFramePr>
                <a:graphic>
                  <a:graphicData uri="http://schemas.microsoft.com/office/word/2010/wordprocessingGroup">
                    <wpg:wgp>
                      <wpg:cNvPr id="84" name="Group 84"/>
                      <wpg:cNvGrpSpPr/>
                      <wpg:grpSpPr>
                        <a:xfrm>
                          <a:off x="0" y="0"/>
                          <a:ext cx="5009515" cy="3819525"/>
                          <a:chExt cx="5009515" cy="3819525"/>
                        </a:xfrm>
                      </wpg:grpSpPr>
                      <pic:pic>
                        <pic:nvPicPr>
                          <pic:cNvPr id="85" name="Image 85"/>
                          <pic:cNvPicPr/>
                        </pic:nvPicPr>
                        <pic:blipFill>
                          <a:blip r:embed="rId267" cstate="print"/>
                          <a:stretch>
                            <a:fillRect/>
                          </a:stretch>
                        </pic:blipFill>
                        <pic:spPr>
                          <a:xfrm>
                            <a:off x="1584910" y="68484"/>
                            <a:ext cx="1795403" cy="2008874"/>
                          </a:xfrm>
                          <a:prstGeom prst="rect">
                            <a:avLst/>
                          </a:prstGeom>
                        </pic:spPr>
                      </pic:pic>
                      <pic:pic>
                        <pic:nvPicPr>
                          <pic:cNvPr id="86" name="Image 86"/>
                          <pic:cNvPicPr/>
                        </pic:nvPicPr>
                        <pic:blipFill>
                          <a:blip r:embed="rId268" cstate="print"/>
                          <a:stretch>
                            <a:fillRect/>
                          </a:stretch>
                        </pic:blipFill>
                        <pic:spPr>
                          <a:xfrm>
                            <a:off x="1519427" y="809244"/>
                            <a:ext cx="2141220" cy="1365503"/>
                          </a:xfrm>
                          <a:prstGeom prst="rect">
                            <a:avLst/>
                          </a:prstGeom>
                        </pic:spPr>
                      </pic:pic>
                      <pic:pic>
                        <pic:nvPicPr>
                          <pic:cNvPr id="87" name="Image 87"/>
                          <pic:cNvPicPr/>
                        </pic:nvPicPr>
                        <pic:blipFill>
                          <a:blip r:embed="rId269" cstate="print"/>
                          <a:stretch>
                            <a:fillRect/>
                          </a:stretch>
                        </pic:blipFill>
                        <pic:spPr>
                          <a:xfrm>
                            <a:off x="998219" y="1217675"/>
                            <a:ext cx="2721863" cy="2601848"/>
                          </a:xfrm>
                          <a:prstGeom prst="rect">
                            <a:avLst/>
                          </a:prstGeom>
                        </pic:spPr>
                      </pic:pic>
                      <pic:pic>
                        <pic:nvPicPr>
                          <pic:cNvPr id="88" name="Image 88"/>
                          <pic:cNvPicPr/>
                        </pic:nvPicPr>
                        <pic:blipFill>
                          <a:blip r:embed="rId270" cstate="print"/>
                          <a:stretch>
                            <a:fillRect/>
                          </a:stretch>
                        </pic:blipFill>
                        <pic:spPr>
                          <a:xfrm>
                            <a:off x="475487" y="1638300"/>
                            <a:ext cx="1581912" cy="2112264"/>
                          </a:xfrm>
                          <a:prstGeom prst="rect">
                            <a:avLst/>
                          </a:prstGeom>
                        </pic:spPr>
                      </pic:pic>
                      <pic:pic>
                        <pic:nvPicPr>
                          <pic:cNvPr id="89" name="Image 89"/>
                          <pic:cNvPicPr/>
                        </pic:nvPicPr>
                        <pic:blipFill>
                          <a:blip r:embed="rId271" cstate="print"/>
                          <a:stretch>
                            <a:fillRect/>
                          </a:stretch>
                        </pic:blipFill>
                        <pic:spPr>
                          <a:xfrm>
                            <a:off x="0" y="0"/>
                            <a:ext cx="2063496" cy="3470148"/>
                          </a:xfrm>
                          <a:prstGeom prst="rect">
                            <a:avLst/>
                          </a:prstGeom>
                        </pic:spPr>
                      </pic:pic>
                      <wps:wsp>
                        <wps:cNvPr id="90" name="Graphic 90"/>
                        <wps:cNvSpPr/>
                        <wps:spPr>
                          <a:xfrm>
                            <a:off x="1791080" y="258318"/>
                            <a:ext cx="1424305" cy="1651635"/>
                          </a:xfrm>
                          <a:custGeom>
                            <a:avLst/>
                            <a:gdLst/>
                            <a:ahLst/>
                            <a:cxnLst/>
                            <a:rect l="l" t="t" r="r" b="b"/>
                            <a:pathLst>
                              <a:path w="1424305" h="1651635">
                                <a:moveTo>
                                  <a:pt x="0" y="0"/>
                                </a:moveTo>
                                <a:lnTo>
                                  <a:pt x="0" y="1651381"/>
                                </a:lnTo>
                                <a:lnTo>
                                  <a:pt x="1424178" y="815467"/>
                                </a:lnTo>
                                <a:lnTo>
                                  <a:pt x="1398163" y="772643"/>
                                </a:lnTo>
                                <a:lnTo>
                                  <a:pt x="1370975" y="730791"/>
                                </a:lnTo>
                                <a:lnTo>
                                  <a:pt x="1342642" y="689926"/>
                                </a:lnTo>
                                <a:lnTo>
                                  <a:pt x="1313192" y="650064"/>
                                </a:lnTo>
                                <a:lnTo>
                                  <a:pt x="1282652" y="611221"/>
                                </a:lnTo>
                                <a:lnTo>
                                  <a:pt x="1251052" y="573414"/>
                                </a:lnTo>
                                <a:lnTo>
                                  <a:pt x="1218419" y="536659"/>
                                </a:lnTo>
                                <a:lnTo>
                                  <a:pt x="1184782" y="500971"/>
                                </a:lnTo>
                                <a:lnTo>
                                  <a:pt x="1150169" y="466368"/>
                                </a:lnTo>
                                <a:lnTo>
                                  <a:pt x="1114608" y="432864"/>
                                </a:lnTo>
                                <a:lnTo>
                                  <a:pt x="1078127" y="400477"/>
                                </a:lnTo>
                                <a:lnTo>
                                  <a:pt x="1040754" y="369222"/>
                                </a:lnTo>
                                <a:lnTo>
                                  <a:pt x="1002519" y="339115"/>
                                </a:lnTo>
                                <a:lnTo>
                                  <a:pt x="963448" y="310173"/>
                                </a:lnTo>
                                <a:lnTo>
                                  <a:pt x="923570" y="282412"/>
                                </a:lnTo>
                                <a:lnTo>
                                  <a:pt x="882914" y="255848"/>
                                </a:lnTo>
                                <a:lnTo>
                                  <a:pt x="841507" y="230496"/>
                                </a:lnTo>
                                <a:lnTo>
                                  <a:pt x="799377" y="206374"/>
                                </a:lnTo>
                                <a:lnTo>
                                  <a:pt x="756554" y="183498"/>
                                </a:lnTo>
                                <a:lnTo>
                                  <a:pt x="713065" y="161882"/>
                                </a:lnTo>
                                <a:lnTo>
                                  <a:pt x="668938" y="141545"/>
                                </a:lnTo>
                                <a:lnTo>
                                  <a:pt x="624202" y="122501"/>
                                </a:lnTo>
                                <a:lnTo>
                                  <a:pt x="578884" y="104766"/>
                                </a:lnTo>
                                <a:lnTo>
                                  <a:pt x="533013" y="88358"/>
                                </a:lnTo>
                                <a:lnTo>
                                  <a:pt x="486618" y="73292"/>
                                </a:lnTo>
                                <a:lnTo>
                                  <a:pt x="439725" y="59584"/>
                                </a:lnTo>
                                <a:lnTo>
                                  <a:pt x="392365" y="47251"/>
                                </a:lnTo>
                                <a:lnTo>
                                  <a:pt x="344564" y="36308"/>
                                </a:lnTo>
                                <a:lnTo>
                                  <a:pt x="296351" y="26772"/>
                                </a:lnTo>
                                <a:lnTo>
                                  <a:pt x="247754" y="18659"/>
                                </a:lnTo>
                                <a:lnTo>
                                  <a:pt x="198801" y="11985"/>
                                </a:lnTo>
                                <a:lnTo>
                                  <a:pt x="149522" y="6765"/>
                                </a:lnTo>
                                <a:lnTo>
                                  <a:pt x="99943" y="3017"/>
                                </a:lnTo>
                                <a:lnTo>
                                  <a:pt x="50092" y="757"/>
                                </a:lnTo>
                                <a:lnTo>
                                  <a:pt x="0" y="0"/>
                                </a:lnTo>
                                <a:close/>
                              </a:path>
                            </a:pathLst>
                          </a:custGeom>
                          <a:solidFill>
                            <a:srgbClr val="5B9BD4"/>
                          </a:solidFill>
                        </wps:spPr>
                        <wps:bodyPr wrap="square" lIns="0" tIns="0" rIns="0" bIns="0" rtlCol="0">
                          <a:prstTxWarp prst="textNoShape">
                            <a:avLst/>
                          </a:prstTxWarp>
                          <a:noAutofit/>
                        </wps:bodyPr>
                      </wps:wsp>
                      <wps:wsp>
                        <wps:cNvPr id="91" name="Graphic 91"/>
                        <wps:cNvSpPr/>
                        <wps:spPr>
                          <a:xfrm>
                            <a:off x="1791080" y="1073785"/>
                            <a:ext cx="1598295" cy="836294"/>
                          </a:xfrm>
                          <a:custGeom>
                            <a:avLst/>
                            <a:gdLst/>
                            <a:ahLst/>
                            <a:cxnLst/>
                            <a:rect l="l" t="t" r="r" b="b"/>
                            <a:pathLst>
                              <a:path w="1598295" h="836294">
                                <a:moveTo>
                                  <a:pt x="1424178" y="0"/>
                                </a:moveTo>
                                <a:lnTo>
                                  <a:pt x="0" y="835914"/>
                                </a:lnTo>
                                <a:lnTo>
                                  <a:pt x="1598168" y="420116"/>
                                </a:lnTo>
                                <a:lnTo>
                                  <a:pt x="1584637" y="371198"/>
                                </a:lnTo>
                                <a:lnTo>
                                  <a:pt x="1569625" y="322764"/>
                                </a:lnTo>
                                <a:lnTo>
                                  <a:pt x="1553144" y="274846"/>
                                </a:lnTo>
                                <a:lnTo>
                                  <a:pt x="1535208" y="227478"/>
                                </a:lnTo>
                                <a:lnTo>
                                  <a:pt x="1515830" y="180690"/>
                                </a:lnTo>
                                <a:lnTo>
                                  <a:pt x="1495025" y="134516"/>
                                </a:lnTo>
                                <a:lnTo>
                                  <a:pt x="1472805" y="88988"/>
                                </a:lnTo>
                                <a:lnTo>
                                  <a:pt x="1449185" y="44138"/>
                                </a:lnTo>
                                <a:lnTo>
                                  <a:pt x="1424178" y="0"/>
                                </a:lnTo>
                                <a:close/>
                              </a:path>
                            </a:pathLst>
                          </a:custGeom>
                          <a:solidFill>
                            <a:srgbClr val="EC7C30"/>
                          </a:solidFill>
                        </wps:spPr>
                        <wps:bodyPr wrap="square" lIns="0" tIns="0" rIns="0" bIns="0" rtlCol="0">
                          <a:prstTxWarp prst="textNoShape">
                            <a:avLst/>
                          </a:prstTxWarp>
                          <a:noAutofit/>
                        </wps:bodyPr>
                      </wps:wsp>
                      <wps:wsp>
                        <wps:cNvPr id="92" name="Graphic 92"/>
                        <wps:cNvSpPr/>
                        <wps:spPr>
                          <a:xfrm>
                            <a:off x="1276477" y="1493900"/>
                            <a:ext cx="2166620" cy="2067560"/>
                          </a:xfrm>
                          <a:custGeom>
                            <a:avLst/>
                            <a:gdLst/>
                            <a:ahLst/>
                            <a:cxnLst/>
                            <a:rect l="l" t="t" r="r" b="b"/>
                            <a:pathLst>
                              <a:path w="2166620" h="2067560">
                                <a:moveTo>
                                  <a:pt x="2112772" y="0"/>
                                </a:moveTo>
                                <a:lnTo>
                                  <a:pt x="514604" y="415798"/>
                                </a:lnTo>
                                <a:lnTo>
                                  <a:pt x="0" y="1985009"/>
                                </a:lnTo>
                                <a:lnTo>
                                  <a:pt x="47701" y="1999855"/>
                                </a:lnTo>
                                <a:lnTo>
                                  <a:pt x="95735" y="2013227"/>
                                </a:lnTo>
                                <a:lnTo>
                                  <a:pt x="144066" y="2025126"/>
                                </a:lnTo>
                                <a:lnTo>
                                  <a:pt x="192662" y="2035550"/>
                                </a:lnTo>
                                <a:lnTo>
                                  <a:pt x="241489" y="2044498"/>
                                </a:lnTo>
                                <a:lnTo>
                                  <a:pt x="290513" y="2051969"/>
                                </a:lnTo>
                                <a:lnTo>
                                  <a:pt x="339701" y="2057961"/>
                                </a:lnTo>
                                <a:lnTo>
                                  <a:pt x="389020" y="2062473"/>
                                </a:lnTo>
                                <a:lnTo>
                                  <a:pt x="438435" y="2065504"/>
                                </a:lnTo>
                                <a:lnTo>
                                  <a:pt x="487914" y="2067053"/>
                                </a:lnTo>
                                <a:lnTo>
                                  <a:pt x="537422" y="2067119"/>
                                </a:lnTo>
                                <a:lnTo>
                                  <a:pt x="586926" y="2065700"/>
                                </a:lnTo>
                                <a:lnTo>
                                  <a:pt x="636393" y="2062795"/>
                                </a:lnTo>
                                <a:lnTo>
                                  <a:pt x="685789" y="2058403"/>
                                </a:lnTo>
                                <a:lnTo>
                                  <a:pt x="735080" y="2052522"/>
                                </a:lnTo>
                                <a:lnTo>
                                  <a:pt x="784233" y="2045152"/>
                                </a:lnTo>
                                <a:lnTo>
                                  <a:pt x="833215" y="2036291"/>
                                </a:lnTo>
                                <a:lnTo>
                                  <a:pt x="881991" y="2025939"/>
                                </a:lnTo>
                                <a:lnTo>
                                  <a:pt x="930528" y="2014092"/>
                                </a:lnTo>
                                <a:lnTo>
                                  <a:pt x="977473" y="2001146"/>
                                </a:lnTo>
                                <a:lnTo>
                                  <a:pt x="1023728" y="1986937"/>
                                </a:lnTo>
                                <a:lnTo>
                                  <a:pt x="1069279" y="1971490"/>
                                </a:lnTo>
                                <a:lnTo>
                                  <a:pt x="1114112" y="1954829"/>
                                </a:lnTo>
                                <a:lnTo>
                                  <a:pt x="1158214" y="1936976"/>
                                </a:lnTo>
                                <a:lnTo>
                                  <a:pt x="1201571" y="1917955"/>
                                </a:lnTo>
                                <a:lnTo>
                                  <a:pt x="1244168" y="1897791"/>
                                </a:lnTo>
                                <a:lnTo>
                                  <a:pt x="1285993" y="1876506"/>
                                </a:lnTo>
                                <a:lnTo>
                                  <a:pt x="1327030" y="1854124"/>
                                </a:lnTo>
                                <a:lnTo>
                                  <a:pt x="1367267" y="1830669"/>
                                </a:lnTo>
                                <a:lnTo>
                                  <a:pt x="1406689" y="1806165"/>
                                </a:lnTo>
                                <a:lnTo>
                                  <a:pt x="1445283" y="1780634"/>
                                </a:lnTo>
                                <a:lnTo>
                                  <a:pt x="1483034" y="1754102"/>
                                </a:lnTo>
                                <a:lnTo>
                                  <a:pt x="1519930" y="1726590"/>
                                </a:lnTo>
                                <a:lnTo>
                                  <a:pt x="1555955" y="1698124"/>
                                </a:lnTo>
                                <a:lnTo>
                                  <a:pt x="1591096" y="1668726"/>
                                </a:lnTo>
                                <a:lnTo>
                                  <a:pt x="1625339" y="1638420"/>
                                </a:lnTo>
                                <a:lnTo>
                                  <a:pt x="1658671" y="1607230"/>
                                </a:lnTo>
                                <a:lnTo>
                                  <a:pt x="1691077" y="1575179"/>
                                </a:lnTo>
                                <a:lnTo>
                                  <a:pt x="1722544" y="1542291"/>
                                </a:lnTo>
                                <a:lnTo>
                                  <a:pt x="1753058" y="1508590"/>
                                </a:lnTo>
                                <a:lnTo>
                                  <a:pt x="1782604" y="1474098"/>
                                </a:lnTo>
                                <a:lnTo>
                                  <a:pt x="1811170" y="1438841"/>
                                </a:lnTo>
                                <a:lnTo>
                                  <a:pt x="1838740" y="1402841"/>
                                </a:lnTo>
                                <a:lnTo>
                                  <a:pt x="1865302" y="1366122"/>
                                </a:lnTo>
                                <a:lnTo>
                                  <a:pt x="1890842" y="1328707"/>
                                </a:lnTo>
                                <a:lnTo>
                                  <a:pt x="1915345" y="1290621"/>
                                </a:lnTo>
                                <a:lnTo>
                                  <a:pt x="1938797" y="1251886"/>
                                </a:lnTo>
                                <a:lnTo>
                                  <a:pt x="1961186" y="1212527"/>
                                </a:lnTo>
                                <a:lnTo>
                                  <a:pt x="1982496" y="1172567"/>
                                </a:lnTo>
                                <a:lnTo>
                                  <a:pt x="2002715" y="1132029"/>
                                </a:lnTo>
                                <a:lnTo>
                                  <a:pt x="2021828" y="1090938"/>
                                </a:lnTo>
                                <a:lnTo>
                                  <a:pt x="2039821" y="1049317"/>
                                </a:lnTo>
                                <a:lnTo>
                                  <a:pt x="2056681" y="1007189"/>
                                </a:lnTo>
                                <a:lnTo>
                                  <a:pt x="2072394" y="964578"/>
                                </a:lnTo>
                                <a:lnTo>
                                  <a:pt x="2086945" y="921507"/>
                                </a:lnTo>
                                <a:lnTo>
                                  <a:pt x="2100321" y="878001"/>
                                </a:lnTo>
                                <a:lnTo>
                                  <a:pt x="2112509" y="834083"/>
                                </a:lnTo>
                                <a:lnTo>
                                  <a:pt x="2123493" y="789777"/>
                                </a:lnTo>
                                <a:lnTo>
                                  <a:pt x="2133261" y="745105"/>
                                </a:lnTo>
                                <a:lnTo>
                                  <a:pt x="2141798" y="700092"/>
                                </a:lnTo>
                                <a:lnTo>
                                  <a:pt x="2149092" y="654762"/>
                                </a:lnTo>
                                <a:lnTo>
                                  <a:pt x="2155126" y="609137"/>
                                </a:lnTo>
                                <a:lnTo>
                                  <a:pt x="2159889" y="563242"/>
                                </a:lnTo>
                                <a:lnTo>
                                  <a:pt x="2163366" y="517100"/>
                                </a:lnTo>
                                <a:lnTo>
                                  <a:pt x="2165543" y="470735"/>
                                </a:lnTo>
                                <a:lnTo>
                                  <a:pt x="2166406" y="424171"/>
                                </a:lnTo>
                                <a:lnTo>
                                  <a:pt x="2165942" y="377430"/>
                                </a:lnTo>
                                <a:lnTo>
                                  <a:pt x="2164136" y="330537"/>
                                </a:lnTo>
                                <a:lnTo>
                                  <a:pt x="2160975" y="283515"/>
                                </a:lnTo>
                                <a:lnTo>
                                  <a:pt x="2156445" y="236387"/>
                                </a:lnTo>
                                <a:lnTo>
                                  <a:pt x="2150531" y="189179"/>
                                </a:lnTo>
                                <a:lnTo>
                                  <a:pt x="2143221" y="141912"/>
                                </a:lnTo>
                                <a:lnTo>
                                  <a:pt x="2134501" y="94611"/>
                                </a:lnTo>
                                <a:lnTo>
                                  <a:pt x="2124355" y="47299"/>
                                </a:lnTo>
                                <a:lnTo>
                                  <a:pt x="2112772" y="0"/>
                                </a:lnTo>
                                <a:close/>
                              </a:path>
                            </a:pathLst>
                          </a:custGeom>
                          <a:solidFill>
                            <a:srgbClr val="A4A4A4"/>
                          </a:solidFill>
                        </wps:spPr>
                        <wps:bodyPr wrap="square" lIns="0" tIns="0" rIns="0" bIns="0" rtlCol="0">
                          <a:prstTxWarp prst="textNoShape">
                            <a:avLst/>
                          </a:prstTxWarp>
                          <a:noAutofit/>
                        </wps:bodyPr>
                      </wps:wsp>
                      <wps:wsp>
                        <wps:cNvPr id="93" name="Graphic 93"/>
                        <wps:cNvSpPr/>
                        <wps:spPr>
                          <a:xfrm>
                            <a:off x="742569" y="1909698"/>
                            <a:ext cx="1049020" cy="1569720"/>
                          </a:xfrm>
                          <a:custGeom>
                            <a:avLst/>
                            <a:gdLst/>
                            <a:ahLst/>
                            <a:cxnLst/>
                            <a:rect l="l" t="t" r="r" b="b"/>
                            <a:pathLst>
                              <a:path w="1049020" h="1569720">
                                <a:moveTo>
                                  <a:pt x="1048512" y="0"/>
                                </a:moveTo>
                                <a:lnTo>
                                  <a:pt x="0" y="1275968"/>
                                </a:lnTo>
                                <a:lnTo>
                                  <a:pt x="40031" y="1307840"/>
                                </a:lnTo>
                                <a:lnTo>
                                  <a:pt x="80982" y="1338418"/>
                                </a:lnTo>
                                <a:lnTo>
                                  <a:pt x="122820" y="1367686"/>
                                </a:lnTo>
                                <a:lnTo>
                                  <a:pt x="165513" y="1395626"/>
                                </a:lnTo>
                                <a:lnTo>
                                  <a:pt x="209028" y="1422220"/>
                                </a:lnTo>
                                <a:lnTo>
                                  <a:pt x="253333" y="1447450"/>
                                </a:lnTo>
                                <a:lnTo>
                                  <a:pt x="298394" y="1471299"/>
                                </a:lnTo>
                                <a:lnTo>
                                  <a:pt x="344179" y="1493750"/>
                                </a:lnTo>
                                <a:lnTo>
                                  <a:pt x="390655" y="1514784"/>
                                </a:lnTo>
                                <a:lnTo>
                                  <a:pt x="437791" y="1534384"/>
                                </a:lnTo>
                                <a:lnTo>
                                  <a:pt x="485552" y="1552532"/>
                                </a:lnTo>
                                <a:lnTo>
                                  <a:pt x="533907" y="1569211"/>
                                </a:lnTo>
                                <a:lnTo>
                                  <a:pt x="1048512" y="0"/>
                                </a:lnTo>
                                <a:close/>
                              </a:path>
                            </a:pathLst>
                          </a:custGeom>
                          <a:solidFill>
                            <a:srgbClr val="FFC000"/>
                          </a:solidFill>
                        </wps:spPr>
                        <wps:bodyPr wrap="square" lIns="0" tIns="0" rIns="0" bIns="0" rtlCol="0">
                          <a:prstTxWarp prst="textNoShape">
                            <a:avLst/>
                          </a:prstTxWarp>
                          <a:noAutofit/>
                        </wps:bodyPr>
                      </wps:wsp>
                      <wps:wsp>
                        <wps:cNvPr id="94" name="Graphic 94"/>
                        <wps:cNvSpPr/>
                        <wps:spPr>
                          <a:xfrm>
                            <a:off x="139781" y="258318"/>
                            <a:ext cx="1651635" cy="2927350"/>
                          </a:xfrm>
                          <a:custGeom>
                            <a:avLst/>
                            <a:gdLst/>
                            <a:ahLst/>
                            <a:cxnLst/>
                            <a:rect l="l" t="t" r="r" b="b"/>
                            <a:pathLst>
                              <a:path w="1651635" h="2927350">
                                <a:moveTo>
                                  <a:pt x="1651299" y="0"/>
                                </a:moveTo>
                                <a:lnTo>
                                  <a:pt x="1601987" y="735"/>
                                </a:lnTo>
                                <a:lnTo>
                                  <a:pt x="1552876" y="2931"/>
                                </a:lnTo>
                                <a:lnTo>
                                  <a:pt x="1503995" y="6576"/>
                                </a:lnTo>
                                <a:lnTo>
                                  <a:pt x="1455373" y="11655"/>
                                </a:lnTo>
                                <a:lnTo>
                                  <a:pt x="1407038" y="18155"/>
                                </a:lnTo>
                                <a:lnTo>
                                  <a:pt x="1359018" y="26062"/>
                                </a:lnTo>
                                <a:lnTo>
                                  <a:pt x="1311342" y="35363"/>
                                </a:lnTo>
                                <a:lnTo>
                                  <a:pt x="1264039" y="46045"/>
                                </a:lnTo>
                                <a:lnTo>
                                  <a:pt x="1217137" y="58094"/>
                                </a:lnTo>
                                <a:lnTo>
                                  <a:pt x="1170665" y="71496"/>
                                </a:lnTo>
                                <a:lnTo>
                                  <a:pt x="1124651" y="86238"/>
                                </a:lnTo>
                                <a:lnTo>
                                  <a:pt x="1079124" y="102307"/>
                                </a:lnTo>
                                <a:lnTo>
                                  <a:pt x="1034113" y="119688"/>
                                </a:lnTo>
                                <a:lnTo>
                                  <a:pt x="989645" y="138370"/>
                                </a:lnTo>
                                <a:lnTo>
                                  <a:pt x="945750" y="158337"/>
                                </a:lnTo>
                                <a:lnTo>
                                  <a:pt x="902456" y="179577"/>
                                </a:lnTo>
                                <a:lnTo>
                                  <a:pt x="859792" y="202075"/>
                                </a:lnTo>
                                <a:lnTo>
                                  <a:pt x="817786" y="225820"/>
                                </a:lnTo>
                                <a:lnTo>
                                  <a:pt x="776467" y="250796"/>
                                </a:lnTo>
                                <a:lnTo>
                                  <a:pt x="735864" y="276991"/>
                                </a:lnTo>
                                <a:lnTo>
                                  <a:pt x="696004" y="304391"/>
                                </a:lnTo>
                                <a:lnTo>
                                  <a:pt x="656917" y="332983"/>
                                </a:lnTo>
                                <a:lnTo>
                                  <a:pt x="618631" y="362753"/>
                                </a:lnTo>
                                <a:lnTo>
                                  <a:pt x="581174" y="393687"/>
                                </a:lnTo>
                                <a:lnTo>
                                  <a:pt x="544576" y="425773"/>
                                </a:lnTo>
                                <a:lnTo>
                                  <a:pt x="508864" y="458996"/>
                                </a:lnTo>
                                <a:lnTo>
                                  <a:pt x="474068" y="493343"/>
                                </a:lnTo>
                                <a:lnTo>
                                  <a:pt x="440216" y="528801"/>
                                </a:lnTo>
                                <a:lnTo>
                                  <a:pt x="407336" y="565357"/>
                                </a:lnTo>
                                <a:lnTo>
                                  <a:pt x="375457" y="602996"/>
                                </a:lnTo>
                                <a:lnTo>
                                  <a:pt x="345090" y="641059"/>
                                </a:lnTo>
                                <a:lnTo>
                                  <a:pt x="316023" y="679737"/>
                                </a:lnTo>
                                <a:lnTo>
                                  <a:pt x="288253" y="719005"/>
                                </a:lnTo>
                                <a:lnTo>
                                  <a:pt x="261778" y="758833"/>
                                </a:lnTo>
                                <a:lnTo>
                                  <a:pt x="236594" y="799196"/>
                                </a:lnTo>
                                <a:lnTo>
                                  <a:pt x="212699" y="840065"/>
                                </a:lnTo>
                                <a:lnTo>
                                  <a:pt x="190091" y="881413"/>
                                </a:lnTo>
                                <a:lnTo>
                                  <a:pt x="168767" y="923214"/>
                                </a:lnTo>
                                <a:lnTo>
                                  <a:pt x="148723" y="965440"/>
                                </a:lnTo>
                                <a:lnTo>
                                  <a:pt x="129958" y="1008063"/>
                                </a:lnTo>
                                <a:lnTo>
                                  <a:pt x="112469" y="1051057"/>
                                </a:lnTo>
                                <a:lnTo>
                                  <a:pt x="96254" y="1094394"/>
                                </a:lnTo>
                                <a:lnTo>
                                  <a:pt x="81308" y="1138047"/>
                                </a:lnTo>
                                <a:lnTo>
                                  <a:pt x="67631" y="1181989"/>
                                </a:lnTo>
                                <a:lnTo>
                                  <a:pt x="55218" y="1226192"/>
                                </a:lnTo>
                                <a:lnTo>
                                  <a:pt x="44068" y="1270629"/>
                                </a:lnTo>
                                <a:lnTo>
                                  <a:pt x="34178" y="1315273"/>
                                </a:lnTo>
                                <a:lnTo>
                                  <a:pt x="25545" y="1360097"/>
                                </a:lnTo>
                                <a:lnTo>
                                  <a:pt x="18167" y="1405074"/>
                                </a:lnTo>
                                <a:lnTo>
                                  <a:pt x="12040" y="1450175"/>
                                </a:lnTo>
                                <a:lnTo>
                                  <a:pt x="7163" y="1495375"/>
                                </a:lnTo>
                                <a:lnTo>
                                  <a:pt x="3532" y="1540645"/>
                                </a:lnTo>
                                <a:lnTo>
                                  <a:pt x="1145" y="1585959"/>
                                </a:lnTo>
                                <a:lnTo>
                                  <a:pt x="0" y="1631289"/>
                                </a:lnTo>
                                <a:lnTo>
                                  <a:pt x="92" y="1676608"/>
                                </a:lnTo>
                                <a:lnTo>
                                  <a:pt x="1421" y="1721889"/>
                                </a:lnTo>
                                <a:lnTo>
                                  <a:pt x="3983" y="1767104"/>
                                </a:lnTo>
                                <a:lnTo>
                                  <a:pt x="7776" y="1812226"/>
                                </a:lnTo>
                                <a:lnTo>
                                  <a:pt x="12796" y="1857228"/>
                                </a:lnTo>
                                <a:lnTo>
                                  <a:pt x="19042" y="1902083"/>
                                </a:lnTo>
                                <a:lnTo>
                                  <a:pt x="26511" y="1946764"/>
                                </a:lnTo>
                                <a:lnTo>
                                  <a:pt x="35199" y="1991242"/>
                                </a:lnTo>
                                <a:lnTo>
                                  <a:pt x="45104" y="2035492"/>
                                </a:lnTo>
                                <a:lnTo>
                                  <a:pt x="56225" y="2079486"/>
                                </a:lnTo>
                                <a:lnTo>
                                  <a:pt x="68557" y="2123195"/>
                                </a:lnTo>
                                <a:lnTo>
                                  <a:pt x="82098" y="2166595"/>
                                </a:lnTo>
                                <a:lnTo>
                                  <a:pt x="96847" y="2209656"/>
                                </a:lnTo>
                                <a:lnTo>
                                  <a:pt x="112799" y="2252351"/>
                                </a:lnTo>
                                <a:lnTo>
                                  <a:pt x="129952" y="2294655"/>
                                </a:lnTo>
                                <a:lnTo>
                                  <a:pt x="148304" y="2336538"/>
                                </a:lnTo>
                                <a:lnTo>
                                  <a:pt x="167853" y="2377975"/>
                                </a:lnTo>
                                <a:lnTo>
                                  <a:pt x="188594" y="2418937"/>
                                </a:lnTo>
                                <a:lnTo>
                                  <a:pt x="210526" y="2459397"/>
                                </a:lnTo>
                                <a:lnTo>
                                  <a:pt x="233646" y="2499329"/>
                                </a:lnTo>
                                <a:lnTo>
                                  <a:pt x="257952" y="2538705"/>
                                </a:lnTo>
                                <a:lnTo>
                                  <a:pt x="283440" y="2577498"/>
                                </a:lnTo>
                                <a:lnTo>
                                  <a:pt x="310109" y="2615680"/>
                                </a:lnTo>
                                <a:lnTo>
                                  <a:pt x="337954" y="2653224"/>
                                </a:lnTo>
                                <a:lnTo>
                                  <a:pt x="366975" y="2690104"/>
                                </a:lnTo>
                                <a:lnTo>
                                  <a:pt x="397167" y="2726291"/>
                                </a:lnTo>
                                <a:lnTo>
                                  <a:pt x="428529" y="2761758"/>
                                </a:lnTo>
                                <a:lnTo>
                                  <a:pt x="461058" y="2796479"/>
                                </a:lnTo>
                                <a:lnTo>
                                  <a:pt x="494751" y="2830426"/>
                                </a:lnTo>
                                <a:lnTo>
                                  <a:pt x="529605" y="2863571"/>
                                </a:lnTo>
                                <a:lnTo>
                                  <a:pt x="565618" y="2895888"/>
                                </a:lnTo>
                                <a:lnTo>
                                  <a:pt x="602787" y="2927350"/>
                                </a:lnTo>
                                <a:lnTo>
                                  <a:pt x="1651299" y="1651381"/>
                                </a:lnTo>
                                <a:lnTo>
                                  <a:pt x="1651299" y="0"/>
                                </a:lnTo>
                                <a:close/>
                              </a:path>
                            </a:pathLst>
                          </a:custGeom>
                          <a:solidFill>
                            <a:srgbClr val="4471C4"/>
                          </a:solidFill>
                        </wps:spPr>
                        <wps:bodyPr wrap="square" lIns="0" tIns="0" rIns="0" bIns="0" rtlCol="0">
                          <a:prstTxWarp prst="textNoShape">
                            <a:avLst/>
                          </a:prstTxWarp>
                          <a:noAutofit/>
                        </wps:bodyPr>
                      </wps:wsp>
                      <pic:pic>
                        <pic:nvPicPr>
                          <pic:cNvPr id="95" name="Image 95"/>
                          <pic:cNvPicPr/>
                        </pic:nvPicPr>
                        <pic:blipFill>
                          <a:blip r:embed="rId272" cstate="print"/>
                          <a:stretch>
                            <a:fillRect/>
                          </a:stretch>
                        </pic:blipFill>
                        <pic:spPr>
                          <a:xfrm>
                            <a:off x="2026920" y="1069847"/>
                            <a:ext cx="403860" cy="300227"/>
                          </a:xfrm>
                          <a:prstGeom prst="rect">
                            <a:avLst/>
                          </a:prstGeom>
                        </pic:spPr>
                      </pic:pic>
                      <pic:pic>
                        <pic:nvPicPr>
                          <pic:cNvPr id="96" name="Image 96"/>
                          <pic:cNvPicPr/>
                        </pic:nvPicPr>
                        <pic:blipFill>
                          <a:blip r:embed="rId273" cstate="print"/>
                          <a:stretch>
                            <a:fillRect/>
                          </a:stretch>
                        </pic:blipFill>
                        <pic:spPr>
                          <a:xfrm>
                            <a:off x="2052573" y="1096708"/>
                            <a:ext cx="297561" cy="193103"/>
                          </a:xfrm>
                          <a:prstGeom prst="rect">
                            <a:avLst/>
                          </a:prstGeom>
                        </pic:spPr>
                      </pic:pic>
                      <pic:pic>
                        <pic:nvPicPr>
                          <pic:cNvPr id="97" name="Image 97"/>
                          <pic:cNvPicPr/>
                        </pic:nvPicPr>
                        <pic:blipFill>
                          <a:blip r:embed="rId274" cstate="print"/>
                          <a:stretch>
                            <a:fillRect/>
                          </a:stretch>
                        </pic:blipFill>
                        <pic:spPr>
                          <a:xfrm>
                            <a:off x="2410967" y="1470660"/>
                            <a:ext cx="339851" cy="300227"/>
                          </a:xfrm>
                          <a:prstGeom prst="rect">
                            <a:avLst/>
                          </a:prstGeom>
                        </pic:spPr>
                      </pic:pic>
                      <pic:pic>
                        <pic:nvPicPr>
                          <pic:cNvPr id="98" name="Image 98"/>
                          <pic:cNvPicPr/>
                        </pic:nvPicPr>
                        <pic:blipFill>
                          <a:blip r:embed="rId275" cstate="print"/>
                          <a:stretch>
                            <a:fillRect/>
                          </a:stretch>
                        </pic:blipFill>
                        <pic:spPr>
                          <a:xfrm>
                            <a:off x="2437383" y="1497266"/>
                            <a:ext cx="233172" cy="193103"/>
                          </a:xfrm>
                          <a:prstGeom prst="rect">
                            <a:avLst/>
                          </a:prstGeom>
                        </pic:spPr>
                      </pic:pic>
                      <pic:pic>
                        <pic:nvPicPr>
                          <pic:cNvPr id="99" name="Image 99"/>
                          <pic:cNvPicPr/>
                        </pic:nvPicPr>
                        <pic:blipFill>
                          <a:blip r:embed="rId276" cstate="print"/>
                          <a:stretch>
                            <a:fillRect/>
                          </a:stretch>
                        </pic:blipFill>
                        <pic:spPr>
                          <a:xfrm>
                            <a:off x="2180844" y="2388107"/>
                            <a:ext cx="405384" cy="300227"/>
                          </a:xfrm>
                          <a:prstGeom prst="rect">
                            <a:avLst/>
                          </a:prstGeom>
                        </pic:spPr>
                      </pic:pic>
                      <pic:pic>
                        <pic:nvPicPr>
                          <pic:cNvPr id="100" name="Image 100"/>
                          <pic:cNvPicPr/>
                        </pic:nvPicPr>
                        <pic:blipFill>
                          <a:blip r:embed="rId277" cstate="print"/>
                          <a:stretch>
                            <a:fillRect/>
                          </a:stretch>
                        </pic:blipFill>
                        <pic:spPr>
                          <a:xfrm>
                            <a:off x="2207767" y="2414968"/>
                            <a:ext cx="297561" cy="193103"/>
                          </a:xfrm>
                          <a:prstGeom prst="rect">
                            <a:avLst/>
                          </a:prstGeom>
                        </pic:spPr>
                      </pic:pic>
                      <pic:pic>
                        <pic:nvPicPr>
                          <pic:cNvPr id="101" name="Image 101"/>
                          <pic:cNvPicPr/>
                        </pic:nvPicPr>
                        <pic:blipFill>
                          <a:blip r:embed="rId278" cstate="print"/>
                          <a:stretch>
                            <a:fillRect/>
                          </a:stretch>
                        </pic:blipFill>
                        <pic:spPr>
                          <a:xfrm>
                            <a:off x="1251203" y="2510027"/>
                            <a:ext cx="339851" cy="300227"/>
                          </a:xfrm>
                          <a:prstGeom prst="rect">
                            <a:avLst/>
                          </a:prstGeom>
                        </pic:spPr>
                      </pic:pic>
                      <pic:pic>
                        <pic:nvPicPr>
                          <pic:cNvPr id="102" name="Image 102"/>
                          <pic:cNvPicPr/>
                        </pic:nvPicPr>
                        <pic:blipFill>
                          <a:blip r:embed="rId279" cstate="print"/>
                          <a:stretch>
                            <a:fillRect/>
                          </a:stretch>
                        </pic:blipFill>
                        <pic:spPr>
                          <a:xfrm>
                            <a:off x="1276985" y="2536888"/>
                            <a:ext cx="233172" cy="193103"/>
                          </a:xfrm>
                          <a:prstGeom prst="rect">
                            <a:avLst/>
                          </a:prstGeom>
                        </pic:spPr>
                      </pic:pic>
                      <pic:pic>
                        <pic:nvPicPr>
                          <pic:cNvPr id="103" name="Image 103"/>
                          <pic:cNvPicPr/>
                        </pic:nvPicPr>
                        <pic:blipFill>
                          <a:blip r:embed="rId280" cstate="print"/>
                          <a:stretch>
                            <a:fillRect/>
                          </a:stretch>
                        </pic:blipFill>
                        <pic:spPr>
                          <a:xfrm>
                            <a:off x="838200" y="1508760"/>
                            <a:ext cx="405384" cy="298703"/>
                          </a:xfrm>
                          <a:prstGeom prst="rect">
                            <a:avLst/>
                          </a:prstGeom>
                        </pic:spPr>
                      </pic:pic>
                      <pic:pic>
                        <pic:nvPicPr>
                          <pic:cNvPr id="104" name="Image 104"/>
                          <pic:cNvPicPr/>
                        </pic:nvPicPr>
                        <pic:blipFill>
                          <a:blip r:embed="rId281" cstate="print"/>
                          <a:stretch>
                            <a:fillRect/>
                          </a:stretch>
                        </pic:blipFill>
                        <pic:spPr>
                          <a:xfrm>
                            <a:off x="864997" y="1534731"/>
                            <a:ext cx="297561" cy="193103"/>
                          </a:xfrm>
                          <a:prstGeom prst="rect">
                            <a:avLst/>
                          </a:prstGeom>
                        </pic:spPr>
                      </pic:pic>
                      <wps:wsp>
                        <wps:cNvPr id="105" name="Graphic 105"/>
                        <wps:cNvSpPr/>
                        <wps:spPr>
                          <a:xfrm>
                            <a:off x="3582923" y="1374647"/>
                            <a:ext cx="1426845" cy="1071880"/>
                          </a:xfrm>
                          <a:custGeom>
                            <a:avLst/>
                            <a:gdLst/>
                            <a:ahLst/>
                            <a:cxnLst/>
                            <a:rect l="l" t="t" r="r" b="b"/>
                            <a:pathLst>
                              <a:path w="1426845" h="1071880">
                                <a:moveTo>
                                  <a:pt x="1426464" y="0"/>
                                </a:moveTo>
                                <a:lnTo>
                                  <a:pt x="0" y="0"/>
                                </a:lnTo>
                                <a:lnTo>
                                  <a:pt x="0" y="1071372"/>
                                </a:lnTo>
                                <a:lnTo>
                                  <a:pt x="1426464" y="1071372"/>
                                </a:lnTo>
                                <a:lnTo>
                                  <a:pt x="1426464" y="0"/>
                                </a:lnTo>
                                <a:close/>
                              </a:path>
                            </a:pathLst>
                          </a:custGeom>
                          <a:solidFill>
                            <a:srgbClr val="F1F1F1">
                              <a:alpha val="38822"/>
                            </a:srgbClr>
                          </a:solidFill>
                        </wps:spPr>
                        <wps:bodyPr wrap="square" lIns="0" tIns="0" rIns="0" bIns="0" rtlCol="0">
                          <a:prstTxWarp prst="textNoShape">
                            <a:avLst/>
                          </a:prstTxWarp>
                          <a:noAutofit/>
                        </wps:bodyPr>
                      </wps:wsp>
                      <wps:wsp>
                        <wps:cNvPr id="106" name="Graphic 106"/>
                        <wps:cNvSpPr/>
                        <wps:spPr>
                          <a:xfrm>
                            <a:off x="3642359" y="1449324"/>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5B9BD4"/>
                          </a:solidFill>
                        </wps:spPr>
                        <wps:bodyPr wrap="square" lIns="0" tIns="0" rIns="0" bIns="0" rtlCol="0">
                          <a:prstTxWarp prst="textNoShape">
                            <a:avLst/>
                          </a:prstTxWarp>
                          <a:noAutofit/>
                        </wps:bodyPr>
                      </wps:wsp>
                      <wps:wsp>
                        <wps:cNvPr id="107" name="Graphic 107"/>
                        <wps:cNvSpPr/>
                        <wps:spPr>
                          <a:xfrm>
                            <a:off x="3642359" y="1664207"/>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EC7C30"/>
                          </a:solidFill>
                        </wps:spPr>
                        <wps:bodyPr wrap="square" lIns="0" tIns="0" rIns="0" bIns="0" rtlCol="0">
                          <a:prstTxWarp prst="textNoShape">
                            <a:avLst/>
                          </a:prstTxWarp>
                          <a:noAutofit/>
                        </wps:bodyPr>
                      </wps:wsp>
                      <wps:wsp>
                        <wps:cNvPr id="108" name="Graphic 108"/>
                        <wps:cNvSpPr/>
                        <wps:spPr>
                          <a:xfrm>
                            <a:off x="3642359" y="1879092"/>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A4A4A4"/>
                          </a:solidFill>
                        </wps:spPr>
                        <wps:bodyPr wrap="square" lIns="0" tIns="0" rIns="0" bIns="0" rtlCol="0">
                          <a:prstTxWarp prst="textNoShape">
                            <a:avLst/>
                          </a:prstTxWarp>
                          <a:noAutofit/>
                        </wps:bodyPr>
                      </wps:wsp>
                      <wps:wsp>
                        <wps:cNvPr id="109" name="Graphic 109"/>
                        <wps:cNvSpPr/>
                        <wps:spPr>
                          <a:xfrm>
                            <a:off x="3642359" y="2092451"/>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FFC000"/>
                          </a:solidFill>
                        </wps:spPr>
                        <wps:bodyPr wrap="square" lIns="0" tIns="0" rIns="0" bIns="0" rtlCol="0">
                          <a:prstTxWarp prst="textNoShape">
                            <a:avLst/>
                          </a:prstTxWarp>
                          <a:noAutofit/>
                        </wps:bodyPr>
                      </wps:wsp>
                      <wps:wsp>
                        <wps:cNvPr id="110" name="Graphic 110"/>
                        <wps:cNvSpPr/>
                        <wps:spPr>
                          <a:xfrm>
                            <a:off x="3642359" y="2307335"/>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4471C4"/>
                          </a:solidFill>
                        </wps:spPr>
                        <wps:bodyPr wrap="square" lIns="0" tIns="0" rIns="0" bIns="0" rtlCol="0">
                          <a:prstTxWarp prst="textNoShape">
                            <a:avLst/>
                          </a:prstTxWarp>
                          <a:noAutofit/>
                        </wps:bodyPr>
                      </wps:wsp>
                      <wps:wsp>
                        <wps:cNvPr id="111" name="Textbox 111"/>
                        <wps:cNvSpPr txBox="1"/>
                        <wps:spPr>
                          <a:xfrm>
                            <a:off x="2475864" y="1542161"/>
                            <a:ext cx="168910" cy="127000"/>
                          </a:xfrm>
                          <a:prstGeom prst="rect">
                            <a:avLst/>
                          </a:prstGeom>
                        </wps:spPr>
                        <wps:txbx>
                          <w:txbxContent>
                            <w:p>
                              <w:pPr>
                                <w:spacing w:line="199" w:lineRule="exact" w:before="0"/>
                                <w:ind w:left="0" w:right="0" w:firstLine="0"/>
                                <w:jc w:val="left"/>
                                <w:rPr>
                                  <w:b/>
                                  <w:sz w:val="20"/>
                                </w:rPr>
                              </w:pPr>
                              <w:r>
                                <w:rPr>
                                  <w:b/>
                                  <w:color w:val="FFFFFF"/>
                                  <w:spacing w:val="-5"/>
                                  <w:sz w:val="20"/>
                                </w:rPr>
                                <w:t>4%</w:t>
                              </w:r>
                            </w:p>
                          </w:txbxContent>
                        </wps:txbx>
                        <wps:bodyPr wrap="square" lIns="0" tIns="0" rIns="0" bIns="0" rtlCol="0">
                          <a:noAutofit/>
                        </wps:bodyPr>
                      </wps:wsp>
                      <wps:wsp>
                        <wps:cNvPr id="112" name="Textbox 112"/>
                        <wps:cNvSpPr txBox="1"/>
                        <wps:spPr>
                          <a:xfrm>
                            <a:off x="1315211" y="2581910"/>
                            <a:ext cx="168910" cy="127000"/>
                          </a:xfrm>
                          <a:prstGeom prst="rect">
                            <a:avLst/>
                          </a:prstGeom>
                        </wps:spPr>
                        <wps:txbx>
                          <w:txbxContent>
                            <w:p>
                              <w:pPr>
                                <w:spacing w:line="199" w:lineRule="exact" w:before="0"/>
                                <w:ind w:left="0" w:right="0" w:firstLine="0"/>
                                <w:jc w:val="left"/>
                                <w:rPr>
                                  <w:b/>
                                  <w:sz w:val="20"/>
                                </w:rPr>
                              </w:pPr>
                              <w:r>
                                <w:rPr>
                                  <w:b/>
                                  <w:color w:val="FFFFFF"/>
                                  <w:spacing w:val="-5"/>
                                  <w:sz w:val="20"/>
                                </w:rPr>
                                <w:t>6%</w:t>
                              </w:r>
                            </w:p>
                          </w:txbxContent>
                        </wps:txbx>
                        <wps:bodyPr wrap="square" lIns="0" tIns="0" rIns="0" bIns="0" rtlCol="0">
                          <a:noAutofit/>
                        </wps:bodyPr>
                      </wps:wsp>
                      <wps:wsp>
                        <wps:cNvPr id="113" name="Textbox 113"/>
                        <wps:cNvSpPr txBox="1"/>
                        <wps:spPr>
                          <a:xfrm>
                            <a:off x="2207767" y="2414968"/>
                            <a:ext cx="297815" cy="193675"/>
                          </a:xfrm>
                          <a:prstGeom prst="rect">
                            <a:avLst/>
                          </a:prstGeom>
                        </wps:spPr>
                        <wps:txbx>
                          <w:txbxContent>
                            <w:p>
                              <w:pPr>
                                <w:spacing w:before="30"/>
                                <w:ind w:left="60" w:right="0" w:firstLine="0"/>
                                <w:jc w:val="left"/>
                                <w:rPr>
                                  <w:b/>
                                  <w:sz w:val="20"/>
                                </w:rPr>
                              </w:pPr>
                              <w:r>
                                <w:rPr>
                                  <w:b/>
                                  <w:color w:val="FFFFFF"/>
                                  <w:spacing w:val="-5"/>
                                  <w:sz w:val="20"/>
                                </w:rPr>
                                <w:t>34%</w:t>
                              </w:r>
                            </w:p>
                          </w:txbxContent>
                        </wps:txbx>
                        <wps:bodyPr wrap="square" lIns="0" tIns="0" rIns="0" bIns="0" rtlCol="0">
                          <a:noAutofit/>
                        </wps:bodyPr>
                      </wps:wsp>
                      <wps:wsp>
                        <wps:cNvPr id="114" name="Textbox 114"/>
                        <wps:cNvSpPr txBox="1"/>
                        <wps:spPr>
                          <a:xfrm>
                            <a:off x="864997" y="1534731"/>
                            <a:ext cx="297815" cy="193675"/>
                          </a:xfrm>
                          <a:prstGeom prst="rect">
                            <a:avLst/>
                          </a:prstGeom>
                        </wps:spPr>
                        <wps:txbx>
                          <w:txbxContent>
                            <w:p>
                              <w:pPr>
                                <w:spacing w:before="30"/>
                                <w:ind w:left="60" w:right="0" w:firstLine="0"/>
                                <w:jc w:val="left"/>
                                <w:rPr>
                                  <w:b/>
                                  <w:sz w:val="20"/>
                                </w:rPr>
                              </w:pPr>
                              <w:r>
                                <w:rPr>
                                  <w:b/>
                                  <w:color w:val="FFFFFF"/>
                                  <w:spacing w:val="-5"/>
                                  <w:sz w:val="20"/>
                                </w:rPr>
                                <w:t>39%</w:t>
                              </w:r>
                            </w:p>
                          </w:txbxContent>
                        </wps:txbx>
                        <wps:bodyPr wrap="square" lIns="0" tIns="0" rIns="0" bIns="0" rtlCol="0">
                          <a:noAutofit/>
                        </wps:bodyPr>
                      </wps:wsp>
                      <wps:wsp>
                        <wps:cNvPr id="115" name="Textbox 115"/>
                        <wps:cNvSpPr txBox="1"/>
                        <wps:spPr>
                          <a:xfrm>
                            <a:off x="3582923" y="1374647"/>
                            <a:ext cx="1426845" cy="1071880"/>
                          </a:xfrm>
                          <a:prstGeom prst="rect">
                            <a:avLst/>
                          </a:prstGeom>
                        </wps:spPr>
                        <wps:txbx>
                          <w:txbxContent>
                            <w:p>
                              <w:pPr>
                                <w:spacing w:line="369" w:lineRule="auto" w:before="47"/>
                                <w:ind w:left="235" w:right="384" w:firstLine="0"/>
                                <w:jc w:val="left"/>
                                <w:rPr>
                                  <w:sz w:val="18"/>
                                </w:rPr>
                              </w:pPr>
                              <w:r>
                                <w:rPr>
                                  <w:color w:val="404040"/>
                                  <w:spacing w:val="-2"/>
                                  <w:sz w:val="18"/>
                                </w:rPr>
                                <w:t>Gentamicin</w:t>
                              </w:r>
                              <w:r>
                                <w:rPr>
                                  <w:color w:val="404040"/>
                                  <w:sz w:val="18"/>
                                </w:rPr>
                                <w:t> </w:t>
                              </w:r>
                              <w:r>
                                <w:rPr>
                                  <w:color w:val="404040"/>
                                  <w:spacing w:val="-2"/>
                                  <w:sz w:val="18"/>
                                </w:rPr>
                                <w:t>Ceftriaxone</w:t>
                              </w:r>
                            </w:p>
                            <w:p>
                              <w:pPr>
                                <w:spacing w:line="369" w:lineRule="auto" w:before="0"/>
                                <w:ind w:left="235" w:right="72" w:firstLine="0"/>
                                <w:jc w:val="left"/>
                                <w:rPr>
                                  <w:sz w:val="18"/>
                                </w:rPr>
                              </w:pPr>
                              <w:r>
                                <w:rPr>
                                  <w:color w:val="404040"/>
                                  <w:sz w:val="18"/>
                                </w:rPr>
                                <w:t>Amoxicillin-Clavulanic</w:t>
                              </w:r>
                              <w:r>
                                <w:rPr>
                                  <w:color w:val="404040"/>
                                  <w:spacing w:val="-11"/>
                                  <w:sz w:val="18"/>
                                </w:rPr>
                                <w:t> </w:t>
                              </w:r>
                              <w:r>
                                <w:rPr>
                                  <w:color w:val="404040"/>
                                  <w:sz w:val="18"/>
                                </w:rPr>
                                <w:t>acid </w:t>
                              </w:r>
                              <w:r>
                                <w:rPr>
                                  <w:color w:val="404040"/>
                                  <w:spacing w:val="-2"/>
                                  <w:sz w:val="18"/>
                                </w:rPr>
                                <w:t>Levofloxacin</w:t>
                              </w:r>
                            </w:p>
                            <w:p>
                              <w:pPr>
                                <w:spacing w:line="218" w:lineRule="exact" w:before="0"/>
                                <w:ind w:left="235" w:right="0" w:firstLine="0"/>
                                <w:jc w:val="left"/>
                                <w:rPr>
                                  <w:sz w:val="18"/>
                                </w:rPr>
                              </w:pPr>
                              <w:r>
                                <w:rPr>
                                  <w:color w:val="404040"/>
                                  <w:spacing w:val="-2"/>
                                  <w:sz w:val="18"/>
                                </w:rPr>
                                <w:t>Azithromycin</w:t>
                              </w:r>
                            </w:p>
                          </w:txbxContent>
                        </wps:txbx>
                        <wps:bodyPr wrap="square" lIns="0" tIns="0" rIns="0" bIns="0" rtlCol="0">
                          <a:noAutofit/>
                        </wps:bodyPr>
                      </wps:wsp>
                      <wps:wsp>
                        <wps:cNvPr id="116" name="Textbox 116"/>
                        <wps:cNvSpPr txBox="1"/>
                        <wps:spPr>
                          <a:xfrm>
                            <a:off x="2052573" y="1096708"/>
                            <a:ext cx="297815" cy="193675"/>
                          </a:xfrm>
                          <a:prstGeom prst="rect">
                            <a:avLst/>
                          </a:prstGeom>
                        </wps:spPr>
                        <wps:txbx>
                          <w:txbxContent>
                            <w:p>
                              <w:pPr>
                                <w:spacing w:before="29"/>
                                <w:ind w:left="60" w:right="0" w:firstLine="0"/>
                                <w:jc w:val="left"/>
                                <w:rPr>
                                  <w:b/>
                                  <w:sz w:val="20"/>
                                </w:rPr>
                              </w:pPr>
                              <w:r>
                                <w:rPr>
                                  <w:b/>
                                  <w:color w:val="FFFFFF"/>
                                  <w:spacing w:val="-5"/>
                                  <w:sz w:val="20"/>
                                </w:rPr>
                                <w:t>17%</w:t>
                              </w:r>
                            </w:p>
                          </w:txbxContent>
                        </wps:txbx>
                        <wps:bodyPr wrap="square" lIns="0" tIns="0" rIns="0" bIns="0" rtlCol="0">
                          <a:noAutofit/>
                        </wps:bodyPr>
                      </wps:wsp>
                    </wpg:wgp>
                  </a:graphicData>
                </a:graphic>
              </wp:inline>
            </w:drawing>
          </mc:Choice>
          <mc:Fallback>
            <w:pict>
              <v:group style="width:394.45pt;height:300.75pt;mso-position-horizontal-relative:char;mso-position-vertical-relative:line" id="docshapegroup62" coordorigin="0,0" coordsize="7889,6015">
                <v:shape style="position:absolute;left:2495;top:107;width:2828;height:3164" type="#_x0000_t75" id="docshape63" stroked="false">
                  <v:imagedata r:id="rId267" o:title=""/>
                </v:shape>
                <v:shape style="position:absolute;left:2392;top:1274;width:3372;height:2151" type="#_x0000_t75" id="docshape64" stroked="false">
                  <v:imagedata r:id="rId268" o:title=""/>
                </v:shape>
                <v:shape style="position:absolute;left:1572;top:1917;width:4287;height:4098" type="#_x0000_t75" id="docshape65" stroked="false">
                  <v:imagedata r:id="rId269" o:title=""/>
                </v:shape>
                <v:shape style="position:absolute;left:748;top:2580;width:2492;height:3327" type="#_x0000_t75" id="docshape66" stroked="false">
                  <v:imagedata r:id="rId270" o:title=""/>
                </v:shape>
                <v:shape style="position:absolute;left:0;top:0;width:3250;height:5465" type="#_x0000_t75" id="docshape67" stroked="false">
                  <v:imagedata r:id="rId271" o:title=""/>
                </v:shape>
                <v:shape style="position:absolute;left:2820;top:406;width:2243;height:2601" id="docshape68" coordorigin="2821,407" coordsize="2243,2601" path="m2821,407l2821,3007,5063,1691,5022,1624,4980,1558,4935,1493,4889,1431,4841,1369,4791,1310,4739,1252,4686,1196,4632,1141,4576,1088,4518,1037,4460,988,4399,941,4338,895,4275,852,4211,810,4146,770,4079,732,4012,696,3944,662,3874,630,3804,600,3732,572,3660,546,3587,522,3513,501,3438,481,3363,464,3287,449,3211,436,3134,426,3056,417,2978,412,2899,408,2821,407xe" filled="true" fillcolor="#5b9bd4" stroked="false">
                  <v:path arrowok="t"/>
                  <v:fill type="solid"/>
                </v:shape>
                <v:shape style="position:absolute;left:2820;top:1691;width:2517;height:1317" id="docshape69" coordorigin="2821,1691" coordsize="2517,1317" path="m5063,1691l2821,3007,5337,2353,5316,2276,5292,2199,5266,2124,5238,2049,5208,1976,5175,1903,5140,1831,5103,1761,5063,1691xe" filled="true" fillcolor="#ec7c30" stroked="false">
                  <v:path arrowok="t"/>
                  <v:fill type="solid"/>
                </v:shape>
                <v:shape style="position:absolute;left:2010;top:2352;width:3412;height:3256" id="docshape70" coordorigin="2010,2353" coordsize="3412,3256" path="m5337,2353l2821,3007,2010,5479,2085,5502,2161,5523,2237,5542,2314,5558,2390,5572,2468,5584,2545,5593,2623,5601,2701,5605,2779,5608,2857,5608,2934,5606,3012,5601,3090,5594,3168,5585,3245,5573,3322,5559,3399,5543,3476,5524,3550,5504,3622,5482,3694,5457,3765,5431,3834,5403,3902,5373,3970,5341,4035,5308,4100,5272,4163,5236,4225,5197,4286,5157,4346,5115,4404,5072,4461,5027,4516,4981,4570,4933,4622,4884,4673,4833,4723,4781,4771,4728,4817,4674,4862,4618,4906,4562,4948,4504,4988,4445,5026,4385,5063,4324,5099,4262,5132,4199,5164,4135,5194,4071,5223,4005,5249,3939,5274,3872,5297,3804,5318,3735,5337,3666,5354,3596,5370,3526,5383,3455,5395,3384,5404,3312,5412,3240,5417,3167,5421,3094,5422,3021,5421,2947,5418,2873,5413,2799,5406,2725,5397,2651,5385,2576,5372,2502,5356,2427,5337,2353xe" filled="true" fillcolor="#a4a4a4" stroked="false">
                  <v:path arrowok="t"/>
                  <v:fill type="solid"/>
                </v:shape>
                <v:shape style="position:absolute;left:1169;top:3007;width:1652;height:2472" id="docshape71" coordorigin="1169,3007" coordsize="1652,2472" path="m2821,3007l1169,5017,1232,5067,1297,5115,1363,5161,1430,5205,1499,5247,1568,5287,1639,5324,1711,5360,1785,5393,1859,5424,1934,5452,2010,5479,2821,3007xe" filled="true" fillcolor="#ffc000" stroked="false">
                  <v:path arrowok="t"/>
                  <v:fill type="solid"/>
                </v:shape>
                <v:shape style="position:absolute;left:220;top:406;width:2601;height:4610" id="docshape72" coordorigin="220,407" coordsize="2601,4610" path="m2821,407l2743,408,2666,411,2589,417,2512,425,2436,435,2360,448,2285,462,2211,479,2137,498,2064,519,1991,543,1920,568,1849,595,1779,625,1709,656,1641,690,1574,725,1508,762,1443,802,1379,843,1316,886,1255,931,1194,978,1135,1027,1078,1077,1021,1130,967,1184,913,1240,862,1297,811,1356,764,1416,718,1477,674,1539,632,1602,593,1665,555,1730,519,1795,486,1861,454,1927,425,1994,397,2062,372,2130,348,2199,327,2268,307,2338,290,2408,274,2478,260,2549,249,2620,239,2691,231,2762,226,2833,222,2904,220,2976,220,3047,222,3118,226,3190,232,3261,240,3332,250,3402,262,3473,276,3543,291,3612,309,3682,328,3750,349,3819,373,3887,398,3954,425,4020,454,4086,484,4152,517,4216,552,4280,588,4343,626,4405,666,4466,708,4526,752,4585,798,4643,846,4700,895,4756,946,4811,999,4864,1054,4916,1111,4967,1169,5017,2821,3007,2821,407xe" filled="true" fillcolor="#4471c4" stroked="false">
                  <v:path arrowok="t"/>
                  <v:fill type="solid"/>
                </v:shape>
                <v:shape style="position:absolute;left:3192;top:1684;width:636;height:473" type="#_x0000_t75" id="docshape73" stroked="false">
                  <v:imagedata r:id="rId272" o:title=""/>
                </v:shape>
                <v:shape style="position:absolute;left:3232;top:1727;width:469;height:305" type="#_x0000_t75" id="docshape74" stroked="false">
                  <v:imagedata r:id="rId273" o:title=""/>
                </v:shape>
                <v:shape style="position:absolute;left:3796;top:2316;width:536;height:473" type="#_x0000_t75" id="docshape75" stroked="false">
                  <v:imagedata r:id="rId274" o:title=""/>
                </v:shape>
                <v:shape style="position:absolute;left:3838;top:2357;width:368;height:305" type="#_x0000_t75" id="docshape76" stroked="false">
                  <v:imagedata r:id="rId275" o:title=""/>
                </v:shape>
                <v:shape style="position:absolute;left:3434;top:3760;width:639;height:473" type="#_x0000_t75" id="docshape77" stroked="false">
                  <v:imagedata r:id="rId276" o:title=""/>
                </v:shape>
                <v:shape style="position:absolute;left:3476;top:3803;width:469;height:305" type="#_x0000_t75" id="docshape78" stroked="false">
                  <v:imagedata r:id="rId277" o:title=""/>
                </v:shape>
                <v:shape style="position:absolute;left:1970;top:3952;width:536;height:473" type="#_x0000_t75" id="docshape79" stroked="false">
                  <v:imagedata r:id="rId278" o:title=""/>
                </v:shape>
                <v:shape style="position:absolute;left:2011;top:3995;width:368;height:305" type="#_x0000_t75" id="docshape80" stroked="false">
                  <v:imagedata r:id="rId279" o:title=""/>
                </v:shape>
                <v:shape style="position:absolute;left:1320;top:2376;width:639;height:471" type="#_x0000_t75" id="docshape81" stroked="false">
                  <v:imagedata r:id="rId280" o:title=""/>
                </v:shape>
                <v:shape style="position:absolute;left:1362;top:2416;width:469;height:305" type="#_x0000_t75" id="docshape82" stroked="false">
                  <v:imagedata r:id="rId281" o:title=""/>
                </v:shape>
                <v:rect style="position:absolute;left:5642;top:2164;width:2247;height:1688" id="docshape83" filled="true" fillcolor="#f1f1f1" stroked="false">
                  <v:fill opacity="25443f" type="solid"/>
                </v:rect>
                <v:rect style="position:absolute;left:5736;top:2282;width:99;height:99" id="docshape84" filled="true" fillcolor="#5b9bd4" stroked="false">
                  <v:fill type="solid"/>
                </v:rect>
                <v:rect style="position:absolute;left:5736;top:2620;width:99;height:99" id="docshape85" filled="true" fillcolor="#ec7c30" stroked="false">
                  <v:fill type="solid"/>
                </v:rect>
                <v:rect style="position:absolute;left:5736;top:2959;width:99;height:99" id="docshape86" filled="true" fillcolor="#a4a4a4" stroked="false">
                  <v:fill type="solid"/>
                </v:rect>
                <v:rect style="position:absolute;left:5736;top:3295;width:99;height:99" id="docshape87" filled="true" fillcolor="#ffc000" stroked="false">
                  <v:fill type="solid"/>
                </v:rect>
                <v:rect style="position:absolute;left:5736;top:3633;width:99;height:99" id="docshape88" filled="true" fillcolor="#4471c4" stroked="false">
                  <v:fill type="solid"/>
                </v:rect>
                <v:shape style="position:absolute;left:3899;top:2428;width:266;height:200" type="#_x0000_t202" id="docshape89" filled="false" stroked="false">
                  <v:textbox inset="0,0,0,0">
                    <w:txbxContent>
                      <w:p>
                        <w:pPr>
                          <w:spacing w:line="199" w:lineRule="exact" w:before="0"/>
                          <w:ind w:left="0" w:right="0" w:firstLine="0"/>
                          <w:jc w:val="left"/>
                          <w:rPr>
                            <w:b/>
                            <w:sz w:val="20"/>
                          </w:rPr>
                        </w:pPr>
                        <w:r>
                          <w:rPr>
                            <w:b/>
                            <w:color w:val="FFFFFF"/>
                            <w:spacing w:val="-5"/>
                            <w:sz w:val="20"/>
                          </w:rPr>
                          <w:t>4%</w:t>
                        </w:r>
                      </w:p>
                    </w:txbxContent>
                  </v:textbox>
                  <w10:wrap type="none"/>
                </v:shape>
                <v:shape style="position:absolute;left:2071;top:4066;width:266;height:200" type="#_x0000_t202" id="docshape90" filled="false" stroked="false">
                  <v:textbox inset="0,0,0,0">
                    <w:txbxContent>
                      <w:p>
                        <w:pPr>
                          <w:spacing w:line="199" w:lineRule="exact" w:before="0"/>
                          <w:ind w:left="0" w:right="0" w:firstLine="0"/>
                          <w:jc w:val="left"/>
                          <w:rPr>
                            <w:b/>
                            <w:sz w:val="20"/>
                          </w:rPr>
                        </w:pPr>
                        <w:r>
                          <w:rPr>
                            <w:b/>
                            <w:color w:val="FFFFFF"/>
                            <w:spacing w:val="-5"/>
                            <w:sz w:val="20"/>
                          </w:rPr>
                          <w:t>6%</w:t>
                        </w:r>
                      </w:p>
                    </w:txbxContent>
                  </v:textbox>
                  <w10:wrap type="none"/>
                </v:shape>
                <v:shape style="position:absolute;left:3476;top:3803;width:469;height:305" type="#_x0000_t202" id="docshape91" filled="false" stroked="false">
                  <v:textbox inset="0,0,0,0">
                    <w:txbxContent>
                      <w:p>
                        <w:pPr>
                          <w:spacing w:before="30"/>
                          <w:ind w:left="60" w:right="0" w:firstLine="0"/>
                          <w:jc w:val="left"/>
                          <w:rPr>
                            <w:b/>
                            <w:sz w:val="20"/>
                          </w:rPr>
                        </w:pPr>
                        <w:r>
                          <w:rPr>
                            <w:b/>
                            <w:color w:val="FFFFFF"/>
                            <w:spacing w:val="-5"/>
                            <w:sz w:val="20"/>
                          </w:rPr>
                          <w:t>34%</w:t>
                        </w:r>
                      </w:p>
                    </w:txbxContent>
                  </v:textbox>
                  <w10:wrap type="none"/>
                </v:shape>
                <v:shape style="position:absolute;left:1362;top:2416;width:469;height:305" type="#_x0000_t202" id="docshape92" filled="false" stroked="false">
                  <v:textbox inset="0,0,0,0">
                    <w:txbxContent>
                      <w:p>
                        <w:pPr>
                          <w:spacing w:before="30"/>
                          <w:ind w:left="60" w:right="0" w:firstLine="0"/>
                          <w:jc w:val="left"/>
                          <w:rPr>
                            <w:b/>
                            <w:sz w:val="20"/>
                          </w:rPr>
                        </w:pPr>
                        <w:r>
                          <w:rPr>
                            <w:b/>
                            <w:color w:val="FFFFFF"/>
                            <w:spacing w:val="-5"/>
                            <w:sz w:val="20"/>
                          </w:rPr>
                          <w:t>39%</w:t>
                        </w:r>
                      </w:p>
                    </w:txbxContent>
                  </v:textbox>
                  <w10:wrap type="none"/>
                </v:shape>
                <v:shape style="position:absolute;left:5642;top:2164;width:2247;height:1688" type="#_x0000_t202" id="docshape93" filled="false" stroked="false">
                  <v:textbox inset="0,0,0,0">
                    <w:txbxContent>
                      <w:p>
                        <w:pPr>
                          <w:spacing w:line="369" w:lineRule="auto" w:before="47"/>
                          <w:ind w:left="235" w:right="384" w:firstLine="0"/>
                          <w:jc w:val="left"/>
                          <w:rPr>
                            <w:sz w:val="18"/>
                          </w:rPr>
                        </w:pPr>
                        <w:r>
                          <w:rPr>
                            <w:color w:val="404040"/>
                            <w:spacing w:val="-2"/>
                            <w:sz w:val="18"/>
                          </w:rPr>
                          <w:t>Gentamicin</w:t>
                        </w:r>
                        <w:r>
                          <w:rPr>
                            <w:color w:val="404040"/>
                            <w:sz w:val="18"/>
                          </w:rPr>
                          <w:t> </w:t>
                        </w:r>
                        <w:r>
                          <w:rPr>
                            <w:color w:val="404040"/>
                            <w:spacing w:val="-2"/>
                            <w:sz w:val="18"/>
                          </w:rPr>
                          <w:t>Ceftriaxone</w:t>
                        </w:r>
                      </w:p>
                      <w:p>
                        <w:pPr>
                          <w:spacing w:line="369" w:lineRule="auto" w:before="0"/>
                          <w:ind w:left="235" w:right="72" w:firstLine="0"/>
                          <w:jc w:val="left"/>
                          <w:rPr>
                            <w:sz w:val="18"/>
                          </w:rPr>
                        </w:pPr>
                        <w:r>
                          <w:rPr>
                            <w:color w:val="404040"/>
                            <w:sz w:val="18"/>
                          </w:rPr>
                          <w:t>Amoxicillin-Clavulanic</w:t>
                        </w:r>
                        <w:r>
                          <w:rPr>
                            <w:color w:val="404040"/>
                            <w:spacing w:val="-11"/>
                            <w:sz w:val="18"/>
                          </w:rPr>
                          <w:t> </w:t>
                        </w:r>
                        <w:r>
                          <w:rPr>
                            <w:color w:val="404040"/>
                            <w:sz w:val="18"/>
                          </w:rPr>
                          <w:t>acid </w:t>
                        </w:r>
                        <w:r>
                          <w:rPr>
                            <w:color w:val="404040"/>
                            <w:spacing w:val="-2"/>
                            <w:sz w:val="18"/>
                          </w:rPr>
                          <w:t>Levofloxacin</w:t>
                        </w:r>
                      </w:p>
                      <w:p>
                        <w:pPr>
                          <w:spacing w:line="218" w:lineRule="exact" w:before="0"/>
                          <w:ind w:left="235" w:right="0" w:firstLine="0"/>
                          <w:jc w:val="left"/>
                          <w:rPr>
                            <w:sz w:val="18"/>
                          </w:rPr>
                        </w:pPr>
                        <w:r>
                          <w:rPr>
                            <w:color w:val="404040"/>
                            <w:spacing w:val="-2"/>
                            <w:sz w:val="18"/>
                          </w:rPr>
                          <w:t>Azithromycin</w:t>
                        </w:r>
                      </w:p>
                    </w:txbxContent>
                  </v:textbox>
                  <w10:wrap type="none"/>
                </v:shape>
                <v:shape style="position:absolute;left:3232;top:1727;width:469;height:305" type="#_x0000_t202" id="docshape94" filled="false" stroked="false">
                  <v:textbox inset="0,0,0,0">
                    <w:txbxContent>
                      <w:p>
                        <w:pPr>
                          <w:spacing w:before="29"/>
                          <w:ind w:left="60" w:right="0" w:firstLine="0"/>
                          <w:jc w:val="left"/>
                          <w:rPr>
                            <w:b/>
                            <w:sz w:val="20"/>
                          </w:rPr>
                        </w:pPr>
                        <w:r>
                          <w:rPr>
                            <w:b/>
                            <w:color w:val="FFFFFF"/>
                            <w:spacing w:val="-5"/>
                            <w:sz w:val="20"/>
                          </w:rPr>
                          <w:t>17%</w:t>
                        </w:r>
                      </w:p>
                    </w:txbxContent>
                  </v:textbox>
                  <w10:wrap type="none"/>
                </v:shape>
              </v:group>
            </w:pict>
          </mc:Fallback>
        </mc:AlternateContent>
      </w:r>
      <w:r>
        <w:rPr>
          <w:rFonts w:ascii="Times New Roman"/>
          <w:sz w:val="20"/>
        </w:rPr>
      </w:r>
    </w:p>
    <w:p>
      <w:pPr>
        <w:pStyle w:val="BodyText"/>
        <w:spacing w:before="148"/>
        <w:rPr>
          <w:rFonts w:ascii="Times New Roman"/>
        </w:rPr>
      </w:pPr>
    </w:p>
    <w:p>
      <w:pPr>
        <w:pStyle w:val="BodyText"/>
        <w:spacing w:before="1"/>
        <w:ind w:left="1100"/>
      </w:pPr>
      <w:r>
        <w:rPr/>
        <w:t>Figure</w:t>
      </w:r>
      <w:r>
        <w:rPr>
          <w:spacing w:val="-5"/>
        </w:rPr>
        <w:t> </w:t>
      </w:r>
      <w:r>
        <w:rPr/>
        <w:t>4.7:</w:t>
      </w:r>
      <w:r>
        <w:rPr>
          <w:spacing w:val="-3"/>
        </w:rPr>
        <w:t> </w:t>
      </w:r>
      <w:r>
        <w:rPr/>
        <w:t>Resistance</w:t>
      </w:r>
      <w:r>
        <w:rPr>
          <w:spacing w:val="-3"/>
        </w:rPr>
        <w:t> </w:t>
      </w:r>
      <w:r>
        <w:rPr/>
        <w:t>profile</w:t>
      </w:r>
      <w:r>
        <w:rPr>
          <w:spacing w:val="-3"/>
        </w:rPr>
        <w:t> </w:t>
      </w:r>
      <w:r>
        <w:rPr/>
        <w:t>of</w:t>
      </w:r>
      <w:r>
        <w:rPr>
          <w:spacing w:val="-5"/>
        </w:rPr>
        <w:t> </w:t>
      </w:r>
      <w:r>
        <w:rPr/>
        <w:t>the</w:t>
      </w:r>
      <w:r>
        <w:rPr>
          <w:spacing w:val="-5"/>
        </w:rPr>
        <w:t> </w:t>
      </w:r>
      <w:r>
        <w:rPr/>
        <w:t>test</w:t>
      </w:r>
      <w:r>
        <w:rPr>
          <w:spacing w:val="-5"/>
        </w:rPr>
        <w:t> </w:t>
      </w:r>
      <w:r>
        <w:rPr/>
        <w:t>bacterial</w:t>
      </w:r>
      <w:r>
        <w:rPr>
          <w:spacing w:val="-3"/>
        </w:rPr>
        <w:t> </w:t>
      </w:r>
      <w:r>
        <w:rPr/>
        <w:t>isolates</w:t>
      </w:r>
      <w:r>
        <w:rPr>
          <w:spacing w:val="-3"/>
        </w:rPr>
        <w:t> </w:t>
      </w:r>
      <w:r>
        <w:rPr/>
        <w:t>to</w:t>
      </w:r>
      <w:r>
        <w:rPr>
          <w:spacing w:val="-4"/>
        </w:rPr>
        <w:t> </w:t>
      </w:r>
      <w:r>
        <w:rPr/>
        <w:t>the</w:t>
      </w:r>
      <w:r>
        <w:rPr>
          <w:spacing w:val="-3"/>
        </w:rPr>
        <w:t> </w:t>
      </w:r>
      <w:r>
        <w:rPr/>
        <w:t>standard</w:t>
      </w:r>
      <w:r>
        <w:rPr>
          <w:spacing w:val="-4"/>
        </w:rPr>
        <w:t> </w:t>
      </w:r>
      <w:r>
        <w:rPr>
          <w:spacing w:val="-2"/>
        </w:rPr>
        <w:t>antibiotics.</w:t>
      </w:r>
    </w:p>
    <w:p>
      <w:pPr>
        <w:spacing w:after="0"/>
        <w:sectPr>
          <w:pgSz w:w="11910" w:h="16840"/>
          <w:pgMar w:header="0" w:footer="1055" w:top="1420" w:bottom="1240" w:left="1060" w:right="460"/>
        </w:sectPr>
      </w:pPr>
    </w:p>
    <w:p>
      <w:pPr>
        <w:pStyle w:val="Heading3"/>
        <w:numPr>
          <w:ilvl w:val="1"/>
          <w:numId w:val="4"/>
        </w:numPr>
        <w:tabs>
          <w:tab w:pos="4480" w:val="left" w:leader="none"/>
        </w:tabs>
        <w:spacing w:line="240" w:lineRule="auto" w:before="195" w:after="0"/>
        <w:ind w:left="4480" w:right="0" w:hanging="4100"/>
        <w:jc w:val="left"/>
      </w:pPr>
      <w:r>
        <w:rPr/>
        <w:t>Rate</w:t>
      </w:r>
      <w:r>
        <w:rPr>
          <w:spacing w:val="-4"/>
        </w:rPr>
        <w:t> </w:t>
      </w:r>
      <w:r>
        <w:rPr/>
        <w:t>of</w:t>
      </w:r>
      <w:r>
        <w:rPr>
          <w:spacing w:val="-2"/>
        </w:rPr>
        <w:t> </w:t>
      </w:r>
      <w:r>
        <w:rPr>
          <w:spacing w:val="-4"/>
        </w:rPr>
        <w:t>Kill</w:t>
      </w:r>
    </w:p>
    <w:p>
      <w:pPr>
        <w:pStyle w:val="BodyText"/>
        <w:rPr>
          <w:b/>
        </w:rPr>
      </w:pPr>
    </w:p>
    <w:p>
      <w:pPr>
        <w:pStyle w:val="BodyText"/>
        <w:spacing w:before="94"/>
        <w:rPr>
          <w:b/>
        </w:rPr>
      </w:pPr>
    </w:p>
    <w:p>
      <w:pPr>
        <w:pStyle w:val="BodyText"/>
        <w:spacing w:line="480" w:lineRule="auto"/>
        <w:ind w:left="1100" w:right="978" w:firstLine="720"/>
        <w:jc w:val="both"/>
      </w:pPr>
      <w:r>
        <w:rPr/>
        <w:t>Lemon effected complete killing at 240 minutes which is depicted by gradual decrease in cell population from 30 minutes to 120 minutes, and a sharp decrease at 240 minutes; Honey and Lemon however effected complete killing at 360 minutes, as also depicted by gradual decrease in cell population from 30 minutes to 240</w:t>
      </w:r>
      <w:r>
        <w:rPr>
          <w:spacing w:val="-1"/>
        </w:rPr>
        <w:t> </w:t>
      </w:r>
      <w:r>
        <w:rPr/>
        <w:t>minutes</w:t>
      </w:r>
      <w:r>
        <w:rPr>
          <w:spacing w:val="-1"/>
        </w:rPr>
        <w:t> </w:t>
      </w:r>
      <w:r>
        <w:rPr/>
        <w:t>and a sharp decrease at 360 minutes, while CEF, LEV, HONEY could not produce complete killing even at 1440 minutes for the resistant </w:t>
      </w:r>
      <w:r>
        <w:rPr>
          <w:i/>
        </w:rPr>
        <w:t>Klebsiella pneumoniae </w:t>
      </w:r>
      <w:r>
        <w:rPr/>
        <w:t>(Fig. 4.8).</w:t>
      </w:r>
    </w:p>
    <w:p>
      <w:pPr>
        <w:pStyle w:val="BodyText"/>
        <w:spacing w:line="480" w:lineRule="auto" w:before="162"/>
        <w:ind w:left="1100" w:right="972" w:firstLine="720"/>
        <w:jc w:val="both"/>
      </w:pPr>
      <w:r>
        <w:rPr/>
        <w:t>Lemon effected complete killing at 120 minutes, as depicted by gradual decrease in cell population from 30 minutes to 90 minutes and a sharp decrease down at 120 minutes; Honey and Lemon mixture effected complete killing at 240 minutes, as shown by a steady decrease in cell population from 30 minutes to 120 minutes, and gradual decrease down at 240 minutes; while CEF, LEV and Honey produced complete killing at 1440 minutes, as observed by a gradual decrease from 30 minutes to 360 minutes and a steady decrease</w:t>
      </w:r>
      <w:r>
        <w:rPr>
          <w:spacing w:val="40"/>
        </w:rPr>
        <w:t> </w:t>
      </w:r>
      <w:r>
        <w:rPr/>
        <w:t>down to 1440 minutes for the susceptible </w:t>
      </w:r>
      <w:r>
        <w:rPr>
          <w:i/>
        </w:rPr>
        <w:t>Klebsiella pneumoniae </w:t>
      </w:r>
      <w:r>
        <w:rPr/>
        <w:t>(Fig. 4.9).</w:t>
      </w:r>
    </w:p>
    <w:p>
      <w:pPr>
        <w:pStyle w:val="BodyText"/>
        <w:spacing w:line="480" w:lineRule="auto" w:before="160"/>
        <w:ind w:left="1100" w:right="976" w:firstLine="720"/>
        <w:jc w:val="both"/>
      </w:pPr>
      <w:r>
        <w:rPr/>
        <w:t>Honey and</w:t>
      </w:r>
      <w:r>
        <w:rPr>
          <w:spacing w:val="-3"/>
        </w:rPr>
        <w:t> </w:t>
      </w:r>
      <w:r>
        <w:rPr/>
        <w:t>Lemon</w:t>
      </w:r>
      <w:r>
        <w:rPr>
          <w:spacing w:val="-2"/>
        </w:rPr>
        <w:t> </w:t>
      </w:r>
      <w:r>
        <w:rPr/>
        <w:t>mixture</w:t>
      </w:r>
      <w:r>
        <w:rPr>
          <w:spacing w:val="-1"/>
        </w:rPr>
        <w:t> </w:t>
      </w:r>
      <w:r>
        <w:rPr/>
        <w:t>effected</w:t>
      </w:r>
      <w:r>
        <w:rPr>
          <w:spacing w:val="-1"/>
        </w:rPr>
        <w:t> </w:t>
      </w:r>
      <w:r>
        <w:rPr/>
        <w:t>complete</w:t>
      </w:r>
      <w:r>
        <w:rPr>
          <w:spacing w:val="-1"/>
        </w:rPr>
        <w:t> </w:t>
      </w:r>
      <w:r>
        <w:rPr/>
        <w:t>killing</w:t>
      </w:r>
      <w:r>
        <w:rPr>
          <w:spacing w:val="-2"/>
        </w:rPr>
        <w:t> </w:t>
      </w:r>
      <w:r>
        <w:rPr/>
        <w:t>at</w:t>
      </w:r>
      <w:r>
        <w:rPr>
          <w:spacing w:val="-1"/>
        </w:rPr>
        <w:t> </w:t>
      </w:r>
      <w:r>
        <w:rPr/>
        <w:t>1440</w:t>
      </w:r>
      <w:r>
        <w:rPr>
          <w:spacing w:val="-1"/>
        </w:rPr>
        <w:t> </w:t>
      </w:r>
      <w:r>
        <w:rPr/>
        <w:t>minutes, as</w:t>
      </w:r>
      <w:r>
        <w:rPr>
          <w:spacing w:val="-1"/>
        </w:rPr>
        <w:t> </w:t>
      </w:r>
      <w:r>
        <w:rPr/>
        <w:t>observed</w:t>
      </w:r>
      <w:r>
        <w:rPr>
          <w:spacing w:val="-4"/>
        </w:rPr>
        <w:t> </w:t>
      </w:r>
      <w:r>
        <w:rPr/>
        <w:t>by the gradual decrease in cell population from 30 minutes to 360 minutes and a steady decrease to 1440</w:t>
      </w:r>
      <w:r>
        <w:rPr>
          <w:spacing w:val="-1"/>
        </w:rPr>
        <w:t> </w:t>
      </w:r>
      <w:r>
        <w:rPr/>
        <w:t>minutes;</w:t>
      </w:r>
      <w:r>
        <w:rPr>
          <w:spacing w:val="-1"/>
        </w:rPr>
        <w:t> </w:t>
      </w:r>
      <w:r>
        <w:rPr/>
        <w:t>while CEF, LEV, Honey, Lemon could not produce complete killing even at 1440 minutes, (LEV and CRO produced similar effect with a gradual decrease in cell population from 30-120 minutes, and no decrease from 360-1440 minutes) for the resistant </w:t>
      </w:r>
      <w:r>
        <w:rPr>
          <w:i/>
        </w:rPr>
        <w:t>Streptococcus pyogenes </w:t>
      </w:r>
      <w:r>
        <w:rPr/>
        <w:t>(Fig. 4.10).</w:t>
      </w:r>
    </w:p>
    <w:p>
      <w:pPr>
        <w:pStyle w:val="BodyText"/>
        <w:spacing w:line="480" w:lineRule="auto" w:before="159"/>
        <w:ind w:left="1100" w:right="980" w:firstLine="720"/>
        <w:jc w:val="both"/>
      </w:pPr>
      <w:r>
        <w:rPr/>
        <w:t>Lemon, Honey and Lemon mixture effected complete killing at 120 minutes, as depicted by gradual decrease in the cell population from 30 minutes to 90 minutes and a steady</w:t>
      </w:r>
      <w:r>
        <w:rPr>
          <w:spacing w:val="28"/>
        </w:rPr>
        <w:t> </w:t>
      </w:r>
      <w:r>
        <w:rPr/>
        <w:t>decrease</w:t>
      </w:r>
      <w:r>
        <w:rPr>
          <w:spacing w:val="31"/>
        </w:rPr>
        <w:t> </w:t>
      </w:r>
      <w:r>
        <w:rPr/>
        <w:t>at</w:t>
      </w:r>
      <w:r>
        <w:rPr>
          <w:spacing w:val="30"/>
        </w:rPr>
        <w:t> </w:t>
      </w:r>
      <w:r>
        <w:rPr/>
        <w:t>120</w:t>
      </w:r>
      <w:r>
        <w:rPr>
          <w:spacing w:val="31"/>
        </w:rPr>
        <w:t> </w:t>
      </w:r>
      <w:r>
        <w:rPr/>
        <w:t>minutes;</w:t>
      </w:r>
      <w:r>
        <w:rPr>
          <w:spacing w:val="30"/>
        </w:rPr>
        <w:t> </w:t>
      </w:r>
      <w:r>
        <w:rPr/>
        <w:t>while</w:t>
      </w:r>
      <w:r>
        <w:rPr>
          <w:spacing w:val="30"/>
        </w:rPr>
        <w:t> </w:t>
      </w:r>
      <w:r>
        <w:rPr/>
        <w:t>CEF,</w:t>
      </w:r>
      <w:r>
        <w:rPr>
          <w:spacing w:val="30"/>
        </w:rPr>
        <w:t> </w:t>
      </w:r>
      <w:r>
        <w:rPr/>
        <w:t>LEV</w:t>
      </w:r>
      <w:r>
        <w:rPr>
          <w:spacing w:val="29"/>
        </w:rPr>
        <w:t> </w:t>
      </w:r>
      <w:r>
        <w:rPr/>
        <w:t>and</w:t>
      </w:r>
      <w:r>
        <w:rPr>
          <w:spacing w:val="31"/>
        </w:rPr>
        <w:t> </w:t>
      </w:r>
      <w:r>
        <w:rPr/>
        <w:t>Honey</w:t>
      </w:r>
      <w:r>
        <w:rPr>
          <w:spacing w:val="33"/>
        </w:rPr>
        <w:t> </w:t>
      </w:r>
      <w:r>
        <w:rPr/>
        <w:t>produced</w:t>
      </w:r>
      <w:r>
        <w:rPr>
          <w:spacing w:val="32"/>
        </w:rPr>
        <w:t> </w:t>
      </w:r>
      <w:r>
        <w:rPr/>
        <w:t>complete</w:t>
      </w:r>
      <w:r>
        <w:rPr>
          <w:spacing w:val="30"/>
        </w:rPr>
        <w:t> </w:t>
      </w:r>
      <w:r>
        <w:rPr/>
        <w:t>killing</w:t>
      </w:r>
      <w:r>
        <w:rPr>
          <w:spacing w:val="31"/>
        </w:rPr>
        <w:t> </w:t>
      </w:r>
      <w:r>
        <w:rPr>
          <w:spacing w:val="-5"/>
        </w:rPr>
        <w:t>at</w:t>
      </w:r>
    </w:p>
    <w:p>
      <w:pPr>
        <w:spacing w:after="0" w:line="480" w:lineRule="auto"/>
        <w:jc w:val="both"/>
        <w:sectPr>
          <w:pgSz w:w="11910" w:h="16840"/>
          <w:pgMar w:header="0" w:footer="1055" w:top="1920" w:bottom="1240" w:left="1060" w:right="460"/>
        </w:sectPr>
      </w:pPr>
    </w:p>
    <w:p>
      <w:pPr>
        <w:pStyle w:val="BodyText"/>
        <w:spacing w:line="480" w:lineRule="auto" w:before="38"/>
        <w:ind w:left="1100" w:right="974"/>
        <w:jc w:val="both"/>
      </w:pPr>
      <w:r>
        <w:rPr/>
        <w:t>1440 minutes, as depicted by gradual decrease in cell populations from 30 minutes to 360 minutes and a steady decrease to 1440 minutes for the susceptible </w:t>
      </w:r>
      <w:r>
        <w:rPr>
          <w:i/>
        </w:rPr>
        <w:t>Streptococcus pneumoniae </w:t>
      </w:r>
      <w:r>
        <w:rPr/>
        <w:t>(Fig. 4.11).</w:t>
      </w:r>
    </w:p>
    <w:p>
      <w:pPr>
        <w:pStyle w:val="BodyText"/>
        <w:spacing w:line="480" w:lineRule="auto" w:before="160"/>
        <w:ind w:left="1100" w:right="972"/>
        <w:jc w:val="both"/>
      </w:pPr>
      <w:r>
        <w:rPr/>
        <w:t>However, for the detail of the rate of kill results for the sub-MIC and above-MIC concentrations see appendix I.</w:t>
      </w:r>
    </w:p>
    <w:p>
      <w:pPr>
        <w:spacing w:after="0" w:line="480" w:lineRule="auto"/>
        <w:jc w:val="both"/>
        <w:sectPr>
          <w:pgSz w:w="11910" w:h="16840"/>
          <w:pgMar w:header="0" w:footer="1055" w:top="1380" w:bottom="1240" w:left="1060" w:right="460"/>
        </w:sectPr>
      </w:pPr>
    </w:p>
    <w:p>
      <w:pPr>
        <w:spacing w:before="46"/>
        <w:ind w:left="1388" w:right="0" w:firstLine="0"/>
        <w:jc w:val="left"/>
        <w:rPr>
          <w:sz w:val="20"/>
        </w:rPr>
      </w:pPr>
      <w:r>
        <w:rPr/>
        <mc:AlternateContent>
          <mc:Choice Requires="wps">
            <w:drawing>
              <wp:anchor distT="0" distB="0" distL="0" distR="0" allowOverlap="1" layoutInCell="1" locked="0" behindDoc="1" simplePos="0" relativeHeight="472712704">
                <wp:simplePos x="0" y="0"/>
                <wp:positionH relativeFrom="page">
                  <wp:posOffset>1696211</wp:posOffset>
                </wp:positionH>
                <wp:positionV relativeFrom="paragraph">
                  <wp:posOffset>81788</wp:posOffset>
                </wp:positionV>
                <wp:extent cx="3216275" cy="367157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3216275" cy="3671570"/>
                          <a:chExt cx="3216275" cy="3671570"/>
                        </a:xfrm>
                      </wpg:grpSpPr>
                      <wps:wsp>
                        <wps:cNvPr id="118" name="Graphic 118"/>
                        <wps:cNvSpPr/>
                        <wps:spPr>
                          <a:xfrm>
                            <a:off x="0" y="33528"/>
                            <a:ext cx="3035935" cy="3634740"/>
                          </a:xfrm>
                          <a:custGeom>
                            <a:avLst/>
                            <a:gdLst/>
                            <a:ahLst/>
                            <a:cxnLst/>
                            <a:rect l="l" t="t" r="r" b="b"/>
                            <a:pathLst>
                              <a:path w="3035935" h="3634740">
                                <a:moveTo>
                                  <a:pt x="41148" y="3634739"/>
                                </a:moveTo>
                                <a:lnTo>
                                  <a:pt x="41148" y="0"/>
                                </a:lnTo>
                              </a:path>
                              <a:path w="3035935" h="3634740">
                                <a:moveTo>
                                  <a:pt x="0" y="3634739"/>
                                </a:moveTo>
                                <a:lnTo>
                                  <a:pt x="41148" y="3634739"/>
                                </a:lnTo>
                              </a:path>
                              <a:path w="3035935" h="3634740">
                                <a:moveTo>
                                  <a:pt x="0" y="3230879"/>
                                </a:moveTo>
                                <a:lnTo>
                                  <a:pt x="41148" y="3230879"/>
                                </a:lnTo>
                              </a:path>
                              <a:path w="3035935" h="3634740">
                                <a:moveTo>
                                  <a:pt x="0" y="2827019"/>
                                </a:moveTo>
                                <a:lnTo>
                                  <a:pt x="41148" y="2827019"/>
                                </a:lnTo>
                              </a:path>
                              <a:path w="3035935" h="3634740">
                                <a:moveTo>
                                  <a:pt x="0" y="2423159"/>
                                </a:moveTo>
                                <a:lnTo>
                                  <a:pt x="41148" y="2423159"/>
                                </a:lnTo>
                              </a:path>
                              <a:path w="3035935" h="3634740">
                                <a:moveTo>
                                  <a:pt x="0" y="2019300"/>
                                </a:moveTo>
                                <a:lnTo>
                                  <a:pt x="41148" y="2019300"/>
                                </a:lnTo>
                              </a:path>
                              <a:path w="3035935" h="3634740">
                                <a:moveTo>
                                  <a:pt x="0" y="1615439"/>
                                </a:moveTo>
                                <a:lnTo>
                                  <a:pt x="41148" y="1615439"/>
                                </a:lnTo>
                              </a:path>
                              <a:path w="3035935" h="3634740">
                                <a:moveTo>
                                  <a:pt x="0" y="1211579"/>
                                </a:moveTo>
                                <a:lnTo>
                                  <a:pt x="41148" y="1211579"/>
                                </a:lnTo>
                              </a:path>
                              <a:path w="3035935" h="3634740">
                                <a:moveTo>
                                  <a:pt x="0" y="807719"/>
                                </a:moveTo>
                                <a:lnTo>
                                  <a:pt x="41148" y="807719"/>
                                </a:lnTo>
                              </a:path>
                              <a:path w="3035935" h="3634740">
                                <a:moveTo>
                                  <a:pt x="0" y="403859"/>
                                </a:moveTo>
                                <a:lnTo>
                                  <a:pt x="41148" y="403859"/>
                                </a:lnTo>
                              </a:path>
                              <a:path w="3035935" h="3634740">
                                <a:moveTo>
                                  <a:pt x="0" y="0"/>
                                </a:moveTo>
                                <a:lnTo>
                                  <a:pt x="41148" y="0"/>
                                </a:lnTo>
                              </a:path>
                              <a:path w="3035935" h="3634740">
                                <a:moveTo>
                                  <a:pt x="41148" y="3230879"/>
                                </a:moveTo>
                                <a:lnTo>
                                  <a:pt x="3035808" y="3230879"/>
                                </a:lnTo>
                              </a:path>
                              <a:path w="3035935" h="3634740">
                                <a:moveTo>
                                  <a:pt x="41148" y="3230879"/>
                                </a:moveTo>
                                <a:lnTo>
                                  <a:pt x="41148" y="3270504"/>
                                </a:lnTo>
                              </a:path>
                              <a:path w="3035935" h="3634740">
                                <a:moveTo>
                                  <a:pt x="3035808" y="3230879"/>
                                </a:moveTo>
                                <a:lnTo>
                                  <a:pt x="3035808" y="3270504"/>
                                </a:lnTo>
                              </a:path>
                            </a:pathLst>
                          </a:custGeom>
                          <a:ln w="6096">
                            <a:solidFill>
                              <a:srgbClr val="888888"/>
                            </a:solidFill>
                            <a:prstDash val="solid"/>
                          </a:ln>
                        </wps:spPr>
                        <wps:bodyPr wrap="square" lIns="0" tIns="0" rIns="0" bIns="0" rtlCol="0">
                          <a:prstTxWarp prst="textNoShape">
                            <a:avLst/>
                          </a:prstTxWarp>
                          <a:noAutofit/>
                        </wps:bodyPr>
                      </wps:wsp>
                      <pic:pic>
                        <pic:nvPicPr>
                          <pic:cNvPr id="119" name="Image 119"/>
                          <pic:cNvPicPr/>
                        </pic:nvPicPr>
                        <pic:blipFill>
                          <a:blip r:embed="rId282" cstate="print"/>
                          <a:stretch>
                            <a:fillRect/>
                          </a:stretch>
                        </pic:blipFill>
                        <pic:spPr>
                          <a:xfrm>
                            <a:off x="6858" y="0"/>
                            <a:ext cx="3041142" cy="3333132"/>
                          </a:xfrm>
                          <a:prstGeom prst="rect">
                            <a:avLst/>
                          </a:prstGeom>
                        </pic:spPr>
                      </pic:pic>
                      <wps:wsp>
                        <wps:cNvPr id="120" name="Textbox 120"/>
                        <wps:cNvSpPr txBox="1"/>
                        <wps:spPr>
                          <a:xfrm>
                            <a:off x="3074161" y="1503807"/>
                            <a:ext cx="142240" cy="1045210"/>
                          </a:xfrm>
                          <a:prstGeom prst="rect">
                            <a:avLst/>
                          </a:prstGeom>
                        </wps:spPr>
                        <wps:txbx>
                          <w:txbxContent>
                            <w:p>
                              <w:pPr>
                                <w:spacing w:line="203" w:lineRule="exact" w:before="0"/>
                                <w:ind w:left="0" w:right="0" w:firstLine="0"/>
                                <w:jc w:val="left"/>
                                <w:rPr>
                                  <w:sz w:val="20"/>
                                </w:rPr>
                              </w:pPr>
                              <w:r>
                                <w:rPr>
                                  <w:spacing w:val="-5"/>
                                  <w:sz w:val="20"/>
                                </w:rPr>
                                <w:t>LE</w:t>
                              </w:r>
                            </w:p>
                            <w:p>
                              <w:pPr>
                                <w:spacing w:before="118"/>
                                <w:ind w:left="0" w:right="0" w:firstLine="0"/>
                                <w:jc w:val="left"/>
                                <w:rPr>
                                  <w:sz w:val="20"/>
                                </w:rPr>
                              </w:pPr>
                              <w:r>
                                <w:rPr>
                                  <w:spacing w:val="-5"/>
                                  <w:sz w:val="20"/>
                                </w:rPr>
                                <w:t>CE</w:t>
                              </w:r>
                            </w:p>
                            <w:p>
                              <w:pPr>
                                <w:spacing w:line="362" w:lineRule="exact" w:before="0"/>
                                <w:ind w:left="0" w:right="38" w:firstLine="0"/>
                                <w:jc w:val="both"/>
                                <w:rPr>
                                  <w:sz w:val="20"/>
                                </w:rPr>
                              </w:pPr>
                              <w:r>
                                <w:rPr>
                                  <w:spacing w:val="-6"/>
                                  <w:sz w:val="20"/>
                                </w:rPr>
                                <w:t>Le</w:t>
                              </w:r>
                              <w:r>
                                <w:rPr>
                                  <w:sz w:val="20"/>
                                </w:rPr>
                                <w:t> </w:t>
                              </w:r>
                              <w:r>
                                <w:rPr>
                                  <w:spacing w:val="-10"/>
                                  <w:sz w:val="20"/>
                                </w:rPr>
                                <w:t>H</w:t>
                              </w:r>
                              <w:r>
                                <w:rPr>
                                  <w:sz w:val="20"/>
                                </w:rPr>
                                <w:t> </w:t>
                              </w:r>
                              <w:r>
                                <w:rPr>
                                  <w:spacing w:val="-10"/>
                                  <w:sz w:val="20"/>
                                </w:rPr>
                                <w:t>H</w:t>
                              </w:r>
                            </w:p>
                          </w:txbxContent>
                        </wps:txbx>
                        <wps:bodyPr wrap="square" lIns="0" tIns="0" rIns="0" bIns="0" rtlCol="0">
                          <a:noAutofit/>
                        </wps:bodyPr>
                      </wps:wsp>
                      <wps:wsp>
                        <wps:cNvPr id="121" name="Textbox 121"/>
                        <wps:cNvSpPr txBox="1"/>
                        <wps:spPr>
                          <a:xfrm>
                            <a:off x="8509" y="3407917"/>
                            <a:ext cx="3168650" cy="127000"/>
                          </a:xfrm>
                          <a:prstGeom prst="rect">
                            <a:avLst/>
                          </a:prstGeom>
                        </wps:spPr>
                        <wps:txbx>
                          <w:txbxContent>
                            <w:p>
                              <w:pPr>
                                <w:tabs>
                                  <w:tab w:pos="370" w:val="left" w:leader="none"/>
                                </w:tabs>
                                <w:spacing w:line="199" w:lineRule="exact" w:before="0"/>
                                <w:ind w:left="0" w:right="0" w:firstLine="0"/>
                                <w:jc w:val="left"/>
                                <w:rPr>
                                  <w:sz w:val="20"/>
                                </w:rPr>
                              </w:pPr>
                              <w:r>
                                <w:rPr>
                                  <w:spacing w:val="-10"/>
                                  <w:sz w:val="20"/>
                                </w:rPr>
                                <w:t>0</w:t>
                              </w:r>
                              <w:r>
                                <w:rPr>
                                  <w:sz w:val="20"/>
                                </w:rPr>
                                <w:tab/>
                                <w:t>150</w:t>
                              </w:r>
                              <w:r>
                                <w:rPr>
                                  <w:spacing w:val="35"/>
                                  <w:sz w:val="20"/>
                                </w:rPr>
                                <w:t>  </w:t>
                              </w:r>
                              <w:r>
                                <w:rPr>
                                  <w:sz w:val="20"/>
                                </w:rPr>
                                <w:t>300</w:t>
                              </w:r>
                              <w:r>
                                <w:rPr>
                                  <w:spacing w:val="35"/>
                                  <w:sz w:val="20"/>
                                </w:rPr>
                                <w:t>  </w:t>
                              </w:r>
                              <w:r>
                                <w:rPr>
                                  <w:sz w:val="20"/>
                                </w:rPr>
                                <w:t>450</w:t>
                              </w:r>
                              <w:r>
                                <w:rPr>
                                  <w:spacing w:val="35"/>
                                  <w:sz w:val="20"/>
                                </w:rPr>
                                <w:t>  </w:t>
                              </w:r>
                              <w:r>
                                <w:rPr>
                                  <w:sz w:val="20"/>
                                </w:rPr>
                                <w:t>600</w:t>
                              </w:r>
                              <w:r>
                                <w:rPr>
                                  <w:spacing w:val="35"/>
                                  <w:sz w:val="20"/>
                                </w:rPr>
                                <w:t>  </w:t>
                              </w:r>
                              <w:r>
                                <w:rPr>
                                  <w:sz w:val="20"/>
                                </w:rPr>
                                <w:t>750</w:t>
                              </w:r>
                              <w:r>
                                <w:rPr>
                                  <w:spacing w:val="35"/>
                                  <w:sz w:val="20"/>
                                </w:rPr>
                                <w:t>  </w:t>
                              </w:r>
                              <w:r>
                                <w:rPr>
                                  <w:sz w:val="20"/>
                                </w:rPr>
                                <w:t>900</w:t>
                              </w:r>
                              <w:r>
                                <w:rPr>
                                  <w:spacing w:val="68"/>
                                  <w:sz w:val="20"/>
                                </w:rPr>
                                <w:t> </w:t>
                              </w:r>
                              <w:r>
                                <w:rPr>
                                  <w:sz w:val="20"/>
                                </w:rPr>
                                <w:t>1050</w:t>
                              </w:r>
                              <w:r>
                                <w:rPr>
                                  <w:spacing w:val="20"/>
                                  <w:sz w:val="20"/>
                                </w:rPr>
                                <w:t> </w:t>
                              </w:r>
                              <w:r>
                                <w:rPr>
                                  <w:sz w:val="20"/>
                                </w:rPr>
                                <w:t>1200</w:t>
                              </w:r>
                              <w:r>
                                <w:rPr>
                                  <w:spacing w:val="20"/>
                                  <w:sz w:val="20"/>
                                </w:rPr>
                                <w:t> </w:t>
                              </w:r>
                              <w:r>
                                <w:rPr>
                                  <w:sz w:val="20"/>
                                </w:rPr>
                                <w:t>1350</w:t>
                              </w:r>
                              <w:r>
                                <w:rPr>
                                  <w:spacing w:val="20"/>
                                  <w:sz w:val="20"/>
                                </w:rPr>
                                <w:t> </w:t>
                              </w:r>
                              <w:r>
                                <w:rPr>
                                  <w:spacing w:val="-4"/>
                                  <w:sz w:val="20"/>
                                </w:rPr>
                                <w:t>1500</w:t>
                              </w:r>
                            </w:p>
                          </w:txbxContent>
                        </wps:txbx>
                        <wps:bodyPr wrap="square" lIns="0" tIns="0" rIns="0" bIns="0" rtlCol="0">
                          <a:noAutofit/>
                        </wps:bodyPr>
                      </wps:wsp>
                    </wpg:wgp>
                  </a:graphicData>
                </a:graphic>
              </wp:anchor>
            </w:drawing>
          </mc:Choice>
          <mc:Fallback>
            <w:pict>
              <v:group style="position:absolute;margin-left:133.559998pt;margin-top:6.44pt;width:253.25pt;height:289.1pt;mso-position-horizontal-relative:page;mso-position-vertical-relative:paragraph;z-index:-30603776" id="docshapegroup95" coordorigin="2671,129" coordsize="5065,5782">
                <v:shape style="position:absolute;left:2671;top:181;width:4781;height:5724" id="docshape96" coordorigin="2671,182" coordsize="4781,5724" path="m2736,5906l2736,182m2671,5906l2736,5906m2671,5270l2736,5270m2671,4634l2736,4634m2671,3998l2736,3998m2671,3362l2736,3362m2671,2726l2736,2726m2671,2090l2736,2090m2671,1454l2736,1454m2671,818l2736,818m2671,182l2736,182m2736,5270l7452,5270m2736,5270l2736,5332m7452,5270l7452,5332e" filled="false" stroked="true" strokeweight=".48pt" strokecolor="#888888">
                  <v:path arrowok="t"/>
                  <v:stroke dashstyle="solid"/>
                </v:shape>
                <v:shape style="position:absolute;left:2682;top:128;width:4790;height:5250" type="#_x0000_t75" id="docshape97" stroked="false">
                  <v:imagedata r:id="rId282" o:title=""/>
                </v:shape>
                <v:shape style="position:absolute;left:7512;top:2497;width:224;height:1646" type="#_x0000_t202" id="docshape98" filled="false" stroked="false">
                  <v:textbox inset="0,0,0,0">
                    <w:txbxContent>
                      <w:p>
                        <w:pPr>
                          <w:spacing w:line="203" w:lineRule="exact" w:before="0"/>
                          <w:ind w:left="0" w:right="0" w:firstLine="0"/>
                          <w:jc w:val="left"/>
                          <w:rPr>
                            <w:sz w:val="20"/>
                          </w:rPr>
                        </w:pPr>
                        <w:r>
                          <w:rPr>
                            <w:spacing w:val="-5"/>
                            <w:sz w:val="20"/>
                          </w:rPr>
                          <w:t>LE</w:t>
                        </w:r>
                      </w:p>
                      <w:p>
                        <w:pPr>
                          <w:spacing w:before="118"/>
                          <w:ind w:left="0" w:right="0" w:firstLine="0"/>
                          <w:jc w:val="left"/>
                          <w:rPr>
                            <w:sz w:val="20"/>
                          </w:rPr>
                        </w:pPr>
                        <w:r>
                          <w:rPr>
                            <w:spacing w:val="-5"/>
                            <w:sz w:val="20"/>
                          </w:rPr>
                          <w:t>CE</w:t>
                        </w:r>
                      </w:p>
                      <w:p>
                        <w:pPr>
                          <w:spacing w:line="362" w:lineRule="exact" w:before="0"/>
                          <w:ind w:left="0" w:right="38" w:firstLine="0"/>
                          <w:jc w:val="both"/>
                          <w:rPr>
                            <w:sz w:val="20"/>
                          </w:rPr>
                        </w:pPr>
                        <w:r>
                          <w:rPr>
                            <w:spacing w:val="-6"/>
                            <w:sz w:val="20"/>
                          </w:rPr>
                          <w:t>Le</w:t>
                        </w:r>
                        <w:r>
                          <w:rPr>
                            <w:sz w:val="20"/>
                          </w:rPr>
                          <w:t> </w:t>
                        </w:r>
                        <w:r>
                          <w:rPr>
                            <w:spacing w:val="-10"/>
                            <w:sz w:val="20"/>
                          </w:rPr>
                          <w:t>H</w:t>
                        </w:r>
                        <w:r>
                          <w:rPr>
                            <w:sz w:val="20"/>
                          </w:rPr>
                          <w:t> </w:t>
                        </w:r>
                        <w:r>
                          <w:rPr>
                            <w:spacing w:val="-10"/>
                            <w:sz w:val="20"/>
                          </w:rPr>
                          <w:t>H</w:t>
                        </w:r>
                      </w:p>
                    </w:txbxContent>
                  </v:textbox>
                  <w10:wrap type="none"/>
                </v:shape>
                <v:shape style="position:absolute;left:2684;top:5495;width:4990;height:200" type="#_x0000_t202" id="docshape99" filled="false" stroked="false">
                  <v:textbox inset="0,0,0,0">
                    <w:txbxContent>
                      <w:p>
                        <w:pPr>
                          <w:tabs>
                            <w:tab w:pos="370" w:val="left" w:leader="none"/>
                          </w:tabs>
                          <w:spacing w:line="199" w:lineRule="exact" w:before="0"/>
                          <w:ind w:left="0" w:right="0" w:firstLine="0"/>
                          <w:jc w:val="left"/>
                          <w:rPr>
                            <w:sz w:val="20"/>
                          </w:rPr>
                        </w:pPr>
                        <w:r>
                          <w:rPr>
                            <w:spacing w:val="-10"/>
                            <w:sz w:val="20"/>
                          </w:rPr>
                          <w:t>0</w:t>
                        </w:r>
                        <w:r>
                          <w:rPr>
                            <w:sz w:val="20"/>
                          </w:rPr>
                          <w:tab/>
                          <w:t>150</w:t>
                        </w:r>
                        <w:r>
                          <w:rPr>
                            <w:spacing w:val="35"/>
                            <w:sz w:val="20"/>
                          </w:rPr>
                          <w:t>  </w:t>
                        </w:r>
                        <w:r>
                          <w:rPr>
                            <w:sz w:val="20"/>
                          </w:rPr>
                          <w:t>300</w:t>
                        </w:r>
                        <w:r>
                          <w:rPr>
                            <w:spacing w:val="35"/>
                            <w:sz w:val="20"/>
                          </w:rPr>
                          <w:t>  </w:t>
                        </w:r>
                        <w:r>
                          <w:rPr>
                            <w:sz w:val="20"/>
                          </w:rPr>
                          <w:t>450</w:t>
                        </w:r>
                        <w:r>
                          <w:rPr>
                            <w:spacing w:val="35"/>
                            <w:sz w:val="20"/>
                          </w:rPr>
                          <w:t>  </w:t>
                        </w:r>
                        <w:r>
                          <w:rPr>
                            <w:sz w:val="20"/>
                          </w:rPr>
                          <w:t>600</w:t>
                        </w:r>
                        <w:r>
                          <w:rPr>
                            <w:spacing w:val="35"/>
                            <w:sz w:val="20"/>
                          </w:rPr>
                          <w:t>  </w:t>
                        </w:r>
                        <w:r>
                          <w:rPr>
                            <w:sz w:val="20"/>
                          </w:rPr>
                          <w:t>750</w:t>
                        </w:r>
                        <w:r>
                          <w:rPr>
                            <w:spacing w:val="35"/>
                            <w:sz w:val="20"/>
                          </w:rPr>
                          <w:t>  </w:t>
                        </w:r>
                        <w:r>
                          <w:rPr>
                            <w:sz w:val="20"/>
                          </w:rPr>
                          <w:t>900</w:t>
                        </w:r>
                        <w:r>
                          <w:rPr>
                            <w:spacing w:val="68"/>
                            <w:sz w:val="20"/>
                          </w:rPr>
                          <w:t> </w:t>
                        </w:r>
                        <w:r>
                          <w:rPr>
                            <w:sz w:val="20"/>
                          </w:rPr>
                          <w:t>1050</w:t>
                        </w:r>
                        <w:r>
                          <w:rPr>
                            <w:spacing w:val="20"/>
                            <w:sz w:val="20"/>
                          </w:rPr>
                          <w:t> </w:t>
                        </w:r>
                        <w:r>
                          <w:rPr>
                            <w:sz w:val="20"/>
                          </w:rPr>
                          <w:t>1200</w:t>
                        </w:r>
                        <w:r>
                          <w:rPr>
                            <w:spacing w:val="20"/>
                            <w:sz w:val="20"/>
                          </w:rPr>
                          <w:t> </w:t>
                        </w:r>
                        <w:r>
                          <w:rPr>
                            <w:sz w:val="20"/>
                          </w:rPr>
                          <w:t>1350</w:t>
                        </w:r>
                        <w:r>
                          <w:rPr>
                            <w:spacing w:val="20"/>
                            <w:sz w:val="20"/>
                          </w:rPr>
                          <w:t> </w:t>
                        </w:r>
                        <w:r>
                          <w:rPr>
                            <w:spacing w:val="-4"/>
                            <w:sz w:val="20"/>
                          </w:rPr>
                          <w:t>1500</w:t>
                        </w:r>
                      </w:p>
                    </w:txbxContent>
                  </v:textbox>
                  <w10:wrap type="none"/>
                </v:shape>
                <w10:wrap type="none"/>
              </v:group>
            </w:pict>
          </mc:Fallback>
        </mc:AlternateContent>
      </w:r>
      <w:r>
        <w:rPr>
          <w:spacing w:val="-10"/>
          <w:sz w:val="20"/>
        </w:rPr>
        <w:t>4</w:t>
      </w:r>
    </w:p>
    <w:p>
      <w:pPr>
        <w:pStyle w:val="BodyText"/>
        <w:spacing w:before="148"/>
        <w:rPr>
          <w:sz w:val="20"/>
        </w:rPr>
      </w:pPr>
    </w:p>
    <w:p>
      <w:pPr>
        <w:spacing w:before="0"/>
        <w:ind w:left="1238" w:right="0" w:firstLine="0"/>
        <w:jc w:val="left"/>
        <w:rPr>
          <w:sz w:val="20"/>
        </w:rPr>
      </w:pPr>
      <w:r>
        <w:rPr>
          <w:spacing w:val="-5"/>
          <w:sz w:val="20"/>
        </w:rPr>
        <w:t>3.5</w:t>
      </w:r>
    </w:p>
    <w:p>
      <w:pPr>
        <w:pStyle w:val="BodyText"/>
        <w:spacing w:before="148"/>
        <w:rPr>
          <w:sz w:val="20"/>
        </w:rPr>
      </w:pPr>
    </w:p>
    <w:p>
      <w:pPr>
        <w:spacing w:before="1"/>
        <w:ind w:left="1388" w:right="0" w:firstLine="0"/>
        <w:jc w:val="left"/>
        <w:rPr>
          <w:sz w:val="20"/>
        </w:rPr>
      </w:pPr>
      <w:r>
        <w:rPr>
          <w:spacing w:val="-10"/>
          <w:sz w:val="20"/>
        </w:rPr>
        <w:t>3</w:t>
      </w:r>
    </w:p>
    <w:p>
      <w:pPr>
        <w:pStyle w:val="BodyText"/>
        <w:spacing w:before="147"/>
        <w:rPr>
          <w:sz w:val="20"/>
        </w:rPr>
      </w:pPr>
    </w:p>
    <w:p>
      <w:pPr>
        <w:spacing w:before="0"/>
        <w:ind w:left="1238" w:right="0" w:firstLine="0"/>
        <w:jc w:val="left"/>
        <w:rPr>
          <w:sz w:val="20"/>
        </w:rPr>
      </w:pPr>
      <w:r>
        <w:rPr/>
        <mc:AlternateContent>
          <mc:Choice Requires="wps">
            <w:drawing>
              <wp:anchor distT="0" distB="0" distL="0" distR="0" allowOverlap="1" layoutInCell="1" locked="0" behindDoc="0" simplePos="0" relativeHeight="15738368">
                <wp:simplePos x="0" y="0"/>
                <wp:positionH relativeFrom="page">
                  <wp:posOffset>1142576</wp:posOffset>
                </wp:positionH>
                <wp:positionV relativeFrom="paragraph">
                  <wp:posOffset>-63119</wp:posOffset>
                </wp:positionV>
                <wp:extent cx="194310" cy="151193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194310" cy="1511935"/>
                        </a:xfrm>
                        <a:prstGeom prst="rect">
                          <a:avLst/>
                        </a:prstGeom>
                      </wps:spPr>
                      <wps:txbx>
                        <w:txbxContent>
                          <w:p>
                            <w:pPr>
                              <w:spacing w:before="10"/>
                              <w:ind w:left="20" w:right="0" w:firstLine="0"/>
                              <w:jc w:val="left"/>
                              <w:rPr>
                                <w:rFonts w:ascii="Times New Roman"/>
                                <w:b/>
                                <w:sz w:val="24"/>
                              </w:rPr>
                            </w:pPr>
                            <w:r>
                              <w:rPr>
                                <w:rFonts w:ascii="Times New Roman"/>
                                <w:b/>
                                <w:sz w:val="24"/>
                              </w:rPr>
                              <w:t>Log</w:t>
                            </w:r>
                            <w:r>
                              <w:rPr>
                                <w:rFonts w:ascii="Times New Roman"/>
                                <w:b/>
                                <w:spacing w:val="-4"/>
                                <w:sz w:val="24"/>
                              </w:rPr>
                              <w:t> </w:t>
                            </w:r>
                            <w:r>
                              <w:rPr>
                                <w:rFonts w:ascii="Times New Roman"/>
                                <w:b/>
                                <w:sz w:val="24"/>
                              </w:rPr>
                              <w:t>Survvival</w:t>
                            </w:r>
                            <w:r>
                              <w:rPr>
                                <w:rFonts w:ascii="Times New Roman"/>
                                <w:b/>
                                <w:spacing w:val="-2"/>
                                <w:sz w:val="24"/>
                              </w:rPr>
                              <w:t> Cells/ml</w:t>
                            </w:r>
                          </w:p>
                        </w:txbxContent>
                      </wps:txbx>
                      <wps:bodyPr wrap="square" lIns="0" tIns="0" rIns="0" bIns="0" rtlCol="0" vert="vert270">
                        <a:noAutofit/>
                      </wps:bodyPr>
                    </wps:wsp>
                  </a:graphicData>
                </a:graphic>
              </wp:anchor>
            </w:drawing>
          </mc:Choice>
          <mc:Fallback>
            <w:pict>
              <v:shape style="position:absolute;margin-left:89.966637pt;margin-top:-4.970042pt;width:15.3pt;height:119.05pt;mso-position-horizontal-relative:page;mso-position-vertical-relative:paragraph;z-index:15738368" type="#_x0000_t202" id="docshape100" filled="false" stroked="false">
                <v:textbox inset="0,0,0,0" style="layout-flow:vertical;mso-layout-flow-alt:bottom-to-top">
                  <w:txbxContent>
                    <w:p>
                      <w:pPr>
                        <w:spacing w:before="10"/>
                        <w:ind w:left="20" w:right="0" w:firstLine="0"/>
                        <w:jc w:val="left"/>
                        <w:rPr>
                          <w:rFonts w:ascii="Times New Roman"/>
                          <w:b/>
                          <w:sz w:val="24"/>
                        </w:rPr>
                      </w:pPr>
                      <w:r>
                        <w:rPr>
                          <w:rFonts w:ascii="Times New Roman"/>
                          <w:b/>
                          <w:sz w:val="24"/>
                        </w:rPr>
                        <w:t>Log</w:t>
                      </w:r>
                      <w:r>
                        <w:rPr>
                          <w:rFonts w:ascii="Times New Roman"/>
                          <w:b/>
                          <w:spacing w:val="-4"/>
                          <w:sz w:val="24"/>
                        </w:rPr>
                        <w:t> </w:t>
                      </w:r>
                      <w:r>
                        <w:rPr>
                          <w:rFonts w:ascii="Times New Roman"/>
                          <w:b/>
                          <w:sz w:val="24"/>
                        </w:rPr>
                        <w:t>Survvival</w:t>
                      </w:r>
                      <w:r>
                        <w:rPr>
                          <w:rFonts w:ascii="Times New Roman"/>
                          <w:b/>
                          <w:spacing w:val="-2"/>
                          <w:sz w:val="24"/>
                        </w:rPr>
                        <w:t> Cells/ml</w:t>
                      </w:r>
                    </w:p>
                  </w:txbxContent>
                </v:textbox>
                <w10:wrap type="none"/>
              </v:shape>
            </w:pict>
          </mc:Fallback>
        </mc:AlternateContent>
      </w:r>
      <w:r>
        <w:rPr>
          <w:spacing w:val="-5"/>
          <w:sz w:val="20"/>
        </w:rPr>
        <w:t>2.5</w:t>
      </w:r>
    </w:p>
    <w:p>
      <w:pPr>
        <w:pStyle w:val="BodyText"/>
        <w:spacing w:before="2"/>
        <w:rPr>
          <w:sz w:val="16"/>
        </w:rPr>
      </w:pPr>
    </w:p>
    <w:p>
      <w:pPr>
        <w:spacing w:after="0"/>
        <w:rPr>
          <w:sz w:val="16"/>
        </w:rPr>
        <w:sectPr>
          <w:pgSz w:w="11910" w:h="16840"/>
          <w:pgMar w:header="0" w:footer="1055" w:top="1600" w:bottom="1240" w:left="1060" w:right="460"/>
        </w:sectPr>
      </w:pPr>
    </w:p>
    <w:p>
      <w:pPr>
        <w:spacing w:before="195"/>
        <w:ind w:left="0" w:right="39" w:firstLine="0"/>
        <w:jc w:val="right"/>
        <w:rPr>
          <w:sz w:val="20"/>
        </w:rPr>
      </w:pPr>
      <w:r>
        <w:rPr>
          <w:spacing w:val="-10"/>
          <w:sz w:val="20"/>
        </w:rPr>
        <w:t>2</w:t>
      </w:r>
    </w:p>
    <w:p>
      <w:pPr>
        <w:pStyle w:val="BodyText"/>
        <w:spacing w:before="148"/>
        <w:rPr>
          <w:sz w:val="20"/>
        </w:rPr>
      </w:pPr>
    </w:p>
    <w:p>
      <w:pPr>
        <w:spacing w:before="0"/>
        <w:ind w:left="0" w:right="38" w:firstLine="0"/>
        <w:jc w:val="right"/>
        <w:rPr>
          <w:sz w:val="20"/>
        </w:rPr>
      </w:pPr>
      <w:r>
        <w:rPr>
          <w:spacing w:val="-5"/>
          <w:sz w:val="20"/>
        </w:rPr>
        <w:t>1.5</w:t>
      </w:r>
    </w:p>
    <w:p>
      <w:pPr>
        <w:pStyle w:val="BodyText"/>
        <w:spacing w:before="147"/>
        <w:rPr>
          <w:sz w:val="20"/>
        </w:rPr>
      </w:pPr>
    </w:p>
    <w:p>
      <w:pPr>
        <w:spacing w:before="1"/>
        <w:ind w:left="0" w:right="39" w:firstLine="0"/>
        <w:jc w:val="right"/>
        <w:rPr>
          <w:sz w:val="20"/>
        </w:rPr>
      </w:pPr>
      <w:r>
        <w:rPr>
          <w:spacing w:val="-10"/>
          <w:sz w:val="20"/>
        </w:rPr>
        <w:t>1</w:t>
      </w:r>
    </w:p>
    <w:p>
      <w:pPr>
        <w:spacing w:line="355" w:lineRule="auto" w:before="59"/>
        <w:ind w:left="1317" w:right="2626" w:hanging="22"/>
        <w:jc w:val="left"/>
        <w:rPr>
          <w:sz w:val="20"/>
        </w:rPr>
      </w:pPr>
      <w:r>
        <w:rPr/>
        <w:br w:type="column"/>
      </w:r>
      <w:r>
        <w:rPr>
          <w:sz w:val="20"/>
        </w:rPr>
        <w:t>V</w:t>
      </w:r>
      <w:r>
        <w:rPr>
          <w:spacing w:val="-12"/>
          <w:sz w:val="20"/>
        </w:rPr>
        <w:t> </w:t>
      </w:r>
      <w:r>
        <w:rPr>
          <w:sz w:val="20"/>
        </w:rPr>
        <w:t>(7.81µg/ml) F</w:t>
      </w:r>
      <w:r>
        <w:rPr>
          <w:spacing w:val="-4"/>
          <w:sz w:val="20"/>
        </w:rPr>
        <w:t> </w:t>
      </w:r>
      <w:r>
        <w:rPr>
          <w:spacing w:val="-2"/>
          <w:sz w:val="20"/>
        </w:rPr>
        <w:t>(12.5µg/ml)</w:t>
      </w:r>
    </w:p>
    <w:p>
      <w:pPr>
        <w:spacing w:line="355" w:lineRule="auto" w:before="1"/>
        <w:ind w:left="1238" w:right="1867" w:firstLine="58"/>
        <w:jc w:val="left"/>
        <w:rPr>
          <w:sz w:val="20"/>
        </w:rPr>
      </w:pPr>
      <w:r>
        <w:rPr>
          <w:sz w:val="20"/>
        </w:rPr>
        <w:t>mon</w:t>
      </w:r>
      <w:r>
        <w:rPr>
          <w:spacing w:val="-12"/>
          <w:sz w:val="20"/>
        </w:rPr>
        <w:t> </w:t>
      </w:r>
      <w:r>
        <w:rPr>
          <w:sz w:val="20"/>
        </w:rPr>
        <w:t>(20µg/ml</w:t>
      </w:r>
      <w:r>
        <w:rPr>
          <w:spacing w:val="-11"/>
          <w:sz w:val="20"/>
        </w:rPr>
        <w:t> </w:t>
      </w:r>
      <w:r>
        <w:rPr>
          <w:sz w:val="20"/>
        </w:rPr>
        <w:t>v/v) oney</w:t>
      </w:r>
      <w:r>
        <w:rPr>
          <w:spacing w:val="-9"/>
          <w:sz w:val="20"/>
        </w:rPr>
        <w:t> </w:t>
      </w:r>
      <w:r>
        <w:rPr>
          <w:sz w:val="20"/>
        </w:rPr>
        <w:t>(50µg/ml</w:t>
      </w:r>
      <w:r>
        <w:rPr>
          <w:spacing w:val="-6"/>
          <w:sz w:val="20"/>
        </w:rPr>
        <w:t> </w:t>
      </w:r>
      <w:r>
        <w:rPr>
          <w:spacing w:val="-4"/>
          <w:sz w:val="20"/>
        </w:rPr>
        <w:t>v/v)</w:t>
      </w:r>
    </w:p>
    <w:p>
      <w:pPr>
        <w:spacing w:before="1"/>
        <w:ind w:left="1238" w:right="0" w:firstLine="0"/>
        <w:jc w:val="left"/>
        <w:rPr>
          <w:sz w:val="20"/>
        </w:rPr>
      </w:pPr>
      <w:r>
        <w:rPr>
          <w:sz w:val="20"/>
        </w:rPr>
        <w:t>oney/Lemon</w:t>
      </w:r>
      <w:r>
        <w:rPr>
          <w:spacing w:val="-11"/>
          <w:sz w:val="20"/>
        </w:rPr>
        <w:t> </w:t>
      </w:r>
      <w:r>
        <w:rPr>
          <w:sz w:val="20"/>
        </w:rPr>
        <w:t>(20µg/ml</w:t>
      </w:r>
      <w:r>
        <w:rPr>
          <w:spacing w:val="-9"/>
          <w:sz w:val="20"/>
        </w:rPr>
        <w:t> </w:t>
      </w:r>
      <w:r>
        <w:rPr>
          <w:spacing w:val="-4"/>
          <w:sz w:val="20"/>
        </w:rPr>
        <w:t>v/v)</w:t>
      </w:r>
    </w:p>
    <w:p>
      <w:pPr>
        <w:spacing w:after="0"/>
        <w:jc w:val="left"/>
        <w:rPr>
          <w:sz w:val="20"/>
        </w:rPr>
        <w:sectPr>
          <w:type w:val="continuous"/>
          <w:pgSz w:w="11910" w:h="16840"/>
          <w:pgMar w:header="0" w:footer="1055" w:top="1360" w:bottom="1240" w:left="1060" w:right="460"/>
          <w:cols w:num="2" w:equalWidth="0">
            <w:col w:w="1531" w:space="3808"/>
            <w:col w:w="5051"/>
          </w:cols>
        </w:sectPr>
      </w:pPr>
    </w:p>
    <w:p>
      <w:pPr>
        <w:pStyle w:val="BodyText"/>
        <w:spacing w:before="108"/>
        <w:rPr>
          <w:sz w:val="20"/>
        </w:rPr>
      </w:pPr>
    </w:p>
    <w:p>
      <w:pPr>
        <w:spacing w:before="1"/>
        <w:ind w:left="1238" w:right="0" w:firstLine="0"/>
        <w:jc w:val="left"/>
        <w:rPr>
          <w:sz w:val="20"/>
        </w:rPr>
      </w:pPr>
      <w:r>
        <w:rPr>
          <w:spacing w:val="-5"/>
          <w:sz w:val="20"/>
        </w:rPr>
        <w:t>0.5</w:t>
      </w:r>
    </w:p>
    <w:p>
      <w:pPr>
        <w:pStyle w:val="BodyText"/>
        <w:spacing w:before="148"/>
        <w:rPr>
          <w:sz w:val="20"/>
        </w:rPr>
      </w:pPr>
    </w:p>
    <w:p>
      <w:pPr>
        <w:spacing w:before="0"/>
        <w:ind w:left="1388" w:right="0" w:firstLine="0"/>
        <w:jc w:val="left"/>
        <w:rPr>
          <w:sz w:val="20"/>
        </w:rPr>
      </w:pPr>
      <w:r>
        <w:rPr>
          <w:spacing w:val="-10"/>
          <w:sz w:val="20"/>
        </w:rPr>
        <w:t>0</w:t>
      </w:r>
    </w:p>
    <w:p>
      <w:pPr>
        <w:pStyle w:val="BodyText"/>
        <w:spacing w:before="88"/>
        <w:rPr>
          <w:sz w:val="20"/>
        </w:rPr>
      </w:pPr>
    </w:p>
    <w:p>
      <w:pPr>
        <w:spacing w:after="0"/>
        <w:rPr>
          <w:sz w:val="20"/>
        </w:rPr>
        <w:sectPr>
          <w:type w:val="continuous"/>
          <w:pgSz w:w="11910" w:h="16840"/>
          <w:pgMar w:header="0" w:footer="1055" w:top="1360" w:bottom="1240" w:left="1060" w:right="460"/>
        </w:sectPr>
      </w:pPr>
    </w:p>
    <w:p>
      <w:pPr>
        <w:spacing w:before="60"/>
        <w:ind w:left="0" w:right="38" w:firstLine="0"/>
        <w:jc w:val="right"/>
        <w:rPr>
          <w:sz w:val="20"/>
        </w:rPr>
      </w:pPr>
      <w:r>
        <w:rPr>
          <w:spacing w:val="-2"/>
          <w:sz w:val="20"/>
        </w:rPr>
        <w:t>-</w:t>
      </w:r>
      <w:r>
        <w:rPr>
          <w:spacing w:val="-5"/>
          <w:sz w:val="20"/>
        </w:rPr>
        <w:t>0.5</w:t>
      </w:r>
    </w:p>
    <w:p>
      <w:pPr>
        <w:pStyle w:val="Heading1"/>
        <w:spacing w:before="223"/>
        <w:ind w:left="1176"/>
      </w:pPr>
      <w:r>
        <w:rPr>
          <w:b w:val="0"/>
        </w:rPr>
        <w:br w:type="column"/>
      </w:r>
      <w:r>
        <w:rPr/>
        <w:t>Time</w:t>
      </w:r>
      <w:r>
        <w:rPr>
          <w:spacing w:val="-11"/>
        </w:rPr>
        <w:t> </w:t>
      </w:r>
      <w:r>
        <w:rPr>
          <w:spacing w:val="-2"/>
        </w:rPr>
        <w:t>(minutes)</w:t>
      </w:r>
    </w:p>
    <w:p>
      <w:pPr>
        <w:spacing w:after="0"/>
        <w:sectPr>
          <w:type w:val="continuous"/>
          <w:pgSz w:w="11910" w:h="16840"/>
          <w:pgMar w:header="0" w:footer="1055" w:top="1360" w:bottom="1240" w:left="1060" w:right="460"/>
          <w:cols w:num="2" w:equalWidth="0">
            <w:col w:w="1529" w:space="551"/>
            <w:col w:w="8310"/>
          </w:cols>
        </w:sectPr>
      </w:pPr>
    </w:p>
    <w:p>
      <w:pPr>
        <w:pStyle w:val="BodyText"/>
        <w:rPr>
          <w:rFonts w:ascii="Times New Roman"/>
          <w:b/>
        </w:rPr>
      </w:pPr>
    </w:p>
    <w:p>
      <w:pPr>
        <w:pStyle w:val="BodyText"/>
        <w:rPr>
          <w:rFonts w:ascii="Times New Roman"/>
          <w:b/>
        </w:rPr>
      </w:pPr>
    </w:p>
    <w:p>
      <w:pPr>
        <w:pStyle w:val="BodyText"/>
        <w:spacing w:before="20"/>
        <w:rPr>
          <w:rFonts w:ascii="Times New Roman"/>
          <w:b/>
        </w:rPr>
      </w:pPr>
    </w:p>
    <w:p>
      <w:pPr>
        <w:pStyle w:val="BodyText"/>
        <w:spacing w:line="259" w:lineRule="auto"/>
        <w:ind w:left="380" w:right="975"/>
      </w:pPr>
      <w:r>
        <w:rPr/>
        <w:t>Figure 4.8: The Log of Survival Cells/ml of </w:t>
      </w:r>
      <w:r>
        <w:rPr>
          <w:i/>
        </w:rPr>
        <w:t>Klebsiella</w:t>
      </w:r>
      <w:r>
        <w:rPr>
          <w:i/>
          <w:spacing w:val="-1"/>
        </w:rPr>
        <w:t> </w:t>
      </w:r>
      <w:r>
        <w:rPr>
          <w:i/>
        </w:rPr>
        <w:t>pneumoniae </w:t>
      </w:r>
      <w:r>
        <w:rPr/>
        <w:t>(Resistant) on exposure to standard antibiotics and honey, lemon and honey/lemon juice mixture.</w:t>
      </w:r>
    </w:p>
    <w:p>
      <w:pPr>
        <w:spacing w:after="0" w:line="259" w:lineRule="auto"/>
        <w:sectPr>
          <w:type w:val="continuous"/>
          <w:pgSz w:w="11910" w:h="16840"/>
          <w:pgMar w:header="0" w:footer="1055" w:top="1360" w:bottom="1240" w:left="1060" w:right="460"/>
        </w:sectPr>
      </w:pPr>
    </w:p>
    <w:p>
      <w:pPr>
        <w:spacing w:before="48"/>
        <w:ind w:left="1086" w:right="0" w:firstLine="0"/>
        <w:jc w:val="left"/>
        <w:rPr>
          <w:sz w:val="20"/>
        </w:rPr>
      </w:pPr>
      <w:r>
        <w:rPr/>
        <mc:AlternateContent>
          <mc:Choice Requires="wps">
            <w:drawing>
              <wp:anchor distT="0" distB="0" distL="0" distR="0" allowOverlap="1" layoutInCell="1" locked="0" behindDoc="1" simplePos="0" relativeHeight="472713728">
                <wp:simplePos x="0" y="0"/>
                <wp:positionH relativeFrom="page">
                  <wp:posOffset>1601724</wp:posOffset>
                </wp:positionH>
                <wp:positionV relativeFrom="paragraph">
                  <wp:posOffset>113284</wp:posOffset>
                </wp:positionV>
                <wp:extent cx="2974975" cy="367919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2974975" cy="3679190"/>
                          <a:chExt cx="2974975" cy="3679190"/>
                        </a:xfrm>
                      </wpg:grpSpPr>
                      <wps:wsp>
                        <wps:cNvPr id="124" name="Graphic 124"/>
                        <wps:cNvSpPr/>
                        <wps:spPr>
                          <a:xfrm>
                            <a:off x="0" y="3047"/>
                            <a:ext cx="40005" cy="3672840"/>
                          </a:xfrm>
                          <a:custGeom>
                            <a:avLst/>
                            <a:gdLst/>
                            <a:ahLst/>
                            <a:cxnLst/>
                            <a:rect l="l" t="t" r="r" b="b"/>
                            <a:pathLst>
                              <a:path w="40005" h="3672840">
                                <a:moveTo>
                                  <a:pt x="39624" y="3672840"/>
                                </a:moveTo>
                                <a:lnTo>
                                  <a:pt x="39624" y="0"/>
                                </a:lnTo>
                              </a:path>
                              <a:path w="40005" h="3672840">
                                <a:moveTo>
                                  <a:pt x="0" y="3672840"/>
                                </a:moveTo>
                                <a:lnTo>
                                  <a:pt x="39624" y="3672840"/>
                                </a:lnTo>
                              </a:path>
                              <a:path w="40005" h="3672840">
                                <a:moveTo>
                                  <a:pt x="0" y="3214116"/>
                                </a:moveTo>
                                <a:lnTo>
                                  <a:pt x="39624" y="3214116"/>
                                </a:lnTo>
                              </a:path>
                              <a:path w="40005" h="3672840">
                                <a:moveTo>
                                  <a:pt x="0" y="2753868"/>
                                </a:moveTo>
                                <a:lnTo>
                                  <a:pt x="39624" y="2753868"/>
                                </a:lnTo>
                              </a:path>
                              <a:path w="40005" h="3672840">
                                <a:moveTo>
                                  <a:pt x="0" y="2295144"/>
                                </a:moveTo>
                                <a:lnTo>
                                  <a:pt x="39624" y="2295144"/>
                                </a:lnTo>
                              </a:path>
                              <a:path w="40005" h="3672840">
                                <a:moveTo>
                                  <a:pt x="0" y="1836420"/>
                                </a:moveTo>
                                <a:lnTo>
                                  <a:pt x="39624" y="1836420"/>
                                </a:lnTo>
                              </a:path>
                              <a:path w="40005" h="3672840">
                                <a:moveTo>
                                  <a:pt x="0" y="1377696"/>
                                </a:moveTo>
                                <a:lnTo>
                                  <a:pt x="39624" y="1377696"/>
                                </a:lnTo>
                              </a:path>
                              <a:path w="40005" h="3672840">
                                <a:moveTo>
                                  <a:pt x="0" y="918972"/>
                                </a:moveTo>
                                <a:lnTo>
                                  <a:pt x="39624" y="918972"/>
                                </a:lnTo>
                              </a:path>
                              <a:path w="40005" h="3672840">
                                <a:moveTo>
                                  <a:pt x="0" y="458724"/>
                                </a:moveTo>
                                <a:lnTo>
                                  <a:pt x="39624" y="458724"/>
                                </a:lnTo>
                              </a:path>
                              <a:path w="40005" h="3672840">
                                <a:moveTo>
                                  <a:pt x="0" y="0"/>
                                </a:moveTo>
                                <a:lnTo>
                                  <a:pt x="39624" y="0"/>
                                </a:lnTo>
                              </a:path>
                            </a:pathLst>
                          </a:custGeom>
                          <a:ln w="6096">
                            <a:solidFill>
                              <a:srgbClr val="888888"/>
                            </a:solidFill>
                            <a:prstDash val="solid"/>
                          </a:ln>
                        </wps:spPr>
                        <wps:bodyPr wrap="square" lIns="0" tIns="0" rIns="0" bIns="0" rtlCol="0">
                          <a:prstTxWarp prst="textNoShape">
                            <a:avLst/>
                          </a:prstTxWarp>
                          <a:noAutofit/>
                        </wps:bodyPr>
                      </wps:wsp>
                      <wps:wsp>
                        <wps:cNvPr id="125" name="Graphic 125"/>
                        <wps:cNvSpPr/>
                        <wps:spPr>
                          <a:xfrm>
                            <a:off x="39623" y="3215639"/>
                            <a:ext cx="2661285" cy="1270"/>
                          </a:xfrm>
                          <a:custGeom>
                            <a:avLst/>
                            <a:gdLst/>
                            <a:ahLst/>
                            <a:cxnLst/>
                            <a:rect l="l" t="t" r="r" b="b"/>
                            <a:pathLst>
                              <a:path w="2661285" h="0">
                                <a:moveTo>
                                  <a:pt x="0" y="0"/>
                                </a:moveTo>
                                <a:lnTo>
                                  <a:pt x="2660904" y="0"/>
                                </a:lnTo>
                              </a:path>
                            </a:pathLst>
                          </a:custGeom>
                          <a:ln w="6096">
                            <a:solidFill>
                              <a:srgbClr val="888888"/>
                            </a:solidFill>
                            <a:prstDash val="solid"/>
                          </a:ln>
                        </wps:spPr>
                        <wps:bodyPr wrap="square" lIns="0" tIns="0" rIns="0" bIns="0" rtlCol="0">
                          <a:prstTxWarp prst="textNoShape">
                            <a:avLst/>
                          </a:prstTxWarp>
                          <a:noAutofit/>
                        </wps:bodyPr>
                      </wps:wsp>
                      <wps:wsp>
                        <wps:cNvPr id="126" name="Graphic 126"/>
                        <wps:cNvSpPr/>
                        <wps:spPr>
                          <a:xfrm>
                            <a:off x="39623" y="3215639"/>
                            <a:ext cx="1270" cy="41275"/>
                          </a:xfrm>
                          <a:custGeom>
                            <a:avLst/>
                            <a:gdLst/>
                            <a:ahLst/>
                            <a:cxnLst/>
                            <a:rect l="l" t="t" r="r" b="b"/>
                            <a:pathLst>
                              <a:path w="0" h="41275">
                                <a:moveTo>
                                  <a:pt x="0" y="0"/>
                                </a:moveTo>
                                <a:lnTo>
                                  <a:pt x="0" y="41148"/>
                                </a:lnTo>
                              </a:path>
                            </a:pathLst>
                          </a:custGeom>
                          <a:ln w="6096">
                            <a:solidFill>
                              <a:srgbClr val="888888"/>
                            </a:solidFill>
                            <a:prstDash val="solid"/>
                          </a:ln>
                        </wps:spPr>
                        <wps:bodyPr wrap="square" lIns="0" tIns="0" rIns="0" bIns="0" rtlCol="0">
                          <a:prstTxWarp prst="textNoShape">
                            <a:avLst/>
                          </a:prstTxWarp>
                          <a:noAutofit/>
                        </wps:bodyPr>
                      </wps:wsp>
                      <pic:pic>
                        <pic:nvPicPr>
                          <pic:cNvPr id="127" name="Image 127"/>
                          <pic:cNvPicPr/>
                        </pic:nvPicPr>
                        <pic:blipFill>
                          <a:blip r:embed="rId283" cstate="print"/>
                          <a:stretch>
                            <a:fillRect/>
                          </a:stretch>
                        </pic:blipFill>
                        <pic:spPr>
                          <a:xfrm>
                            <a:off x="4572" y="427481"/>
                            <a:ext cx="2843784" cy="2845954"/>
                          </a:xfrm>
                          <a:prstGeom prst="rect">
                            <a:avLst/>
                          </a:prstGeom>
                        </pic:spPr>
                      </pic:pic>
                      <wps:wsp>
                        <wps:cNvPr id="128" name="Textbox 128"/>
                        <wps:cNvSpPr txBox="1"/>
                        <wps:spPr>
                          <a:xfrm>
                            <a:off x="0" y="0"/>
                            <a:ext cx="2974975" cy="3679190"/>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23"/>
                                <w:rPr>
                                  <w:sz w:val="20"/>
                                </w:rPr>
                              </w:pPr>
                            </w:p>
                            <w:p>
                              <w:pPr>
                                <w:tabs>
                                  <w:tab w:pos="354" w:val="left" w:leader="none"/>
                                </w:tabs>
                                <w:spacing w:before="0"/>
                                <w:ind w:left="12" w:right="0" w:firstLine="0"/>
                                <w:jc w:val="left"/>
                                <w:rPr>
                                  <w:sz w:val="20"/>
                                </w:rPr>
                              </w:pPr>
                              <w:r>
                                <w:rPr>
                                  <w:spacing w:val="-10"/>
                                  <w:sz w:val="20"/>
                                </w:rPr>
                                <w:t>0</w:t>
                              </w:r>
                              <w:r>
                                <w:rPr>
                                  <w:sz w:val="20"/>
                                </w:rPr>
                                <w:tab/>
                                <w:t>150</w:t>
                              </w:r>
                              <w:r>
                                <w:rPr>
                                  <w:spacing w:val="63"/>
                                  <w:w w:val="150"/>
                                  <w:sz w:val="20"/>
                                </w:rPr>
                                <w:t> </w:t>
                              </w:r>
                              <w:r>
                                <w:rPr>
                                  <w:sz w:val="20"/>
                                </w:rPr>
                                <w:t>300</w:t>
                              </w:r>
                              <w:r>
                                <w:rPr>
                                  <w:spacing w:val="62"/>
                                  <w:w w:val="150"/>
                                  <w:sz w:val="20"/>
                                </w:rPr>
                                <w:t> </w:t>
                              </w:r>
                              <w:r>
                                <w:rPr>
                                  <w:sz w:val="20"/>
                                </w:rPr>
                                <w:t>450</w:t>
                              </w:r>
                              <w:r>
                                <w:rPr>
                                  <w:spacing w:val="63"/>
                                  <w:w w:val="150"/>
                                  <w:sz w:val="20"/>
                                </w:rPr>
                                <w:t> </w:t>
                              </w:r>
                              <w:r>
                                <w:rPr>
                                  <w:sz w:val="20"/>
                                </w:rPr>
                                <w:t>600</w:t>
                              </w:r>
                              <w:r>
                                <w:rPr>
                                  <w:spacing w:val="62"/>
                                  <w:w w:val="150"/>
                                  <w:sz w:val="20"/>
                                </w:rPr>
                                <w:t> </w:t>
                              </w:r>
                              <w:r>
                                <w:rPr>
                                  <w:sz w:val="20"/>
                                </w:rPr>
                                <w:t>750</w:t>
                              </w:r>
                              <w:r>
                                <w:rPr>
                                  <w:spacing w:val="63"/>
                                  <w:w w:val="150"/>
                                  <w:sz w:val="20"/>
                                </w:rPr>
                                <w:t> </w:t>
                              </w:r>
                              <w:r>
                                <w:rPr>
                                  <w:sz w:val="20"/>
                                </w:rPr>
                                <w:t>900</w:t>
                              </w:r>
                              <w:r>
                                <w:rPr>
                                  <w:spacing w:val="38"/>
                                  <w:sz w:val="20"/>
                                </w:rPr>
                                <w:t> </w:t>
                              </w:r>
                              <w:r>
                                <w:rPr>
                                  <w:sz w:val="20"/>
                                </w:rPr>
                                <w:t>1050</w:t>
                              </w:r>
                              <w:r>
                                <w:rPr>
                                  <w:spacing w:val="-10"/>
                                  <w:sz w:val="20"/>
                                </w:rPr>
                                <w:t> </w:t>
                              </w:r>
                              <w:r>
                                <w:rPr>
                                  <w:sz w:val="20"/>
                                </w:rPr>
                                <w:t>1200</w:t>
                              </w:r>
                              <w:r>
                                <w:rPr>
                                  <w:spacing w:val="-9"/>
                                  <w:sz w:val="20"/>
                                </w:rPr>
                                <w:t> </w:t>
                              </w:r>
                              <w:r>
                                <w:rPr>
                                  <w:sz w:val="20"/>
                                </w:rPr>
                                <w:t>1350</w:t>
                              </w:r>
                              <w:r>
                                <w:rPr>
                                  <w:spacing w:val="-9"/>
                                  <w:sz w:val="20"/>
                                </w:rPr>
                                <w:t> </w:t>
                              </w:r>
                              <w:r>
                                <w:rPr>
                                  <w:spacing w:val="-4"/>
                                  <w:sz w:val="20"/>
                                </w:rPr>
                                <w:t>1500</w:t>
                              </w:r>
                            </w:p>
                          </w:txbxContent>
                        </wps:txbx>
                        <wps:bodyPr wrap="square" lIns="0" tIns="0" rIns="0" bIns="0" rtlCol="0">
                          <a:noAutofit/>
                        </wps:bodyPr>
                      </wps:wsp>
                    </wpg:wgp>
                  </a:graphicData>
                </a:graphic>
              </wp:anchor>
            </w:drawing>
          </mc:Choice>
          <mc:Fallback>
            <w:pict>
              <v:group style="position:absolute;margin-left:126.120003pt;margin-top:8.92pt;width:234.25pt;height:289.7pt;mso-position-horizontal-relative:page;mso-position-vertical-relative:paragraph;z-index:-30602752" id="docshapegroup101" coordorigin="2522,178" coordsize="4685,5794">
                <v:shape style="position:absolute;left:2522;top:183;width:63;height:5784" id="docshape102" coordorigin="2522,183" coordsize="63,5784" path="m2585,5967l2585,183m2522,5967l2585,5967m2522,5245l2585,5245m2522,4520l2585,4520m2522,3798l2585,3798m2522,3075l2585,3075m2522,2353l2585,2353m2522,1630l2585,1630m2522,906l2585,906m2522,183l2585,183e" filled="false" stroked="true" strokeweight=".48pt" strokecolor="#888888">
                  <v:path arrowok="t"/>
                  <v:stroke dashstyle="solid"/>
                </v:shape>
                <v:line style="position:absolute" from="2585,5242" to="6775,5242" stroked="true" strokeweight=".48pt" strokecolor="#888888">
                  <v:stroke dashstyle="solid"/>
                </v:line>
                <v:line style="position:absolute" from="2585,5242" to="2585,5307" stroked="true" strokeweight=".48pt" strokecolor="#888888">
                  <v:stroke dashstyle="solid"/>
                </v:line>
                <v:shape style="position:absolute;left:2529;top:851;width:4479;height:4482" type="#_x0000_t75" id="docshape103" stroked="false">
                  <v:imagedata r:id="rId283" o:title=""/>
                </v:shape>
                <v:shape style="position:absolute;left:2522;top:178;width:4685;height:5794" type="#_x0000_t202" id="docshape104"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23"/>
                          <w:rPr>
                            <w:sz w:val="20"/>
                          </w:rPr>
                        </w:pPr>
                      </w:p>
                      <w:p>
                        <w:pPr>
                          <w:tabs>
                            <w:tab w:pos="354" w:val="left" w:leader="none"/>
                          </w:tabs>
                          <w:spacing w:before="0"/>
                          <w:ind w:left="12" w:right="0" w:firstLine="0"/>
                          <w:jc w:val="left"/>
                          <w:rPr>
                            <w:sz w:val="20"/>
                          </w:rPr>
                        </w:pPr>
                        <w:r>
                          <w:rPr>
                            <w:spacing w:val="-10"/>
                            <w:sz w:val="20"/>
                          </w:rPr>
                          <w:t>0</w:t>
                        </w:r>
                        <w:r>
                          <w:rPr>
                            <w:sz w:val="20"/>
                          </w:rPr>
                          <w:tab/>
                          <w:t>150</w:t>
                        </w:r>
                        <w:r>
                          <w:rPr>
                            <w:spacing w:val="63"/>
                            <w:w w:val="150"/>
                            <w:sz w:val="20"/>
                          </w:rPr>
                          <w:t> </w:t>
                        </w:r>
                        <w:r>
                          <w:rPr>
                            <w:sz w:val="20"/>
                          </w:rPr>
                          <w:t>300</w:t>
                        </w:r>
                        <w:r>
                          <w:rPr>
                            <w:spacing w:val="62"/>
                            <w:w w:val="150"/>
                            <w:sz w:val="20"/>
                          </w:rPr>
                          <w:t> </w:t>
                        </w:r>
                        <w:r>
                          <w:rPr>
                            <w:sz w:val="20"/>
                          </w:rPr>
                          <w:t>450</w:t>
                        </w:r>
                        <w:r>
                          <w:rPr>
                            <w:spacing w:val="63"/>
                            <w:w w:val="150"/>
                            <w:sz w:val="20"/>
                          </w:rPr>
                          <w:t> </w:t>
                        </w:r>
                        <w:r>
                          <w:rPr>
                            <w:sz w:val="20"/>
                          </w:rPr>
                          <w:t>600</w:t>
                        </w:r>
                        <w:r>
                          <w:rPr>
                            <w:spacing w:val="62"/>
                            <w:w w:val="150"/>
                            <w:sz w:val="20"/>
                          </w:rPr>
                          <w:t> </w:t>
                        </w:r>
                        <w:r>
                          <w:rPr>
                            <w:sz w:val="20"/>
                          </w:rPr>
                          <w:t>750</w:t>
                        </w:r>
                        <w:r>
                          <w:rPr>
                            <w:spacing w:val="63"/>
                            <w:w w:val="150"/>
                            <w:sz w:val="20"/>
                          </w:rPr>
                          <w:t> </w:t>
                        </w:r>
                        <w:r>
                          <w:rPr>
                            <w:sz w:val="20"/>
                          </w:rPr>
                          <w:t>900</w:t>
                        </w:r>
                        <w:r>
                          <w:rPr>
                            <w:spacing w:val="38"/>
                            <w:sz w:val="20"/>
                          </w:rPr>
                          <w:t> </w:t>
                        </w:r>
                        <w:r>
                          <w:rPr>
                            <w:sz w:val="20"/>
                          </w:rPr>
                          <w:t>1050</w:t>
                        </w:r>
                        <w:r>
                          <w:rPr>
                            <w:spacing w:val="-10"/>
                            <w:sz w:val="20"/>
                          </w:rPr>
                          <w:t> </w:t>
                        </w:r>
                        <w:r>
                          <w:rPr>
                            <w:sz w:val="20"/>
                          </w:rPr>
                          <w:t>1200</w:t>
                        </w:r>
                        <w:r>
                          <w:rPr>
                            <w:spacing w:val="-9"/>
                            <w:sz w:val="20"/>
                          </w:rPr>
                          <w:t> </w:t>
                        </w:r>
                        <w:r>
                          <w:rPr>
                            <w:sz w:val="20"/>
                          </w:rPr>
                          <w:t>1350</w:t>
                        </w:r>
                        <w:r>
                          <w:rPr>
                            <w:spacing w:val="-9"/>
                            <w:sz w:val="20"/>
                          </w:rPr>
                          <w:t> </w:t>
                        </w:r>
                        <w:r>
                          <w:rPr>
                            <w:spacing w:val="-4"/>
                            <w:sz w:val="20"/>
                          </w:rPr>
                          <w:t>1500</w:t>
                        </w:r>
                      </w:p>
                    </w:txbxContent>
                  </v:textbox>
                  <w10:wrap type="none"/>
                </v:shape>
                <w10:wrap type="none"/>
              </v:group>
            </w:pict>
          </mc:Fallback>
        </mc:AlternateContent>
      </w:r>
      <w:r>
        <w:rPr>
          <w:spacing w:val="-5"/>
          <w:sz w:val="20"/>
        </w:rPr>
        <w:t>3.5</w:t>
      </w:r>
    </w:p>
    <w:p>
      <w:pPr>
        <w:pStyle w:val="BodyText"/>
        <w:spacing w:before="235"/>
        <w:rPr>
          <w:sz w:val="20"/>
        </w:rPr>
      </w:pPr>
    </w:p>
    <w:p>
      <w:pPr>
        <w:spacing w:before="0"/>
        <w:ind w:left="1239" w:right="0" w:firstLine="0"/>
        <w:jc w:val="left"/>
        <w:rPr>
          <w:sz w:val="20"/>
        </w:rPr>
      </w:pPr>
      <w:r>
        <w:rPr>
          <w:spacing w:val="-10"/>
          <w:sz w:val="20"/>
        </w:rPr>
        <w:t>3</w:t>
      </w:r>
    </w:p>
    <w:p>
      <w:pPr>
        <w:pStyle w:val="BodyText"/>
        <w:spacing w:before="176"/>
        <w:rPr>
          <w:sz w:val="20"/>
        </w:rPr>
      </w:pPr>
    </w:p>
    <w:p>
      <w:pPr>
        <w:spacing w:after="0"/>
        <w:rPr>
          <w:sz w:val="20"/>
        </w:rPr>
        <w:sectPr>
          <w:pgSz w:w="11910" w:h="16840"/>
          <w:pgMar w:header="0" w:footer="1055" w:top="1560" w:bottom="1240" w:left="1060" w:right="460"/>
        </w:sectPr>
      </w:pPr>
    </w:p>
    <w:p>
      <w:pPr>
        <w:spacing w:before="59"/>
        <w:ind w:left="0" w:right="39" w:firstLine="0"/>
        <w:jc w:val="right"/>
        <w:rPr>
          <w:sz w:val="20"/>
        </w:rPr>
      </w:pPr>
      <w:r>
        <w:rPr/>
        <mc:AlternateContent>
          <mc:Choice Requires="wps">
            <w:drawing>
              <wp:anchor distT="0" distB="0" distL="0" distR="0" allowOverlap="1" layoutInCell="1" locked="0" behindDoc="0" simplePos="0" relativeHeight="15739904">
                <wp:simplePos x="0" y="0"/>
                <wp:positionH relativeFrom="page">
                  <wp:posOffset>1047224</wp:posOffset>
                </wp:positionH>
                <wp:positionV relativeFrom="paragraph">
                  <wp:posOffset>324028</wp:posOffset>
                </wp:positionV>
                <wp:extent cx="194310" cy="143573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94310" cy="1435735"/>
                        </a:xfrm>
                        <a:prstGeom prst="rect">
                          <a:avLst/>
                        </a:prstGeom>
                      </wps:spPr>
                      <wps:txbx>
                        <w:txbxContent>
                          <w:p>
                            <w:pPr>
                              <w:spacing w:before="10"/>
                              <w:ind w:left="20" w:right="0" w:firstLine="0"/>
                              <w:jc w:val="left"/>
                              <w:rPr>
                                <w:rFonts w:ascii="Times New Roman"/>
                                <w:b/>
                                <w:sz w:val="24"/>
                              </w:rPr>
                            </w:pPr>
                            <w:r>
                              <w:rPr>
                                <w:rFonts w:ascii="Times New Roman"/>
                                <w:b/>
                                <w:sz w:val="24"/>
                              </w:rPr>
                              <w:t>Log</w:t>
                            </w:r>
                            <w:r>
                              <w:rPr>
                                <w:rFonts w:ascii="Times New Roman"/>
                                <w:b/>
                                <w:spacing w:val="-4"/>
                                <w:sz w:val="24"/>
                              </w:rPr>
                              <w:t> </w:t>
                            </w:r>
                            <w:r>
                              <w:rPr>
                                <w:rFonts w:ascii="Times New Roman"/>
                                <w:b/>
                                <w:sz w:val="24"/>
                              </w:rPr>
                              <w:t>Survival</w:t>
                            </w:r>
                            <w:r>
                              <w:rPr>
                                <w:rFonts w:ascii="Times New Roman"/>
                                <w:b/>
                                <w:spacing w:val="-2"/>
                                <w:sz w:val="24"/>
                              </w:rPr>
                              <w:t> Cells/ml</w:t>
                            </w:r>
                          </w:p>
                        </w:txbxContent>
                      </wps:txbx>
                      <wps:bodyPr wrap="square" lIns="0" tIns="0" rIns="0" bIns="0" rtlCol="0" vert="vert270">
                        <a:noAutofit/>
                      </wps:bodyPr>
                    </wps:wsp>
                  </a:graphicData>
                </a:graphic>
              </wp:anchor>
            </w:drawing>
          </mc:Choice>
          <mc:Fallback>
            <w:pict>
              <v:shape style="position:absolute;margin-left:82.458641pt;margin-top:25.514021pt;width:15.3pt;height:113.05pt;mso-position-horizontal-relative:page;mso-position-vertical-relative:paragraph;z-index:15739904" type="#_x0000_t202" id="docshape105" filled="false" stroked="false">
                <v:textbox inset="0,0,0,0" style="layout-flow:vertical;mso-layout-flow-alt:bottom-to-top">
                  <w:txbxContent>
                    <w:p>
                      <w:pPr>
                        <w:spacing w:before="10"/>
                        <w:ind w:left="20" w:right="0" w:firstLine="0"/>
                        <w:jc w:val="left"/>
                        <w:rPr>
                          <w:rFonts w:ascii="Times New Roman"/>
                          <w:b/>
                          <w:sz w:val="24"/>
                        </w:rPr>
                      </w:pPr>
                      <w:r>
                        <w:rPr>
                          <w:rFonts w:ascii="Times New Roman"/>
                          <w:b/>
                          <w:sz w:val="24"/>
                        </w:rPr>
                        <w:t>Log</w:t>
                      </w:r>
                      <w:r>
                        <w:rPr>
                          <w:rFonts w:ascii="Times New Roman"/>
                          <w:b/>
                          <w:spacing w:val="-4"/>
                          <w:sz w:val="24"/>
                        </w:rPr>
                        <w:t> </w:t>
                      </w:r>
                      <w:r>
                        <w:rPr>
                          <w:rFonts w:ascii="Times New Roman"/>
                          <w:b/>
                          <w:sz w:val="24"/>
                        </w:rPr>
                        <w:t>Survival</w:t>
                      </w:r>
                      <w:r>
                        <w:rPr>
                          <w:rFonts w:ascii="Times New Roman"/>
                          <w:b/>
                          <w:spacing w:val="-2"/>
                          <w:sz w:val="24"/>
                        </w:rPr>
                        <w:t> Cells/ml</w:t>
                      </w:r>
                    </w:p>
                  </w:txbxContent>
                </v:textbox>
                <w10:wrap type="none"/>
              </v:shape>
            </w:pict>
          </mc:Fallback>
        </mc:AlternateContent>
      </w:r>
      <w:r>
        <w:rPr>
          <w:spacing w:val="-5"/>
          <w:sz w:val="20"/>
        </w:rPr>
        <w:t>2.5</w:t>
      </w:r>
    </w:p>
    <w:p>
      <w:pPr>
        <w:pStyle w:val="BodyText"/>
        <w:spacing w:before="235"/>
        <w:rPr>
          <w:sz w:val="20"/>
        </w:rPr>
      </w:pPr>
    </w:p>
    <w:p>
      <w:pPr>
        <w:spacing w:before="0"/>
        <w:ind w:left="0" w:right="38" w:firstLine="0"/>
        <w:jc w:val="right"/>
        <w:rPr>
          <w:sz w:val="20"/>
        </w:rPr>
      </w:pPr>
      <w:r>
        <w:rPr>
          <w:spacing w:val="-10"/>
          <w:sz w:val="20"/>
        </w:rPr>
        <w:t>2</w:t>
      </w:r>
    </w:p>
    <w:p>
      <w:pPr>
        <w:pStyle w:val="BodyText"/>
        <w:spacing w:before="234"/>
        <w:rPr>
          <w:sz w:val="20"/>
        </w:rPr>
      </w:pPr>
    </w:p>
    <w:p>
      <w:pPr>
        <w:spacing w:before="1"/>
        <w:ind w:left="0" w:right="39" w:firstLine="0"/>
        <w:jc w:val="right"/>
        <w:rPr>
          <w:sz w:val="20"/>
        </w:rPr>
      </w:pPr>
      <w:r>
        <w:rPr>
          <w:spacing w:val="-5"/>
          <w:sz w:val="20"/>
        </w:rPr>
        <w:t>1.5</w:t>
      </w:r>
    </w:p>
    <w:p>
      <w:pPr>
        <w:spacing w:line="240" w:lineRule="auto" w:before="174"/>
        <w:rPr>
          <w:sz w:val="20"/>
        </w:rPr>
      </w:pPr>
      <w:r>
        <w:rPr/>
        <w:br w:type="column"/>
      </w:r>
      <w:r>
        <w:rPr>
          <w:sz w:val="20"/>
        </w:rPr>
      </w:r>
    </w:p>
    <w:p>
      <w:pPr>
        <w:spacing w:before="0"/>
        <w:ind w:left="1086" w:right="0" w:firstLine="0"/>
        <w:jc w:val="left"/>
        <w:rPr>
          <w:sz w:val="20"/>
        </w:rPr>
      </w:pPr>
      <w:r>
        <w:rPr/>
        <w:drawing>
          <wp:inline distT="0" distB="0" distL="0" distR="0">
            <wp:extent cx="243840" cy="70103"/>
            <wp:effectExtent l="0" t="0" r="0" b="0"/>
            <wp:docPr id="130" name="Image 130"/>
            <wp:cNvGraphicFramePr>
              <a:graphicFrameLocks/>
            </wp:cNvGraphicFramePr>
            <a:graphic>
              <a:graphicData uri="http://schemas.openxmlformats.org/drawingml/2006/picture">
                <pic:pic>
                  <pic:nvPicPr>
                    <pic:cNvPr id="130" name="Image 130"/>
                    <pic:cNvPicPr/>
                  </pic:nvPicPr>
                  <pic:blipFill>
                    <a:blip r:embed="rId284" cstate="print"/>
                    <a:stretch>
                      <a:fillRect/>
                    </a:stretch>
                  </pic:blipFill>
                  <pic:spPr>
                    <a:xfrm>
                      <a:off x="0" y="0"/>
                      <a:ext cx="243840" cy="70103"/>
                    </a:xfrm>
                    <a:prstGeom prst="rect">
                      <a:avLst/>
                    </a:prstGeom>
                  </pic:spPr>
                </pic:pic>
              </a:graphicData>
            </a:graphic>
          </wp:inline>
        </w:drawing>
      </w:r>
      <w:r>
        <w:rPr/>
      </w:r>
      <w:r>
        <w:rPr>
          <w:rFonts w:ascii="Times New Roman" w:hAnsi="Times New Roman"/>
          <w:spacing w:val="-10"/>
          <w:sz w:val="20"/>
        </w:rPr>
        <w:t> </w:t>
      </w:r>
      <w:r>
        <w:rPr>
          <w:sz w:val="20"/>
        </w:rPr>
        <w:t>Lev.</w:t>
      </w:r>
      <w:r>
        <w:rPr>
          <w:spacing w:val="-3"/>
          <w:sz w:val="20"/>
        </w:rPr>
        <w:t> </w:t>
      </w:r>
      <w:r>
        <w:rPr>
          <w:sz w:val="20"/>
        </w:rPr>
        <w:t>(7.81</w:t>
      </w:r>
      <w:r>
        <w:rPr>
          <w:spacing w:val="-2"/>
          <w:sz w:val="20"/>
        </w:rPr>
        <w:t> </w:t>
      </w:r>
      <w:r>
        <w:rPr>
          <w:sz w:val="20"/>
        </w:rPr>
        <w:t>µg/ml)</w:t>
      </w:r>
    </w:p>
    <w:p>
      <w:pPr>
        <w:pStyle w:val="BodyText"/>
        <w:spacing w:before="115"/>
        <w:rPr>
          <w:sz w:val="20"/>
        </w:rPr>
      </w:pPr>
    </w:p>
    <w:p>
      <w:pPr>
        <w:spacing w:line="592" w:lineRule="auto" w:before="0"/>
        <w:ind w:left="1086" w:right="1978" w:firstLine="427"/>
        <w:jc w:val="left"/>
        <w:rPr>
          <w:sz w:val="20"/>
        </w:rPr>
      </w:pPr>
      <w:r>
        <w:rPr/>
        <mc:AlternateContent>
          <mc:Choice Requires="wps">
            <w:drawing>
              <wp:anchor distT="0" distB="0" distL="0" distR="0" allowOverlap="1" layoutInCell="1" locked="0" behindDoc="0" simplePos="0" relativeHeight="15739392">
                <wp:simplePos x="0" y="0"/>
                <wp:positionH relativeFrom="page">
                  <wp:posOffset>4642103</wp:posOffset>
                </wp:positionH>
                <wp:positionV relativeFrom="paragraph">
                  <wp:posOffset>49666</wp:posOffset>
                </wp:positionV>
                <wp:extent cx="243840" cy="70485"/>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243840" cy="70485"/>
                          <a:chExt cx="243840" cy="70485"/>
                        </a:xfrm>
                      </wpg:grpSpPr>
                      <wps:wsp>
                        <wps:cNvPr id="132" name="Graphic 132"/>
                        <wps:cNvSpPr/>
                        <wps:spPr>
                          <a:xfrm>
                            <a:off x="0" y="35051"/>
                            <a:ext cx="243840" cy="1270"/>
                          </a:xfrm>
                          <a:custGeom>
                            <a:avLst/>
                            <a:gdLst/>
                            <a:ahLst/>
                            <a:cxnLst/>
                            <a:rect l="l" t="t" r="r" b="b"/>
                            <a:pathLst>
                              <a:path w="243840" h="0">
                                <a:moveTo>
                                  <a:pt x="0" y="0"/>
                                </a:moveTo>
                                <a:lnTo>
                                  <a:pt x="243840" y="0"/>
                                </a:lnTo>
                              </a:path>
                            </a:pathLst>
                          </a:custGeom>
                          <a:ln w="18288">
                            <a:solidFill>
                              <a:srgbClr val="EC7C30"/>
                            </a:solidFill>
                            <a:prstDash val="solid"/>
                          </a:ln>
                        </wps:spPr>
                        <wps:bodyPr wrap="square" lIns="0" tIns="0" rIns="0" bIns="0" rtlCol="0">
                          <a:prstTxWarp prst="textNoShape">
                            <a:avLst/>
                          </a:prstTxWarp>
                          <a:noAutofit/>
                        </wps:bodyPr>
                      </wps:wsp>
                      <wps:wsp>
                        <wps:cNvPr id="133" name="Graphic 133"/>
                        <wps:cNvSpPr/>
                        <wps:spPr>
                          <a:xfrm>
                            <a:off x="91439" y="3047"/>
                            <a:ext cx="62865" cy="64135"/>
                          </a:xfrm>
                          <a:custGeom>
                            <a:avLst/>
                            <a:gdLst/>
                            <a:ahLst/>
                            <a:cxnLst/>
                            <a:rect l="l" t="t" r="r" b="b"/>
                            <a:pathLst>
                              <a:path w="62865" h="64135">
                                <a:moveTo>
                                  <a:pt x="62484" y="0"/>
                                </a:moveTo>
                                <a:lnTo>
                                  <a:pt x="0" y="0"/>
                                </a:lnTo>
                                <a:lnTo>
                                  <a:pt x="0" y="64007"/>
                                </a:lnTo>
                                <a:lnTo>
                                  <a:pt x="62484" y="64007"/>
                                </a:lnTo>
                                <a:lnTo>
                                  <a:pt x="62484" y="0"/>
                                </a:lnTo>
                                <a:close/>
                              </a:path>
                            </a:pathLst>
                          </a:custGeom>
                          <a:solidFill>
                            <a:srgbClr val="EC7C30"/>
                          </a:solidFill>
                        </wps:spPr>
                        <wps:bodyPr wrap="square" lIns="0" tIns="0" rIns="0" bIns="0" rtlCol="0">
                          <a:prstTxWarp prst="textNoShape">
                            <a:avLst/>
                          </a:prstTxWarp>
                          <a:noAutofit/>
                        </wps:bodyPr>
                      </wps:wsp>
                      <wps:wsp>
                        <wps:cNvPr id="134" name="Graphic 134"/>
                        <wps:cNvSpPr/>
                        <wps:spPr>
                          <a:xfrm>
                            <a:off x="91439" y="3047"/>
                            <a:ext cx="62865" cy="64135"/>
                          </a:xfrm>
                          <a:custGeom>
                            <a:avLst/>
                            <a:gdLst/>
                            <a:ahLst/>
                            <a:cxnLst/>
                            <a:rect l="l" t="t" r="r" b="b"/>
                            <a:pathLst>
                              <a:path w="62865" h="64135">
                                <a:moveTo>
                                  <a:pt x="0" y="64007"/>
                                </a:moveTo>
                                <a:lnTo>
                                  <a:pt x="62484" y="64007"/>
                                </a:lnTo>
                                <a:lnTo>
                                  <a:pt x="62484" y="0"/>
                                </a:lnTo>
                                <a:lnTo>
                                  <a:pt x="0" y="0"/>
                                </a:lnTo>
                                <a:lnTo>
                                  <a:pt x="0" y="64007"/>
                                </a:lnTo>
                                <a:close/>
                              </a:path>
                            </a:pathLst>
                          </a:custGeom>
                          <a:ln w="6096">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5.519989pt;margin-top:3.910781pt;width:19.2pt;height:5.55pt;mso-position-horizontal-relative:page;mso-position-vertical-relative:paragraph;z-index:15739392" id="docshapegroup106" coordorigin="7310,78" coordsize="384,111">
                <v:line style="position:absolute" from="7310,133" to="7694,133" stroked="true" strokeweight="1.44pt" strokecolor="#ec7c30">
                  <v:stroke dashstyle="solid"/>
                </v:line>
                <v:rect style="position:absolute;left:7454;top:83;width:99;height:101" id="docshape107" filled="true" fillcolor="#ec7c30" stroked="false">
                  <v:fill type="solid"/>
                </v:rect>
                <v:rect style="position:absolute;left:7454;top:83;width:99;height:101" id="docshape108" filled="false" stroked="true" strokeweight=".48pt" strokecolor="#ec7c30">
                  <v:stroke dashstyle="solid"/>
                </v:rect>
                <w10:wrap type="none"/>
              </v:group>
            </w:pict>
          </mc:Fallback>
        </mc:AlternateContent>
      </w:r>
      <w:r>
        <w:rPr>
          <w:sz w:val="20"/>
        </w:rPr>
        <w:t>Cef. (12.5 µg/ml) </w:t>
      </w:r>
      <w:r>
        <w:rPr>
          <w:spacing w:val="-1"/>
          <w:sz w:val="20"/>
        </w:rPr>
        <w:drawing>
          <wp:inline distT="0" distB="0" distL="0" distR="0">
            <wp:extent cx="243840" cy="68579"/>
            <wp:effectExtent l="0" t="0" r="0" b="0"/>
            <wp:docPr id="135" name="Image 135"/>
            <wp:cNvGraphicFramePr>
              <a:graphicFrameLocks/>
            </wp:cNvGraphicFramePr>
            <a:graphic>
              <a:graphicData uri="http://schemas.openxmlformats.org/drawingml/2006/picture">
                <pic:pic>
                  <pic:nvPicPr>
                    <pic:cNvPr id="135" name="Image 135"/>
                    <pic:cNvPicPr/>
                  </pic:nvPicPr>
                  <pic:blipFill>
                    <a:blip r:embed="rId285" cstate="print"/>
                    <a:stretch>
                      <a:fillRect/>
                    </a:stretch>
                  </pic:blipFill>
                  <pic:spPr>
                    <a:xfrm>
                      <a:off x="0" y="0"/>
                      <a:ext cx="243840" cy="68579"/>
                    </a:xfrm>
                    <a:prstGeom prst="rect">
                      <a:avLst/>
                    </a:prstGeom>
                  </pic:spPr>
                </pic:pic>
              </a:graphicData>
            </a:graphic>
          </wp:inline>
        </w:drawing>
      </w:r>
      <w:r>
        <w:rPr>
          <w:spacing w:val="-1"/>
          <w:sz w:val="20"/>
        </w:rPr>
      </w:r>
      <w:r>
        <w:rPr>
          <w:rFonts w:ascii="Times New Roman" w:hAnsi="Times New Roman"/>
          <w:spacing w:val="-12"/>
          <w:sz w:val="20"/>
        </w:rPr>
        <w:t> </w:t>
      </w:r>
      <w:r>
        <w:rPr>
          <w:sz w:val="20"/>
        </w:rPr>
        <w:t>Lemon</w:t>
      </w:r>
      <w:r>
        <w:rPr>
          <w:spacing w:val="-11"/>
          <w:sz w:val="20"/>
        </w:rPr>
        <w:t> </w:t>
      </w:r>
      <w:r>
        <w:rPr>
          <w:sz w:val="20"/>
        </w:rPr>
        <w:t>(20µg/ml</w:t>
      </w:r>
      <w:r>
        <w:rPr>
          <w:spacing w:val="-12"/>
          <w:sz w:val="20"/>
        </w:rPr>
        <w:t> </w:t>
      </w:r>
      <w:r>
        <w:rPr>
          <w:sz w:val="20"/>
        </w:rPr>
        <w:t>v/v)</w:t>
      </w:r>
    </w:p>
    <w:p>
      <w:pPr>
        <w:spacing w:after="0" w:line="592" w:lineRule="auto"/>
        <w:jc w:val="left"/>
        <w:rPr>
          <w:sz w:val="20"/>
        </w:rPr>
        <w:sectPr>
          <w:type w:val="continuous"/>
          <w:pgSz w:w="11910" w:h="16840"/>
          <w:pgMar w:header="0" w:footer="1055" w:top="1360" w:bottom="1240" w:left="1060" w:right="460"/>
          <w:cols w:num="2" w:equalWidth="0">
            <w:col w:w="1381" w:space="3783"/>
            <w:col w:w="5226"/>
          </w:cols>
        </w:sectPr>
      </w:pPr>
    </w:p>
    <w:p>
      <w:pPr>
        <w:tabs>
          <w:tab w:pos="6250" w:val="left" w:leader="none"/>
        </w:tabs>
        <w:spacing w:before="1"/>
        <w:ind w:left="1239" w:right="0" w:firstLine="0"/>
        <w:jc w:val="left"/>
        <w:rPr>
          <w:sz w:val="20"/>
        </w:rPr>
      </w:pPr>
      <w:r>
        <w:rPr>
          <w:spacing w:val="-10"/>
          <w:sz w:val="20"/>
        </w:rPr>
        <w:t>1</w:t>
      </w:r>
      <w:r>
        <w:rPr>
          <w:sz w:val="20"/>
        </w:rPr>
        <w:tab/>
      </w:r>
      <w:r>
        <w:rPr>
          <w:sz w:val="20"/>
        </w:rPr>
        <w:drawing>
          <wp:inline distT="0" distB="0" distL="0" distR="0">
            <wp:extent cx="243840" cy="70103"/>
            <wp:effectExtent l="0" t="0" r="0" b="0"/>
            <wp:docPr id="136" name="Image 136"/>
            <wp:cNvGraphicFramePr>
              <a:graphicFrameLocks/>
            </wp:cNvGraphicFramePr>
            <a:graphic>
              <a:graphicData uri="http://schemas.openxmlformats.org/drawingml/2006/picture">
                <pic:pic>
                  <pic:nvPicPr>
                    <pic:cNvPr id="136" name="Image 136"/>
                    <pic:cNvPicPr/>
                  </pic:nvPicPr>
                  <pic:blipFill>
                    <a:blip r:embed="rId286" cstate="print"/>
                    <a:stretch>
                      <a:fillRect/>
                    </a:stretch>
                  </pic:blipFill>
                  <pic:spPr>
                    <a:xfrm>
                      <a:off x="0" y="0"/>
                      <a:ext cx="243840" cy="70103"/>
                    </a:xfrm>
                    <a:prstGeom prst="rect">
                      <a:avLst/>
                    </a:prstGeom>
                  </pic:spPr>
                </pic:pic>
              </a:graphicData>
            </a:graphic>
          </wp:inline>
        </w:drawing>
      </w:r>
      <w:r>
        <w:rPr>
          <w:sz w:val="20"/>
        </w:rPr>
      </w:r>
      <w:r>
        <w:rPr>
          <w:rFonts w:ascii="Times New Roman" w:hAnsi="Times New Roman"/>
          <w:spacing w:val="-10"/>
          <w:sz w:val="20"/>
        </w:rPr>
        <w:t> </w:t>
      </w:r>
      <w:r>
        <w:rPr>
          <w:sz w:val="20"/>
        </w:rPr>
        <w:t>Honey</w:t>
      </w:r>
      <w:r>
        <w:rPr>
          <w:spacing w:val="-5"/>
          <w:sz w:val="20"/>
        </w:rPr>
        <w:t> </w:t>
      </w:r>
      <w:r>
        <w:rPr>
          <w:sz w:val="20"/>
        </w:rPr>
        <w:t>(50</w:t>
      </w:r>
      <w:r>
        <w:rPr>
          <w:spacing w:val="-4"/>
          <w:sz w:val="20"/>
        </w:rPr>
        <w:t> </w:t>
      </w:r>
      <w:r>
        <w:rPr>
          <w:sz w:val="20"/>
        </w:rPr>
        <w:t>µg/ml</w:t>
      </w:r>
      <w:r>
        <w:rPr>
          <w:spacing w:val="-1"/>
          <w:sz w:val="20"/>
        </w:rPr>
        <w:t> </w:t>
      </w:r>
      <w:r>
        <w:rPr>
          <w:sz w:val="20"/>
        </w:rPr>
        <w:t>v/v)</w:t>
      </w:r>
    </w:p>
    <w:p>
      <w:pPr>
        <w:pStyle w:val="BodyText"/>
        <w:spacing w:before="56"/>
        <w:rPr>
          <w:sz w:val="20"/>
        </w:rPr>
      </w:pPr>
    </w:p>
    <w:p>
      <w:pPr>
        <w:spacing w:after="0"/>
        <w:rPr>
          <w:sz w:val="20"/>
        </w:rPr>
        <w:sectPr>
          <w:type w:val="continuous"/>
          <w:pgSz w:w="11910" w:h="16840"/>
          <w:pgMar w:header="0" w:footer="1055" w:top="1360" w:bottom="1240" w:left="1060" w:right="460"/>
        </w:sectPr>
      </w:pPr>
    </w:p>
    <w:p>
      <w:pPr>
        <w:spacing w:before="179"/>
        <w:ind w:left="0" w:right="38" w:firstLine="0"/>
        <w:jc w:val="right"/>
        <w:rPr>
          <w:sz w:val="20"/>
        </w:rPr>
      </w:pPr>
      <w:r>
        <w:rPr>
          <w:spacing w:val="-5"/>
          <w:sz w:val="20"/>
        </w:rPr>
        <w:t>0.5</w:t>
      </w:r>
    </w:p>
    <w:p>
      <w:pPr>
        <w:spacing w:before="60"/>
        <w:ind w:left="1513" w:right="1715" w:hanging="428"/>
        <w:jc w:val="left"/>
        <w:rPr>
          <w:sz w:val="20"/>
        </w:rPr>
      </w:pPr>
      <w:r>
        <w:rPr/>
        <w:br w:type="column"/>
      </w:r>
      <w:r>
        <w:rPr/>
        <w:drawing>
          <wp:inline distT="0" distB="0" distL="0" distR="0">
            <wp:extent cx="243840" cy="68579"/>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287" cstate="print"/>
                    <a:stretch>
                      <a:fillRect/>
                    </a:stretch>
                  </pic:blipFill>
                  <pic:spPr>
                    <a:xfrm>
                      <a:off x="0" y="0"/>
                      <a:ext cx="243840" cy="68579"/>
                    </a:xfrm>
                    <a:prstGeom prst="rect">
                      <a:avLst/>
                    </a:prstGeom>
                  </pic:spPr>
                </pic:pic>
              </a:graphicData>
            </a:graphic>
          </wp:inline>
        </w:drawing>
      </w:r>
      <w:r>
        <w:rPr/>
      </w:r>
      <w:r>
        <w:rPr>
          <w:rFonts w:ascii="Times New Roman" w:hAnsi="Times New Roman"/>
          <w:spacing w:val="-13"/>
          <w:sz w:val="20"/>
        </w:rPr>
        <w:t> </w:t>
      </w:r>
      <w:r>
        <w:rPr>
          <w:sz w:val="20"/>
        </w:rPr>
        <w:t>Honey/Lemon</w:t>
      </w:r>
      <w:r>
        <w:rPr>
          <w:spacing w:val="-11"/>
          <w:sz w:val="20"/>
        </w:rPr>
        <w:t> </w:t>
      </w:r>
      <w:r>
        <w:rPr>
          <w:sz w:val="20"/>
        </w:rPr>
        <w:t>(20</w:t>
      </w:r>
      <w:r>
        <w:rPr>
          <w:spacing w:val="-12"/>
          <w:sz w:val="20"/>
        </w:rPr>
        <w:t> </w:t>
      </w:r>
      <w:r>
        <w:rPr>
          <w:sz w:val="20"/>
        </w:rPr>
        <w:t>µg/ml </w:t>
      </w:r>
      <w:r>
        <w:rPr>
          <w:spacing w:val="-4"/>
          <w:sz w:val="20"/>
        </w:rPr>
        <w:t>v/v)</w:t>
      </w:r>
    </w:p>
    <w:p>
      <w:pPr>
        <w:spacing w:after="0"/>
        <w:jc w:val="left"/>
        <w:rPr>
          <w:sz w:val="20"/>
        </w:rPr>
        <w:sectPr>
          <w:type w:val="continuous"/>
          <w:pgSz w:w="11910" w:h="16840"/>
          <w:pgMar w:header="0" w:footer="1055" w:top="1360" w:bottom="1240" w:left="1060" w:right="460"/>
          <w:cols w:num="2" w:equalWidth="0">
            <w:col w:w="1379" w:space="3784"/>
            <w:col w:w="5227"/>
          </w:cols>
        </w:sectPr>
      </w:pPr>
    </w:p>
    <w:p>
      <w:pPr>
        <w:pStyle w:val="BodyText"/>
        <w:spacing w:before="109"/>
        <w:rPr>
          <w:sz w:val="20"/>
        </w:rPr>
      </w:pPr>
    </w:p>
    <w:p>
      <w:pPr>
        <w:spacing w:before="0"/>
        <w:ind w:left="1239" w:right="0" w:firstLine="0"/>
        <w:jc w:val="left"/>
        <w:rPr>
          <w:sz w:val="20"/>
        </w:rPr>
      </w:pPr>
      <w:r>
        <w:rPr>
          <w:spacing w:val="-10"/>
          <w:sz w:val="20"/>
        </w:rPr>
        <w:t>0</w:t>
      </w:r>
    </w:p>
    <w:p>
      <w:pPr>
        <w:pStyle w:val="BodyText"/>
        <w:spacing w:before="176"/>
        <w:rPr>
          <w:sz w:val="20"/>
        </w:rPr>
      </w:pPr>
    </w:p>
    <w:p>
      <w:pPr>
        <w:spacing w:after="0"/>
        <w:rPr>
          <w:sz w:val="20"/>
        </w:rPr>
        <w:sectPr>
          <w:type w:val="continuous"/>
          <w:pgSz w:w="11910" w:h="16840"/>
          <w:pgMar w:header="0" w:footer="1055" w:top="1360" w:bottom="1240" w:left="1060" w:right="460"/>
        </w:sectPr>
      </w:pPr>
    </w:p>
    <w:p>
      <w:pPr>
        <w:spacing w:before="59"/>
        <w:ind w:left="0" w:right="38" w:firstLine="0"/>
        <w:jc w:val="right"/>
        <w:rPr>
          <w:sz w:val="20"/>
        </w:rPr>
      </w:pPr>
      <w:r>
        <w:rPr>
          <w:spacing w:val="-2"/>
          <w:sz w:val="20"/>
        </w:rPr>
        <w:t>-</w:t>
      </w:r>
      <w:r>
        <w:rPr>
          <w:spacing w:val="-5"/>
          <w:sz w:val="20"/>
        </w:rPr>
        <w:t>0.5</w:t>
      </w:r>
    </w:p>
    <w:p>
      <w:pPr>
        <w:pStyle w:val="Heading1"/>
        <w:spacing w:before="222"/>
        <w:ind w:left="1026"/>
      </w:pPr>
      <w:r>
        <w:rPr>
          <w:b w:val="0"/>
        </w:rPr>
        <w:br w:type="column"/>
      </w:r>
      <w:r>
        <w:rPr/>
        <w:t>Time</w:t>
      </w:r>
      <w:r>
        <w:rPr>
          <w:spacing w:val="-11"/>
        </w:rPr>
        <w:t> </w:t>
      </w:r>
      <w:r>
        <w:rPr>
          <w:spacing w:val="-2"/>
        </w:rPr>
        <w:t>(minutes)</w:t>
      </w:r>
    </w:p>
    <w:p>
      <w:pPr>
        <w:spacing w:after="0"/>
        <w:sectPr>
          <w:type w:val="continuous"/>
          <w:pgSz w:w="11910" w:h="16840"/>
          <w:pgMar w:header="0" w:footer="1055" w:top="1360" w:bottom="1240" w:left="1060" w:right="460"/>
          <w:cols w:num="2" w:equalWidth="0">
            <w:col w:w="1380" w:space="551"/>
            <w:col w:w="8459"/>
          </w:cols>
        </w:sectPr>
      </w:pPr>
    </w:p>
    <w:p>
      <w:pPr>
        <w:pStyle w:val="BodyText"/>
        <w:rPr>
          <w:rFonts w:ascii="Times New Roman"/>
          <w:b/>
        </w:rPr>
      </w:pPr>
    </w:p>
    <w:p>
      <w:pPr>
        <w:pStyle w:val="BodyText"/>
        <w:spacing w:before="17"/>
        <w:rPr>
          <w:rFonts w:ascii="Times New Roman"/>
          <w:b/>
        </w:rPr>
      </w:pPr>
    </w:p>
    <w:p>
      <w:pPr>
        <w:pStyle w:val="BodyText"/>
        <w:spacing w:line="259" w:lineRule="auto" w:before="1"/>
        <w:ind w:left="380" w:right="975"/>
      </w:pPr>
      <w:r>
        <w:rPr/>
        <w:t>Figure</w:t>
      </w:r>
      <w:r>
        <w:rPr>
          <w:spacing w:val="-2"/>
        </w:rPr>
        <w:t> </w:t>
      </w:r>
      <w:r>
        <w:rPr/>
        <w:t>4.9:</w:t>
      </w:r>
      <w:r>
        <w:rPr>
          <w:spacing w:val="-2"/>
        </w:rPr>
        <w:t> </w:t>
      </w:r>
      <w:r>
        <w:rPr/>
        <w:t>The</w:t>
      </w:r>
      <w:r>
        <w:rPr>
          <w:spacing w:val="-4"/>
        </w:rPr>
        <w:t> </w:t>
      </w:r>
      <w:r>
        <w:rPr/>
        <w:t>Log</w:t>
      </w:r>
      <w:r>
        <w:rPr>
          <w:spacing w:val="-5"/>
        </w:rPr>
        <w:t> </w:t>
      </w:r>
      <w:r>
        <w:rPr/>
        <w:t>of</w:t>
      </w:r>
      <w:r>
        <w:rPr>
          <w:spacing w:val="-2"/>
        </w:rPr>
        <w:t> </w:t>
      </w:r>
      <w:r>
        <w:rPr/>
        <w:t>Survival</w:t>
      </w:r>
      <w:r>
        <w:rPr>
          <w:spacing w:val="-2"/>
        </w:rPr>
        <w:t> </w:t>
      </w:r>
      <w:r>
        <w:rPr/>
        <w:t>Cells/ml</w:t>
      </w:r>
      <w:r>
        <w:rPr>
          <w:spacing w:val="-4"/>
        </w:rPr>
        <w:t> </w:t>
      </w:r>
      <w:r>
        <w:rPr/>
        <w:t>of </w:t>
      </w:r>
      <w:r>
        <w:rPr>
          <w:i/>
        </w:rPr>
        <w:t>Klebsiella</w:t>
      </w:r>
      <w:r>
        <w:rPr>
          <w:i/>
          <w:spacing w:val="-3"/>
        </w:rPr>
        <w:t> </w:t>
      </w:r>
      <w:r>
        <w:rPr>
          <w:i/>
        </w:rPr>
        <w:t>pneumoniae</w:t>
      </w:r>
      <w:r>
        <w:rPr>
          <w:i/>
          <w:spacing w:val="-1"/>
        </w:rPr>
        <w:t> </w:t>
      </w:r>
      <w:r>
        <w:rPr/>
        <w:t>(Sensitive)</w:t>
      </w:r>
      <w:r>
        <w:rPr>
          <w:spacing w:val="-2"/>
        </w:rPr>
        <w:t> </w:t>
      </w:r>
      <w:r>
        <w:rPr/>
        <w:t>on</w:t>
      </w:r>
      <w:r>
        <w:rPr>
          <w:spacing w:val="-6"/>
        </w:rPr>
        <w:t> </w:t>
      </w:r>
      <w:r>
        <w:rPr/>
        <w:t>exposure</w:t>
      </w:r>
      <w:r>
        <w:rPr>
          <w:spacing w:val="-2"/>
        </w:rPr>
        <w:t> </w:t>
      </w:r>
      <w:r>
        <w:rPr/>
        <w:t>to</w:t>
      </w:r>
      <w:r>
        <w:rPr>
          <w:spacing w:val="-3"/>
        </w:rPr>
        <w:t> </w:t>
      </w:r>
      <w:r>
        <w:rPr/>
        <w:t>standard antibiotics and honey, lemon and honey/lemon juice mixture.</w:t>
      </w:r>
    </w:p>
    <w:p>
      <w:pPr>
        <w:spacing w:after="0" w:line="259" w:lineRule="auto"/>
        <w:sectPr>
          <w:type w:val="continuous"/>
          <w:pgSz w:w="11910" w:h="16840"/>
          <w:pgMar w:header="0" w:footer="1055" w:top="1360" w:bottom="1240" w:left="1060" w:right="460"/>
        </w:sectPr>
      </w:pPr>
    </w:p>
    <w:p>
      <w:pPr>
        <w:spacing w:before="47"/>
        <w:ind w:left="1302" w:right="0" w:firstLine="0"/>
        <w:jc w:val="left"/>
        <w:rPr>
          <w:sz w:val="20"/>
        </w:rPr>
      </w:pPr>
      <w:r>
        <w:rPr/>
        <mc:AlternateContent>
          <mc:Choice Requires="wps">
            <w:drawing>
              <wp:anchor distT="0" distB="0" distL="0" distR="0" allowOverlap="1" layoutInCell="1" locked="0" behindDoc="0" simplePos="0" relativeHeight="15740416">
                <wp:simplePos x="0" y="0"/>
                <wp:positionH relativeFrom="page">
                  <wp:posOffset>1738883</wp:posOffset>
                </wp:positionH>
                <wp:positionV relativeFrom="paragraph">
                  <wp:posOffset>111252</wp:posOffset>
                </wp:positionV>
                <wp:extent cx="3195955" cy="3629025"/>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195955" cy="3629025"/>
                          <a:chExt cx="3195955" cy="3629025"/>
                        </a:xfrm>
                      </wpg:grpSpPr>
                      <wps:wsp>
                        <wps:cNvPr id="139" name="Graphic 139"/>
                        <wps:cNvSpPr/>
                        <wps:spPr>
                          <a:xfrm>
                            <a:off x="39623" y="3047"/>
                            <a:ext cx="1270" cy="3584575"/>
                          </a:xfrm>
                          <a:custGeom>
                            <a:avLst/>
                            <a:gdLst/>
                            <a:ahLst/>
                            <a:cxnLst/>
                            <a:rect l="l" t="t" r="r" b="b"/>
                            <a:pathLst>
                              <a:path w="0" h="3584575">
                                <a:moveTo>
                                  <a:pt x="0" y="544068"/>
                                </a:moveTo>
                                <a:lnTo>
                                  <a:pt x="0" y="3584448"/>
                                </a:lnTo>
                              </a:path>
                              <a:path w="0" h="3584575">
                                <a:moveTo>
                                  <a:pt x="0" y="0"/>
                                </a:moveTo>
                                <a:lnTo>
                                  <a:pt x="0" y="480060"/>
                                </a:lnTo>
                              </a:path>
                            </a:pathLst>
                          </a:custGeom>
                          <a:ln w="6096">
                            <a:solidFill>
                              <a:srgbClr val="888888"/>
                            </a:solidFill>
                            <a:prstDash val="solid"/>
                          </a:ln>
                        </wps:spPr>
                        <wps:bodyPr wrap="square" lIns="0" tIns="0" rIns="0" bIns="0" rtlCol="0">
                          <a:prstTxWarp prst="textNoShape">
                            <a:avLst/>
                          </a:prstTxWarp>
                          <a:noAutofit/>
                        </wps:bodyPr>
                      </wps:wsp>
                      <wps:wsp>
                        <wps:cNvPr id="140" name="Graphic 140"/>
                        <wps:cNvSpPr/>
                        <wps:spPr>
                          <a:xfrm>
                            <a:off x="0" y="1027175"/>
                            <a:ext cx="40005" cy="2560320"/>
                          </a:xfrm>
                          <a:custGeom>
                            <a:avLst/>
                            <a:gdLst/>
                            <a:ahLst/>
                            <a:cxnLst/>
                            <a:rect l="l" t="t" r="r" b="b"/>
                            <a:pathLst>
                              <a:path w="40005" h="2560320">
                                <a:moveTo>
                                  <a:pt x="0" y="2560320"/>
                                </a:moveTo>
                                <a:lnTo>
                                  <a:pt x="39624" y="2560320"/>
                                </a:lnTo>
                              </a:path>
                              <a:path w="40005" h="2560320">
                                <a:moveTo>
                                  <a:pt x="0" y="2048256"/>
                                </a:moveTo>
                                <a:lnTo>
                                  <a:pt x="39624" y="2048256"/>
                                </a:lnTo>
                              </a:path>
                              <a:path w="40005" h="2560320">
                                <a:moveTo>
                                  <a:pt x="0" y="1536192"/>
                                </a:moveTo>
                                <a:lnTo>
                                  <a:pt x="39624" y="1536192"/>
                                </a:lnTo>
                              </a:path>
                              <a:path w="40005" h="2560320">
                                <a:moveTo>
                                  <a:pt x="0" y="1024127"/>
                                </a:moveTo>
                                <a:lnTo>
                                  <a:pt x="39624" y="1024127"/>
                                </a:lnTo>
                              </a:path>
                              <a:path w="40005" h="2560320">
                                <a:moveTo>
                                  <a:pt x="0" y="512064"/>
                                </a:moveTo>
                                <a:lnTo>
                                  <a:pt x="39624" y="512064"/>
                                </a:lnTo>
                              </a:path>
                              <a:path w="40005" h="2560320">
                                <a:moveTo>
                                  <a:pt x="0" y="0"/>
                                </a:moveTo>
                                <a:lnTo>
                                  <a:pt x="39624" y="0"/>
                                </a:lnTo>
                              </a:path>
                            </a:pathLst>
                          </a:custGeom>
                          <a:ln w="6096">
                            <a:solidFill>
                              <a:srgbClr val="888888"/>
                            </a:solidFill>
                            <a:prstDash val="solid"/>
                          </a:ln>
                        </wps:spPr>
                        <wps:bodyPr wrap="square" lIns="0" tIns="0" rIns="0" bIns="0" rtlCol="0">
                          <a:prstTxWarp prst="textNoShape">
                            <a:avLst/>
                          </a:prstTxWarp>
                          <a:noAutofit/>
                        </wps:bodyPr>
                      </wps:wsp>
                      <wps:wsp>
                        <wps:cNvPr id="141" name="Graphic 141"/>
                        <wps:cNvSpPr/>
                        <wps:spPr>
                          <a:xfrm>
                            <a:off x="0" y="515112"/>
                            <a:ext cx="7620" cy="1270"/>
                          </a:xfrm>
                          <a:custGeom>
                            <a:avLst/>
                            <a:gdLst/>
                            <a:ahLst/>
                            <a:cxnLst/>
                            <a:rect l="l" t="t" r="r" b="b"/>
                            <a:pathLst>
                              <a:path w="7620" h="0">
                                <a:moveTo>
                                  <a:pt x="0" y="0"/>
                                </a:moveTo>
                                <a:lnTo>
                                  <a:pt x="7620" y="0"/>
                                </a:lnTo>
                              </a:path>
                            </a:pathLst>
                          </a:custGeom>
                          <a:ln w="6096">
                            <a:solidFill>
                              <a:srgbClr val="888888"/>
                            </a:solidFill>
                            <a:prstDash val="solid"/>
                          </a:ln>
                        </wps:spPr>
                        <wps:bodyPr wrap="square" lIns="0" tIns="0" rIns="0" bIns="0" rtlCol="0">
                          <a:prstTxWarp prst="textNoShape">
                            <a:avLst/>
                          </a:prstTxWarp>
                          <a:noAutofit/>
                        </wps:bodyPr>
                      </wps:wsp>
                      <wps:wsp>
                        <wps:cNvPr id="142" name="Graphic 142"/>
                        <wps:cNvSpPr/>
                        <wps:spPr>
                          <a:xfrm>
                            <a:off x="0" y="3047"/>
                            <a:ext cx="3192780" cy="3625850"/>
                          </a:xfrm>
                          <a:custGeom>
                            <a:avLst/>
                            <a:gdLst/>
                            <a:ahLst/>
                            <a:cxnLst/>
                            <a:rect l="l" t="t" r="r" b="b"/>
                            <a:pathLst>
                              <a:path w="3192780" h="3625850">
                                <a:moveTo>
                                  <a:pt x="0" y="0"/>
                                </a:moveTo>
                                <a:lnTo>
                                  <a:pt x="39624" y="0"/>
                                </a:lnTo>
                              </a:path>
                              <a:path w="3192780" h="3625850">
                                <a:moveTo>
                                  <a:pt x="39624" y="3584448"/>
                                </a:moveTo>
                                <a:lnTo>
                                  <a:pt x="3192780" y="3584448"/>
                                </a:lnTo>
                              </a:path>
                              <a:path w="3192780" h="3625850">
                                <a:moveTo>
                                  <a:pt x="39624" y="3584448"/>
                                </a:moveTo>
                                <a:lnTo>
                                  <a:pt x="39624" y="3625596"/>
                                </a:lnTo>
                              </a:path>
                              <a:path w="3192780" h="3625850">
                                <a:moveTo>
                                  <a:pt x="355092" y="3584448"/>
                                </a:moveTo>
                                <a:lnTo>
                                  <a:pt x="355092" y="3625596"/>
                                </a:lnTo>
                              </a:path>
                              <a:path w="3192780" h="3625850">
                                <a:moveTo>
                                  <a:pt x="670560" y="3584448"/>
                                </a:moveTo>
                                <a:lnTo>
                                  <a:pt x="670560" y="3625596"/>
                                </a:lnTo>
                              </a:path>
                              <a:path w="3192780" h="3625850">
                                <a:moveTo>
                                  <a:pt x="3192780" y="3584448"/>
                                </a:moveTo>
                                <a:lnTo>
                                  <a:pt x="3192780" y="3625596"/>
                                </a:lnTo>
                              </a:path>
                            </a:pathLst>
                          </a:custGeom>
                          <a:ln w="6096">
                            <a:solidFill>
                              <a:srgbClr val="888888"/>
                            </a:solidFill>
                            <a:prstDash val="solid"/>
                          </a:ln>
                        </wps:spPr>
                        <wps:bodyPr wrap="square" lIns="0" tIns="0" rIns="0" bIns="0" rtlCol="0">
                          <a:prstTxWarp prst="textNoShape">
                            <a:avLst/>
                          </a:prstTxWarp>
                          <a:noAutofit/>
                        </wps:bodyPr>
                      </wps:wsp>
                      <pic:pic>
                        <pic:nvPicPr>
                          <pic:cNvPr id="143" name="Image 143"/>
                          <pic:cNvPicPr/>
                        </pic:nvPicPr>
                        <pic:blipFill>
                          <a:blip r:embed="rId288" cstate="print"/>
                          <a:stretch>
                            <a:fillRect/>
                          </a:stretch>
                        </pic:blipFill>
                        <pic:spPr>
                          <a:xfrm>
                            <a:off x="4572" y="480059"/>
                            <a:ext cx="3098292" cy="3148584"/>
                          </a:xfrm>
                          <a:prstGeom prst="rect">
                            <a:avLst/>
                          </a:prstGeom>
                        </pic:spPr>
                      </pic:pic>
                    </wpg:wgp>
                  </a:graphicData>
                </a:graphic>
              </wp:anchor>
            </w:drawing>
          </mc:Choice>
          <mc:Fallback>
            <w:pict>
              <v:group style="position:absolute;margin-left:136.919998pt;margin-top:8.76pt;width:251.65pt;height:285.75pt;mso-position-horizontal-relative:page;mso-position-vertical-relative:paragraph;z-index:15740416" id="docshapegroup109" coordorigin="2738,175" coordsize="5033,5715">
                <v:shape style="position:absolute;left:2800;top:180;width:2;height:5645" id="docshape110" coordorigin="2801,180" coordsize="0,5645" path="m2801,1037l2801,5825m2801,180l2801,936e" filled="false" stroked="true" strokeweight=".48pt" strokecolor="#888888">
                  <v:path arrowok="t"/>
                  <v:stroke dashstyle="solid"/>
                </v:shape>
                <v:shape style="position:absolute;left:2738;top:1792;width:63;height:4032" id="docshape111" coordorigin="2738,1793" coordsize="63,4032" path="m2738,5825l2801,5825m2738,5018l2801,5018m2738,4212l2801,4212m2738,3406l2801,3406m2738,2599l2801,2599m2738,1793l2801,1793e" filled="false" stroked="true" strokeweight=".48pt" strokecolor="#888888">
                  <v:path arrowok="t"/>
                  <v:stroke dashstyle="solid"/>
                </v:shape>
                <v:line style="position:absolute" from="2738,986" to="2750,986" stroked="true" strokeweight=".48pt" strokecolor="#888888">
                  <v:stroke dashstyle="solid"/>
                </v:line>
                <v:shape style="position:absolute;left:2738;top:180;width:5028;height:5710" id="docshape112" coordorigin="2738,180" coordsize="5028,5710" path="m2738,180l2801,180m2801,5825l7766,5825m2801,5825l2801,5890m3298,5825l3298,5890m3794,5825l3794,5890m7766,5825l7766,5890e" filled="false" stroked="true" strokeweight=".48pt" strokecolor="#888888">
                  <v:path arrowok="t"/>
                  <v:stroke dashstyle="solid"/>
                </v:shape>
                <v:shape style="position:absolute;left:2745;top:931;width:4880;height:4959" type="#_x0000_t75" id="docshape113" stroked="false">
                  <v:imagedata r:id="rId288" o:title=""/>
                </v:shape>
                <w10:wrap type="none"/>
              </v:group>
            </w:pict>
          </mc:Fallback>
        </mc:AlternateContent>
      </w:r>
      <w:r>
        <w:rPr>
          <w:spacing w:val="-5"/>
          <w:sz w:val="20"/>
        </w:rPr>
        <w:t>3.5</w:t>
      </w:r>
    </w:p>
    <w:p>
      <w:pPr>
        <w:pStyle w:val="BodyText"/>
        <w:rPr>
          <w:sz w:val="20"/>
        </w:rPr>
      </w:pPr>
    </w:p>
    <w:p>
      <w:pPr>
        <w:pStyle w:val="BodyText"/>
        <w:spacing w:before="74"/>
        <w:rPr>
          <w:sz w:val="20"/>
        </w:rPr>
      </w:pPr>
    </w:p>
    <w:p>
      <w:pPr>
        <w:spacing w:before="0"/>
        <w:ind w:left="1454" w:right="0" w:firstLine="0"/>
        <w:jc w:val="left"/>
        <w:rPr>
          <w:sz w:val="20"/>
        </w:rPr>
      </w:pPr>
      <w:r>
        <w:rPr>
          <w:spacing w:val="-10"/>
          <w:sz w:val="20"/>
        </w:rPr>
        <w:t>3</w:t>
      </w:r>
    </w:p>
    <w:p>
      <w:pPr>
        <w:pStyle w:val="BodyText"/>
        <w:rPr>
          <w:sz w:val="20"/>
        </w:rPr>
      </w:pPr>
    </w:p>
    <w:p>
      <w:pPr>
        <w:pStyle w:val="BodyText"/>
        <w:spacing w:before="74"/>
        <w:rPr>
          <w:sz w:val="20"/>
        </w:rPr>
      </w:pPr>
    </w:p>
    <w:p>
      <w:pPr>
        <w:spacing w:before="0"/>
        <w:ind w:left="1302" w:right="0" w:firstLine="0"/>
        <w:jc w:val="left"/>
        <w:rPr>
          <w:sz w:val="20"/>
        </w:rPr>
      </w:pPr>
      <w:r>
        <w:rPr/>
        <mc:AlternateContent>
          <mc:Choice Requires="wps">
            <w:drawing>
              <wp:anchor distT="0" distB="0" distL="0" distR="0" allowOverlap="1" layoutInCell="1" locked="0" behindDoc="0" simplePos="0" relativeHeight="15741440">
                <wp:simplePos x="0" y="0"/>
                <wp:positionH relativeFrom="page">
                  <wp:posOffset>1223094</wp:posOffset>
                </wp:positionH>
                <wp:positionV relativeFrom="paragraph">
                  <wp:posOffset>136270</wp:posOffset>
                </wp:positionV>
                <wp:extent cx="194310" cy="143573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94310" cy="1435735"/>
                        </a:xfrm>
                        <a:prstGeom prst="rect">
                          <a:avLst/>
                        </a:prstGeom>
                      </wps:spPr>
                      <wps:txbx>
                        <w:txbxContent>
                          <w:p>
                            <w:pPr>
                              <w:spacing w:before="10"/>
                              <w:ind w:left="20" w:right="0" w:firstLine="0"/>
                              <w:jc w:val="left"/>
                              <w:rPr>
                                <w:rFonts w:ascii="Times New Roman"/>
                                <w:b/>
                                <w:sz w:val="24"/>
                              </w:rPr>
                            </w:pPr>
                            <w:r>
                              <w:rPr>
                                <w:rFonts w:ascii="Times New Roman"/>
                                <w:b/>
                                <w:sz w:val="24"/>
                              </w:rPr>
                              <w:t>Log</w:t>
                            </w:r>
                            <w:r>
                              <w:rPr>
                                <w:rFonts w:ascii="Times New Roman"/>
                                <w:b/>
                                <w:spacing w:val="-4"/>
                                <w:sz w:val="24"/>
                              </w:rPr>
                              <w:t> </w:t>
                            </w:r>
                            <w:r>
                              <w:rPr>
                                <w:rFonts w:ascii="Times New Roman"/>
                                <w:b/>
                                <w:sz w:val="24"/>
                              </w:rPr>
                              <w:t>Survival</w:t>
                            </w:r>
                            <w:r>
                              <w:rPr>
                                <w:rFonts w:ascii="Times New Roman"/>
                                <w:b/>
                                <w:spacing w:val="-2"/>
                                <w:sz w:val="24"/>
                              </w:rPr>
                              <w:t> Cells/ml</w:t>
                            </w:r>
                          </w:p>
                        </w:txbxContent>
                      </wps:txbx>
                      <wps:bodyPr wrap="square" lIns="0" tIns="0" rIns="0" bIns="0" rtlCol="0" vert="vert270">
                        <a:noAutofit/>
                      </wps:bodyPr>
                    </wps:wsp>
                  </a:graphicData>
                </a:graphic>
              </wp:anchor>
            </w:drawing>
          </mc:Choice>
          <mc:Fallback>
            <w:pict>
              <v:shape style="position:absolute;margin-left:96.306641pt;margin-top:10.729959pt;width:15.3pt;height:113.05pt;mso-position-horizontal-relative:page;mso-position-vertical-relative:paragraph;z-index:15741440" type="#_x0000_t202" id="docshape114" filled="false" stroked="false">
                <v:textbox inset="0,0,0,0" style="layout-flow:vertical;mso-layout-flow-alt:bottom-to-top">
                  <w:txbxContent>
                    <w:p>
                      <w:pPr>
                        <w:spacing w:before="10"/>
                        <w:ind w:left="20" w:right="0" w:firstLine="0"/>
                        <w:jc w:val="left"/>
                        <w:rPr>
                          <w:rFonts w:ascii="Times New Roman"/>
                          <w:b/>
                          <w:sz w:val="24"/>
                        </w:rPr>
                      </w:pPr>
                      <w:r>
                        <w:rPr>
                          <w:rFonts w:ascii="Times New Roman"/>
                          <w:b/>
                          <w:sz w:val="24"/>
                        </w:rPr>
                        <w:t>Log</w:t>
                      </w:r>
                      <w:r>
                        <w:rPr>
                          <w:rFonts w:ascii="Times New Roman"/>
                          <w:b/>
                          <w:spacing w:val="-4"/>
                          <w:sz w:val="24"/>
                        </w:rPr>
                        <w:t> </w:t>
                      </w:r>
                      <w:r>
                        <w:rPr>
                          <w:rFonts w:ascii="Times New Roman"/>
                          <w:b/>
                          <w:sz w:val="24"/>
                        </w:rPr>
                        <w:t>Survival</w:t>
                      </w:r>
                      <w:r>
                        <w:rPr>
                          <w:rFonts w:ascii="Times New Roman"/>
                          <w:b/>
                          <w:spacing w:val="-2"/>
                          <w:sz w:val="24"/>
                        </w:rPr>
                        <w:t> Cells/ml</w:t>
                      </w:r>
                    </w:p>
                  </w:txbxContent>
                </v:textbox>
                <w10:wrap type="none"/>
              </v:shape>
            </w:pict>
          </mc:Fallback>
        </mc:AlternateContent>
      </w:r>
      <w:r>
        <w:rPr>
          <w:spacing w:val="-5"/>
          <w:sz w:val="20"/>
        </w:rPr>
        <w:t>2.5</w:t>
      </w:r>
    </w:p>
    <w:p>
      <w:pPr>
        <w:pStyle w:val="BodyText"/>
        <w:rPr>
          <w:sz w:val="20"/>
        </w:rPr>
      </w:pPr>
    </w:p>
    <w:p>
      <w:pPr>
        <w:pStyle w:val="BodyText"/>
        <w:spacing w:before="15"/>
        <w:rPr>
          <w:sz w:val="20"/>
        </w:rPr>
      </w:pPr>
    </w:p>
    <w:p>
      <w:pPr>
        <w:spacing w:after="0"/>
        <w:rPr>
          <w:sz w:val="20"/>
        </w:rPr>
        <w:sectPr>
          <w:pgSz w:w="11910" w:h="16840"/>
          <w:pgMar w:header="0" w:footer="1055" w:top="1640" w:bottom="1240" w:left="1060" w:right="460"/>
        </w:sectPr>
      </w:pPr>
    </w:p>
    <w:p>
      <w:pPr>
        <w:spacing w:before="59"/>
        <w:ind w:left="0" w:right="38" w:firstLine="0"/>
        <w:jc w:val="right"/>
        <w:rPr>
          <w:sz w:val="20"/>
        </w:rPr>
      </w:pPr>
      <w:r>
        <w:rPr>
          <w:spacing w:val="-10"/>
          <w:sz w:val="20"/>
        </w:rPr>
        <w:t>2</w:t>
      </w:r>
    </w:p>
    <w:p>
      <w:pPr>
        <w:pStyle w:val="BodyText"/>
        <w:rPr>
          <w:sz w:val="20"/>
        </w:rPr>
      </w:pPr>
    </w:p>
    <w:p>
      <w:pPr>
        <w:pStyle w:val="BodyText"/>
        <w:spacing w:before="74"/>
        <w:rPr>
          <w:sz w:val="20"/>
        </w:rPr>
      </w:pPr>
    </w:p>
    <w:p>
      <w:pPr>
        <w:spacing w:before="0"/>
        <w:ind w:left="0" w:right="39" w:firstLine="0"/>
        <w:jc w:val="right"/>
        <w:rPr>
          <w:sz w:val="20"/>
        </w:rPr>
      </w:pPr>
      <w:r>
        <w:rPr>
          <w:spacing w:val="-5"/>
          <w:sz w:val="20"/>
        </w:rPr>
        <w:t>1.5</w:t>
      </w:r>
    </w:p>
    <w:p>
      <w:pPr>
        <w:pStyle w:val="BodyText"/>
        <w:rPr>
          <w:sz w:val="20"/>
        </w:rPr>
      </w:pPr>
    </w:p>
    <w:p>
      <w:pPr>
        <w:pStyle w:val="BodyText"/>
        <w:spacing w:before="74"/>
        <w:rPr>
          <w:sz w:val="20"/>
        </w:rPr>
      </w:pPr>
    </w:p>
    <w:p>
      <w:pPr>
        <w:spacing w:before="0"/>
        <w:ind w:left="0" w:right="38" w:firstLine="0"/>
        <w:jc w:val="right"/>
        <w:rPr>
          <w:sz w:val="20"/>
        </w:rPr>
      </w:pPr>
      <w:r>
        <w:rPr>
          <w:spacing w:val="-10"/>
          <w:sz w:val="20"/>
        </w:rPr>
        <w:t>1</w:t>
      </w:r>
    </w:p>
    <w:p>
      <w:pPr>
        <w:spacing w:line="240" w:lineRule="auto" w:before="155"/>
        <w:rPr>
          <w:sz w:val="20"/>
        </w:rPr>
      </w:pPr>
      <w:r>
        <w:rPr/>
        <w:br w:type="column"/>
      </w:r>
      <w:r>
        <w:rPr>
          <w:sz w:val="20"/>
        </w:rPr>
      </w:r>
    </w:p>
    <w:p>
      <w:pPr>
        <w:spacing w:line="355" w:lineRule="auto" w:before="0"/>
        <w:ind w:left="1728" w:right="1658" w:hanging="427"/>
        <w:jc w:val="left"/>
        <w:rPr>
          <w:sz w:val="20"/>
        </w:rPr>
      </w:pPr>
      <w:r>
        <w:rPr/>
        <w:drawing>
          <wp:inline distT="0" distB="0" distL="0" distR="0">
            <wp:extent cx="243840" cy="70103"/>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289" cstate="print"/>
                    <a:stretch>
                      <a:fillRect/>
                    </a:stretch>
                  </pic:blipFill>
                  <pic:spPr>
                    <a:xfrm>
                      <a:off x="0" y="0"/>
                      <a:ext cx="243840" cy="70103"/>
                    </a:xfrm>
                    <a:prstGeom prst="rect">
                      <a:avLst/>
                    </a:prstGeom>
                  </pic:spPr>
                </pic:pic>
              </a:graphicData>
            </a:graphic>
          </wp:inline>
        </w:drawing>
      </w:r>
      <w:r>
        <w:rPr/>
      </w:r>
      <w:r>
        <w:rPr>
          <w:rFonts w:ascii="Times New Roman" w:hAnsi="Times New Roman"/>
          <w:spacing w:val="-13"/>
          <w:sz w:val="20"/>
        </w:rPr>
        <w:t> </w:t>
      </w:r>
      <w:r>
        <w:rPr>
          <w:sz w:val="20"/>
        </w:rPr>
        <w:t>LEV</w:t>
      </w:r>
      <w:r>
        <w:rPr>
          <w:spacing w:val="-11"/>
          <w:sz w:val="20"/>
        </w:rPr>
        <w:t> </w:t>
      </w:r>
      <w:r>
        <w:rPr>
          <w:sz w:val="20"/>
        </w:rPr>
        <w:t>(7.81µg/ml) CEF</w:t>
      </w:r>
      <w:r>
        <w:rPr>
          <w:spacing w:val="-7"/>
          <w:sz w:val="20"/>
        </w:rPr>
        <w:t> </w:t>
      </w:r>
      <w:r>
        <w:rPr>
          <w:spacing w:val="-2"/>
          <w:sz w:val="20"/>
        </w:rPr>
        <w:t>(12.5µg/ml)</w:t>
      </w:r>
    </w:p>
    <w:p>
      <w:pPr>
        <w:spacing w:line="355" w:lineRule="auto" w:before="1"/>
        <w:ind w:left="1301" w:right="916" w:firstLine="0"/>
        <w:jc w:val="left"/>
        <w:rPr>
          <w:sz w:val="20"/>
        </w:rPr>
      </w:pPr>
      <w:r>
        <w:rPr/>
        <mc:AlternateContent>
          <mc:Choice Requires="wps">
            <w:drawing>
              <wp:anchor distT="0" distB="0" distL="0" distR="0" allowOverlap="1" layoutInCell="1" locked="0" behindDoc="0" simplePos="0" relativeHeight="15740928">
                <wp:simplePos x="0" y="0"/>
                <wp:positionH relativeFrom="page">
                  <wp:posOffset>5117591</wp:posOffset>
                </wp:positionH>
                <wp:positionV relativeFrom="paragraph">
                  <wp:posOffset>-178982</wp:posOffset>
                </wp:positionV>
                <wp:extent cx="243840" cy="70485"/>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243840" cy="70485"/>
                          <a:chExt cx="243840" cy="70485"/>
                        </a:xfrm>
                      </wpg:grpSpPr>
                      <wps:wsp>
                        <wps:cNvPr id="147" name="Graphic 147"/>
                        <wps:cNvSpPr/>
                        <wps:spPr>
                          <a:xfrm>
                            <a:off x="0" y="35051"/>
                            <a:ext cx="243840" cy="1270"/>
                          </a:xfrm>
                          <a:custGeom>
                            <a:avLst/>
                            <a:gdLst/>
                            <a:ahLst/>
                            <a:cxnLst/>
                            <a:rect l="l" t="t" r="r" b="b"/>
                            <a:pathLst>
                              <a:path w="243840" h="0">
                                <a:moveTo>
                                  <a:pt x="0" y="0"/>
                                </a:moveTo>
                                <a:lnTo>
                                  <a:pt x="243840" y="0"/>
                                </a:lnTo>
                              </a:path>
                            </a:pathLst>
                          </a:custGeom>
                          <a:ln w="18288">
                            <a:solidFill>
                              <a:srgbClr val="EC7C30"/>
                            </a:solidFill>
                            <a:prstDash val="solid"/>
                          </a:ln>
                        </wps:spPr>
                        <wps:bodyPr wrap="square" lIns="0" tIns="0" rIns="0" bIns="0" rtlCol="0">
                          <a:prstTxWarp prst="textNoShape">
                            <a:avLst/>
                          </a:prstTxWarp>
                          <a:noAutofit/>
                        </wps:bodyPr>
                      </wps:wsp>
                      <wps:wsp>
                        <wps:cNvPr id="148" name="Graphic 148"/>
                        <wps:cNvSpPr/>
                        <wps:spPr>
                          <a:xfrm>
                            <a:off x="89915" y="3047"/>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EC7C30"/>
                          </a:solidFill>
                        </wps:spPr>
                        <wps:bodyPr wrap="square" lIns="0" tIns="0" rIns="0" bIns="0" rtlCol="0">
                          <a:prstTxWarp prst="textNoShape">
                            <a:avLst/>
                          </a:prstTxWarp>
                          <a:noAutofit/>
                        </wps:bodyPr>
                      </wps:wsp>
                      <wps:wsp>
                        <wps:cNvPr id="149" name="Graphic 149"/>
                        <wps:cNvSpPr/>
                        <wps:spPr>
                          <a:xfrm>
                            <a:off x="89915" y="3047"/>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6096">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2.959991pt;margin-top:-14.093125pt;width:19.2pt;height:5.55pt;mso-position-horizontal-relative:page;mso-position-vertical-relative:paragraph;z-index:15740928" id="docshapegroup115" coordorigin="8059,-282" coordsize="384,111">
                <v:line style="position:absolute" from="8059,-227" to="8443,-227" stroked="true" strokeweight="1.44pt" strokecolor="#ec7c30">
                  <v:stroke dashstyle="solid"/>
                </v:line>
                <v:rect style="position:absolute;left:8200;top:-278;width:101;height:101" id="docshape116" filled="true" fillcolor="#ec7c30" stroked="false">
                  <v:fill type="solid"/>
                </v:rect>
                <v:rect style="position:absolute;left:8200;top:-278;width:101;height:101" id="docshape117" filled="false" stroked="true" strokeweight=".48pt" strokecolor="#ec7c30">
                  <v:stroke dashstyle="solid"/>
                </v:rect>
                <w10:wrap type="none"/>
              </v:group>
            </w:pict>
          </mc:Fallback>
        </mc:AlternateContent>
      </w:r>
      <w:r>
        <w:rPr/>
        <w:drawing>
          <wp:inline distT="0" distB="0" distL="0" distR="0">
            <wp:extent cx="243840" cy="68579"/>
            <wp:effectExtent l="0" t="0" r="0" b="0"/>
            <wp:docPr id="150" name="Image 150"/>
            <wp:cNvGraphicFramePr>
              <a:graphicFrameLocks/>
            </wp:cNvGraphicFramePr>
            <a:graphic>
              <a:graphicData uri="http://schemas.openxmlformats.org/drawingml/2006/picture">
                <pic:pic>
                  <pic:nvPicPr>
                    <pic:cNvPr id="150" name="Image 150"/>
                    <pic:cNvPicPr/>
                  </pic:nvPicPr>
                  <pic:blipFill>
                    <a:blip r:embed="rId290" cstate="print"/>
                    <a:stretch>
                      <a:fillRect/>
                    </a:stretch>
                  </pic:blipFill>
                  <pic:spPr>
                    <a:xfrm>
                      <a:off x="0" y="0"/>
                      <a:ext cx="243840" cy="68579"/>
                    </a:xfrm>
                    <a:prstGeom prst="rect">
                      <a:avLst/>
                    </a:prstGeom>
                  </pic:spPr>
                </pic:pic>
              </a:graphicData>
            </a:graphic>
          </wp:inline>
        </w:drawing>
      </w:r>
      <w:r>
        <w:rPr/>
      </w:r>
      <w:r>
        <w:rPr>
          <w:rFonts w:ascii="Times New Roman" w:hAnsi="Times New Roman"/>
          <w:spacing w:val="-13"/>
          <w:sz w:val="20"/>
        </w:rPr>
        <w:t> </w:t>
      </w:r>
      <w:r>
        <w:rPr>
          <w:sz w:val="20"/>
        </w:rPr>
        <w:t>Lemon</w:t>
      </w:r>
      <w:r>
        <w:rPr>
          <w:spacing w:val="-11"/>
          <w:sz w:val="20"/>
        </w:rPr>
        <w:t> </w:t>
      </w:r>
      <w:r>
        <w:rPr>
          <w:sz w:val="20"/>
        </w:rPr>
        <w:t>(20µg/ml</w:t>
      </w:r>
      <w:r>
        <w:rPr>
          <w:spacing w:val="-12"/>
          <w:sz w:val="20"/>
        </w:rPr>
        <w:t> </w:t>
      </w:r>
      <w:r>
        <w:rPr>
          <w:sz w:val="20"/>
        </w:rPr>
        <w:t>v/v) </w:t>
      </w:r>
      <w:r>
        <w:rPr>
          <w:sz w:val="20"/>
        </w:rPr>
        <w:drawing>
          <wp:inline distT="0" distB="0" distL="0" distR="0">
            <wp:extent cx="243840" cy="70103"/>
            <wp:effectExtent l="0" t="0" r="0" b="0"/>
            <wp:docPr id="151" name="Image 151"/>
            <wp:cNvGraphicFramePr>
              <a:graphicFrameLocks/>
            </wp:cNvGraphicFramePr>
            <a:graphic>
              <a:graphicData uri="http://schemas.openxmlformats.org/drawingml/2006/picture">
                <pic:pic>
                  <pic:nvPicPr>
                    <pic:cNvPr id="151" name="Image 151"/>
                    <pic:cNvPicPr/>
                  </pic:nvPicPr>
                  <pic:blipFill>
                    <a:blip r:embed="rId291" cstate="print"/>
                    <a:stretch>
                      <a:fillRect/>
                    </a:stretch>
                  </pic:blipFill>
                  <pic:spPr>
                    <a:xfrm>
                      <a:off x="0" y="0"/>
                      <a:ext cx="243840" cy="70103"/>
                    </a:xfrm>
                    <a:prstGeom prst="rect">
                      <a:avLst/>
                    </a:prstGeom>
                  </pic:spPr>
                </pic:pic>
              </a:graphicData>
            </a:graphic>
          </wp:inline>
        </w:drawing>
      </w:r>
      <w:r>
        <w:rPr>
          <w:sz w:val="20"/>
        </w:rPr>
      </w:r>
      <w:r>
        <w:rPr>
          <w:rFonts w:ascii="Times New Roman" w:hAnsi="Times New Roman"/>
          <w:spacing w:val="-12"/>
          <w:sz w:val="20"/>
        </w:rPr>
        <w:t> </w:t>
      </w:r>
      <w:r>
        <w:rPr>
          <w:sz w:val="20"/>
        </w:rPr>
        <w:t>Honey</w:t>
      </w:r>
      <w:r>
        <w:rPr>
          <w:spacing w:val="-7"/>
          <w:sz w:val="20"/>
        </w:rPr>
        <w:t> </w:t>
      </w:r>
      <w:r>
        <w:rPr>
          <w:sz w:val="20"/>
        </w:rPr>
        <w:t>(50µg/ml</w:t>
      </w:r>
      <w:r>
        <w:rPr>
          <w:spacing w:val="-4"/>
          <w:sz w:val="20"/>
        </w:rPr>
        <w:t> </w:t>
      </w:r>
      <w:r>
        <w:rPr>
          <w:sz w:val="20"/>
        </w:rPr>
        <w:t>v/v)</w:t>
      </w:r>
    </w:p>
    <w:p>
      <w:pPr>
        <w:spacing w:before="1"/>
        <w:ind w:left="1301" w:right="0" w:firstLine="0"/>
        <w:jc w:val="left"/>
        <w:rPr>
          <w:sz w:val="20"/>
        </w:rPr>
      </w:pPr>
      <w:r>
        <w:rPr/>
        <w:drawing>
          <wp:inline distT="0" distB="0" distL="0" distR="0">
            <wp:extent cx="243840" cy="70103"/>
            <wp:effectExtent l="0" t="0" r="0" b="0"/>
            <wp:docPr id="152" name="Image 152"/>
            <wp:cNvGraphicFramePr>
              <a:graphicFrameLocks/>
            </wp:cNvGraphicFramePr>
            <a:graphic>
              <a:graphicData uri="http://schemas.openxmlformats.org/drawingml/2006/picture">
                <pic:pic>
                  <pic:nvPicPr>
                    <pic:cNvPr id="152" name="Image 152"/>
                    <pic:cNvPicPr/>
                  </pic:nvPicPr>
                  <pic:blipFill>
                    <a:blip r:embed="rId292" cstate="print"/>
                    <a:stretch>
                      <a:fillRect/>
                    </a:stretch>
                  </pic:blipFill>
                  <pic:spPr>
                    <a:xfrm>
                      <a:off x="0" y="0"/>
                      <a:ext cx="243840" cy="70103"/>
                    </a:xfrm>
                    <a:prstGeom prst="rect">
                      <a:avLst/>
                    </a:prstGeom>
                  </pic:spPr>
                </pic:pic>
              </a:graphicData>
            </a:graphic>
          </wp:inline>
        </w:drawing>
      </w:r>
      <w:r>
        <w:rPr/>
      </w:r>
      <w:r>
        <w:rPr>
          <w:rFonts w:ascii="Times New Roman" w:hAnsi="Times New Roman"/>
          <w:spacing w:val="-13"/>
          <w:sz w:val="20"/>
        </w:rPr>
        <w:t> </w:t>
      </w:r>
      <w:r>
        <w:rPr>
          <w:sz w:val="20"/>
        </w:rPr>
        <w:t>Honey/Lemon</w:t>
      </w:r>
      <w:r>
        <w:rPr>
          <w:spacing w:val="-8"/>
          <w:sz w:val="20"/>
        </w:rPr>
        <w:t> </w:t>
      </w:r>
      <w:r>
        <w:rPr>
          <w:sz w:val="20"/>
        </w:rPr>
        <w:t>(20µg/ml</w:t>
      </w:r>
      <w:r>
        <w:rPr>
          <w:spacing w:val="-6"/>
          <w:sz w:val="20"/>
        </w:rPr>
        <w:t> </w:t>
      </w:r>
      <w:r>
        <w:rPr>
          <w:sz w:val="20"/>
        </w:rPr>
        <w:t>v/v)</w:t>
      </w:r>
    </w:p>
    <w:p>
      <w:pPr>
        <w:spacing w:after="0"/>
        <w:jc w:val="left"/>
        <w:rPr>
          <w:sz w:val="20"/>
        </w:rPr>
        <w:sectPr>
          <w:type w:val="continuous"/>
          <w:pgSz w:w="11910" w:h="16840"/>
          <w:pgMar w:header="0" w:footer="1055" w:top="1360" w:bottom="1240" w:left="1060" w:right="460"/>
          <w:cols w:num="2" w:equalWidth="0">
            <w:col w:w="1596" w:space="4101"/>
            <w:col w:w="4693"/>
          </w:cols>
        </w:sectPr>
      </w:pPr>
    </w:p>
    <w:p>
      <w:pPr>
        <w:pStyle w:val="BodyText"/>
        <w:spacing w:before="143"/>
        <w:rPr>
          <w:sz w:val="20"/>
        </w:rPr>
      </w:pPr>
    </w:p>
    <w:p>
      <w:pPr>
        <w:spacing w:before="1"/>
        <w:ind w:left="1302" w:right="0" w:firstLine="0"/>
        <w:jc w:val="left"/>
        <w:rPr>
          <w:sz w:val="20"/>
        </w:rPr>
      </w:pPr>
      <w:r>
        <w:rPr>
          <w:spacing w:val="-5"/>
          <w:sz w:val="20"/>
        </w:rPr>
        <w:t>0.5</w:t>
      </w:r>
    </w:p>
    <w:p>
      <w:pPr>
        <w:pStyle w:val="BodyText"/>
        <w:rPr>
          <w:sz w:val="20"/>
        </w:rPr>
      </w:pPr>
    </w:p>
    <w:p>
      <w:pPr>
        <w:pStyle w:val="BodyText"/>
        <w:spacing w:before="74"/>
        <w:rPr>
          <w:sz w:val="20"/>
        </w:rPr>
      </w:pPr>
    </w:p>
    <w:p>
      <w:pPr>
        <w:spacing w:before="0"/>
        <w:ind w:left="1454" w:right="0" w:firstLine="0"/>
        <w:jc w:val="left"/>
        <w:rPr>
          <w:sz w:val="20"/>
        </w:rPr>
      </w:pPr>
      <w:r>
        <w:rPr>
          <w:spacing w:val="-10"/>
          <w:sz w:val="20"/>
        </w:rPr>
        <w:t>0</w:t>
      </w:r>
    </w:p>
    <w:p>
      <w:pPr>
        <w:tabs>
          <w:tab w:pos="2086" w:val="left" w:leader="none"/>
        </w:tabs>
        <w:spacing w:before="75"/>
        <w:ind w:left="1690" w:right="0" w:firstLine="0"/>
        <w:jc w:val="left"/>
        <w:rPr>
          <w:sz w:val="20"/>
        </w:rPr>
      </w:pPr>
      <w:r>
        <w:rPr>
          <w:spacing w:val="-10"/>
          <w:sz w:val="20"/>
        </w:rPr>
        <w:t>0</w:t>
      </w:r>
      <w:r>
        <w:rPr>
          <w:sz w:val="20"/>
        </w:rPr>
        <w:tab/>
        <w:t>150</w:t>
      </w:r>
      <w:r>
        <w:rPr>
          <w:spacing w:val="47"/>
          <w:sz w:val="20"/>
        </w:rPr>
        <w:t>  </w:t>
      </w:r>
      <w:r>
        <w:rPr>
          <w:sz w:val="20"/>
        </w:rPr>
        <w:t>300</w:t>
      </w:r>
      <w:r>
        <w:rPr>
          <w:spacing w:val="48"/>
          <w:sz w:val="20"/>
        </w:rPr>
        <w:t>  </w:t>
      </w:r>
      <w:r>
        <w:rPr>
          <w:sz w:val="20"/>
        </w:rPr>
        <w:t>450</w:t>
      </w:r>
      <w:r>
        <w:rPr>
          <w:spacing w:val="48"/>
          <w:sz w:val="20"/>
        </w:rPr>
        <w:t>  </w:t>
      </w:r>
      <w:r>
        <w:rPr>
          <w:sz w:val="20"/>
        </w:rPr>
        <w:t>600</w:t>
      </w:r>
      <w:r>
        <w:rPr>
          <w:spacing w:val="47"/>
          <w:sz w:val="20"/>
        </w:rPr>
        <w:t>  </w:t>
      </w:r>
      <w:r>
        <w:rPr>
          <w:sz w:val="20"/>
        </w:rPr>
        <w:t>750</w:t>
      </w:r>
      <w:r>
        <w:rPr>
          <w:spacing w:val="48"/>
          <w:sz w:val="20"/>
        </w:rPr>
        <w:t>  </w:t>
      </w:r>
      <w:r>
        <w:rPr>
          <w:sz w:val="20"/>
        </w:rPr>
        <w:t>900</w:t>
      </w:r>
      <w:r>
        <w:rPr>
          <w:spacing w:val="71"/>
          <w:w w:val="150"/>
          <w:sz w:val="20"/>
        </w:rPr>
        <w:t> </w:t>
      </w:r>
      <w:r>
        <w:rPr>
          <w:sz w:val="20"/>
        </w:rPr>
        <w:t>1050</w:t>
      </w:r>
      <w:r>
        <w:rPr>
          <w:spacing w:val="44"/>
          <w:sz w:val="20"/>
        </w:rPr>
        <w:t> </w:t>
      </w:r>
      <w:r>
        <w:rPr>
          <w:sz w:val="20"/>
        </w:rPr>
        <w:t>1200</w:t>
      </w:r>
      <w:r>
        <w:rPr>
          <w:spacing w:val="45"/>
          <w:sz w:val="20"/>
        </w:rPr>
        <w:t> </w:t>
      </w:r>
      <w:r>
        <w:rPr>
          <w:sz w:val="20"/>
        </w:rPr>
        <w:t>1350</w:t>
      </w:r>
      <w:r>
        <w:rPr>
          <w:spacing w:val="44"/>
          <w:sz w:val="20"/>
        </w:rPr>
        <w:t> </w:t>
      </w:r>
      <w:r>
        <w:rPr>
          <w:spacing w:val="-4"/>
          <w:sz w:val="20"/>
        </w:rPr>
        <w:t>1500</w:t>
      </w:r>
    </w:p>
    <w:p>
      <w:pPr>
        <w:pStyle w:val="Heading1"/>
        <w:spacing w:before="150"/>
        <w:ind w:left="3446"/>
      </w:pPr>
      <w:r>
        <w:rPr/>
        <w:t>Time</w:t>
      </w:r>
      <w:r>
        <w:rPr>
          <w:spacing w:val="-11"/>
        </w:rPr>
        <w:t> </w:t>
      </w:r>
      <w:r>
        <w:rPr>
          <w:spacing w:val="-2"/>
        </w:rPr>
        <w:t>(minutes)</w:t>
      </w: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150"/>
        <w:rPr>
          <w:rFonts w:ascii="Times New Roman"/>
          <w:b/>
        </w:rPr>
      </w:pPr>
    </w:p>
    <w:p>
      <w:pPr>
        <w:pStyle w:val="BodyText"/>
        <w:spacing w:line="259" w:lineRule="auto"/>
        <w:ind w:left="380" w:right="975"/>
      </w:pPr>
      <w:r>
        <w:rPr/>
        <w:t>Fig. 4.10: The Log of Survival cells/ml of </w:t>
      </w:r>
      <w:r>
        <w:rPr>
          <w:i/>
        </w:rPr>
        <w:t>Streptococcus pyogene </w:t>
      </w:r>
      <w:r>
        <w:rPr/>
        <w:t>(Resistant) on exposure to standard antibiotics and honey, lemon and honey/lemon juice mixture.</w:t>
      </w:r>
    </w:p>
    <w:p>
      <w:pPr>
        <w:spacing w:after="0" w:line="259" w:lineRule="auto"/>
        <w:sectPr>
          <w:type w:val="continuous"/>
          <w:pgSz w:w="11910" w:h="16840"/>
          <w:pgMar w:header="0" w:footer="1055" w:top="1360" w:bottom="1240" w:left="1060" w:right="460"/>
        </w:sectPr>
      </w:pPr>
    </w:p>
    <w:p>
      <w:pPr>
        <w:spacing w:before="29"/>
        <w:ind w:left="1163" w:right="0" w:firstLine="0"/>
        <w:jc w:val="left"/>
        <w:rPr>
          <w:sz w:val="20"/>
        </w:rPr>
      </w:pPr>
      <w:r>
        <w:rPr/>
        <mc:AlternateContent>
          <mc:Choice Requires="wps">
            <w:drawing>
              <wp:anchor distT="0" distB="0" distL="0" distR="0" allowOverlap="1" layoutInCell="1" locked="0" behindDoc="0" simplePos="0" relativeHeight="15741952">
                <wp:simplePos x="0" y="0"/>
                <wp:positionH relativeFrom="page">
                  <wp:posOffset>1648967</wp:posOffset>
                </wp:positionH>
                <wp:positionV relativeFrom="paragraph">
                  <wp:posOffset>101092</wp:posOffset>
                </wp:positionV>
                <wp:extent cx="3491229" cy="3503929"/>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3491229" cy="3503929"/>
                          <a:chExt cx="3491229" cy="3503929"/>
                        </a:xfrm>
                      </wpg:grpSpPr>
                      <wps:wsp>
                        <wps:cNvPr id="154" name="Graphic 154"/>
                        <wps:cNvSpPr/>
                        <wps:spPr>
                          <a:xfrm>
                            <a:off x="0" y="3047"/>
                            <a:ext cx="41275" cy="3497579"/>
                          </a:xfrm>
                          <a:custGeom>
                            <a:avLst/>
                            <a:gdLst/>
                            <a:ahLst/>
                            <a:cxnLst/>
                            <a:rect l="l" t="t" r="r" b="b"/>
                            <a:pathLst>
                              <a:path w="41275" h="3497579">
                                <a:moveTo>
                                  <a:pt x="41148" y="3497579"/>
                                </a:moveTo>
                                <a:lnTo>
                                  <a:pt x="41148" y="0"/>
                                </a:lnTo>
                              </a:path>
                              <a:path w="41275" h="3497579">
                                <a:moveTo>
                                  <a:pt x="0" y="3497579"/>
                                </a:moveTo>
                                <a:lnTo>
                                  <a:pt x="41148" y="3497579"/>
                                </a:lnTo>
                              </a:path>
                              <a:path w="41275" h="3497579">
                                <a:moveTo>
                                  <a:pt x="0" y="3060191"/>
                                </a:moveTo>
                                <a:lnTo>
                                  <a:pt x="41148" y="3060191"/>
                                </a:lnTo>
                              </a:path>
                              <a:path w="41275" h="3497579">
                                <a:moveTo>
                                  <a:pt x="0" y="2622804"/>
                                </a:moveTo>
                                <a:lnTo>
                                  <a:pt x="41148" y="2622804"/>
                                </a:lnTo>
                              </a:path>
                              <a:path w="41275" h="3497579">
                                <a:moveTo>
                                  <a:pt x="0" y="2185415"/>
                                </a:moveTo>
                                <a:lnTo>
                                  <a:pt x="41148" y="2185415"/>
                                </a:lnTo>
                              </a:path>
                              <a:path w="41275" h="3497579">
                                <a:moveTo>
                                  <a:pt x="0" y="1748027"/>
                                </a:moveTo>
                                <a:lnTo>
                                  <a:pt x="41148" y="1748027"/>
                                </a:lnTo>
                              </a:path>
                              <a:path w="41275" h="3497579">
                                <a:moveTo>
                                  <a:pt x="0" y="1312163"/>
                                </a:moveTo>
                                <a:lnTo>
                                  <a:pt x="41148" y="1312163"/>
                                </a:lnTo>
                              </a:path>
                              <a:path w="41275" h="3497579">
                                <a:moveTo>
                                  <a:pt x="0" y="874776"/>
                                </a:moveTo>
                                <a:lnTo>
                                  <a:pt x="41148" y="874776"/>
                                </a:lnTo>
                              </a:path>
                              <a:path w="41275" h="3497579">
                                <a:moveTo>
                                  <a:pt x="0" y="437387"/>
                                </a:moveTo>
                                <a:lnTo>
                                  <a:pt x="41148" y="437387"/>
                                </a:lnTo>
                              </a:path>
                              <a:path w="41275" h="3497579">
                                <a:moveTo>
                                  <a:pt x="0" y="0"/>
                                </a:moveTo>
                                <a:lnTo>
                                  <a:pt x="41148" y="0"/>
                                </a:lnTo>
                              </a:path>
                            </a:pathLst>
                          </a:custGeom>
                          <a:ln w="6096">
                            <a:solidFill>
                              <a:srgbClr val="888888"/>
                            </a:solidFill>
                            <a:prstDash val="solid"/>
                          </a:ln>
                        </wps:spPr>
                        <wps:bodyPr wrap="square" lIns="0" tIns="0" rIns="0" bIns="0" rtlCol="0">
                          <a:prstTxWarp prst="textNoShape">
                            <a:avLst/>
                          </a:prstTxWarp>
                          <a:noAutofit/>
                        </wps:bodyPr>
                      </wps:wsp>
                      <wps:wsp>
                        <wps:cNvPr id="155" name="Graphic 155"/>
                        <wps:cNvSpPr/>
                        <wps:spPr>
                          <a:xfrm>
                            <a:off x="41148" y="3063239"/>
                            <a:ext cx="3156585" cy="1270"/>
                          </a:xfrm>
                          <a:custGeom>
                            <a:avLst/>
                            <a:gdLst/>
                            <a:ahLst/>
                            <a:cxnLst/>
                            <a:rect l="l" t="t" r="r" b="b"/>
                            <a:pathLst>
                              <a:path w="3156585" h="0">
                                <a:moveTo>
                                  <a:pt x="0" y="0"/>
                                </a:moveTo>
                                <a:lnTo>
                                  <a:pt x="3156204" y="0"/>
                                </a:lnTo>
                              </a:path>
                            </a:pathLst>
                          </a:custGeom>
                          <a:ln w="6096">
                            <a:solidFill>
                              <a:srgbClr val="888888"/>
                            </a:solidFill>
                            <a:prstDash val="solid"/>
                          </a:ln>
                        </wps:spPr>
                        <wps:bodyPr wrap="square" lIns="0" tIns="0" rIns="0" bIns="0" rtlCol="0">
                          <a:prstTxWarp prst="textNoShape">
                            <a:avLst/>
                          </a:prstTxWarp>
                          <a:noAutofit/>
                        </wps:bodyPr>
                      </wps:wsp>
                      <wps:wsp>
                        <wps:cNvPr id="156" name="Graphic 156"/>
                        <wps:cNvSpPr/>
                        <wps:spPr>
                          <a:xfrm>
                            <a:off x="41148" y="3063239"/>
                            <a:ext cx="1270" cy="40005"/>
                          </a:xfrm>
                          <a:custGeom>
                            <a:avLst/>
                            <a:gdLst/>
                            <a:ahLst/>
                            <a:cxnLst/>
                            <a:rect l="l" t="t" r="r" b="b"/>
                            <a:pathLst>
                              <a:path w="0" h="40005">
                                <a:moveTo>
                                  <a:pt x="0" y="0"/>
                                </a:moveTo>
                                <a:lnTo>
                                  <a:pt x="0" y="39624"/>
                                </a:lnTo>
                              </a:path>
                            </a:pathLst>
                          </a:custGeom>
                          <a:ln w="6096">
                            <a:solidFill>
                              <a:srgbClr val="888888"/>
                            </a:solidFill>
                            <a:prstDash val="solid"/>
                          </a:ln>
                        </wps:spPr>
                        <wps:bodyPr wrap="square" lIns="0" tIns="0" rIns="0" bIns="0" rtlCol="0">
                          <a:prstTxWarp prst="textNoShape">
                            <a:avLst/>
                          </a:prstTxWarp>
                          <a:noAutofit/>
                        </wps:bodyPr>
                      </wps:wsp>
                      <pic:pic>
                        <pic:nvPicPr>
                          <pic:cNvPr id="157" name="Image 157"/>
                          <pic:cNvPicPr/>
                        </pic:nvPicPr>
                        <pic:blipFill>
                          <a:blip r:embed="rId293" cstate="print"/>
                          <a:stretch>
                            <a:fillRect/>
                          </a:stretch>
                        </pic:blipFill>
                        <pic:spPr>
                          <a:xfrm>
                            <a:off x="6858" y="381306"/>
                            <a:ext cx="3359658" cy="2748673"/>
                          </a:xfrm>
                          <a:prstGeom prst="rect">
                            <a:avLst/>
                          </a:prstGeom>
                        </pic:spPr>
                      </pic:pic>
                      <wps:wsp>
                        <wps:cNvPr id="158" name="Textbox 158"/>
                        <wps:cNvSpPr txBox="1"/>
                        <wps:spPr>
                          <a:xfrm>
                            <a:off x="0" y="0"/>
                            <a:ext cx="3491229" cy="3503929"/>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26"/>
                                <w:rPr>
                                  <w:sz w:val="20"/>
                                </w:rPr>
                              </w:pPr>
                            </w:p>
                            <w:p>
                              <w:pPr>
                                <w:tabs>
                                  <w:tab w:pos="435" w:val="left" w:leader="none"/>
                                  <w:tab w:pos="958" w:val="left" w:leader="none"/>
                                  <w:tab w:pos="1482" w:val="left" w:leader="none"/>
                                  <w:tab w:pos="2005" w:val="left" w:leader="none"/>
                                  <w:tab w:pos="2529" w:val="left" w:leader="none"/>
                                  <w:tab w:pos="3052" w:val="left" w:leader="none"/>
                                </w:tabs>
                                <w:spacing w:before="0"/>
                                <w:ind w:left="13" w:right="0" w:firstLine="0"/>
                                <w:jc w:val="left"/>
                                <w:rPr>
                                  <w:sz w:val="20"/>
                                </w:rPr>
                              </w:pPr>
                              <w:r>
                                <w:rPr>
                                  <w:spacing w:val="-10"/>
                                  <w:sz w:val="20"/>
                                </w:rPr>
                                <w:t>0</w:t>
                              </w:r>
                              <w:r>
                                <w:rPr>
                                  <w:sz w:val="20"/>
                                </w:rPr>
                                <w:tab/>
                              </w:r>
                              <w:r>
                                <w:rPr>
                                  <w:spacing w:val="-5"/>
                                  <w:sz w:val="20"/>
                                </w:rPr>
                                <w:t>150</w:t>
                              </w:r>
                              <w:r>
                                <w:rPr>
                                  <w:sz w:val="20"/>
                                </w:rPr>
                                <w:tab/>
                              </w:r>
                              <w:r>
                                <w:rPr>
                                  <w:spacing w:val="-5"/>
                                  <w:sz w:val="20"/>
                                </w:rPr>
                                <w:t>300</w:t>
                              </w:r>
                              <w:r>
                                <w:rPr>
                                  <w:sz w:val="20"/>
                                </w:rPr>
                                <w:tab/>
                              </w:r>
                              <w:r>
                                <w:rPr>
                                  <w:spacing w:val="-5"/>
                                  <w:sz w:val="20"/>
                                </w:rPr>
                                <w:t>450</w:t>
                              </w:r>
                              <w:r>
                                <w:rPr>
                                  <w:sz w:val="20"/>
                                </w:rPr>
                                <w:tab/>
                              </w:r>
                              <w:r>
                                <w:rPr>
                                  <w:spacing w:val="-5"/>
                                  <w:sz w:val="20"/>
                                </w:rPr>
                                <w:t>600</w:t>
                              </w:r>
                              <w:r>
                                <w:rPr>
                                  <w:sz w:val="20"/>
                                </w:rPr>
                                <w:tab/>
                              </w:r>
                              <w:r>
                                <w:rPr>
                                  <w:spacing w:val="-5"/>
                                  <w:sz w:val="20"/>
                                </w:rPr>
                                <w:t>750</w:t>
                              </w:r>
                              <w:r>
                                <w:rPr>
                                  <w:sz w:val="20"/>
                                </w:rPr>
                                <w:tab/>
                                <w:t>900</w:t>
                              </w:r>
                              <w:r>
                                <w:rPr>
                                  <w:spacing w:val="35"/>
                                  <w:sz w:val="20"/>
                                </w:rPr>
                                <w:t>  </w:t>
                              </w:r>
                              <w:r>
                                <w:rPr>
                                  <w:sz w:val="20"/>
                                </w:rPr>
                                <w:t>1050</w:t>
                              </w:r>
                              <w:r>
                                <w:rPr>
                                  <w:spacing w:val="68"/>
                                  <w:sz w:val="20"/>
                                </w:rPr>
                                <w:t> </w:t>
                              </w:r>
                              <w:r>
                                <w:rPr>
                                  <w:sz w:val="20"/>
                                </w:rPr>
                                <w:t>1200</w:t>
                              </w:r>
                              <w:r>
                                <w:rPr>
                                  <w:spacing w:val="68"/>
                                  <w:sz w:val="20"/>
                                </w:rPr>
                                <w:t> </w:t>
                              </w:r>
                              <w:r>
                                <w:rPr>
                                  <w:sz w:val="20"/>
                                </w:rPr>
                                <w:t>1350</w:t>
                              </w:r>
                              <w:r>
                                <w:rPr>
                                  <w:spacing w:val="68"/>
                                  <w:sz w:val="20"/>
                                </w:rPr>
                                <w:t> </w:t>
                              </w:r>
                              <w:r>
                                <w:rPr>
                                  <w:spacing w:val="-4"/>
                                  <w:sz w:val="20"/>
                                </w:rPr>
                                <w:t>1500</w:t>
                              </w:r>
                            </w:p>
                          </w:txbxContent>
                        </wps:txbx>
                        <wps:bodyPr wrap="square" lIns="0" tIns="0" rIns="0" bIns="0" rtlCol="0">
                          <a:noAutofit/>
                        </wps:bodyPr>
                      </wps:wsp>
                    </wpg:wgp>
                  </a:graphicData>
                </a:graphic>
              </wp:anchor>
            </w:drawing>
          </mc:Choice>
          <mc:Fallback>
            <w:pict>
              <v:group style="position:absolute;margin-left:129.839996pt;margin-top:7.96pt;width:274.9pt;height:275.9pt;mso-position-horizontal-relative:page;mso-position-vertical-relative:paragraph;z-index:15741952" id="docshapegroup118" coordorigin="2597,159" coordsize="5498,5518">
                <v:shape style="position:absolute;left:2596;top:164;width:65;height:5508" id="docshape119" coordorigin="2597,164" coordsize="65,5508" path="m2662,5672l2662,164m2597,5672l2662,5672m2597,4983l2662,4983m2597,4294l2662,4294m2597,3606l2662,3606m2597,2917l2662,2917m2597,2230l2662,2230m2597,1542l2662,1542m2597,853l2662,853m2597,164l2662,164e" filled="false" stroked="true" strokeweight=".48pt" strokecolor="#888888">
                  <v:path arrowok="t"/>
                  <v:stroke dashstyle="solid"/>
                </v:shape>
                <v:line style="position:absolute" from="2662,4983" to="7632,4983" stroked="true" strokeweight=".48pt" strokecolor="#888888">
                  <v:stroke dashstyle="solid"/>
                </v:line>
                <v:line style="position:absolute" from="2662,4983" to="2662,5046" stroked="true" strokeweight=".48pt" strokecolor="#888888">
                  <v:stroke dashstyle="solid"/>
                </v:line>
                <v:shape style="position:absolute;left:2607;top:759;width:5291;height:4329" type="#_x0000_t75" id="docshape120" stroked="false">
                  <v:imagedata r:id="rId293" o:title=""/>
                </v:shape>
                <v:shape style="position:absolute;left:2596;top:159;width:5498;height:5518" type="#_x0000_t202" id="docshape121"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26"/>
                          <w:rPr>
                            <w:sz w:val="20"/>
                          </w:rPr>
                        </w:pPr>
                      </w:p>
                      <w:p>
                        <w:pPr>
                          <w:tabs>
                            <w:tab w:pos="435" w:val="left" w:leader="none"/>
                            <w:tab w:pos="958" w:val="left" w:leader="none"/>
                            <w:tab w:pos="1482" w:val="left" w:leader="none"/>
                            <w:tab w:pos="2005" w:val="left" w:leader="none"/>
                            <w:tab w:pos="2529" w:val="left" w:leader="none"/>
                            <w:tab w:pos="3052" w:val="left" w:leader="none"/>
                          </w:tabs>
                          <w:spacing w:before="0"/>
                          <w:ind w:left="13" w:right="0" w:firstLine="0"/>
                          <w:jc w:val="left"/>
                          <w:rPr>
                            <w:sz w:val="20"/>
                          </w:rPr>
                        </w:pPr>
                        <w:r>
                          <w:rPr>
                            <w:spacing w:val="-10"/>
                            <w:sz w:val="20"/>
                          </w:rPr>
                          <w:t>0</w:t>
                        </w:r>
                        <w:r>
                          <w:rPr>
                            <w:sz w:val="20"/>
                          </w:rPr>
                          <w:tab/>
                        </w:r>
                        <w:r>
                          <w:rPr>
                            <w:spacing w:val="-5"/>
                            <w:sz w:val="20"/>
                          </w:rPr>
                          <w:t>150</w:t>
                        </w:r>
                        <w:r>
                          <w:rPr>
                            <w:sz w:val="20"/>
                          </w:rPr>
                          <w:tab/>
                        </w:r>
                        <w:r>
                          <w:rPr>
                            <w:spacing w:val="-5"/>
                            <w:sz w:val="20"/>
                          </w:rPr>
                          <w:t>300</w:t>
                        </w:r>
                        <w:r>
                          <w:rPr>
                            <w:sz w:val="20"/>
                          </w:rPr>
                          <w:tab/>
                        </w:r>
                        <w:r>
                          <w:rPr>
                            <w:spacing w:val="-5"/>
                            <w:sz w:val="20"/>
                          </w:rPr>
                          <w:t>450</w:t>
                        </w:r>
                        <w:r>
                          <w:rPr>
                            <w:sz w:val="20"/>
                          </w:rPr>
                          <w:tab/>
                        </w:r>
                        <w:r>
                          <w:rPr>
                            <w:spacing w:val="-5"/>
                            <w:sz w:val="20"/>
                          </w:rPr>
                          <w:t>600</w:t>
                        </w:r>
                        <w:r>
                          <w:rPr>
                            <w:sz w:val="20"/>
                          </w:rPr>
                          <w:tab/>
                        </w:r>
                        <w:r>
                          <w:rPr>
                            <w:spacing w:val="-5"/>
                            <w:sz w:val="20"/>
                          </w:rPr>
                          <w:t>750</w:t>
                        </w:r>
                        <w:r>
                          <w:rPr>
                            <w:sz w:val="20"/>
                          </w:rPr>
                          <w:tab/>
                          <w:t>900</w:t>
                        </w:r>
                        <w:r>
                          <w:rPr>
                            <w:spacing w:val="35"/>
                            <w:sz w:val="20"/>
                          </w:rPr>
                          <w:t>  </w:t>
                        </w:r>
                        <w:r>
                          <w:rPr>
                            <w:sz w:val="20"/>
                          </w:rPr>
                          <w:t>1050</w:t>
                        </w:r>
                        <w:r>
                          <w:rPr>
                            <w:spacing w:val="68"/>
                            <w:sz w:val="20"/>
                          </w:rPr>
                          <w:t> </w:t>
                        </w:r>
                        <w:r>
                          <w:rPr>
                            <w:sz w:val="20"/>
                          </w:rPr>
                          <w:t>1200</w:t>
                        </w:r>
                        <w:r>
                          <w:rPr>
                            <w:spacing w:val="68"/>
                            <w:sz w:val="20"/>
                          </w:rPr>
                          <w:t> </w:t>
                        </w:r>
                        <w:r>
                          <w:rPr>
                            <w:sz w:val="20"/>
                          </w:rPr>
                          <w:t>1350</w:t>
                        </w:r>
                        <w:r>
                          <w:rPr>
                            <w:spacing w:val="68"/>
                            <w:sz w:val="20"/>
                          </w:rPr>
                          <w:t> </w:t>
                        </w:r>
                        <w:r>
                          <w:rPr>
                            <w:spacing w:val="-4"/>
                            <w:sz w:val="20"/>
                          </w:rPr>
                          <w:t>1500</w:t>
                        </w:r>
                      </w:p>
                    </w:txbxContent>
                  </v:textbox>
                  <w10:wrap type="none"/>
                </v:shape>
                <w10:wrap type="none"/>
              </v:group>
            </w:pict>
          </mc:Fallback>
        </mc:AlternateContent>
      </w:r>
      <w:r>
        <w:rPr>
          <w:spacing w:val="-5"/>
          <w:sz w:val="20"/>
        </w:rPr>
        <w:t>3.5</w:t>
      </w:r>
    </w:p>
    <w:p>
      <w:pPr>
        <w:pStyle w:val="BodyText"/>
        <w:spacing w:before="201"/>
        <w:rPr>
          <w:sz w:val="20"/>
        </w:rPr>
      </w:pPr>
    </w:p>
    <w:p>
      <w:pPr>
        <w:spacing w:before="0"/>
        <w:ind w:left="1313" w:right="0" w:firstLine="0"/>
        <w:jc w:val="left"/>
        <w:rPr>
          <w:sz w:val="20"/>
        </w:rPr>
      </w:pPr>
      <w:r>
        <w:rPr>
          <w:spacing w:val="-10"/>
          <w:sz w:val="20"/>
        </w:rPr>
        <w:t>3</w:t>
      </w:r>
    </w:p>
    <w:p>
      <w:pPr>
        <w:pStyle w:val="BodyText"/>
        <w:spacing w:before="200"/>
        <w:rPr>
          <w:sz w:val="20"/>
        </w:rPr>
      </w:pPr>
    </w:p>
    <w:p>
      <w:pPr>
        <w:spacing w:before="0"/>
        <w:ind w:left="1163" w:right="0" w:firstLine="0"/>
        <w:jc w:val="left"/>
        <w:rPr>
          <w:sz w:val="20"/>
        </w:rPr>
      </w:pPr>
      <w:r>
        <w:rPr>
          <w:spacing w:val="-5"/>
          <w:sz w:val="20"/>
        </w:rPr>
        <w:t>2.5</w:t>
      </w:r>
    </w:p>
    <w:p>
      <w:pPr>
        <w:pStyle w:val="BodyText"/>
        <w:spacing w:before="141"/>
        <w:rPr>
          <w:sz w:val="20"/>
        </w:rPr>
      </w:pPr>
    </w:p>
    <w:p>
      <w:pPr>
        <w:spacing w:after="0"/>
        <w:rPr>
          <w:sz w:val="20"/>
        </w:rPr>
        <w:sectPr>
          <w:pgSz w:w="11910" w:h="16840"/>
          <w:pgMar w:header="0" w:footer="1055" w:top="1560" w:bottom="1240" w:left="1060" w:right="460"/>
        </w:sectPr>
      </w:pPr>
    </w:p>
    <w:p>
      <w:pPr>
        <w:spacing w:before="59"/>
        <w:ind w:left="0" w:right="39" w:firstLine="0"/>
        <w:jc w:val="right"/>
        <w:rPr>
          <w:sz w:val="20"/>
        </w:rPr>
      </w:pPr>
      <w:r>
        <w:rPr/>
        <mc:AlternateContent>
          <mc:Choice Requires="wps">
            <w:drawing>
              <wp:anchor distT="0" distB="0" distL="0" distR="0" allowOverlap="1" layoutInCell="1" locked="0" behindDoc="0" simplePos="0" relativeHeight="15742976">
                <wp:simplePos x="0" y="0"/>
                <wp:positionH relativeFrom="page">
                  <wp:posOffset>1095078</wp:posOffset>
                </wp:positionH>
                <wp:positionV relativeFrom="paragraph">
                  <wp:posOffset>-156464</wp:posOffset>
                </wp:positionV>
                <wp:extent cx="194310" cy="143573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194310" cy="1435735"/>
                        </a:xfrm>
                        <a:prstGeom prst="rect">
                          <a:avLst/>
                        </a:prstGeom>
                      </wps:spPr>
                      <wps:txbx>
                        <w:txbxContent>
                          <w:p>
                            <w:pPr>
                              <w:spacing w:before="10"/>
                              <w:ind w:left="20" w:right="0" w:firstLine="0"/>
                              <w:jc w:val="left"/>
                              <w:rPr>
                                <w:rFonts w:ascii="Times New Roman"/>
                                <w:b/>
                                <w:sz w:val="24"/>
                              </w:rPr>
                            </w:pPr>
                            <w:r>
                              <w:rPr>
                                <w:rFonts w:ascii="Times New Roman"/>
                                <w:b/>
                                <w:sz w:val="24"/>
                              </w:rPr>
                              <w:t>Log</w:t>
                            </w:r>
                            <w:r>
                              <w:rPr>
                                <w:rFonts w:ascii="Times New Roman"/>
                                <w:b/>
                                <w:spacing w:val="-4"/>
                                <w:sz w:val="24"/>
                              </w:rPr>
                              <w:t> </w:t>
                            </w:r>
                            <w:r>
                              <w:rPr>
                                <w:rFonts w:ascii="Times New Roman"/>
                                <w:b/>
                                <w:sz w:val="24"/>
                              </w:rPr>
                              <w:t>Survival</w:t>
                            </w:r>
                            <w:r>
                              <w:rPr>
                                <w:rFonts w:ascii="Times New Roman"/>
                                <w:b/>
                                <w:spacing w:val="-2"/>
                                <w:sz w:val="24"/>
                              </w:rPr>
                              <w:t> Cells/ml</w:t>
                            </w:r>
                          </w:p>
                        </w:txbxContent>
                      </wps:txbx>
                      <wps:bodyPr wrap="square" lIns="0" tIns="0" rIns="0" bIns="0" rtlCol="0" vert="vert270">
                        <a:noAutofit/>
                      </wps:bodyPr>
                    </wps:wsp>
                  </a:graphicData>
                </a:graphic>
              </wp:anchor>
            </w:drawing>
          </mc:Choice>
          <mc:Fallback>
            <w:pict>
              <v:shape style="position:absolute;margin-left:86.226639pt;margin-top:-12.320042pt;width:15.3pt;height:113.05pt;mso-position-horizontal-relative:page;mso-position-vertical-relative:paragraph;z-index:15742976" type="#_x0000_t202" id="docshape122" filled="false" stroked="false">
                <v:textbox inset="0,0,0,0" style="layout-flow:vertical;mso-layout-flow-alt:bottom-to-top">
                  <w:txbxContent>
                    <w:p>
                      <w:pPr>
                        <w:spacing w:before="10"/>
                        <w:ind w:left="20" w:right="0" w:firstLine="0"/>
                        <w:jc w:val="left"/>
                        <w:rPr>
                          <w:rFonts w:ascii="Times New Roman"/>
                          <w:b/>
                          <w:sz w:val="24"/>
                        </w:rPr>
                      </w:pPr>
                      <w:r>
                        <w:rPr>
                          <w:rFonts w:ascii="Times New Roman"/>
                          <w:b/>
                          <w:sz w:val="24"/>
                        </w:rPr>
                        <w:t>Log</w:t>
                      </w:r>
                      <w:r>
                        <w:rPr>
                          <w:rFonts w:ascii="Times New Roman"/>
                          <w:b/>
                          <w:spacing w:val="-4"/>
                          <w:sz w:val="24"/>
                        </w:rPr>
                        <w:t> </w:t>
                      </w:r>
                      <w:r>
                        <w:rPr>
                          <w:rFonts w:ascii="Times New Roman"/>
                          <w:b/>
                          <w:sz w:val="24"/>
                        </w:rPr>
                        <w:t>Survival</w:t>
                      </w:r>
                      <w:r>
                        <w:rPr>
                          <w:rFonts w:ascii="Times New Roman"/>
                          <w:b/>
                          <w:spacing w:val="-2"/>
                          <w:sz w:val="24"/>
                        </w:rPr>
                        <w:t> Cells/ml</w:t>
                      </w:r>
                    </w:p>
                  </w:txbxContent>
                </v:textbox>
                <w10:wrap type="none"/>
              </v:shape>
            </w:pict>
          </mc:Fallback>
        </mc:AlternateContent>
      </w:r>
      <w:r>
        <w:rPr>
          <w:spacing w:val="-10"/>
          <w:sz w:val="20"/>
        </w:rPr>
        <w:t>2</w:t>
      </w:r>
    </w:p>
    <w:p>
      <w:pPr>
        <w:pStyle w:val="BodyText"/>
        <w:spacing w:before="200"/>
        <w:rPr>
          <w:sz w:val="20"/>
        </w:rPr>
      </w:pPr>
    </w:p>
    <w:p>
      <w:pPr>
        <w:spacing w:before="1"/>
        <w:ind w:left="0" w:right="38" w:firstLine="0"/>
        <w:jc w:val="right"/>
        <w:rPr>
          <w:sz w:val="20"/>
        </w:rPr>
      </w:pPr>
      <w:r>
        <w:rPr>
          <w:spacing w:val="-5"/>
          <w:sz w:val="20"/>
        </w:rPr>
        <w:t>1.5</w:t>
      </w:r>
    </w:p>
    <w:p>
      <w:pPr>
        <w:pStyle w:val="BodyText"/>
        <w:spacing w:before="200"/>
        <w:rPr>
          <w:sz w:val="20"/>
        </w:rPr>
      </w:pPr>
    </w:p>
    <w:p>
      <w:pPr>
        <w:spacing w:before="0"/>
        <w:ind w:left="0" w:right="39" w:firstLine="0"/>
        <w:jc w:val="right"/>
        <w:rPr>
          <w:sz w:val="20"/>
        </w:rPr>
      </w:pPr>
      <w:r>
        <w:rPr>
          <w:spacing w:val="-10"/>
          <w:sz w:val="20"/>
        </w:rPr>
        <w:t>1</w:t>
      </w:r>
    </w:p>
    <w:p>
      <w:pPr>
        <w:spacing w:line="240" w:lineRule="auto" w:before="7"/>
        <w:rPr>
          <w:sz w:val="20"/>
        </w:rPr>
      </w:pPr>
      <w:r>
        <w:rPr/>
        <w:br w:type="column"/>
      </w:r>
      <w:r>
        <w:rPr>
          <w:sz w:val="20"/>
        </w:rPr>
      </w:r>
    </w:p>
    <w:p>
      <w:pPr>
        <w:spacing w:before="0"/>
        <w:ind w:left="1163" w:right="0" w:firstLine="0"/>
        <w:jc w:val="left"/>
        <w:rPr>
          <w:sz w:val="20"/>
        </w:rPr>
      </w:pPr>
      <w:r>
        <w:rPr/>
        <w:drawing>
          <wp:inline distT="0" distB="0" distL="0" distR="0">
            <wp:extent cx="243839" cy="68579"/>
            <wp:effectExtent l="0" t="0" r="0" b="0"/>
            <wp:docPr id="160" name="Image 160"/>
            <wp:cNvGraphicFramePr>
              <a:graphicFrameLocks/>
            </wp:cNvGraphicFramePr>
            <a:graphic>
              <a:graphicData uri="http://schemas.openxmlformats.org/drawingml/2006/picture">
                <pic:pic>
                  <pic:nvPicPr>
                    <pic:cNvPr id="160" name="Image 160"/>
                    <pic:cNvPicPr/>
                  </pic:nvPicPr>
                  <pic:blipFill>
                    <a:blip r:embed="rId294" cstate="print"/>
                    <a:stretch>
                      <a:fillRect/>
                    </a:stretch>
                  </pic:blipFill>
                  <pic:spPr>
                    <a:xfrm>
                      <a:off x="0" y="0"/>
                      <a:ext cx="243839" cy="68579"/>
                    </a:xfrm>
                    <a:prstGeom prst="rect">
                      <a:avLst/>
                    </a:prstGeom>
                  </pic:spPr>
                </pic:pic>
              </a:graphicData>
            </a:graphic>
          </wp:inline>
        </w:drawing>
      </w:r>
      <w:r>
        <w:rPr/>
      </w:r>
      <w:r>
        <w:rPr>
          <w:rFonts w:ascii="Times New Roman" w:hAnsi="Times New Roman"/>
          <w:spacing w:val="-12"/>
          <w:sz w:val="20"/>
        </w:rPr>
        <w:t> </w:t>
      </w:r>
      <w:r>
        <w:rPr>
          <w:sz w:val="20"/>
        </w:rPr>
        <w:t>Lev.</w:t>
      </w:r>
      <w:r>
        <w:rPr>
          <w:spacing w:val="-3"/>
          <w:sz w:val="20"/>
        </w:rPr>
        <w:t> </w:t>
      </w:r>
      <w:r>
        <w:rPr>
          <w:sz w:val="20"/>
        </w:rPr>
        <w:t>(7.81</w:t>
      </w:r>
      <w:r>
        <w:rPr>
          <w:spacing w:val="-2"/>
          <w:sz w:val="20"/>
        </w:rPr>
        <w:t> </w:t>
      </w:r>
      <w:r>
        <w:rPr>
          <w:sz w:val="20"/>
        </w:rPr>
        <w:t>µg/ml)</w:t>
      </w:r>
    </w:p>
    <w:p>
      <w:pPr>
        <w:spacing w:line="355" w:lineRule="auto" w:before="118"/>
        <w:ind w:left="1163" w:right="1168" w:firstLine="425"/>
        <w:jc w:val="left"/>
        <w:rPr>
          <w:sz w:val="20"/>
        </w:rPr>
      </w:pPr>
      <w:r>
        <w:rPr/>
        <mc:AlternateContent>
          <mc:Choice Requires="wps">
            <w:drawing>
              <wp:anchor distT="0" distB="0" distL="0" distR="0" allowOverlap="1" layoutInCell="1" locked="0" behindDoc="0" simplePos="0" relativeHeight="15742464">
                <wp:simplePos x="0" y="0"/>
                <wp:positionH relativeFrom="page">
                  <wp:posOffset>5141976</wp:posOffset>
                </wp:positionH>
                <wp:positionV relativeFrom="paragraph">
                  <wp:posOffset>124507</wp:posOffset>
                </wp:positionV>
                <wp:extent cx="243840" cy="70485"/>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243840" cy="70485"/>
                          <a:chExt cx="243840" cy="70485"/>
                        </a:xfrm>
                      </wpg:grpSpPr>
                      <wps:wsp>
                        <wps:cNvPr id="162" name="Graphic 162"/>
                        <wps:cNvSpPr/>
                        <wps:spPr>
                          <a:xfrm>
                            <a:off x="0" y="35051"/>
                            <a:ext cx="243840" cy="1270"/>
                          </a:xfrm>
                          <a:custGeom>
                            <a:avLst/>
                            <a:gdLst/>
                            <a:ahLst/>
                            <a:cxnLst/>
                            <a:rect l="l" t="t" r="r" b="b"/>
                            <a:pathLst>
                              <a:path w="243840" h="0">
                                <a:moveTo>
                                  <a:pt x="0" y="0"/>
                                </a:moveTo>
                                <a:lnTo>
                                  <a:pt x="243839" y="0"/>
                                </a:lnTo>
                              </a:path>
                            </a:pathLst>
                          </a:custGeom>
                          <a:ln w="18288">
                            <a:solidFill>
                              <a:srgbClr val="EC7C30"/>
                            </a:solidFill>
                            <a:prstDash val="solid"/>
                          </a:ln>
                        </wps:spPr>
                        <wps:bodyPr wrap="square" lIns="0" tIns="0" rIns="0" bIns="0" rtlCol="0">
                          <a:prstTxWarp prst="textNoShape">
                            <a:avLst/>
                          </a:prstTxWarp>
                          <a:noAutofit/>
                        </wps:bodyPr>
                      </wps:wsp>
                      <wps:wsp>
                        <wps:cNvPr id="163" name="Graphic 163"/>
                        <wps:cNvSpPr/>
                        <wps:spPr>
                          <a:xfrm>
                            <a:off x="89915" y="3047"/>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EC7C30"/>
                          </a:solidFill>
                        </wps:spPr>
                        <wps:bodyPr wrap="square" lIns="0" tIns="0" rIns="0" bIns="0" rtlCol="0">
                          <a:prstTxWarp prst="textNoShape">
                            <a:avLst/>
                          </a:prstTxWarp>
                          <a:noAutofit/>
                        </wps:bodyPr>
                      </wps:wsp>
                      <wps:wsp>
                        <wps:cNvPr id="164" name="Graphic 164"/>
                        <wps:cNvSpPr/>
                        <wps:spPr>
                          <a:xfrm>
                            <a:off x="89915" y="3047"/>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6096">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4.880005pt;margin-top:9.803750pt;width:19.2pt;height:5.55pt;mso-position-horizontal-relative:page;mso-position-vertical-relative:paragraph;z-index:15742464" id="docshapegroup123" coordorigin="8098,196" coordsize="384,111">
                <v:line style="position:absolute" from="8098,251" to="8482,251" stroked="true" strokeweight="1.44pt" strokecolor="#ec7c30">
                  <v:stroke dashstyle="solid"/>
                </v:line>
                <v:rect style="position:absolute;left:8239;top:200;width:101;height:101" id="docshape124" filled="true" fillcolor="#ec7c30" stroked="false">
                  <v:fill type="solid"/>
                </v:rect>
                <v:rect style="position:absolute;left:8239;top:200;width:101;height:101" id="docshape125" filled="false" stroked="true" strokeweight=".48pt" strokecolor="#ec7c30">
                  <v:stroke dashstyle="solid"/>
                </v:rect>
                <w10:wrap type="none"/>
              </v:group>
            </w:pict>
          </mc:Fallback>
        </mc:AlternateContent>
      </w:r>
      <w:r>
        <w:rPr>
          <w:sz w:val="20"/>
        </w:rPr>
        <w:t>Cef. (12.5 µg/ml) </w:t>
      </w:r>
      <w:r>
        <w:rPr>
          <w:sz w:val="20"/>
        </w:rPr>
        <w:drawing>
          <wp:inline distT="0" distB="0" distL="0" distR="0">
            <wp:extent cx="243839" cy="70103"/>
            <wp:effectExtent l="0" t="0" r="0" b="0"/>
            <wp:docPr id="165" name="Image 165"/>
            <wp:cNvGraphicFramePr>
              <a:graphicFrameLocks/>
            </wp:cNvGraphicFramePr>
            <a:graphic>
              <a:graphicData uri="http://schemas.openxmlformats.org/drawingml/2006/picture">
                <pic:pic>
                  <pic:nvPicPr>
                    <pic:cNvPr id="165" name="Image 165"/>
                    <pic:cNvPicPr/>
                  </pic:nvPicPr>
                  <pic:blipFill>
                    <a:blip r:embed="rId295" cstate="print"/>
                    <a:stretch>
                      <a:fillRect/>
                    </a:stretch>
                  </pic:blipFill>
                  <pic:spPr>
                    <a:xfrm>
                      <a:off x="0" y="0"/>
                      <a:ext cx="243839" cy="70103"/>
                    </a:xfrm>
                    <a:prstGeom prst="rect">
                      <a:avLst/>
                    </a:prstGeom>
                  </pic:spPr>
                </pic:pic>
              </a:graphicData>
            </a:graphic>
          </wp:inline>
        </w:drawing>
      </w:r>
      <w:r>
        <w:rPr>
          <w:sz w:val="20"/>
        </w:rPr>
      </w:r>
      <w:r>
        <w:rPr>
          <w:rFonts w:ascii="Times New Roman" w:hAnsi="Times New Roman"/>
          <w:spacing w:val="-13"/>
          <w:sz w:val="20"/>
        </w:rPr>
        <w:t> </w:t>
      </w:r>
      <w:r>
        <w:rPr>
          <w:sz w:val="20"/>
        </w:rPr>
        <w:t>Lemon</w:t>
      </w:r>
      <w:r>
        <w:rPr>
          <w:spacing w:val="-11"/>
          <w:sz w:val="20"/>
        </w:rPr>
        <w:t> </w:t>
      </w:r>
      <w:r>
        <w:rPr>
          <w:sz w:val="20"/>
        </w:rPr>
        <w:t>(20</w:t>
      </w:r>
      <w:r>
        <w:rPr>
          <w:spacing w:val="-12"/>
          <w:sz w:val="20"/>
        </w:rPr>
        <w:t> </w:t>
      </w:r>
      <w:r>
        <w:rPr>
          <w:sz w:val="20"/>
        </w:rPr>
        <w:t>µg/ml</w:t>
      </w:r>
      <w:r>
        <w:rPr>
          <w:spacing w:val="-11"/>
          <w:sz w:val="20"/>
        </w:rPr>
        <w:t> </w:t>
      </w:r>
      <w:r>
        <w:rPr>
          <w:sz w:val="20"/>
        </w:rPr>
        <w:t>v/v) </w:t>
      </w:r>
      <w:r>
        <w:rPr>
          <w:sz w:val="20"/>
        </w:rPr>
        <w:drawing>
          <wp:inline distT="0" distB="0" distL="0" distR="0">
            <wp:extent cx="243839" cy="68579"/>
            <wp:effectExtent l="0" t="0" r="0" b="0"/>
            <wp:docPr id="166" name="Image 166"/>
            <wp:cNvGraphicFramePr>
              <a:graphicFrameLocks/>
            </wp:cNvGraphicFramePr>
            <a:graphic>
              <a:graphicData uri="http://schemas.openxmlformats.org/drawingml/2006/picture">
                <pic:pic>
                  <pic:nvPicPr>
                    <pic:cNvPr id="166" name="Image 166"/>
                    <pic:cNvPicPr/>
                  </pic:nvPicPr>
                  <pic:blipFill>
                    <a:blip r:embed="rId296" cstate="print"/>
                    <a:stretch>
                      <a:fillRect/>
                    </a:stretch>
                  </pic:blipFill>
                  <pic:spPr>
                    <a:xfrm>
                      <a:off x="0" y="0"/>
                      <a:ext cx="243839" cy="68579"/>
                    </a:xfrm>
                    <a:prstGeom prst="rect">
                      <a:avLst/>
                    </a:prstGeom>
                  </pic:spPr>
                </pic:pic>
              </a:graphicData>
            </a:graphic>
          </wp:inline>
        </w:drawing>
      </w:r>
      <w:r>
        <w:rPr>
          <w:sz w:val="20"/>
        </w:rPr>
      </w:r>
      <w:r>
        <w:rPr>
          <w:rFonts w:ascii="Times New Roman" w:hAnsi="Times New Roman"/>
          <w:spacing w:val="-12"/>
          <w:sz w:val="20"/>
        </w:rPr>
        <w:t> </w:t>
      </w:r>
      <w:r>
        <w:rPr>
          <w:sz w:val="20"/>
        </w:rPr>
        <w:t>Honey</w:t>
      </w:r>
      <w:r>
        <w:rPr>
          <w:spacing w:val="-5"/>
          <w:sz w:val="20"/>
        </w:rPr>
        <w:t> </w:t>
      </w:r>
      <w:r>
        <w:rPr>
          <w:sz w:val="20"/>
        </w:rPr>
        <w:t>(50</w:t>
      </w:r>
      <w:r>
        <w:rPr>
          <w:spacing w:val="-4"/>
          <w:sz w:val="20"/>
        </w:rPr>
        <w:t> </w:t>
      </w:r>
      <w:r>
        <w:rPr>
          <w:sz w:val="20"/>
        </w:rPr>
        <w:t>µg/ml</w:t>
      </w:r>
      <w:r>
        <w:rPr>
          <w:spacing w:val="-3"/>
          <w:sz w:val="20"/>
        </w:rPr>
        <w:t> </w:t>
      </w:r>
      <w:r>
        <w:rPr>
          <w:sz w:val="20"/>
        </w:rPr>
        <w:t>v/v)</w:t>
      </w:r>
    </w:p>
    <w:p>
      <w:pPr>
        <w:spacing w:before="1"/>
        <w:ind w:left="1163" w:right="0" w:firstLine="0"/>
        <w:jc w:val="left"/>
        <w:rPr>
          <w:sz w:val="20"/>
        </w:rPr>
      </w:pPr>
      <w:r>
        <w:rPr/>
        <w:drawing>
          <wp:inline distT="0" distB="0" distL="0" distR="0">
            <wp:extent cx="243839" cy="70103"/>
            <wp:effectExtent l="0" t="0" r="0" b="0"/>
            <wp:docPr id="167" name="Image 167"/>
            <wp:cNvGraphicFramePr>
              <a:graphicFrameLocks/>
            </wp:cNvGraphicFramePr>
            <a:graphic>
              <a:graphicData uri="http://schemas.openxmlformats.org/drawingml/2006/picture">
                <pic:pic>
                  <pic:nvPicPr>
                    <pic:cNvPr id="167" name="Image 167"/>
                    <pic:cNvPicPr/>
                  </pic:nvPicPr>
                  <pic:blipFill>
                    <a:blip r:embed="rId292" cstate="print"/>
                    <a:stretch>
                      <a:fillRect/>
                    </a:stretch>
                  </pic:blipFill>
                  <pic:spPr>
                    <a:xfrm>
                      <a:off x="0" y="0"/>
                      <a:ext cx="243839" cy="70103"/>
                    </a:xfrm>
                    <a:prstGeom prst="rect">
                      <a:avLst/>
                    </a:prstGeom>
                  </pic:spPr>
                </pic:pic>
              </a:graphicData>
            </a:graphic>
          </wp:inline>
        </w:drawing>
      </w:r>
      <w:r>
        <w:rPr/>
      </w:r>
      <w:r>
        <w:rPr>
          <w:rFonts w:ascii="Times New Roman" w:hAnsi="Times New Roman"/>
          <w:spacing w:val="-13"/>
          <w:sz w:val="20"/>
        </w:rPr>
        <w:t> </w:t>
      </w:r>
      <w:r>
        <w:rPr>
          <w:sz w:val="20"/>
        </w:rPr>
        <w:t>Honey/Lemon</w:t>
      </w:r>
      <w:r>
        <w:rPr>
          <w:spacing w:val="-6"/>
          <w:sz w:val="20"/>
        </w:rPr>
        <w:t> </w:t>
      </w:r>
      <w:r>
        <w:rPr>
          <w:sz w:val="20"/>
        </w:rPr>
        <w:t>(20</w:t>
      </w:r>
      <w:r>
        <w:rPr>
          <w:spacing w:val="-6"/>
          <w:sz w:val="20"/>
        </w:rPr>
        <w:t> </w:t>
      </w:r>
      <w:r>
        <w:rPr>
          <w:sz w:val="20"/>
        </w:rPr>
        <w:t>µg/ml</w:t>
      </w:r>
      <w:r>
        <w:rPr>
          <w:spacing w:val="-5"/>
          <w:sz w:val="20"/>
        </w:rPr>
        <w:t> </w:t>
      </w:r>
      <w:r>
        <w:rPr>
          <w:sz w:val="20"/>
        </w:rPr>
        <w:t>v/v)</w:t>
      </w:r>
    </w:p>
    <w:p>
      <w:pPr>
        <w:spacing w:after="0"/>
        <w:jc w:val="left"/>
        <w:rPr>
          <w:sz w:val="20"/>
        </w:rPr>
        <w:sectPr>
          <w:type w:val="continuous"/>
          <w:pgSz w:w="11910" w:h="16840"/>
          <w:pgMar w:header="0" w:footer="1055" w:top="1360" w:bottom="1240" w:left="1060" w:right="460"/>
          <w:cols w:num="2" w:equalWidth="0">
            <w:col w:w="1456" w:space="4418"/>
            <w:col w:w="4516"/>
          </w:cols>
        </w:sectPr>
      </w:pPr>
    </w:p>
    <w:p>
      <w:pPr>
        <w:spacing w:before="183"/>
        <w:ind w:left="1163" w:right="0" w:firstLine="0"/>
        <w:jc w:val="left"/>
        <w:rPr>
          <w:sz w:val="20"/>
        </w:rPr>
      </w:pPr>
      <w:r>
        <w:rPr>
          <w:spacing w:val="-5"/>
          <w:sz w:val="20"/>
        </w:rPr>
        <w:t>0.5</w:t>
      </w:r>
    </w:p>
    <w:p>
      <w:pPr>
        <w:pStyle w:val="BodyText"/>
        <w:spacing w:before="200"/>
        <w:rPr>
          <w:sz w:val="20"/>
        </w:rPr>
      </w:pPr>
    </w:p>
    <w:p>
      <w:pPr>
        <w:spacing w:before="0"/>
        <w:ind w:left="1313" w:right="0" w:firstLine="0"/>
        <w:jc w:val="left"/>
        <w:rPr>
          <w:sz w:val="20"/>
        </w:rPr>
      </w:pPr>
      <w:r>
        <w:rPr>
          <w:spacing w:val="-10"/>
          <w:sz w:val="20"/>
        </w:rPr>
        <w:t>0</w:t>
      </w:r>
    </w:p>
    <w:p>
      <w:pPr>
        <w:pStyle w:val="BodyText"/>
        <w:spacing w:before="141"/>
        <w:rPr>
          <w:sz w:val="20"/>
        </w:rPr>
      </w:pPr>
    </w:p>
    <w:p>
      <w:pPr>
        <w:spacing w:after="0"/>
        <w:rPr>
          <w:sz w:val="20"/>
        </w:rPr>
        <w:sectPr>
          <w:type w:val="continuous"/>
          <w:pgSz w:w="11910" w:h="16840"/>
          <w:pgMar w:header="0" w:footer="1055" w:top="1360" w:bottom="1240" w:left="1060" w:right="460"/>
        </w:sectPr>
      </w:pPr>
    </w:p>
    <w:p>
      <w:pPr>
        <w:spacing w:before="60"/>
        <w:ind w:left="0" w:right="38" w:firstLine="0"/>
        <w:jc w:val="right"/>
        <w:rPr>
          <w:sz w:val="20"/>
        </w:rPr>
      </w:pPr>
      <w:r>
        <w:rPr>
          <w:spacing w:val="-2"/>
          <w:sz w:val="20"/>
        </w:rPr>
        <w:t>-</w:t>
      </w:r>
      <w:r>
        <w:rPr>
          <w:spacing w:val="-5"/>
          <w:sz w:val="20"/>
        </w:rPr>
        <w:t>0.5</w:t>
      </w:r>
    </w:p>
    <w:p>
      <w:pPr>
        <w:pStyle w:val="Heading1"/>
        <w:spacing w:before="222"/>
        <w:ind w:left="1101"/>
      </w:pPr>
      <w:r>
        <w:rPr>
          <w:b w:val="0"/>
        </w:rPr>
        <w:br w:type="column"/>
      </w:r>
      <w:r>
        <w:rPr/>
        <w:t>Time</w:t>
      </w:r>
      <w:r>
        <w:rPr>
          <w:spacing w:val="-11"/>
        </w:rPr>
        <w:t> </w:t>
      </w:r>
      <w:r>
        <w:rPr>
          <w:spacing w:val="-2"/>
        </w:rPr>
        <w:t>(minutes)</w:t>
      </w:r>
    </w:p>
    <w:p>
      <w:pPr>
        <w:spacing w:after="0"/>
        <w:sectPr>
          <w:type w:val="continuous"/>
          <w:pgSz w:w="11910" w:h="16840"/>
          <w:pgMar w:header="0" w:footer="1055" w:top="1360" w:bottom="1240" w:left="1060" w:right="460"/>
          <w:cols w:num="2" w:equalWidth="0">
            <w:col w:w="1455" w:space="882"/>
            <w:col w:w="8053"/>
          </w:cols>
        </w:sectPr>
      </w:pPr>
    </w:p>
    <w:p>
      <w:pPr>
        <w:pStyle w:val="BodyText"/>
        <w:rPr>
          <w:rFonts w:ascii="Times New Roman"/>
          <w:b/>
        </w:rPr>
      </w:pPr>
    </w:p>
    <w:p>
      <w:pPr>
        <w:pStyle w:val="BodyText"/>
        <w:spacing w:before="128"/>
        <w:rPr>
          <w:rFonts w:ascii="Times New Roman"/>
          <w:b/>
        </w:rPr>
      </w:pPr>
    </w:p>
    <w:p>
      <w:pPr>
        <w:pStyle w:val="BodyText"/>
        <w:spacing w:line="259" w:lineRule="auto"/>
        <w:ind w:left="380" w:right="975"/>
      </w:pPr>
      <w:r>
        <w:rPr/>
        <w:t>Fig.</w:t>
      </w:r>
      <w:r>
        <w:rPr>
          <w:spacing w:val="40"/>
        </w:rPr>
        <w:t> </w:t>
      </w:r>
      <w:r>
        <w:rPr/>
        <w:t>4.11:</w:t>
      </w:r>
      <w:r>
        <w:rPr>
          <w:spacing w:val="40"/>
        </w:rPr>
        <w:t> </w:t>
      </w:r>
      <w:r>
        <w:rPr/>
        <w:t>The</w:t>
      </w:r>
      <w:r>
        <w:rPr>
          <w:spacing w:val="40"/>
        </w:rPr>
        <w:t> </w:t>
      </w:r>
      <w:r>
        <w:rPr/>
        <w:t>Log</w:t>
      </w:r>
      <w:r>
        <w:rPr>
          <w:spacing w:val="40"/>
        </w:rPr>
        <w:t> </w:t>
      </w:r>
      <w:r>
        <w:rPr/>
        <w:t>of</w:t>
      </w:r>
      <w:r>
        <w:rPr>
          <w:spacing w:val="40"/>
        </w:rPr>
        <w:t> </w:t>
      </w:r>
      <w:r>
        <w:rPr/>
        <w:t>Survival</w:t>
      </w:r>
      <w:r>
        <w:rPr>
          <w:spacing w:val="40"/>
        </w:rPr>
        <w:t> </w:t>
      </w:r>
      <w:r>
        <w:rPr/>
        <w:t>cells/ml</w:t>
      </w:r>
      <w:r>
        <w:rPr>
          <w:spacing w:val="40"/>
        </w:rPr>
        <w:t> </w:t>
      </w:r>
      <w:r>
        <w:rPr/>
        <w:t>of</w:t>
      </w:r>
      <w:r>
        <w:rPr>
          <w:spacing w:val="40"/>
        </w:rPr>
        <w:t> </w:t>
      </w:r>
      <w:r>
        <w:rPr>
          <w:i/>
        </w:rPr>
        <w:t>Streptococcus</w:t>
      </w:r>
      <w:r>
        <w:rPr>
          <w:i/>
          <w:spacing w:val="40"/>
        </w:rPr>
        <w:t> </w:t>
      </w:r>
      <w:r>
        <w:rPr>
          <w:i/>
        </w:rPr>
        <w:t>pneumoniae</w:t>
      </w:r>
      <w:r>
        <w:rPr>
          <w:i/>
          <w:spacing w:val="40"/>
        </w:rPr>
        <w:t> </w:t>
      </w:r>
      <w:r>
        <w:rPr/>
        <w:t>(Sensitive)</w:t>
      </w:r>
      <w:r>
        <w:rPr>
          <w:spacing w:val="40"/>
        </w:rPr>
        <w:t> </w:t>
      </w:r>
      <w:r>
        <w:rPr/>
        <w:t>on</w:t>
      </w:r>
      <w:r>
        <w:rPr>
          <w:spacing w:val="40"/>
        </w:rPr>
        <w:t> </w:t>
      </w:r>
      <w:r>
        <w:rPr/>
        <w:t>exposure</w:t>
      </w:r>
      <w:r>
        <w:rPr>
          <w:spacing w:val="40"/>
        </w:rPr>
        <w:t> </w:t>
      </w:r>
      <w:r>
        <w:rPr/>
        <w:t>to standard antibiotics and honey, lemon and honey/lemon juice mixture.</w:t>
      </w:r>
    </w:p>
    <w:p>
      <w:pPr>
        <w:spacing w:after="0" w:line="259" w:lineRule="auto"/>
        <w:sectPr>
          <w:type w:val="continuous"/>
          <w:pgSz w:w="11910" w:h="16840"/>
          <w:pgMar w:header="0" w:footer="1055" w:top="136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0"/>
      </w:pPr>
    </w:p>
    <w:p>
      <w:pPr>
        <w:pStyle w:val="Heading3"/>
        <w:numPr>
          <w:ilvl w:val="1"/>
          <w:numId w:val="4"/>
        </w:numPr>
        <w:tabs>
          <w:tab w:pos="3260" w:val="left" w:leader="none"/>
        </w:tabs>
        <w:spacing w:line="240" w:lineRule="auto" w:before="0" w:after="0"/>
        <w:ind w:left="3260" w:right="0" w:hanging="2880"/>
        <w:jc w:val="left"/>
      </w:pPr>
      <w:r>
        <w:rPr/>
        <w:t>Results</w:t>
      </w:r>
      <w:r>
        <w:rPr>
          <w:spacing w:val="-3"/>
        </w:rPr>
        <w:t> </w:t>
      </w:r>
      <w:r>
        <w:rPr/>
        <w:t>for</w:t>
      </w:r>
      <w:r>
        <w:rPr>
          <w:spacing w:val="-3"/>
        </w:rPr>
        <w:t> </w:t>
      </w:r>
      <w:r>
        <w:rPr/>
        <w:t>the</w:t>
      </w:r>
      <w:r>
        <w:rPr>
          <w:spacing w:val="-5"/>
        </w:rPr>
        <w:t> </w:t>
      </w:r>
      <w:r>
        <w:rPr/>
        <w:t>Interaction</w:t>
      </w:r>
      <w:r>
        <w:rPr>
          <w:spacing w:val="-5"/>
        </w:rPr>
        <w:t> </w:t>
      </w:r>
      <w:r>
        <w:rPr>
          <w:spacing w:val="-2"/>
        </w:rPr>
        <w:t>Studies</w:t>
      </w:r>
    </w:p>
    <w:p>
      <w:pPr>
        <w:pStyle w:val="BodyText"/>
        <w:rPr>
          <w:b/>
        </w:rPr>
      </w:pPr>
    </w:p>
    <w:p>
      <w:pPr>
        <w:pStyle w:val="BodyText"/>
        <w:spacing w:before="95"/>
        <w:rPr>
          <w:b/>
        </w:rPr>
      </w:pPr>
    </w:p>
    <w:p>
      <w:pPr>
        <w:pStyle w:val="BodyText"/>
        <w:spacing w:line="480" w:lineRule="auto"/>
        <w:ind w:left="1100" w:right="973"/>
        <w:jc w:val="both"/>
      </w:pPr>
      <w:r>
        <w:rPr/>
        <w:t>The activities of the combination of Honey and Lemon were found to be additive and not antagonistic. It falls within the additive range of the FIC Index interpretation (&gt;0.5 to ≤1.0) and indifference range of (&gt;1.0 to ≤4) (see Table 4.8 and 4.9). Of which the results observed in Table 4.8 and Table 4.9 were obtained from the evaluation of the values in Table 4.5 to Table 4.7 using the synergy formula ∑FIC=FIC A + FIC B as described earlier in the </w:t>
      </w:r>
      <w:r>
        <w:rPr>
          <w:spacing w:val="-2"/>
        </w:rPr>
        <w:t>Methodology.</w:t>
      </w:r>
    </w:p>
    <w:p>
      <w:pPr>
        <w:spacing w:after="0" w:line="480" w:lineRule="auto"/>
        <w:jc w:val="both"/>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4"/>
      </w:pPr>
    </w:p>
    <w:p>
      <w:pPr>
        <w:spacing w:line="477" w:lineRule="auto" w:before="0"/>
        <w:ind w:left="380" w:right="975" w:firstLine="0"/>
        <w:jc w:val="left"/>
        <w:rPr>
          <w:b/>
          <w:sz w:val="22"/>
        </w:rPr>
      </w:pPr>
      <w:r>
        <w:rPr>
          <w:b/>
          <w:sz w:val="22"/>
        </w:rPr>
        <w:t>Table</w:t>
      </w:r>
      <w:r>
        <w:rPr>
          <w:b/>
          <w:spacing w:val="33"/>
          <w:sz w:val="22"/>
        </w:rPr>
        <w:t> </w:t>
      </w:r>
      <w:r>
        <w:rPr>
          <w:b/>
          <w:sz w:val="22"/>
        </w:rPr>
        <w:t>4.5:</w:t>
      </w:r>
      <w:r>
        <w:rPr>
          <w:b/>
          <w:spacing w:val="30"/>
          <w:sz w:val="22"/>
        </w:rPr>
        <w:t> </w:t>
      </w:r>
      <w:r>
        <w:rPr>
          <w:b/>
          <w:sz w:val="22"/>
        </w:rPr>
        <w:t>Average</w:t>
      </w:r>
      <w:r>
        <w:rPr>
          <w:b/>
          <w:spacing w:val="32"/>
          <w:sz w:val="22"/>
        </w:rPr>
        <w:t> </w:t>
      </w:r>
      <w:r>
        <w:rPr>
          <w:b/>
          <w:sz w:val="22"/>
        </w:rPr>
        <w:t>Minimum</w:t>
      </w:r>
      <w:r>
        <w:rPr>
          <w:b/>
          <w:spacing w:val="34"/>
          <w:sz w:val="22"/>
        </w:rPr>
        <w:t> </w:t>
      </w:r>
      <w:r>
        <w:rPr>
          <w:b/>
          <w:sz w:val="22"/>
        </w:rPr>
        <w:t>Inhibitory</w:t>
      </w:r>
      <w:r>
        <w:rPr>
          <w:b/>
          <w:spacing w:val="32"/>
          <w:sz w:val="22"/>
        </w:rPr>
        <w:t> </w:t>
      </w:r>
      <w:r>
        <w:rPr>
          <w:b/>
          <w:sz w:val="22"/>
        </w:rPr>
        <w:t>Concentration</w:t>
      </w:r>
      <w:r>
        <w:rPr>
          <w:b/>
          <w:spacing w:val="32"/>
          <w:sz w:val="22"/>
        </w:rPr>
        <w:t> </w:t>
      </w:r>
      <w:r>
        <w:rPr>
          <w:b/>
          <w:sz w:val="22"/>
        </w:rPr>
        <w:t>(MIC)</w:t>
      </w:r>
      <w:r>
        <w:rPr>
          <w:b/>
          <w:spacing w:val="34"/>
          <w:sz w:val="22"/>
        </w:rPr>
        <w:t> </w:t>
      </w:r>
      <w:r>
        <w:rPr>
          <w:b/>
          <w:sz w:val="22"/>
        </w:rPr>
        <w:t>(µg/ml)</w:t>
      </w:r>
      <w:r>
        <w:rPr>
          <w:b/>
          <w:spacing w:val="31"/>
          <w:sz w:val="22"/>
        </w:rPr>
        <w:t> </w:t>
      </w:r>
      <w:r>
        <w:rPr>
          <w:b/>
          <w:sz w:val="22"/>
        </w:rPr>
        <w:t>values</w:t>
      </w:r>
      <w:r>
        <w:rPr>
          <w:b/>
          <w:spacing w:val="31"/>
          <w:sz w:val="22"/>
        </w:rPr>
        <w:t> </w:t>
      </w:r>
      <w:r>
        <w:rPr>
          <w:b/>
          <w:sz w:val="22"/>
        </w:rPr>
        <w:t>for</w:t>
      </w:r>
      <w:r>
        <w:rPr>
          <w:b/>
          <w:spacing w:val="34"/>
          <w:sz w:val="22"/>
        </w:rPr>
        <w:t> </w:t>
      </w:r>
      <w:r>
        <w:rPr>
          <w:b/>
          <w:sz w:val="22"/>
        </w:rPr>
        <w:t>the</w:t>
      </w:r>
      <w:r>
        <w:rPr>
          <w:b/>
          <w:spacing w:val="32"/>
          <w:sz w:val="22"/>
        </w:rPr>
        <w:t> </w:t>
      </w:r>
      <w:r>
        <w:rPr>
          <w:b/>
          <w:sz w:val="22"/>
        </w:rPr>
        <w:t>test</w:t>
      </w:r>
      <w:r>
        <w:rPr>
          <w:b/>
          <w:spacing w:val="31"/>
          <w:sz w:val="22"/>
        </w:rPr>
        <w:t> </w:t>
      </w:r>
      <w:r>
        <w:rPr>
          <w:b/>
          <w:sz w:val="22"/>
        </w:rPr>
        <w:t>agents (Honey and Lemon juice) against the bacteria isolates</w:t>
      </w:r>
    </w:p>
    <w:p>
      <w:pPr>
        <w:pStyle w:val="BodyText"/>
        <w:spacing w:before="9"/>
        <w:rPr>
          <w:b/>
          <w:sz w:val="13"/>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75"/>
        <w:gridCol w:w="1976"/>
        <w:gridCol w:w="3896"/>
      </w:tblGrid>
      <w:tr>
        <w:trPr>
          <w:trHeight w:val="698" w:hRule="atLeast"/>
        </w:trPr>
        <w:tc>
          <w:tcPr>
            <w:tcW w:w="2775" w:type="dxa"/>
            <w:tcBorders>
              <w:top w:val="single" w:sz="4" w:space="0" w:color="000000"/>
              <w:bottom w:val="single" w:sz="4" w:space="0" w:color="000000"/>
            </w:tcBorders>
          </w:tcPr>
          <w:p>
            <w:pPr>
              <w:pStyle w:val="TableParagraph"/>
              <w:spacing w:line="265" w:lineRule="exact"/>
              <w:ind w:left="115"/>
              <w:rPr>
                <w:sz w:val="22"/>
              </w:rPr>
            </w:pPr>
            <w:r>
              <w:rPr>
                <w:sz w:val="22"/>
              </w:rPr>
              <w:t>Bacterial</w:t>
            </w:r>
            <w:r>
              <w:rPr>
                <w:spacing w:val="-3"/>
                <w:sz w:val="22"/>
              </w:rPr>
              <w:t> </w:t>
            </w:r>
            <w:r>
              <w:rPr>
                <w:spacing w:val="-2"/>
                <w:sz w:val="22"/>
              </w:rPr>
              <w:t>isolates</w:t>
            </w:r>
          </w:p>
        </w:tc>
        <w:tc>
          <w:tcPr>
            <w:tcW w:w="1976" w:type="dxa"/>
            <w:tcBorders>
              <w:top w:val="single" w:sz="4" w:space="0" w:color="000000"/>
              <w:bottom w:val="single" w:sz="4" w:space="0" w:color="000000"/>
            </w:tcBorders>
          </w:tcPr>
          <w:p>
            <w:pPr>
              <w:pStyle w:val="TableParagraph"/>
              <w:spacing w:line="265" w:lineRule="exact"/>
              <w:ind w:left="256"/>
              <w:rPr>
                <w:sz w:val="22"/>
              </w:rPr>
            </w:pPr>
            <w:r>
              <w:rPr>
                <w:spacing w:val="-4"/>
                <w:sz w:val="22"/>
              </w:rPr>
              <w:t>Honey</w:t>
            </w:r>
          </w:p>
        </w:tc>
        <w:tc>
          <w:tcPr>
            <w:tcW w:w="3896" w:type="dxa"/>
            <w:tcBorders>
              <w:top w:val="single" w:sz="4" w:space="0" w:color="000000"/>
              <w:bottom w:val="single" w:sz="4" w:space="0" w:color="000000"/>
            </w:tcBorders>
          </w:tcPr>
          <w:p>
            <w:pPr>
              <w:pStyle w:val="TableParagraph"/>
              <w:spacing w:line="265" w:lineRule="exact"/>
              <w:ind w:left="1141"/>
              <w:rPr>
                <w:sz w:val="22"/>
              </w:rPr>
            </w:pPr>
            <w:r>
              <w:rPr>
                <w:sz w:val="22"/>
              </w:rPr>
              <w:t>Lemon</w:t>
            </w:r>
            <w:r>
              <w:rPr>
                <w:spacing w:val="-2"/>
                <w:sz w:val="22"/>
              </w:rPr>
              <w:t> juice</w:t>
            </w:r>
          </w:p>
        </w:tc>
      </w:tr>
      <w:tr>
        <w:trPr>
          <w:trHeight w:val="499" w:hRule="atLeast"/>
        </w:trPr>
        <w:tc>
          <w:tcPr>
            <w:tcW w:w="2775" w:type="dxa"/>
            <w:tcBorders>
              <w:top w:val="single" w:sz="4" w:space="0" w:color="000000"/>
            </w:tcBorders>
          </w:tcPr>
          <w:p>
            <w:pPr>
              <w:pStyle w:val="TableParagraph"/>
              <w:spacing w:line="265" w:lineRule="exact"/>
              <w:ind w:left="115"/>
              <w:rPr>
                <w:i/>
                <w:sz w:val="22"/>
              </w:rPr>
            </w:pPr>
            <w:r>
              <w:rPr>
                <w:i/>
                <w:sz w:val="22"/>
              </w:rPr>
              <w:t>Klebsiella</w:t>
            </w:r>
            <w:r>
              <w:rPr>
                <w:i/>
                <w:spacing w:val="-10"/>
                <w:sz w:val="22"/>
              </w:rPr>
              <w:t> </w:t>
            </w:r>
            <w:r>
              <w:rPr>
                <w:i/>
                <w:spacing w:val="-2"/>
                <w:sz w:val="22"/>
              </w:rPr>
              <w:t>pneumoniae</w:t>
            </w:r>
          </w:p>
        </w:tc>
        <w:tc>
          <w:tcPr>
            <w:tcW w:w="1976" w:type="dxa"/>
            <w:tcBorders>
              <w:top w:val="single" w:sz="4" w:space="0" w:color="000000"/>
            </w:tcBorders>
          </w:tcPr>
          <w:p>
            <w:pPr>
              <w:pStyle w:val="TableParagraph"/>
              <w:spacing w:line="265" w:lineRule="exact"/>
              <w:ind w:left="256"/>
              <w:rPr>
                <w:sz w:val="22"/>
              </w:rPr>
            </w:pPr>
            <w:r>
              <w:rPr>
                <w:spacing w:val="-4"/>
                <w:sz w:val="22"/>
              </w:rPr>
              <w:t>43.0</w:t>
            </w:r>
          </w:p>
        </w:tc>
        <w:tc>
          <w:tcPr>
            <w:tcW w:w="3896" w:type="dxa"/>
            <w:tcBorders>
              <w:top w:val="single" w:sz="4" w:space="0" w:color="000000"/>
            </w:tcBorders>
          </w:tcPr>
          <w:p>
            <w:pPr>
              <w:pStyle w:val="TableParagraph"/>
              <w:spacing w:line="265" w:lineRule="exact"/>
              <w:ind w:left="1141"/>
              <w:rPr>
                <w:sz w:val="22"/>
              </w:rPr>
            </w:pPr>
            <w:r>
              <w:rPr>
                <w:spacing w:val="-4"/>
                <w:sz w:val="22"/>
              </w:rPr>
              <w:t>21.3</w:t>
            </w:r>
          </w:p>
        </w:tc>
      </w:tr>
      <w:tr>
        <w:trPr>
          <w:trHeight w:val="697" w:hRule="atLeast"/>
        </w:trPr>
        <w:tc>
          <w:tcPr>
            <w:tcW w:w="2775" w:type="dxa"/>
          </w:tcPr>
          <w:p>
            <w:pPr>
              <w:pStyle w:val="TableParagraph"/>
              <w:spacing w:before="193"/>
              <w:ind w:left="115"/>
              <w:rPr>
                <w:i/>
                <w:sz w:val="22"/>
              </w:rPr>
            </w:pPr>
            <w:r>
              <w:rPr>
                <w:i/>
                <w:sz w:val="22"/>
              </w:rPr>
              <w:t>Staphylococcus</w:t>
            </w:r>
            <w:r>
              <w:rPr>
                <w:i/>
                <w:spacing w:val="-11"/>
                <w:sz w:val="22"/>
              </w:rPr>
              <w:t> </w:t>
            </w:r>
            <w:r>
              <w:rPr>
                <w:i/>
                <w:spacing w:val="-2"/>
                <w:sz w:val="22"/>
              </w:rPr>
              <w:t>aureus</w:t>
            </w:r>
          </w:p>
        </w:tc>
        <w:tc>
          <w:tcPr>
            <w:tcW w:w="1976" w:type="dxa"/>
          </w:tcPr>
          <w:p>
            <w:pPr>
              <w:pStyle w:val="TableParagraph"/>
              <w:spacing w:before="193"/>
              <w:ind w:left="256"/>
              <w:rPr>
                <w:sz w:val="22"/>
              </w:rPr>
            </w:pPr>
            <w:r>
              <w:rPr>
                <w:spacing w:val="-4"/>
                <w:sz w:val="22"/>
              </w:rPr>
              <w:t>47.1</w:t>
            </w:r>
          </w:p>
        </w:tc>
        <w:tc>
          <w:tcPr>
            <w:tcW w:w="3896" w:type="dxa"/>
          </w:tcPr>
          <w:p>
            <w:pPr>
              <w:pStyle w:val="TableParagraph"/>
              <w:spacing w:before="193"/>
              <w:ind w:left="1141"/>
              <w:rPr>
                <w:sz w:val="22"/>
              </w:rPr>
            </w:pPr>
            <w:r>
              <w:rPr>
                <w:spacing w:val="-4"/>
                <w:sz w:val="22"/>
              </w:rPr>
              <w:t>17.9</w:t>
            </w:r>
          </w:p>
        </w:tc>
      </w:tr>
      <w:tr>
        <w:trPr>
          <w:trHeight w:val="697" w:hRule="atLeast"/>
        </w:trPr>
        <w:tc>
          <w:tcPr>
            <w:tcW w:w="2775" w:type="dxa"/>
          </w:tcPr>
          <w:p>
            <w:pPr>
              <w:pStyle w:val="TableParagraph"/>
              <w:spacing w:before="195"/>
              <w:ind w:left="115"/>
              <w:rPr>
                <w:i/>
                <w:sz w:val="22"/>
              </w:rPr>
            </w:pPr>
            <w:r>
              <w:rPr>
                <w:i/>
                <w:sz w:val="22"/>
              </w:rPr>
              <w:t>Haemophilus</w:t>
            </w:r>
            <w:r>
              <w:rPr>
                <w:i/>
                <w:spacing w:val="-9"/>
                <w:sz w:val="22"/>
              </w:rPr>
              <w:t> </w:t>
            </w:r>
            <w:r>
              <w:rPr>
                <w:i/>
                <w:spacing w:val="-2"/>
                <w:sz w:val="22"/>
              </w:rPr>
              <w:t>influenzae</w:t>
            </w:r>
          </w:p>
        </w:tc>
        <w:tc>
          <w:tcPr>
            <w:tcW w:w="1976" w:type="dxa"/>
          </w:tcPr>
          <w:p>
            <w:pPr>
              <w:pStyle w:val="TableParagraph"/>
              <w:spacing w:before="195"/>
              <w:ind w:left="256"/>
              <w:rPr>
                <w:sz w:val="22"/>
              </w:rPr>
            </w:pPr>
            <w:r>
              <w:rPr>
                <w:spacing w:val="-4"/>
                <w:sz w:val="22"/>
              </w:rPr>
              <w:t>26.3</w:t>
            </w:r>
          </w:p>
        </w:tc>
        <w:tc>
          <w:tcPr>
            <w:tcW w:w="3896" w:type="dxa"/>
          </w:tcPr>
          <w:p>
            <w:pPr>
              <w:pStyle w:val="TableParagraph"/>
              <w:spacing w:before="195"/>
              <w:ind w:left="1141"/>
              <w:rPr>
                <w:sz w:val="22"/>
              </w:rPr>
            </w:pPr>
            <w:r>
              <w:rPr>
                <w:spacing w:val="-4"/>
                <w:sz w:val="22"/>
              </w:rPr>
              <w:t>15.0</w:t>
            </w:r>
          </w:p>
        </w:tc>
      </w:tr>
      <w:tr>
        <w:trPr>
          <w:trHeight w:val="697" w:hRule="atLeast"/>
        </w:trPr>
        <w:tc>
          <w:tcPr>
            <w:tcW w:w="2775" w:type="dxa"/>
          </w:tcPr>
          <w:p>
            <w:pPr>
              <w:pStyle w:val="TableParagraph"/>
              <w:spacing w:before="193"/>
              <w:ind w:left="115"/>
              <w:rPr>
                <w:i/>
                <w:sz w:val="22"/>
              </w:rPr>
            </w:pPr>
            <w:r>
              <w:rPr>
                <w:i/>
                <w:sz w:val="22"/>
              </w:rPr>
              <w:t>Pseudomonas</w:t>
            </w:r>
            <w:r>
              <w:rPr>
                <w:i/>
                <w:spacing w:val="-12"/>
                <w:sz w:val="22"/>
              </w:rPr>
              <w:t> </w:t>
            </w:r>
            <w:r>
              <w:rPr>
                <w:i/>
                <w:spacing w:val="-2"/>
                <w:sz w:val="22"/>
              </w:rPr>
              <w:t>aeruginosa</w:t>
            </w:r>
          </w:p>
        </w:tc>
        <w:tc>
          <w:tcPr>
            <w:tcW w:w="1976" w:type="dxa"/>
          </w:tcPr>
          <w:p>
            <w:pPr>
              <w:pStyle w:val="TableParagraph"/>
              <w:spacing w:before="193"/>
              <w:ind w:left="256"/>
              <w:rPr>
                <w:sz w:val="22"/>
              </w:rPr>
            </w:pPr>
            <w:r>
              <w:rPr>
                <w:spacing w:val="-4"/>
                <w:sz w:val="22"/>
              </w:rPr>
              <w:t>32.5</w:t>
            </w:r>
          </w:p>
        </w:tc>
        <w:tc>
          <w:tcPr>
            <w:tcW w:w="3896" w:type="dxa"/>
          </w:tcPr>
          <w:p>
            <w:pPr>
              <w:pStyle w:val="TableParagraph"/>
              <w:spacing w:before="193"/>
              <w:ind w:left="1141"/>
              <w:rPr>
                <w:sz w:val="22"/>
              </w:rPr>
            </w:pPr>
            <w:r>
              <w:rPr>
                <w:spacing w:val="-4"/>
                <w:sz w:val="22"/>
              </w:rPr>
              <w:t>16.7</w:t>
            </w:r>
          </w:p>
        </w:tc>
      </w:tr>
      <w:tr>
        <w:trPr>
          <w:trHeight w:val="697" w:hRule="atLeast"/>
        </w:trPr>
        <w:tc>
          <w:tcPr>
            <w:tcW w:w="2775" w:type="dxa"/>
          </w:tcPr>
          <w:p>
            <w:pPr>
              <w:pStyle w:val="TableParagraph"/>
              <w:spacing w:before="195"/>
              <w:ind w:left="115"/>
              <w:rPr>
                <w:i/>
                <w:sz w:val="22"/>
              </w:rPr>
            </w:pPr>
            <w:r>
              <w:rPr>
                <w:i/>
                <w:sz w:val="22"/>
              </w:rPr>
              <w:t>Streptococcus</w:t>
            </w:r>
            <w:r>
              <w:rPr>
                <w:i/>
                <w:spacing w:val="-10"/>
                <w:sz w:val="22"/>
              </w:rPr>
              <w:t> </w:t>
            </w:r>
            <w:r>
              <w:rPr>
                <w:i/>
                <w:spacing w:val="-2"/>
                <w:sz w:val="22"/>
              </w:rPr>
              <w:t>pneumoniae</w:t>
            </w:r>
          </w:p>
        </w:tc>
        <w:tc>
          <w:tcPr>
            <w:tcW w:w="1976" w:type="dxa"/>
          </w:tcPr>
          <w:p>
            <w:pPr>
              <w:pStyle w:val="TableParagraph"/>
              <w:spacing w:before="195"/>
              <w:ind w:left="256"/>
              <w:rPr>
                <w:sz w:val="22"/>
              </w:rPr>
            </w:pPr>
            <w:r>
              <w:rPr>
                <w:spacing w:val="-4"/>
                <w:sz w:val="22"/>
              </w:rPr>
              <w:t>37.1</w:t>
            </w:r>
          </w:p>
        </w:tc>
        <w:tc>
          <w:tcPr>
            <w:tcW w:w="3896" w:type="dxa"/>
          </w:tcPr>
          <w:p>
            <w:pPr>
              <w:pStyle w:val="TableParagraph"/>
              <w:spacing w:before="195"/>
              <w:ind w:left="1141"/>
              <w:rPr>
                <w:sz w:val="22"/>
              </w:rPr>
            </w:pPr>
            <w:r>
              <w:rPr>
                <w:spacing w:val="-4"/>
                <w:sz w:val="22"/>
              </w:rPr>
              <w:t>31.1</w:t>
            </w:r>
          </w:p>
        </w:tc>
      </w:tr>
      <w:tr>
        <w:trPr>
          <w:trHeight w:val="895" w:hRule="atLeast"/>
        </w:trPr>
        <w:tc>
          <w:tcPr>
            <w:tcW w:w="2775" w:type="dxa"/>
            <w:tcBorders>
              <w:bottom w:val="single" w:sz="4" w:space="0" w:color="000000"/>
            </w:tcBorders>
          </w:tcPr>
          <w:p>
            <w:pPr>
              <w:pStyle w:val="TableParagraph"/>
              <w:spacing w:before="193"/>
              <w:ind w:left="115"/>
              <w:rPr>
                <w:i/>
                <w:sz w:val="22"/>
              </w:rPr>
            </w:pPr>
            <w:r>
              <w:rPr>
                <w:i/>
                <w:sz w:val="22"/>
              </w:rPr>
              <w:t>Streptococcus</w:t>
            </w:r>
            <w:r>
              <w:rPr>
                <w:i/>
                <w:spacing w:val="-10"/>
                <w:sz w:val="22"/>
              </w:rPr>
              <w:t> </w:t>
            </w:r>
            <w:r>
              <w:rPr>
                <w:i/>
                <w:spacing w:val="-2"/>
                <w:sz w:val="22"/>
              </w:rPr>
              <w:t>pyogenes</w:t>
            </w:r>
          </w:p>
        </w:tc>
        <w:tc>
          <w:tcPr>
            <w:tcW w:w="1976" w:type="dxa"/>
            <w:tcBorders>
              <w:bottom w:val="single" w:sz="4" w:space="0" w:color="000000"/>
            </w:tcBorders>
          </w:tcPr>
          <w:p>
            <w:pPr>
              <w:pStyle w:val="TableParagraph"/>
              <w:spacing w:before="193"/>
              <w:ind w:left="256"/>
              <w:rPr>
                <w:sz w:val="22"/>
              </w:rPr>
            </w:pPr>
            <w:r>
              <w:rPr>
                <w:spacing w:val="-4"/>
                <w:sz w:val="22"/>
              </w:rPr>
              <w:t>43.3</w:t>
            </w:r>
          </w:p>
        </w:tc>
        <w:tc>
          <w:tcPr>
            <w:tcW w:w="3896" w:type="dxa"/>
            <w:tcBorders>
              <w:bottom w:val="single" w:sz="4" w:space="0" w:color="000000"/>
            </w:tcBorders>
          </w:tcPr>
          <w:p>
            <w:pPr>
              <w:pStyle w:val="TableParagraph"/>
              <w:spacing w:before="193"/>
              <w:ind w:left="1141"/>
              <w:rPr>
                <w:sz w:val="22"/>
              </w:rPr>
            </w:pPr>
            <w:r>
              <w:rPr>
                <w:spacing w:val="-4"/>
                <w:sz w:val="22"/>
              </w:rPr>
              <w:t>34.6</w:t>
            </w:r>
          </w:p>
        </w:tc>
      </w:tr>
    </w:tbl>
    <w:p>
      <w:pPr>
        <w:spacing w:after="0"/>
        <w:rPr>
          <w:sz w:val="22"/>
        </w:rPr>
        <w:sectPr>
          <w:pgSz w:w="11910" w:h="16840"/>
          <w:pgMar w:header="0" w:footer="1055" w:top="1920" w:bottom="1240" w:left="1060" w:right="4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5"/>
        <w:rPr>
          <w:b/>
        </w:rPr>
      </w:pPr>
    </w:p>
    <w:p>
      <w:pPr>
        <w:spacing w:line="624" w:lineRule="auto" w:before="0"/>
        <w:ind w:left="380" w:right="2617" w:firstLine="0"/>
        <w:jc w:val="left"/>
        <w:rPr>
          <w:b/>
          <w:sz w:val="22"/>
        </w:rPr>
      </w:pPr>
      <w:r>
        <w:rPr>
          <w:b/>
          <w:sz w:val="22"/>
        </w:rPr>
        <w:t>Table</w:t>
      </w:r>
      <w:r>
        <w:rPr>
          <w:b/>
          <w:spacing w:val="-4"/>
          <w:sz w:val="22"/>
        </w:rPr>
        <w:t> </w:t>
      </w:r>
      <w:r>
        <w:rPr>
          <w:b/>
          <w:sz w:val="22"/>
        </w:rPr>
        <w:t>4.6:</w:t>
      </w:r>
      <w:r>
        <w:rPr>
          <w:b/>
          <w:spacing w:val="-6"/>
          <w:sz w:val="22"/>
        </w:rPr>
        <w:t> </w:t>
      </w:r>
      <w:r>
        <w:rPr>
          <w:b/>
          <w:sz w:val="22"/>
        </w:rPr>
        <w:t>Average</w:t>
      </w:r>
      <w:r>
        <w:rPr>
          <w:b/>
          <w:spacing w:val="-4"/>
          <w:sz w:val="22"/>
        </w:rPr>
        <w:t> </w:t>
      </w:r>
      <w:r>
        <w:rPr>
          <w:b/>
          <w:sz w:val="22"/>
        </w:rPr>
        <w:t>Minimum</w:t>
      </w:r>
      <w:r>
        <w:rPr>
          <w:b/>
          <w:spacing w:val="-3"/>
          <w:sz w:val="22"/>
        </w:rPr>
        <w:t> </w:t>
      </w:r>
      <w:r>
        <w:rPr>
          <w:b/>
          <w:sz w:val="22"/>
        </w:rPr>
        <w:t>Inhibitory</w:t>
      </w:r>
      <w:r>
        <w:rPr>
          <w:b/>
          <w:spacing w:val="-5"/>
          <w:sz w:val="22"/>
        </w:rPr>
        <w:t> </w:t>
      </w:r>
      <w:r>
        <w:rPr>
          <w:b/>
          <w:sz w:val="22"/>
        </w:rPr>
        <w:t>Concentration</w:t>
      </w:r>
      <w:r>
        <w:rPr>
          <w:b/>
          <w:spacing w:val="-4"/>
          <w:sz w:val="22"/>
        </w:rPr>
        <w:t> </w:t>
      </w:r>
      <w:r>
        <w:rPr>
          <w:b/>
          <w:sz w:val="22"/>
        </w:rPr>
        <w:t>(MIC)</w:t>
      </w:r>
      <w:r>
        <w:rPr>
          <w:b/>
          <w:spacing w:val="-3"/>
          <w:sz w:val="22"/>
        </w:rPr>
        <w:t> </w:t>
      </w:r>
      <w:r>
        <w:rPr>
          <w:b/>
          <w:sz w:val="22"/>
        </w:rPr>
        <w:t>(µg/ml)</w:t>
      </w:r>
      <w:r>
        <w:rPr>
          <w:b/>
          <w:spacing w:val="-5"/>
          <w:sz w:val="22"/>
        </w:rPr>
        <w:t> </w:t>
      </w:r>
      <w:r>
        <w:rPr>
          <w:b/>
          <w:sz w:val="22"/>
        </w:rPr>
        <w:t>values</w:t>
      </w:r>
      <w:r>
        <w:rPr>
          <w:b/>
          <w:spacing w:val="-5"/>
          <w:sz w:val="22"/>
        </w:rPr>
        <w:t> </w:t>
      </w:r>
      <w:r>
        <w:rPr>
          <w:b/>
          <w:sz w:val="22"/>
        </w:rPr>
        <w:t>for the test agents (Honey/Lemon juice mixture) against the bacterial isolates</w: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8"/>
        <w:gridCol w:w="1205"/>
        <w:gridCol w:w="1093"/>
        <w:gridCol w:w="1094"/>
        <w:gridCol w:w="1094"/>
        <w:gridCol w:w="1235"/>
      </w:tblGrid>
      <w:tr>
        <w:trPr>
          <w:trHeight w:val="697" w:hRule="atLeast"/>
        </w:trPr>
        <w:tc>
          <w:tcPr>
            <w:tcW w:w="2918" w:type="dxa"/>
            <w:tcBorders>
              <w:top w:val="single" w:sz="4" w:space="0" w:color="000000"/>
              <w:bottom w:val="single" w:sz="4" w:space="0" w:color="000000"/>
            </w:tcBorders>
          </w:tcPr>
          <w:p>
            <w:pPr>
              <w:pStyle w:val="TableParagraph"/>
              <w:spacing w:line="265" w:lineRule="exact"/>
              <w:ind w:left="108"/>
              <w:rPr>
                <w:sz w:val="22"/>
              </w:rPr>
            </w:pPr>
            <w:r>
              <w:rPr>
                <w:sz w:val="22"/>
              </w:rPr>
              <w:t>Bacterial</w:t>
            </w:r>
            <w:r>
              <w:rPr>
                <w:spacing w:val="-3"/>
                <w:sz w:val="22"/>
              </w:rPr>
              <w:t> </w:t>
            </w:r>
            <w:r>
              <w:rPr>
                <w:spacing w:val="-2"/>
                <w:sz w:val="22"/>
              </w:rPr>
              <w:t>isolates</w:t>
            </w:r>
          </w:p>
        </w:tc>
        <w:tc>
          <w:tcPr>
            <w:tcW w:w="1205" w:type="dxa"/>
            <w:tcBorders>
              <w:top w:val="single" w:sz="4" w:space="0" w:color="000000"/>
              <w:bottom w:val="single" w:sz="4" w:space="0" w:color="000000"/>
            </w:tcBorders>
          </w:tcPr>
          <w:p>
            <w:pPr>
              <w:pStyle w:val="TableParagraph"/>
              <w:spacing w:line="265" w:lineRule="exact"/>
              <w:ind w:left="406"/>
              <w:rPr>
                <w:sz w:val="22"/>
              </w:rPr>
            </w:pPr>
            <w:r>
              <w:rPr>
                <w:spacing w:val="-2"/>
                <w:sz w:val="22"/>
              </w:rPr>
              <w:t>10:50</w:t>
            </w:r>
          </w:p>
        </w:tc>
        <w:tc>
          <w:tcPr>
            <w:tcW w:w="1093" w:type="dxa"/>
            <w:tcBorders>
              <w:top w:val="single" w:sz="4" w:space="0" w:color="000000"/>
              <w:bottom w:val="single" w:sz="4" w:space="0" w:color="000000"/>
            </w:tcBorders>
          </w:tcPr>
          <w:p>
            <w:pPr>
              <w:pStyle w:val="TableParagraph"/>
              <w:spacing w:line="265" w:lineRule="exact"/>
              <w:ind w:left="293"/>
              <w:rPr>
                <w:sz w:val="22"/>
              </w:rPr>
            </w:pPr>
            <w:r>
              <w:rPr>
                <w:spacing w:val="-2"/>
                <w:sz w:val="22"/>
              </w:rPr>
              <w:t>20:50</w:t>
            </w:r>
          </w:p>
        </w:tc>
        <w:tc>
          <w:tcPr>
            <w:tcW w:w="1094" w:type="dxa"/>
            <w:tcBorders>
              <w:top w:val="single" w:sz="4" w:space="0" w:color="000000"/>
              <w:bottom w:val="single" w:sz="4" w:space="0" w:color="000000"/>
            </w:tcBorders>
          </w:tcPr>
          <w:p>
            <w:pPr>
              <w:pStyle w:val="TableParagraph"/>
              <w:spacing w:line="265" w:lineRule="exact"/>
              <w:ind w:left="1"/>
              <w:jc w:val="center"/>
              <w:rPr>
                <w:sz w:val="22"/>
              </w:rPr>
            </w:pPr>
            <w:r>
              <w:rPr>
                <w:spacing w:val="-2"/>
                <w:sz w:val="22"/>
              </w:rPr>
              <w:t>30:50</w:t>
            </w:r>
          </w:p>
        </w:tc>
        <w:tc>
          <w:tcPr>
            <w:tcW w:w="1094" w:type="dxa"/>
            <w:tcBorders>
              <w:top w:val="single" w:sz="4" w:space="0" w:color="000000"/>
              <w:bottom w:val="single" w:sz="4" w:space="0" w:color="000000"/>
            </w:tcBorders>
          </w:tcPr>
          <w:p>
            <w:pPr>
              <w:pStyle w:val="TableParagraph"/>
              <w:spacing w:line="265" w:lineRule="exact"/>
              <w:ind w:left="3"/>
              <w:jc w:val="center"/>
              <w:rPr>
                <w:sz w:val="22"/>
              </w:rPr>
            </w:pPr>
            <w:r>
              <w:rPr>
                <w:spacing w:val="-2"/>
                <w:sz w:val="22"/>
              </w:rPr>
              <w:t>40:50</w:t>
            </w:r>
          </w:p>
        </w:tc>
        <w:tc>
          <w:tcPr>
            <w:tcW w:w="1235" w:type="dxa"/>
            <w:tcBorders>
              <w:top w:val="single" w:sz="4" w:space="0" w:color="000000"/>
              <w:bottom w:val="single" w:sz="4" w:space="0" w:color="000000"/>
            </w:tcBorders>
          </w:tcPr>
          <w:p>
            <w:pPr>
              <w:pStyle w:val="TableParagraph"/>
              <w:spacing w:line="265" w:lineRule="exact"/>
              <w:ind w:left="296"/>
              <w:rPr>
                <w:sz w:val="22"/>
              </w:rPr>
            </w:pPr>
            <w:r>
              <w:rPr>
                <w:spacing w:val="-2"/>
                <w:sz w:val="22"/>
              </w:rPr>
              <w:t>50:50</w:t>
            </w:r>
          </w:p>
        </w:tc>
      </w:tr>
      <w:tr>
        <w:trPr>
          <w:trHeight w:val="499" w:hRule="atLeast"/>
        </w:trPr>
        <w:tc>
          <w:tcPr>
            <w:tcW w:w="2918" w:type="dxa"/>
            <w:tcBorders>
              <w:top w:val="single" w:sz="4" w:space="0" w:color="000000"/>
            </w:tcBorders>
          </w:tcPr>
          <w:p>
            <w:pPr>
              <w:pStyle w:val="TableParagraph"/>
              <w:spacing w:line="265" w:lineRule="exact"/>
              <w:ind w:left="108"/>
              <w:rPr>
                <w:i/>
                <w:sz w:val="22"/>
              </w:rPr>
            </w:pPr>
            <w:r>
              <w:rPr>
                <w:i/>
                <w:sz w:val="22"/>
              </w:rPr>
              <w:t>Klebsiella</w:t>
            </w:r>
            <w:r>
              <w:rPr>
                <w:i/>
                <w:spacing w:val="-3"/>
                <w:sz w:val="22"/>
              </w:rPr>
              <w:t> </w:t>
            </w:r>
            <w:r>
              <w:rPr>
                <w:i/>
                <w:spacing w:val="-2"/>
                <w:sz w:val="22"/>
              </w:rPr>
              <w:t>pneumoniae</w:t>
            </w:r>
          </w:p>
        </w:tc>
        <w:tc>
          <w:tcPr>
            <w:tcW w:w="1205" w:type="dxa"/>
            <w:tcBorders>
              <w:top w:val="single" w:sz="4" w:space="0" w:color="000000"/>
            </w:tcBorders>
          </w:tcPr>
          <w:p>
            <w:pPr>
              <w:pStyle w:val="TableParagraph"/>
              <w:spacing w:line="265" w:lineRule="exact"/>
              <w:ind w:left="406"/>
              <w:rPr>
                <w:sz w:val="22"/>
              </w:rPr>
            </w:pPr>
            <w:r>
              <w:rPr>
                <w:spacing w:val="-4"/>
                <w:sz w:val="22"/>
              </w:rPr>
              <w:t>19.3</w:t>
            </w:r>
          </w:p>
        </w:tc>
        <w:tc>
          <w:tcPr>
            <w:tcW w:w="1093" w:type="dxa"/>
            <w:tcBorders>
              <w:top w:val="single" w:sz="4" w:space="0" w:color="000000"/>
            </w:tcBorders>
          </w:tcPr>
          <w:p>
            <w:pPr>
              <w:pStyle w:val="TableParagraph"/>
              <w:spacing w:line="265" w:lineRule="exact"/>
              <w:ind w:left="293"/>
              <w:rPr>
                <w:sz w:val="22"/>
              </w:rPr>
            </w:pPr>
            <w:r>
              <w:rPr>
                <w:spacing w:val="-4"/>
                <w:sz w:val="22"/>
              </w:rPr>
              <w:t>21.3</w:t>
            </w:r>
          </w:p>
        </w:tc>
        <w:tc>
          <w:tcPr>
            <w:tcW w:w="1094" w:type="dxa"/>
            <w:tcBorders>
              <w:top w:val="single" w:sz="4" w:space="0" w:color="000000"/>
            </w:tcBorders>
          </w:tcPr>
          <w:p>
            <w:pPr>
              <w:pStyle w:val="TableParagraph"/>
              <w:spacing w:line="265" w:lineRule="exact"/>
              <w:ind w:right="108"/>
              <w:jc w:val="center"/>
              <w:rPr>
                <w:sz w:val="22"/>
              </w:rPr>
            </w:pPr>
            <w:r>
              <w:rPr>
                <w:spacing w:val="-4"/>
                <w:sz w:val="22"/>
              </w:rPr>
              <w:t>25.3</w:t>
            </w:r>
          </w:p>
        </w:tc>
        <w:tc>
          <w:tcPr>
            <w:tcW w:w="1094" w:type="dxa"/>
            <w:tcBorders>
              <w:top w:val="single" w:sz="4" w:space="0" w:color="000000"/>
            </w:tcBorders>
          </w:tcPr>
          <w:p>
            <w:pPr>
              <w:pStyle w:val="TableParagraph"/>
              <w:spacing w:line="265" w:lineRule="exact"/>
              <w:ind w:right="106"/>
              <w:jc w:val="center"/>
              <w:rPr>
                <w:sz w:val="22"/>
              </w:rPr>
            </w:pPr>
            <w:r>
              <w:rPr>
                <w:spacing w:val="-4"/>
                <w:sz w:val="22"/>
              </w:rPr>
              <w:t>27.6</w:t>
            </w:r>
          </w:p>
        </w:tc>
        <w:tc>
          <w:tcPr>
            <w:tcW w:w="1235" w:type="dxa"/>
            <w:tcBorders>
              <w:top w:val="single" w:sz="4" w:space="0" w:color="000000"/>
            </w:tcBorders>
          </w:tcPr>
          <w:p>
            <w:pPr>
              <w:pStyle w:val="TableParagraph"/>
              <w:spacing w:line="265" w:lineRule="exact"/>
              <w:ind w:left="296"/>
              <w:rPr>
                <w:sz w:val="22"/>
              </w:rPr>
            </w:pPr>
            <w:r>
              <w:rPr>
                <w:spacing w:val="-4"/>
                <w:sz w:val="22"/>
              </w:rPr>
              <w:t>28.3</w:t>
            </w:r>
          </w:p>
        </w:tc>
      </w:tr>
      <w:tr>
        <w:trPr>
          <w:trHeight w:val="697" w:hRule="atLeast"/>
        </w:trPr>
        <w:tc>
          <w:tcPr>
            <w:tcW w:w="2918" w:type="dxa"/>
          </w:tcPr>
          <w:p>
            <w:pPr>
              <w:pStyle w:val="TableParagraph"/>
              <w:spacing w:before="194"/>
              <w:ind w:left="108"/>
              <w:rPr>
                <w:i/>
                <w:sz w:val="22"/>
              </w:rPr>
            </w:pPr>
            <w:r>
              <w:rPr>
                <w:i/>
                <w:sz w:val="22"/>
              </w:rPr>
              <w:t>Staphylococcus</w:t>
            </w:r>
            <w:r>
              <w:rPr>
                <w:i/>
                <w:spacing w:val="-11"/>
                <w:sz w:val="22"/>
              </w:rPr>
              <w:t> </w:t>
            </w:r>
            <w:r>
              <w:rPr>
                <w:i/>
                <w:spacing w:val="-2"/>
                <w:sz w:val="22"/>
              </w:rPr>
              <w:t>aureus</w:t>
            </w:r>
          </w:p>
        </w:tc>
        <w:tc>
          <w:tcPr>
            <w:tcW w:w="1205" w:type="dxa"/>
          </w:tcPr>
          <w:p>
            <w:pPr>
              <w:pStyle w:val="TableParagraph"/>
              <w:spacing w:before="194"/>
              <w:ind w:left="406"/>
              <w:rPr>
                <w:sz w:val="22"/>
              </w:rPr>
            </w:pPr>
            <w:r>
              <w:rPr>
                <w:spacing w:val="-4"/>
                <w:sz w:val="22"/>
              </w:rPr>
              <w:t>18.0</w:t>
            </w:r>
          </w:p>
        </w:tc>
        <w:tc>
          <w:tcPr>
            <w:tcW w:w="1093" w:type="dxa"/>
          </w:tcPr>
          <w:p>
            <w:pPr>
              <w:pStyle w:val="TableParagraph"/>
              <w:spacing w:before="194"/>
              <w:ind w:left="293"/>
              <w:rPr>
                <w:sz w:val="22"/>
              </w:rPr>
            </w:pPr>
            <w:r>
              <w:rPr>
                <w:spacing w:val="-4"/>
                <w:sz w:val="22"/>
              </w:rPr>
              <w:t>21.4</w:t>
            </w:r>
          </w:p>
        </w:tc>
        <w:tc>
          <w:tcPr>
            <w:tcW w:w="1094" w:type="dxa"/>
          </w:tcPr>
          <w:p>
            <w:pPr>
              <w:pStyle w:val="TableParagraph"/>
              <w:spacing w:before="194"/>
              <w:ind w:right="108"/>
              <w:jc w:val="center"/>
              <w:rPr>
                <w:sz w:val="22"/>
              </w:rPr>
            </w:pPr>
            <w:r>
              <w:rPr>
                <w:spacing w:val="-4"/>
                <w:sz w:val="22"/>
              </w:rPr>
              <w:t>20.2</w:t>
            </w:r>
          </w:p>
        </w:tc>
        <w:tc>
          <w:tcPr>
            <w:tcW w:w="1094" w:type="dxa"/>
          </w:tcPr>
          <w:p>
            <w:pPr>
              <w:pStyle w:val="TableParagraph"/>
              <w:spacing w:before="194"/>
              <w:ind w:right="106"/>
              <w:jc w:val="center"/>
              <w:rPr>
                <w:sz w:val="22"/>
              </w:rPr>
            </w:pPr>
            <w:r>
              <w:rPr>
                <w:spacing w:val="-4"/>
                <w:sz w:val="22"/>
              </w:rPr>
              <w:t>21.6</w:t>
            </w:r>
          </w:p>
        </w:tc>
        <w:tc>
          <w:tcPr>
            <w:tcW w:w="1235" w:type="dxa"/>
          </w:tcPr>
          <w:p>
            <w:pPr>
              <w:pStyle w:val="TableParagraph"/>
              <w:spacing w:before="194"/>
              <w:ind w:left="296"/>
              <w:rPr>
                <w:sz w:val="22"/>
              </w:rPr>
            </w:pPr>
            <w:r>
              <w:rPr>
                <w:spacing w:val="-4"/>
                <w:sz w:val="22"/>
              </w:rPr>
              <w:t>20.0</w:t>
            </w:r>
          </w:p>
        </w:tc>
      </w:tr>
      <w:tr>
        <w:trPr>
          <w:trHeight w:val="697" w:hRule="atLeast"/>
        </w:trPr>
        <w:tc>
          <w:tcPr>
            <w:tcW w:w="2918" w:type="dxa"/>
          </w:tcPr>
          <w:p>
            <w:pPr>
              <w:pStyle w:val="TableParagraph"/>
              <w:spacing w:before="195"/>
              <w:ind w:left="108"/>
              <w:rPr>
                <w:i/>
                <w:sz w:val="22"/>
              </w:rPr>
            </w:pPr>
            <w:r>
              <w:rPr>
                <w:i/>
                <w:sz w:val="22"/>
              </w:rPr>
              <w:t>Haemophilus</w:t>
            </w:r>
            <w:r>
              <w:rPr>
                <w:i/>
                <w:spacing w:val="-9"/>
                <w:sz w:val="22"/>
              </w:rPr>
              <w:t> </w:t>
            </w:r>
            <w:r>
              <w:rPr>
                <w:i/>
                <w:spacing w:val="-2"/>
                <w:sz w:val="22"/>
              </w:rPr>
              <w:t>influenzae</w:t>
            </w:r>
          </w:p>
        </w:tc>
        <w:tc>
          <w:tcPr>
            <w:tcW w:w="1205" w:type="dxa"/>
          </w:tcPr>
          <w:p>
            <w:pPr>
              <w:pStyle w:val="TableParagraph"/>
              <w:spacing w:before="195"/>
              <w:ind w:left="406"/>
              <w:rPr>
                <w:sz w:val="22"/>
              </w:rPr>
            </w:pPr>
            <w:r>
              <w:rPr>
                <w:spacing w:val="-4"/>
                <w:sz w:val="22"/>
              </w:rPr>
              <w:t>32.5</w:t>
            </w:r>
          </w:p>
        </w:tc>
        <w:tc>
          <w:tcPr>
            <w:tcW w:w="1093" w:type="dxa"/>
          </w:tcPr>
          <w:p>
            <w:pPr>
              <w:pStyle w:val="TableParagraph"/>
              <w:spacing w:before="195"/>
              <w:ind w:left="293"/>
              <w:rPr>
                <w:sz w:val="22"/>
              </w:rPr>
            </w:pPr>
            <w:r>
              <w:rPr>
                <w:spacing w:val="-4"/>
                <w:sz w:val="22"/>
              </w:rPr>
              <w:t>17.5</w:t>
            </w:r>
          </w:p>
        </w:tc>
        <w:tc>
          <w:tcPr>
            <w:tcW w:w="1094" w:type="dxa"/>
          </w:tcPr>
          <w:p>
            <w:pPr>
              <w:pStyle w:val="TableParagraph"/>
              <w:spacing w:before="195"/>
              <w:ind w:right="108"/>
              <w:jc w:val="center"/>
              <w:rPr>
                <w:sz w:val="22"/>
              </w:rPr>
            </w:pPr>
            <w:r>
              <w:rPr>
                <w:spacing w:val="-4"/>
                <w:sz w:val="22"/>
              </w:rPr>
              <w:t>15.0</w:t>
            </w:r>
          </w:p>
        </w:tc>
        <w:tc>
          <w:tcPr>
            <w:tcW w:w="1094" w:type="dxa"/>
          </w:tcPr>
          <w:p>
            <w:pPr>
              <w:pStyle w:val="TableParagraph"/>
              <w:spacing w:before="195"/>
              <w:ind w:right="106"/>
              <w:jc w:val="center"/>
              <w:rPr>
                <w:sz w:val="22"/>
              </w:rPr>
            </w:pPr>
            <w:r>
              <w:rPr>
                <w:spacing w:val="-4"/>
                <w:sz w:val="22"/>
              </w:rPr>
              <w:t>17.5</w:t>
            </w:r>
          </w:p>
        </w:tc>
        <w:tc>
          <w:tcPr>
            <w:tcW w:w="1235" w:type="dxa"/>
          </w:tcPr>
          <w:p>
            <w:pPr>
              <w:pStyle w:val="TableParagraph"/>
              <w:spacing w:before="195"/>
              <w:ind w:left="296"/>
              <w:rPr>
                <w:sz w:val="22"/>
              </w:rPr>
            </w:pPr>
            <w:r>
              <w:rPr>
                <w:spacing w:val="-4"/>
                <w:sz w:val="22"/>
              </w:rPr>
              <w:t>17.5</w:t>
            </w:r>
          </w:p>
        </w:tc>
      </w:tr>
      <w:tr>
        <w:trPr>
          <w:trHeight w:val="697" w:hRule="atLeast"/>
        </w:trPr>
        <w:tc>
          <w:tcPr>
            <w:tcW w:w="2918" w:type="dxa"/>
          </w:tcPr>
          <w:p>
            <w:pPr>
              <w:pStyle w:val="TableParagraph"/>
              <w:spacing w:before="193"/>
              <w:ind w:left="108"/>
              <w:rPr>
                <w:i/>
                <w:sz w:val="22"/>
              </w:rPr>
            </w:pPr>
            <w:r>
              <w:rPr>
                <w:i/>
                <w:sz w:val="22"/>
              </w:rPr>
              <w:t>Pseudomonas</w:t>
            </w:r>
            <w:r>
              <w:rPr>
                <w:i/>
                <w:spacing w:val="-12"/>
                <w:sz w:val="22"/>
              </w:rPr>
              <w:t> </w:t>
            </w:r>
            <w:r>
              <w:rPr>
                <w:i/>
                <w:spacing w:val="-2"/>
                <w:sz w:val="22"/>
              </w:rPr>
              <w:t>aeruginosa</w:t>
            </w:r>
          </w:p>
        </w:tc>
        <w:tc>
          <w:tcPr>
            <w:tcW w:w="1205" w:type="dxa"/>
          </w:tcPr>
          <w:p>
            <w:pPr>
              <w:pStyle w:val="TableParagraph"/>
              <w:spacing w:before="193"/>
              <w:ind w:left="406"/>
              <w:rPr>
                <w:sz w:val="22"/>
              </w:rPr>
            </w:pPr>
            <w:r>
              <w:rPr>
                <w:spacing w:val="-4"/>
                <w:sz w:val="22"/>
              </w:rPr>
              <w:t>21.9</w:t>
            </w:r>
          </w:p>
        </w:tc>
        <w:tc>
          <w:tcPr>
            <w:tcW w:w="1093" w:type="dxa"/>
          </w:tcPr>
          <w:p>
            <w:pPr>
              <w:pStyle w:val="TableParagraph"/>
              <w:spacing w:before="193"/>
              <w:ind w:left="293"/>
              <w:rPr>
                <w:sz w:val="22"/>
              </w:rPr>
            </w:pPr>
            <w:r>
              <w:rPr>
                <w:spacing w:val="-4"/>
                <w:sz w:val="22"/>
              </w:rPr>
              <w:t>22.3</w:t>
            </w:r>
          </w:p>
        </w:tc>
        <w:tc>
          <w:tcPr>
            <w:tcW w:w="1094" w:type="dxa"/>
          </w:tcPr>
          <w:p>
            <w:pPr>
              <w:pStyle w:val="TableParagraph"/>
              <w:spacing w:before="193"/>
              <w:ind w:right="108"/>
              <w:jc w:val="center"/>
              <w:rPr>
                <w:sz w:val="22"/>
              </w:rPr>
            </w:pPr>
            <w:r>
              <w:rPr>
                <w:spacing w:val="-4"/>
                <w:sz w:val="22"/>
              </w:rPr>
              <w:t>16.6</w:t>
            </w:r>
          </w:p>
        </w:tc>
        <w:tc>
          <w:tcPr>
            <w:tcW w:w="1094" w:type="dxa"/>
          </w:tcPr>
          <w:p>
            <w:pPr>
              <w:pStyle w:val="TableParagraph"/>
              <w:spacing w:before="193"/>
              <w:ind w:right="106"/>
              <w:jc w:val="center"/>
              <w:rPr>
                <w:sz w:val="22"/>
              </w:rPr>
            </w:pPr>
            <w:r>
              <w:rPr>
                <w:spacing w:val="-4"/>
                <w:sz w:val="22"/>
              </w:rPr>
              <w:t>17.5</w:t>
            </w:r>
          </w:p>
        </w:tc>
        <w:tc>
          <w:tcPr>
            <w:tcW w:w="1235" w:type="dxa"/>
          </w:tcPr>
          <w:p>
            <w:pPr>
              <w:pStyle w:val="TableParagraph"/>
              <w:spacing w:before="193"/>
              <w:ind w:left="296"/>
              <w:rPr>
                <w:sz w:val="22"/>
              </w:rPr>
            </w:pPr>
            <w:r>
              <w:rPr>
                <w:spacing w:val="-4"/>
                <w:sz w:val="22"/>
              </w:rPr>
              <w:t>19.6</w:t>
            </w:r>
          </w:p>
        </w:tc>
      </w:tr>
      <w:tr>
        <w:trPr>
          <w:trHeight w:val="459" w:hRule="atLeast"/>
        </w:trPr>
        <w:tc>
          <w:tcPr>
            <w:tcW w:w="2918" w:type="dxa"/>
          </w:tcPr>
          <w:p>
            <w:pPr>
              <w:pStyle w:val="TableParagraph"/>
              <w:spacing w:line="245" w:lineRule="exact" w:before="195"/>
              <w:ind w:left="108"/>
              <w:rPr>
                <w:i/>
                <w:sz w:val="22"/>
              </w:rPr>
            </w:pPr>
            <w:r>
              <w:rPr>
                <w:i/>
                <w:sz w:val="22"/>
              </w:rPr>
              <w:t>Streptococcus</w:t>
            </w:r>
            <w:r>
              <w:rPr>
                <w:i/>
                <w:spacing w:val="-10"/>
                <w:sz w:val="22"/>
              </w:rPr>
              <w:t> </w:t>
            </w:r>
            <w:r>
              <w:rPr>
                <w:i/>
                <w:spacing w:val="-2"/>
                <w:sz w:val="22"/>
              </w:rPr>
              <w:t>pneumoniae</w:t>
            </w:r>
          </w:p>
        </w:tc>
        <w:tc>
          <w:tcPr>
            <w:tcW w:w="1205" w:type="dxa"/>
          </w:tcPr>
          <w:p>
            <w:pPr>
              <w:pStyle w:val="TableParagraph"/>
              <w:spacing w:line="245" w:lineRule="exact" w:before="195"/>
              <w:ind w:left="406"/>
              <w:rPr>
                <w:sz w:val="22"/>
              </w:rPr>
            </w:pPr>
            <w:r>
              <w:rPr>
                <w:spacing w:val="-4"/>
                <w:sz w:val="22"/>
              </w:rPr>
              <w:t>19.6</w:t>
            </w:r>
          </w:p>
        </w:tc>
        <w:tc>
          <w:tcPr>
            <w:tcW w:w="1093" w:type="dxa"/>
          </w:tcPr>
          <w:p>
            <w:pPr>
              <w:pStyle w:val="TableParagraph"/>
              <w:spacing w:line="245" w:lineRule="exact" w:before="195"/>
              <w:ind w:left="293"/>
              <w:rPr>
                <w:sz w:val="22"/>
              </w:rPr>
            </w:pPr>
            <w:r>
              <w:rPr>
                <w:spacing w:val="-4"/>
                <w:sz w:val="22"/>
              </w:rPr>
              <w:t>20.0</w:t>
            </w:r>
          </w:p>
        </w:tc>
        <w:tc>
          <w:tcPr>
            <w:tcW w:w="1094" w:type="dxa"/>
          </w:tcPr>
          <w:p>
            <w:pPr>
              <w:pStyle w:val="TableParagraph"/>
              <w:spacing w:line="245" w:lineRule="exact" w:before="195"/>
              <w:ind w:right="108"/>
              <w:jc w:val="center"/>
              <w:rPr>
                <w:sz w:val="22"/>
              </w:rPr>
            </w:pPr>
            <w:r>
              <w:rPr>
                <w:spacing w:val="-4"/>
                <w:sz w:val="22"/>
              </w:rPr>
              <w:t>20.4</w:t>
            </w:r>
          </w:p>
        </w:tc>
        <w:tc>
          <w:tcPr>
            <w:tcW w:w="1094" w:type="dxa"/>
          </w:tcPr>
          <w:p>
            <w:pPr>
              <w:pStyle w:val="TableParagraph"/>
              <w:spacing w:line="245" w:lineRule="exact" w:before="195"/>
              <w:ind w:right="106"/>
              <w:jc w:val="center"/>
              <w:rPr>
                <w:sz w:val="22"/>
              </w:rPr>
            </w:pPr>
            <w:r>
              <w:rPr>
                <w:spacing w:val="-4"/>
                <w:sz w:val="22"/>
              </w:rPr>
              <w:t>19.6</w:t>
            </w:r>
          </w:p>
        </w:tc>
        <w:tc>
          <w:tcPr>
            <w:tcW w:w="1235" w:type="dxa"/>
          </w:tcPr>
          <w:p>
            <w:pPr>
              <w:pStyle w:val="TableParagraph"/>
              <w:spacing w:line="245" w:lineRule="exact" w:before="195"/>
              <w:ind w:left="296"/>
              <w:rPr>
                <w:sz w:val="22"/>
              </w:rPr>
            </w:pPr>
            <w:r>
              <w:rPr>
                <w:spacing w:val="-4"/>
                <w:sz w:val="22"/>
              </w:rPr>
              <w:t>19.6</w:t>
            </w:r>
          </w:p>
        </w:tc>
      </w:tr>
    </w:tbl>
    <w:p>
      <w:pPr>
        <w:spacing w:after="0" w:line="245" w:lineRule="exact"/>
        <w:rPr>
          <w:sz w:val="22"/>
        </w:rPr>
        <w:sectPr>
          <w:pgSz w:w="11910" w:h="16840"/>
          <w:pgMar w:header="0" w:footer="1055" w:top="1920" w:bottom="2478" w:left="1060" w:right="460"/>
        </w:sect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27"/>
        <w:gridCol w:w="1282"/>
        <w:gridCol w:w="1093"/>
        <w:gridCol w:w="1094"/>
        <w:gridCol w:w="1094"/>
        <w:gridCol w:w="793"/>
      </w:tblGrid>
      <w:tr>
        <w:trPr>
          <w:trHeight w:val="220" w:hRule="atLeast"/>
        </w:trPr>
        <w:tc>
          <w:tcPr>
            <w:tcW w:w="2727" w:type="dxa"/>
          </w:tcPr>
          <w:p>
            <w:pPr>
              <w:pStyle w:val="TableParagraph"/>
              <w:spacing w:line="201" w:lineRule="exact"/>
              <w:ind w:left="50"/>
              <w:rPr>
                <w:i/>
                <w:sz w:val="22"/>
              </w:rPr>
            </w:pPr>
            <w:r>
              <w:rPr>
                <w:i/>
                <w:sz w:val="22"/>
              </w:rPr>
              <w:t>Streptococcus</w:t>
            </w:r>
            <w:r>
              <w:rPr>
                <w:i/>
                <w:spacing w:val="-10"/>
                <w:sz w:val="22"/>
              </w:rPr>
              <w:t> </w:t>
            </w:r>
            <w:r>
              <w:rPr>
                <w:i/>
                <w:spacing w:val="-2"/>
                <w:sz w:val="22"/>
              </w:rPr>
              <w:t>pyogenes</w:t>
            </w:r>
          </w:p>
        </w:tc>
        <w:tc>
          <w:tcPr>
            <w:tcW w:w="1282" w:type="dxa"/>
          </w:tcPr>
          <w:p>
            <w:pPr>
              <w:pStyle w:val="TableParagraph"/>
              <w:spacing w:line="201" w:lineRule="exact"/>
              <w:ind w:left="539"/>
              <w:rPr>
                <w:sz w:val="22"/>
              </w:rPr>
            </w:pPr>
            <w:r>
              <w:rPr>
                <w:spacing w:val="-4"/>
                <w:sz w:val="22"/>
              </w:rPr>
              <w:t>20.4</w:t>
            </w:r>
          </w:p>
        </w:tc>
        <w:tc>
          <w:tcPr>
            <w:tcW w:w="1093" w:type="dxa"/>
          </w:tcPr>
          <w:p>
            <w:pPr>
              <w:pStyle w:val="TableParagraph"/>
              <w:spacing w:line="201" w:lineRule="exact"/>
              <w:ind w:left="349"/>
              <w:rPr>
                <w:sz w:val="22"/>
              </w:rPr>
            </w:pPr>
            <w:r>
              <w:rPr>
                <w:spacing w:val="-4"/>
                <w:sz w:val="22"/>
              </w:rPr>
              <w:t>19.6</w:t>
            </w:r>
          </w:p>
        </w:tc>
        <w:tc>
          <w:tcPr>
            <w:tcW w:w="1094" w:type="dxa"/>
          </w:tcPr>
          <w:p>
            <w:pPr>
              <w:pStyle w:val="TableParagraph"/>
              <w:spacing w:line="201" w:lineRule="exact"/>
              <w:ind w:left="351"/>
              <w:rPr>
                <w:sz w:val="22"/>
              </w:rPr>
            </w:pPr>
            <w:r>
              <w:rPr>
                <w:spacing w:val="-4"/>
                <w:sz w:val="22"/>
              </w:rPr>
              <w:t>17.9</w:t>
            </w:r>
          </w:p>
        </w:tc>
        <w:tc>
          <w:tcPr>
            <w:tcW w:w="1094" w:type="dxa"/>
          </w:tcPr>
          <w:p>
            <w:pPr>
              <w:pStyle w:val="TableParagraph"/>
              <w:spacing w:line="201" w:lineRule="exact"/>
              <w:ind w:left="352"/>
              <w:rPr>
                <w:sz w:val="22"/>
              </w:rPr>
            </w:pPr>
            <w:r>
              <w:rPr>
                <w:spacing w:val="-4"/>
                <w:sz w:val="22"/>
              </w:rPr>
              <w:t>17.9</w:t>
            </w:r>
          </w:p>
        </w:tc>
        <w:tc>
          <w:tcPr>
            <w:tcW w:w="793" w:type="dxa"/>
          </w:tcPr>
          <w:p>
            <w:pPr>
              <w:pStyle w:val="TableParagraph"/>
              <w:spacing w:line="201" w:lineRule="exact"/>
              <w:ind w:left="352"/>
              <w:rPr>
                <w:sz w:val="22"/>
              </w:rPr>
            </w:pPr>
            <w:r>
              <w:rPr>
                <w:spacing w:val="-4"/>
                <w:sz w:val="22"/>
              </w:rPr>
              <w:t>18.8</w:t>
            </w:r>
          </w:p>
        </w:tc>
      </w:tr>
    </w:tbl>
    <w:p>
      <w:pPr>
        <w:pStyle w:val="BodyText"/>
        <w:spacing w:before="192"/>
        <w:rPr>
          <w:b/>
          <w:sz w:val="20"/>
        </w:rPr>
      </w:pPr>
      <w:r>
        <w:rPr/>
        <mc:AlternateContent>
          <mc:Choice Requires="wps">
            <w:drawing>
              <wp:anchor distT="0" distB="0" distL="0" distR="0" allowOverlap="1" layoutInCell="1" locked="0" behindDoc="1" simplePos="0" relativeHeight="487602688">
                <wp:simplePos x="0" y="0"/>
                <wp:positionH relativeFrom="page">
                  <wp:posOffset>836980</wp:posOffset>
                </wp:positionH>
                <wp:positionV relativeFrom="paragraph">
                  <wp:posOffset>292353</wp:posOffset>
                </wp:positionV>
                <wp:extent cx="5497195" cy="6350"/>
                <wp:effectExtent l="0" t="0" r="0" b="0"/>
                <wp:wrapTopAndBottom/>
                <wp:docPr id="168" name="Graphic 168"/>
                <wp:cNvGraphicFramePr>
                  <a:graphicFrameLocks/>
                </wp:cNvGraphicFramePr>
                <a:graphic>
                  <a:graphicData uri="http://schemas.microsoft.com/office/word/2010/wordprocessingShape">
                    <wps:wsp>
                      <wps:cNvPr id="168" name="Graphic 168"/>
                      <wps:cNvSpPr/>
                      <wps:spPr>
                        <a:xfrm>
                          <a:off x="0" y="0"/>
                          <a:ext cx="5497195" cy="6350"/>
                        </a:xfrm>
                        <a:custGeom>
                          <a:avLst/>
                          <a:gdLst/>
                          <a:ahLst/>
                          <a:cxnLst/>
                          <a:rect l="l" t="t" r="r" b="b"/>
                          <a:pathLst>
                            <a:path w="5497195" h="6350">
                              <a:moveTo>
                                <a:pt x="5496814" y="0"/>
                              </a:moveTo>
                              <a:lnTo>
                                <a:pt x="5496814" y="0"/>
                              </a:lnTo>
                              <a:lnTo>
                                <a:pt x="0" y="0"/>
                              </a:lnTo>
                              <a:lnTo>
                                <a:pt x="0" y="6096"/>
                              </a:lnTo>
                              <a:lnTo>
                                <a:pt x="5496814" y="6096"/>
                              </a:lnTo>
                              <a:lnTo>
                                <a:pt x="54968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903999pt;margin-top:23.019964pt;width:432.820021pt;height:.48pt;mso-position-horizontal-relative:page;mso-position-vertical-relative:paragraph;z-index:-15713792;mso-wrap-distance-left:0;mso-wrap-distance-right:0" id="docshape126" filled="true" fillcolor="#000000" stroked="false">
                <v:fill type="solid"/>
                <w10:wrap type="topAndBottom"/>
              </v:rect>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50"/>
        <w:rPr>
          <w:b/>
        </w:rPr>
      </w:pPr>
    </w:p>
    <w:p>
      <w:pPr>
        <w:spacing w:line="621" w:lineRule="auto" w:before="0" w:after="4"/>
        <w:ind w:left="380" w:right="2617" w:firstLine="0"/>
        <w:jc w:val="left"/>
        <w:rPr>
          <w:b/>
          <w:sz w:val="22"/>
        </w:rPr>
      </w:pPr>
      <w:r>
        <w:rPr>
          <w:b/>
          <w:sz w:val="22"/>
        </w:rPr>
        <w:t>Table</w:t>
      </w:r>
      <w:r>
        <w:rPr>
          <w:b/>
          <w:spacing w:val="-4"/>
          <w:sz w:val="22"/>
        </w:rPr>
        <w:t> </w:t>
      </w:r>
      <w:r>
        <w:rPr>
          <w:b/>
          <w:sz w:val="22"/>
        </w:rPr>
        <w:t>4.7:</w:t>
      </w:r>
      <w:r>
        <w:rPr>
          <w:b/>
          <w:spacing w:val="-6"/>
          <w:sz w:val="22"/>
        </w:rPr>
        <w:t> </w:t>
      </w:r>
      <w:r>
        <w:rPr>
          <w:b/>
          <w:sz w:val="22"/>
        </w:rPr>
        <w:t>Average</w:t>
      </w:r>
      <w:r>
        <w:rPr>
          <w:b/>
          <w:spacing w:val="-4"/>
          <w:sz w:val="22"/>
        </w:rPr>
        <w:t> </w:t>
      </w:r>
      <w:r>
        <w:rPr>
          <w:b/>
          <w:sz w:val="22"/>
        </w:rPr>
        <w:t>Minimum</w:t>
      </w:r>
      <w:r>
        <w:rPr>
          <w:b/>
          <w:spacing w:val="-3"/>
          <w:sz w:val="22"/>
        </w:rPr>
        <w:t> </w:t>
      </w:r>
      <w:r>
        <w:rPr>
          <w:b/>
          <w:sz w:val="22"/>
        </w:rPr>
        <w:t>Inhibitory</w:t>
      </w:r>
      <w:r>
        <w:rPr>
          <w:b/>
          <w:spacing w:val="-5"/>
          <w:sz w:val="22"/>
        </w:rPr>
        <w:t> </w:t>
      </w:r>
      <w:r>
        <w:rPr>
          <w:b/>
          <w:sz w:val="22"/>
        </w:rPr>
        <w:t>Concentration</w:t>
      </w:r>
      <w:r>
        <w:rPr>
          <w:b/>
          <w:spacing w:val="-4"/>
          <w:sz w:val="22"/>
        </w:rPr>
        <w:t> </w:t>
      </w:r>
      <w:r>
        <w:rPr>
          <w:b/>
          <w:sz w:val="22"/>
        </w:rPr>
        <w:t>(MIC)</w:t>
      </w:r>
      <w:r>
        <w:rPr>
          <w:b/>
          <w:spacing w:val="-3"/>
          <w:sz w:val="22"/>
        </w:rPr>
        <w:t> </w:t>
      </w:r>
      <w:r>
        <w:rPr>
          <w:b/>
          <w:sz w:val="22"/>
        </w:rPr>
        <w:t>(µg/ml)</w:t>
      </w:r>
      <w:r>
        <w:rPr>
          <w:b/>
          <w:spacing w:val="-5"/>
          <w:sz w:val="22"/>
        </w:rPr>
        <w:t> </w:t>
      </w:r>
      <w:r>
        <w:rPr>
          <w:b/>
          <w:sz w:val="22"/>
        </w:rPr>
        <w:t>values</w:t>
      </w:r>
      <w:r>
        <w:rPr>
          <w:b/>
          <w:spacing w:val="-5"/>
          <w:sz w:val="22"/>
        </w:rPr>
        <w:t> </w:t>
      </w:r>
      <w:r>
        <w:rPr>
          <w:b/>
          <w:sz w:val="22"/>
        </w:rPr>
        <w:t>for the test agents (Lemon juice/Honey mixture) against the bacterial isolates</w:t>
      </w: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0"/>
        <w:gridCol w:w="1650"/>
        <w:gridCol w:w="1093"/>
        <w:gridCol w:w="1094"/>
        <w:gridCol w:w="1094"/>
        <w:gridCol w:w="1235"/>
      </w:tblGrid>
      <w:tr>
        <w:trPr>
          <w:trHeight w:val="698" w:hRule="atLeast"/>
        </w:trPr>
        <w:tc>
          <w:tcPr>
            <w:tcW w:w="2480" w:type="dxa"/>
            <w:tcBorders>
              <w:top w:val="single" w:sz="4" w:space="0" w:color="000000"/>
              <w:bottom w:val="single" w:sz="4" w:space="0" w:color="000000"/>
            </w:tcBorders>
          </w:tcPr>
          <w:p>
            <w:pPr>
              <w:pStyle w:val="TableParagraph"/>
              <w:spacing w:line="268" w:lineRule="exact"/>
              <w:ind w:left="115"/>
              <w:rPr>
                <w:sz w:val="22"/>
              </w:rPr>
            </w:pPr>
            <w:r>
              <w:rPr>
                <w:sz w:val="22"/>
              </w:rPr>
              <w:t>Bacterial</w:t>
            </w:r>
            <w:r>
              <w:rPr>
                <w:spacing w:val="-3"/>
                <w:sz w:val="22"/>
              </w:rPr>
              <w:t> </w:t>
            </w:r>
            <w:r>
              <w:rPr>
                <w:spacing w:val="-2"/>
                <w:sz w:val="22"/>
              </w:rPr>
              <w:t>isolates</w:t>
            </w:r>
          </w:p>
        </w:tc>
        <w:tc>
          <w:tcPr>
            <w:tcW w:w="1650" w:type="dxa"/>
            <w:tcBorders>
              <w:top w:val="single" w:sz="4" w:space="0" w:color="000000"/>
              <w:bottom w:val="single" w:sz="4" w:space="0" w:color="000000"/>
            </w:tcBorders>
          </w:tcPr>
          <w:p>
            <w:pPr>
              <w:pStyle w:val="TableParagraph"/>
              <w:spacing w:line="268" w:lineRule="exact"/>
              <w:ind w:left="851"/>
              <w:rPr>
                <w:sz w:val="22"/>
              </w:rPr>
            </w:pPr>
            <w:r>
              <w:rPr>
                <w:spacing w:val="-2"/>
                <w:sz w:val="22"/>
              </w:rPr>
              <w:t>10:50</w:t>
            </w:r>
          </w:p>
        </w:tc>
        <w:tc>
          <w:tcPr>
            <w:tcW w:w="1093" w:type="dxa"/>
            <w:tcBorders>
              <w:top w:val="single" w:sz="4" w:space="0" w:color="000000"/>
              <w:bottom w:val="single" w:sz="4" w:space="0" w:color="000000"/>
            </w:tcBorders>
          </w:tcPr>
          <w:p>
            <w:pPr>
              <w:pStyle w:val="TableParagraph"/>
              <w:spacing w:line="268" w:lineRule="exact"/>
              <w:ind w:left="294"/>
              <w:rPr>
                <w:sz w:val="22"/>
              </w:rPr>
            </w:pPr>
            <w:r>
              <w:rPr>
                <w:spacing w:val="-2"/>
                <w:sz w:val="22"/>
              </w:rPr>
              <w:t>20:50</w:t>
            </w:r>
          </w:p>
        </w:tc>
        <w:tc>
          <w:tcPr>
            <w:tcW w:w="1094" w:type="dxa"/>
            <w:tcBorders>
              <w:top w:val="single" w:sz="4" w:space="0" w:color="000000"/>
              <w:bottom w:val="single" w:sz="4" w:space="0" w:color="000000"/>
            </w:tcBorders>
          </w:tcPr>
          <w:p>
            <w:pPr>
              <w:pStyle w:val="TableParagraph"/>
              <w:spacing w:line="268" w:lineRule="exact"/>
              <w:ind w:left="295"/>
              <w:rPr>
                <w:sz w:val="22"/>
              </w:rPr>
            </w:pPr>
            <w:r>
              <w:rPr>
                <w:spacing w:val="-2"/>
                <w:sz w:val="22"/>
              </w:rPr>
              <w:t>30:50</w:t>
            </w:r>
          </w:p>
        </w:tc>
        <w:tc>
          <w:tcPr>
            <w:tcW w:w="1094" w:type="dxa"/>
            <w:tcBorders>
              <w:top w:val="single" w:sz="4" w:space="0" w:color="000000"/>
              <w:bottom w:val="single" w:sz="4" w:space="0" w:color="000000"/>
            </w:tcBorders>
          </w:tcPr>
          <w:p>
            <w:pPr>
              <w:pStyle w:val="TableParagraph"/>
              <w:spacing w:line="268" w:lineRule="exact"/>
              <w:ind w:left="296"/>
              <w:rPr>
                <w:sz w:val="22"/>
              </w:rPr>
            </w:pPr>
            <w:r>
              <w:rPr>
                <w:spacing w:val="-2"/>
                <w:sz w:val="22"/>
              </w:rPr>
              <w:t>40:50</w:t>
            </w:r>
          </w:p>
        </w:tc>
        <w:tc>
          <w:tcPr>
            <w:tcW w:w="1235" w:type="dxa"/>
            <w:tcBorders>
              <w:top w:val="single" w:sz="4" w:space="0" w:color="000000"/>
              <w:bottom w:val="single" w:sz="4" w:space="0" w:color="000000"/>
            </w:tcBorders>
          </w:tcPr>
          <w:p>
            <w:pPr>
              <w:pStyle w:val="TableParagraph"/>
              <w:spacing w:line="268" w:lineRule="exact"/>
              <w:ind w:left="296"/>
              <w:rPr>
                <w:sz w:val="22"/>
              </w:rPr>
            </w:pPr>
            <w:r>
              <w:rPr>
                <w:spacing w:val="-2"/>
                <w:sz w:val="22"/>
              </w:rPr>
              <w:t>50:50</w:t>
            </w:r>
          </w:p>
        </w:tc>
      </w:tr>
    </w:tbl>
    <w:p>
      <w:pPr>
        <w:spacing w:after="0" w:line="268" w:lineRule="exact"/>
        <w:rPr>
          <w:sz w:val="22"/>
        </w:rPr>
        <w:sectPr>
          <w:type w:val="continuous"/>
          <w:pgSz w:w="11910" w:h="16840"/>
          <w:pgMar w:header="0" w:footer="1055" w:top="1440" w:bottom="1891" w:left="1060" w:right="460"/>
        </w:sect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25"/>
        <w:gridCol w:w="1149"/>
        <w:gridCol w:w="1093"/>
        <w:gridCol w:w="1094"/>
        <w:gridCol w:w="1094"/>
        <w:gridCol w:w="1291"/>
      </w:tblGrid>
      <w:tr>
        <w:trPr>
          <w:trHeight w:val="500" w:hRule="atLeast"/>
        </w:trPr>
        <w:tc>
          <w:tcPr>
            <w:tcW w:w="2925" w:type="dxa"/>
            <w:tcBorders>
              <w:top w:val="single" w:sz="4" w:space="0" w:color="000000"/>
            </w:tcBorders>
          </w:tcPr>
          <w:p>
            <w:pPr>
              <w:pStyle w:val="TableParagraph"/>
              <w:spacing w:line="265" w:lineRule="exact"/>
              <w:ind w:left="115"/>
              <w:rPr>
                <w:i/>
                <w:sz w:val="22"/>
              </w:rPr>
            </w:pPr>
            <w:r>
              <w:rPr>
                <w:i/>
                <w:sz w:val="22"/>
              </w:rPr>
              <w:t>Klebsiella</w:t>
            </w:r>
            <w:r>
              <w:rPr>
                <w:i/>
                <w:spacing w:val="-3"/>
                <w:sz w:val="22"/>
              </w:rPr>
              <w:t> </w:t>
            </w:r>
            <w:r>
              <w:rPr>
                <w:i/>
                <w:spacing w:val="-2"/>
                <w:sz w:val="22"/>
              </w:rPr>
              <w:t>pneumoniae</w:t>
            </w:r>
          </w:p>
        </w:tc>
        <w:tc>
          <w:tcPr>
            <w:tcW w:w="1149" w:type="dxa"/>
            <w:tcBorders>
              <w:top w:val="single" w:sz="4" w:space="0" w:color="000000"/>
            </w:tcBorders>
          </w:tcPr>
          <w:p>
            <w:pPr>
              <w:pStyle w:val="TableParagraph"/>
              <w:spacing w:line="265" w:lineRule="exact"/>
              <w:ind w:left="57"/>
              <w:jc w:val="center"/>
              <w:rPr>
                <w:sz w:val="22"/>
              </w:rPr>
            </w:pPr>
            <w:r>
              <w:rPr>
                <w:spacing w:val="-4"/>
                <w:sz w:val="22"/>
              </w:rPr>
              <w:t>33.7</w:t>
            </w:r>
          </w:p>
        </w:tc>
        <w:tc>
          <w:tcPr>
            <w:tcW w:w="1093" w:type="dxa"/>
            <w:tcBorders>
              <w:top w:val="single" w:sz="4" w:space="0" w:color="000000"/>
            </w:tcBorders>
          </w:tcPr>
          <w:p>
            <w:pPr>
              <w:pStyle w:val="TableParagraph"/>
              <w:spacing w:line="265" w:lineRule="exact"/>
              <w:jc w:val="center"/>
              <w:rPr>
                <w:sz w:val="22"/>
              </w:rPr>
            </w:pPr>
            <w:r>
              <w:rPr>
                <w:spacing w:val="-4"/>
                <w:sz w:val="22"/>
              </w:rPr>
              <w:t>32.0</w:t>
            </w:r>
          </w:p>
        </w:tc>
        <w:tc>
          <w:tcPr>
            <w:tcW w:w="1094" w:type="dxa"/>
            <w:tcBorders>
              <w:top w:val="single" w:sz="4" w:space="0" w:color="000000"/>
            </w:tcBorders>
          </w:tcPr>
          <w:p>
            <w:pPr>
              <w:pStyle w:val="TableParagraph"/>
              <w:spacing w:line="265" w:lineRule="exact"/>
              <w:ind w:left="1"/>
              <w:jc w:val="center"/>
              <w:rPr>
                <w:sz w:val="22"/>
              </w:rPr>
            </w:pPr>
            <w:r>
              <w:rPr>
                <w:spacing w:val="-4"/>
                <w:sz w:val="22"/>
              </w:rPr>
              <w:t>29.3</w:t>
            </w:r>
          </w:p>
        </w:tc>
        <w:tc>
          <w:tcPr>
            <w:tcW w:w="1094" w:type="dxa"/>
            <w:tcBorders>
              <w:top w:val="single" w:sz="4" w:space="0" w:color="000000"/>
            </w:tcBorders>
          </w:tcPr>
          <w:p>
            <w:pPr>
              <w:pStyle w:val="TableParagraph"/>
              <w:spacing w:line="265" w:lineRule="exact"/>
              <w:ind w:left="3"/>
              <w:jc w:val="center"/>
              <w:rPr>
                <w:sz w:val="22"/>
              </w:rPr>
            </w:pPr>
            <w:r>
              <w:rPr>
                <w:spacing w:val="-4"/>
                <w:sz w:val="22"/>
              </w:rPr>
              <w:t>28.8</w:t>
            </w:r>
          </w:p>
        </w:tc>
        <w:tc>
          <w:tcPr>
            <w:tcW w:w="1291" w:type="dxa"/>
            <w:tcBorders>
              <w:top w:val="single" w:sz="4" w:space="0" w:color="000000"/>
            </w:tcBorders>
          </w:tcPr>
          <w:p>
            <w:pPr>
              <w:pStyle w:val="TableParagraph"/>
              <w:spacing w:line="265" w:lineRule="exact"/>
              <w:ind w:left="352"/>
              <w:rPr>
                <w:sz w:val="22"/>
              </w:rPr>
            </w:pPr>
            <w:r>
              <w:rPr>
                <w:spacing w:val="-4"/>
                <w:sz w:val="22"/>
              </w:rPr>
              <w:t>28.3</w:t>
            </w:r>
          </w:p>
        </w:tc>
      </w:tr>
      <w:tr>
        <w:trPr>
          <w:trHeight w:val="697" w:hRule="atLeast"/>
        </w:trPr>
        <w:tc>
          <w:tcPr>
            <w:tcW w:w="2925" w:type="dxa"/>
          </w:tcPr>
          <w:p>
            <w:pPr>
              <w:pStyle w:val="TableParagraph"/>
              <w:spacing w:before="195"/>
              <w:ind w:left="115"/>
              <w:rPr>
                <w:i/>
                <w:sz w:val="22"/>
              </w:rPr>
            </w:pPr>
            <w:r>
              <w:rPr>
                <w:i/>
                <w:sz w:val="22"/>
              </w:rPr>
              <w:t>Staphylococcus</w:t>
            </w:r>
            <w:r>
              <w:rPr>
                <w:i/>
                <w:spacing w:val="-11"/>
                <w:sz w:val="22"/>
              </w:rPr>
              <w:t> </w:t>
            </w:r>
            <w:r>
              <w:rPr>
                <w:i/>
                <w:spacing w:val="-2"/>
                <w:sz w:val="22"/>
              </w:rPr>
              <w:t>aureus</w:t>
            </w:r>
          </w:p>
        </w:tc>
        <w:tc>
          <w:tcPr>
            <w:tcW w:w="1149" w:type="dxa"/>
          </w:tcPr>
          <w:p>
            <w:pPr>
              <w:pStyle w:val="TableParagraph"/>
              <w:spacing w:before="195"/>
              <w:ind w:left="57"/>
              <w:jc w:val="center"/>
              <w:rPr>
                <w:sz w:val="22"/>
              </w:rPr>
            </w:pPr>
            <w:r>
              <w:rPr>
                <w:spacing w:val="-4"/>
                <w:sz w:val="22"/>
              </w:rPr>
              <w:t>32.1</w:t>
            </w:r>
          </w:p>
        </w:tc>
        <w:tc>
          <w:tcPr>
            <w:tcW w:w="1093" w:type="dxa"/>
          </w:tcPr>
          <w:p>
            <w:pPr>
              <w:pStyle w:val="TableParagraph"/>
              <w:spacing w:before="195"/>
              <w:jc w:val="center"/>
              <w:rPr>
                <w:sz w:val="22"/>
              </w:rPr>
            </w:pPr>
            <w:r>
              <w:rPr>
                <w:spacing w:val="-4"/>
                <w:sz w:val="22"/>
              </w:rPr>
              <w:t>28.2</w:t>
            </w:r>
          </w:p>
        </w:tc>
        <w:tc>
          <w:tcPr>
            <w:tcW w:w="1094" w:type="dxa"/>
          </w:tcPr>
          <w:p>
            <w:pPr>
              <w:pStyle w:val="TableParagraph"/>
              <w:spacing w:before="195"/>
              <w:ind w:left="1"/>
              <w:jc w:val="center"/>
              <w:rPr>
                <w:sz w:val="22"/>
              </w:rPr>
            </w:pPr>
            <w:r>
              <w:rPr>
                <w:spacing w:val="-4"/>
                <w:sz w:val="22"/>
              </w:rPr>
              <w:t>22.1</w:t>
            </w:r>
          </w:p>
        </w:tc>
        <w:tc>
          <w:tcPr>
            <w:tcW w:w="1094" w:type="dxa"/>
          </w:tcPr>
          <w:p>
            <w:pPr>
              <w:pStyle w:val="TableParagraph"/>
              <w:spacing w:before="195"/>
              <w:ind w:left="3"/>
              <w:jc w:val="center"/>
              <w:rPr>
                <w:sz w:val="22"/>
              </w:rPr>
            </w:pPr>
            <w:r>
              <w:rPr>
                <w:spacing w:val="-4"/>
                <w:sz w:val="22"/>
              </w:rPr>
              <w:t>21.3</w:t>
            </w:r>
          </w:p>
        </w:tc>
        <w:tc>
          <w:tcPr>
            <w:tcW w:w="1291" w:type="dxa"/>
          </w:tcPr>
          <w:p>
            <w:pPr>
              <w:pStyle w:val="TableParagraph"/>
              <w:spacing w:before="195"/>
              <w:ind w:left="352"/>
              <w:rPr>
                <w:sz w:val="22"/>
              </w:rPr>
            </w:pPr>
            <w:r>
              <w:rPr>
                <w:spacing w:val="-4"/>
                <w:sz w:val="22"/>
              </w:rPr>
              <w:t>20.0</w:t>
            </w:r>
          </w:p>
        </w:tc>
      </w:tr>
      <w:tr>
        <w:trPr>
          <w:trHeight w:val="697" w:hRule="atLeast"/>
        </w:trPr>
        <w:tc>
          <w:tcPr>
            <w:tcW w:w="2925" w:type="dxa"/>
          </w:tcPr>
          <w:p>
            <w:pPr>
              <w:pStyle w:val="TableParagraph"/>
              <w:spacing w:before="193"/>
              <w:ind w:left="115"/>
              <w:rPr>
                <w:i/>
                <w:sz w:val="22"/>
              </w:rPr>
            </w:pPr>
            <w:r>
              <w:rPr>
                <w:i/>
                <w:sz w:val="22"/>
              </w:rPr>
              <w:t>Haemophilus</w:t>
            </w:r>
            <w:r>
              <w:rPr>
                <w:i/>
                <w:spacing w:val="-9"/>
                <w:sz w:val="22"/>
              </w:rPr>
              <w:t> </w:t>
            </w:r>
            <w:r>
              <w:rPr>
                <w:i/>
                <w:spacing w:val="-2"/>
                <w:sz w:val="22"/>
              </w:rPr>
              <w:t>influenzae</w:t>
            </w:r>
          </w:p>
        </w:tc>
        <w:tc>
          <w:tcPr>
            <w:tcW w:w="1149" w:type="dxa"/>
          </w:tcPr>
          <w:p>
            <w:pPr>
              <w:pStyle w:val="TableParagraph"/>
              <w:spacing w:before="193"/>
              <w:ind w:left="57"/>
              <w:jc w:val="center"/>
              <w:rPr>
                <w:sz w:val="22"/>
              </w:rPr>
            </w:pPr>
            <w:r>
              <w:rPr>
                <w:spacing w:val="-4"/>
                <w:sz w:val="22"/>
              </w:rPr>
              <w:t>30.0</w:t>
            </w:r>
          </w:p>
        </w:tc>
        <w:tc>
          <w:tcPr>
            <w:tcW w:w="1093" w:type="dxa"/>
          </w:tcPr>
          <w:p>
            <w:pPr>
              <w:pStyle w:val="TableParagraph"/>
              <w:spacing w:before="193"/>
              <w:jc w:val="center"/>
              <w:rPr>
                <w:sz w:val="22"/>
              </w:rPr>
            </w:pPr>
            <w:r>
              <w:rPr>
                <w:spacing w:val="-4"/>
                <w:sz w:val="22"/>
              </w:rPr>
              <w:t>27.5</w:t>
            </w:r>
          </w:p>
        </w:tc>
        <w:tc>
          <w:tcPr>
            <w:tcW w:w="1094" w:type="dxa"/>
          </w:tcPr>
          <w:p>
            <w:pPr>
              <w:pStyle w:val="TableParagraph"/>
              <w:spacing w:before="193"/>
              <w:ind w:left="1"/>
              <w:jc w:val="center"/>
              <w:rPr>
                <w:sz w:val="22"/>
              </w:rPr>
            </w:pPr>
            <w:r>
              <w:rPr>
                <w:spacing w:val="-4"/>
                <w:sz w:val="22"/>
              </w:rPr>
              <w:t>27.5</w:t>
            </w:r>
          </w:p>
        </w:tc>
        <w:tc>
          <w:tcPr>
            <w:tcW w:w="1094" w:type="dxa"/>
          </w:tcPr>
          <w:p>
            <w:pPr>
              <w:pStyle w:val="TableParagraph"/>
              <w:spacing w:before="193"/>
              <w:ind w:left="3"/>
              <w:jc w:val="center"/>
              <w:rPr>
                <w:sz w:val="22"/>
              </w:rPr>
            </w:pPr>
            <w:r>
              <w:rPr>
                <w:spacing w:val="-4"/>
                <w:sz w:val="22"/>
              </w:rPr>
              <w:t>23.8</w:t>
            </w:r>
          </w:p>
        </w:tc>
        <w:tc>
          <w:tcPr>
            <w:tcW w:w="1291" w:type="dxa"/>
          </w:tcPr>
          <w:p>
            <w:pPr>
              <w:pStyle w:val="TableParagraph"/>
              <w:spacing w:before="193"/>
              <w:ind w:left="352"/>
              <w:rPr>
                <w:sz w:val="22"/>
              </w:rPr>
            </w:pPr>
            <w:r>
              <w:rPr>
                <w:spacing w:val="-4"/>
                <w:sz w:val="22"/>
              </w:rPr>
              <w:t>17.5</w:t>
            </w:r>
          </w:p>
        </w:tc>
      </w:tr>
      <w:tr>
        <w:trPr>
          <w:trHeight w:val="697" w:hRule="atLeast"/>
        </w:trPr>
        <w:tc>
          <w:tcPr>
            <w:tcW w:w="2925" w:type="dxa"/>
          </w:tcPr>
          <w:p>
            <w:pPr>
              <w:pStyle w:val="TableParagraph"/>
              <w:spacing w:before="195"/>
              <w:ind w:left="115"/>
              <w:rPr>
                <w:i/>
                <w:sz w:val="22"/>
              </w:rPr>
            </w:pPr>
            <w:r>
              <w:rPr>
                <w:i/>
                <w:sz w:val="22"/>
              </w:rPr>
              <w:t>Pseudomonas</w:t>
            </w:r>
            <w:r>
              <w:rPr>
                <w:i/>
                <w:spacing w:val="-12"/>
                <w:sz w:val="22"/>
              </w:rPr>
              <w:t> </w:t>
            </w:r>
            <w:r>
              <w:rPr>
                <w:i/>
                <w:spacing w:val="-2"/>
                <w:sz w:val="22"/>
              </w:rPr>
              <w:t>aeruginosa</w:t>
            </w:r>
          </w:p>
        </w:tc>
        <w:tc>
          <w:tcPr>
            <w:tcW w:w="1149" w:type="dxa"/>
          </w:tcPr>
          <w:p>
            <w:pPr>
              <w:pStyle w:val="TableParagraph"/>
              <w:spacing w:before="195"/>
              <w:ind w:left="57"/>
              <w:jc w:val="center"/>
              <w:rPr>
                <w:sz w:val="22"/>
              </w:rPr>
            </w:pPr>
            <w:r>
              <w:rPr>
                <w:spacing w:val="-4"/>
                <w:sz w:val="22"/>
              </w:rPr>
              <w:t>25.8</w:t>
            </w:r>
          </w:p>
        </w:tc>
        <w:tc>
          <w:tcPr>
            <w:tcW w:w="1093" w:type="dxa"/>
          </w:tcPr>
          <w:p>
            <w:pPr>
              <w:pStyle w:val="TableParagraph"/>
              <w:spacing w:before="195"/>
              <w:jc w:val="center"/>
              <w:rPr>
                <w:sz w:val="22"/>
              </w:rPr>
            </w:pPr>
            <w:r>
              <w:rPr>
                <w:spacing w:val="-4"/>
                <w:sz w:val="22"/>
              </w:rPr>
              <w:t>23.1</w:t>
            </w:r>
          </w:p>
        </w:tc>
        <w:tc>
          <w:tcPr>
            <w:tcW w:w="1094" w:type="dxa"/>
          </w:tcPr>
          <w:p>
            <w:pPr>
              <w:pStyle w:val="TableParagraph"/>
              <w:spacing w:before="195"/>
              <w:ind w:left="1"/>
              <w:jc w:val="center"/>
              <w:rPr>
                <w:sz w:val="22"/>
              </w:rPr>
            </w:pPr>
            <w:r>
              <w:rPr>
                <w:spacing w:val="-4"/>
                <w:sz w:val="22"/>
              </w:rPr>
              <w:t>20.2</w:t>
            </w:r>
          </w:p>
        </w:tc>
        <w:tc>
          <w:tcPr>
            <w:tcW w:w="1094" w:type="dxa"/>
          </w:tcPr>
          <w:p>
            <w:pPr>
              <w:pStyle w:val="TableParagraph"/>
              <w:spacing w:before="195"/>
              <w:ind w:left="3"/>
              <w:jc w:val="center"/>
              <w:rPr>
                <w:sz w:val="22"/>
              </w:rPr>
            </w:pPr>
            <w:r>
              <w:rPr>
                <w:spacing w:val="-4"/>
                <w:sz w:val="22"/>
              </w:rPr>
              <w:t>18.1</w:t>
            </w:r>
          </w:p>
        </w:tc>
        <w:tc>
          <w:tcPr>
            <w:tcW w:w="1291" w:type="dxa"/>
          </w:tcPr>
          <w:p>
            <w:pPr>
              <w:pStyle w:val="TableParagraph"/>
              <w:spacing w:before="195"/>
              <w:ind w:left="352"/>
              <w:rPr>
                <w:sz w:val="22"/>
              </w:rPr>
            </w:pPr>
            <w:r>
              <w:rPr>
                <w:spacing w:val="-4"/>
                <w:sz w:val="22"/>
              </w:rPr>
              <w:t>19.6</w:t>
            </w:r>
          </w:p>
        </w:tc>
      </w:tr>
      <w:tr>
        <w:trPr>
          <w:trHeight w:val="696" w:hRule="atLeast"/>
        </w:trPr>
        <w:tc>
          <w:tcPr>
            <w:tcW w:w="2925" w:type="dxa"/>
          </w:tcPr>
          <w:p>
            <w:pPr>
              <w:pStyle w:val="TableParagraph"/>
              <w:spacing w:before="193"/>
              <w:ind w:left="115"/>
              <w:rPr>
                <w:i/>
                <w:sz w:val="22"/>
              </w:rPr>
            </w:pPr>
            <w:r>
              <w:rPr>
                <w:i/>
                <w:sz w:val="22"/>
              </w:rPr>
              <w:t>Streptococcus</w:t>
            </w:r>
            <w:r>
              <w:rPr>
                <w:i/>
                <w:spacing w:val="-10"/>
                <w:sz w:val="22"/>
              </w:rPr>
              <w:t> </w:t>
            </w:r>
            <w:r>
              <w:rPr>
                <w:i/>
                <w:spacing w:val="-2"/>
                <w:sz w:val="22"/>
              </w:rPr>
              <w:t>pneumoniae</w:t>
            </w:r>
          </w:p>
        </w:tc>
        <w:tc>
          <w:tcPr>
            <w:tcW w:w="1149" w:type="dxa"/>
          </w:tcPr>
          <w:p>
            <w:pPr>
              <w:pStyle w:val="TableParagraph"/>
              <w:spacing w:before="193"/>
              <w:ind w:left="57"/>
              <w:jc w:val="center"/>
              <w:rPr>
                <w:sz w:val="22"/>
              </w:rPr>
            </w:pPr>
            <w:r>
              <w:rPr>
                <w:spacing w:val="-4"/>
                <w:sz w:val="22"/>
              </w:rPr>
              <w:t>43.6</w:t>
            </w:r>
          </w:p>
        </w:tc>
        <w:tc>
          <w:tcPr>
            <w:tcW w:w="1093" w:type="dxa"/>
          </w:tcPr>
          <w:p>
            <w:pPr>
              <w:pStyle w:val="TableParagraph"/>
              <w:spacing w:before="193"/>
              <w:jc w:val="center"/>
              <w:rPr>
                <w:sz w:val="22"/>
              </w:rPr>
            </w:pPr>
            <w:r>
              <w:rPr>
                <w:spacing w:val="-4"/>
                <w:sz w:val="22"/>
              </w:rPr>
              <w:t>38.6</w:t>
            </w:r>
          </w:p>
        </w:tc>
        <w:tc>
          <w:tcPr>
            <w:tcW w:w="1094" w:type="dxa"/>
          </w:tcPr>
          <w:p>
            <w:pPr>
              <w:pStyle w:val="TableParagraph"/>
              <w:spacing w:before="193"/>
              <w:ind w:left="1"/>
              <w:jc w:val="center"/>
              <w:rPr>
                <w:sz w:val="22"/>
              </w:rPr>
            </w:pPr>
            <w:r>
              <w:rPr>
                <w:spacing w:val="-4"/>
                <w:sz w:val="22"/>
              </w:rPr>
              <w:t>27.1</w:t>
            </w:r>
          </w:p>
        </w:tc>
        <w:tc>
          <w:tcPr>
            <w:tcW w:w="1094" w:type="dxa"/>
          </w:tcPr>
          <w:p>
            <w:pPr>
              <w:pStyle w:val="TableParagraph"/>
              <w:spacing w:before="193"/>
              <w:ind w:left="3"/>
              <w:jc w:val="center"/>
              <w:rPr>
                <w:sz w:val="22"/>
              </w:rPr>
            </w:pPr>
            <w:r>
              <w:rPr>
                <w:spacing w:val="-4"/>
                <w:sz w:val="22"/>
              </w:rPr>
              <w:t>23.9</w:t>
            </w:r>
          </w:p>
        </w:tc>
        <w:tc>
          <w:tcPr>
            <w:tcW w:w="1291" w:type="dxa"/>
          </w:tcPr>
          <w:p>
            <w:pPr>
              <w:pStyle w:val="TableParagraph"/>
              <w:spacing w:before="193"/>
              <w:ind w:left="352"/>
              <w:rPr>
                <w:sz w:val="22"/>
              </w:rPr>
            </w:pPr>
            <w:r>
              <w:rPr>
                <w:spacing w:val="-4"/>
                <w:sz w:val="22"/>
              </w:rPr>
              <w:t>19.6</w:t>
            </w:r>
          </w:p>
        </w:tc>
      </w:tr>
      <w:tr>
        <w:trPr>
          <w:trHeight w:val="895" w:hRule="atLeast"/>
        </w:trPr>
        <w:tc>
          <w:tcPr>
            <w:tcW w:w="2925" w:type="dxa"/>
            <w:tcBorders>
              <w:bottom w:val="single" w:sz="4" w:space="0" w:color="000000"/>
            </w:tcBorders>
          </w:tcPr>
          <w:p>
            <w:pPr>
              <w:pStyle w:val="TableParagraph"/>
              <w:spacing w:before="194"/>
              <w:ind w:left="115"/>
              <w:rPr>
                <w:i/>
                <w:sz w:val="22"/>
              </w:rPr>
            </w:pPr>
            <w:r>
              <w:rPr>
                <w:i/>
                <w:sz w:val="22"/>
              </w:rPr>
              <w:t>Streptococcus</w:t>
            </w:r>
            <w:r>
              <w:rPr>
                <w:i/>
                <w:spacing w:val="-10"/>
                <w:sz w:val="22"/>
              </w:rPr>
              <w:t> </w:t>
            </w:r>
            <w:r>
              <w:rPr>
                <w:i/>
                <w:spacing w:val="-2"/>
                <w:sz w:val="22"/>
              </w:rPr>
              <w:t>pyogenes</w:t>
            </w:r>
          </w:p>
        </w:tc>
        <w:tc>
          <w:tcPr>
            <w:tcW w:w="1149" w:type="dxa"/>
            <w:tcBorders>
              <w:bottom w:val="single" w:sz="4" w:space="0" w:color="000000"/>
            </w:tcBorders>
          </w:tcPr>
          <w:p>
            <w:pPr>
              <w:pStyle w:val="TableParagraph"/>
              <w:spacing w:before="194"/>
              <w:ind w:left="57"/>
              <w:jc w:val="center"/>
              <w:rPr>
                <w:sz w:val="22"/>
              </w:rPr>
            </w:pPr>
            <w:r>
              <w:rPr>
                <w:spacing w:val="-4"/>
                <w:sz w:val="22"/>
              </w:rPr>
              <w:t>32.9</w:t>
            </w:r>
          </w:p>
        </w:tc>
        <w:tc>
          <w:tcPr>
            <w:tcW w:w="1093" w:type="dxa"/>
            <w:tcBorders>
              <w:bottom w:val="single" w:sz="4" w:space="0" w:color="000000"/>
            </w:tcBorders>
          </w:tcPr>
          <w:p>
            <w:pPr>
              <w:pStyle w:val="TableParagraph"/>
              <w:spacing w:before="194"/>
              <w:jc w:val="center"/>
              <w:rPr>
                <w:sz w:val="22"/>
              </w:rPr>
            </w:pPr>
            <w:r>
              <w:rPr>
                <w:spacing w:val="-4"/>
                <w:sz w:val="22"/>
              </w:rPr>
              <w:t>27.9</w:t>
            </w:r>
          </w:p>
        </w:tc>
        <w:tc>
          <w:tcPr>
            <w:tcW w:w="1094" w:type="dxa"/>
            <w:tcBorders>
              <w:bottom w:val="single" w:sz="4" w:space="0" w:color="000000"/>
            </w:tcBorders>
          </w:tcPr>
          <w:p>
            <w:pPr>
              <w:pStyle w:val="TableParagraph"/>
              <w:spacing w:before="194"/>
              <w:ind w:left="1"/>
              <w:jc w:val="center"/>
              <w:rPr>
                <w:sz w:val="22"/>
              </w:rPr>
            </w:pPr>
            <w:r>
              <w:rPr>
                <w:spacing w:val="-4"/>
                <w:sz w:val="22"/>
              </w:rPr>
              <w:t>25.8</w:t>
            </w:r>
          </w:p>
        </w:tc>
        <w:tc>
          <w:tcPr>
            <w:tcW w:w="1094" w:type="dxa"/>
            <w:tcBorders>
              <w:bottom w:val="single" w:sz="4" w:space="0" w:color="000000"/>
            </w:tcBorders>
          </w:tcPr>
          <w:p>
            <w:pPr>
              <w:pStyle w:val="TableParagraph"/>
              <w:spacing w:before="194"/>
              <w:ind w:left="3"/>
              <w:jc w:val="center"/>
              <w:rPr>
                <w:sz w:val="22"/>
              </w:rPr>
            </w:pPr>
            <w:r>
              <w:rPr>
                <w:spacing w:val="-4"/>
                <w:sz w:val="22"/>
              </w:rPr>
              <w:t>22.5</w:t>
            </w:r>
          </w:p>
        </w:tc>
        <w:tc>
          <w:tcPr>
            <w:tcW w:w="1291" w:type="dxa"/>
            <w:tcBorders>
              <w:bottom w:val="single" w:sz="4" w:space="0" w:color="000000"/>
            </w:tcBorders>
          </w:tcPr>
          <w:p>
            <w:pPr>
              <w:pStyle w:val="TableParagraph"/>
              <w:spacing w:before="194"/>
              <w:ind w:left="352"/>
              <w:rPr>
                <w:sz w:val="22"/>
              </w:rPr>
            </w:pPr>
            <w:r>
              <w:rPr>
                <w:spacing w:val="-4"/>
                <w:sz w:val="22"/>
              </w:rPr>
              <w:t>18.8</w:t>
            </w:r>
          </w:p>
        </w:tc>
      </w:tr>
    </w:tbl>
    <w:p>
      <w:pPr>
        <w:spacing w:after="0"/>
        <w:rPr>
          <w:sz w:val="22"/>
        </w:rPr>
        <w:sectPr>
          <w:type w:val="continuous"/>
          <w:pgSz w:w="11910" w:h="16840"/>
          <w:pgMar w:header="0" w:footer="1055" w:top="1400" w:bottom="1240" w:left="1060" w:right="460"/>
        </w:sectPr>
      </w:pPr>
    </w:p>
    <w:p>
      <w:pPr>
        <w:spacing w:line="624" w:lineRule="auto" w:before="195"/>
        <w:ind w:left="430" w:right="2617" w:hanging="51"/>
        <w:jc w:val="left"/>
        <w:rPr>
          <w:b/>
          <w:sz w:val="22"/>
        </w:rPr>
      </w:pPr>
      <w:r>
        <w:rPr>
          <w:b/>
          <w:sz w:val="22"/>
        </w:rPr>
        <w:t>Table</w:t>
      </w:r>
      <w:r>
        <w:rPr>
          <w:b/>
          <w:spacing w:val="-4"/>
          <w:sz w:val="22"/>
        </w:rPr>
        <w:t> </w:t>
      </w:r>
      <w:r>
        <w:rPr>
          <w:b/>
          <w:sz w:val="22"/>
        </w:rPr>
        <w:t>4.8:</w:t>
      </w:r>
      <w:r>
        <w:rPr>
          <w:b/>
          <w:spacing w:val="-5"/>
          <w:sz w:val="22"/>
        </w:rPr>
        <w:t> </w:t>
      </w:r>
      <w:r>
        <w:rPr>
          <w:b/>
          <w:sz w:val="22"/>
        </w:rPr>
        <w:t>∑FIC</w:t>
      </w:r>
      <w:r>
        <w:rPr>
          <w:b/>
          <w:spacing w:val="-4"/>
          <w:sz w:val="22"/>
        </w:rPr>
        <w:t> </w:t>
      </w:r>
      <w:r>
        <w:rPr>
          <w:b/>
          <w:sz w:val="22"/>
        </w:rPr>
        <w:t>values</w:t>
      </w:r>
      <w:r>
        <w:rPr>
          <w:b/>
          <w:spacing w:val="-3"/>
          <w:sz w:val="22"/>
        </w:rPr>
        <w:t> </w:t>
      </w:r>
      <w:r>
        <w:rPr>
          <w:b/>
          <w:sz w:val="22"/>
        </w:rPr>
        <w:t>for</w:t>
      </w:r>
      <w:r>
        <w:rPr>
          <w:b/>
          <w:spacing w:val="-4"/>
          <w:sz w:val="22"/>
        </w:rPr>
        <w:t> </w:t>
      </w:r>
      <w:r>
        <w:rPr>
          <w:b/>
          <w:sz w:val="22"/>
        </w:rPr>
        <w:t>the</w:t>
      </w:r>
      <w:r>
        <w:rPr>
          <w:b/>
          <w:spacing w:val="-4"/>
          <w:sz w:val="22"/>
        </w:rPr>
        <w:t> </w:t>
      </w:r>
      <w:r>
        <w:rPr>
          <w:b/>
          <w:sz w:val="22"/>
        </w:rPr>
        <w:t>test</w:t>
      </w:r>
      <w:r>
        <w:rPr>
          <w:b/>
          <w:spacing w:val="-3"/>
          <w:sz w:val="22"/>
        </w:rPr>
        <w:t> </w:t>
      </w:r>
      <w:r>
        <w:rPr>
          <w:b/>
          <w:sz w:val="22"/>
        </w:rPr>
        <w:t>agents</w:t>
      </w:r>
      <w:r>
        <w:rPr>
          <w:b/>
          <w:spacing w:val="-3"/>
          <w:sz w:val="22"/>
        </w:rPr>
        <w:t> </w:t>
      </w:r>
      <w:r>
        <w:rPr>
          <w:b/>
          <w:sz w:val="22"/>
        </w:rPr>
        <w:t>(Honey/Lemon juice</w:t>
      </w:r>
      <w:r>
        <w:rPr>
          <w:b/>
          <w:spacing w:val="-3"/>
          <w:sz w:val="22"/>
        </w:rPr>
        <w:t> </w:t>
      </w:r>
      <w:r>
        <w:rPr>
          <w:b/>
          <w:sz w:val="22"/>
        </w:rPr>
        <w:t>mixture)</w:t>
      </w:r>
      <w:r>
        <w:rPr>
          <w:b/>
          <w:spacing w:val="-4"/>
          <w:sz w:val="22"/>
        </w:rPr>
        <w:t> </w:t>
      </w:r>
      <w:r>
        <w:rPr>
          <w:b/>
          <w:sz w:val="22"/>
        </w:rPr>
        <w:t>against the bacterial isolates</w:t>
      </w: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25"/>
        <w:gridCol w:w="1205"/>
        <w:gridCol w:w="1093"/>
        <w:gridCol w:w="1094"/>
        <w:gridCol w:w="1094"/>
        <w:gridCol w:w="1235"/>
      </w:tblGrid>
      <w:tr>
        <w:trPr>
          <w:trHeight w:val="697" w:hRule="atLeast"/>
        </w:trPr>
        <w:tc>
          <w:tcPr>
            <w:tcW w:w="2925" w:type="dxa"/>
            <w:tcBorders>
              <w:top w:val="single" w:sz="4" w:space="0" w:color="000000"/>
              <w:bottom w:val="single" w:sz="4" w:space="0" w:color="000000"/>
            </w:tcBorders>
          </w:tcPr>
          <w:p>
            <w:pPr>
              <w:pStyle w:val="TableParagraph"/>
              <w:spacing w:line="268" w:lineRule="exact"/>
              <w:ind w:left="115"/>
              <w:rPr>
                <w:sz w:val="22"/>
              </w:rPr>
            </w:pPr>
            <w:r>
              <w:rPr>
                <w:sz w:val="22"/>
              </w:rPr>
              <w:t>Bacterial</w:t>
            </w:r>
            <w:r>
              <w:rPr>
                <w:spacing w:val="-3"/>
                <w:sz w:val="22"/>
              </w:rPr>
              <w:t> </w:t>
            </w:r>
            <w:r>
              <w:rPr>
                <w:spacing w:val="-2"/>
                <w:sz w:val="22"/>
              </w:rPr>
              <w:t>isolates</w:t>
            </w:r>
          </w:p>
        </w:tc>
        <w:tc>
          <w:tcPr>
            <w:tcW w:w="1205" w:type="dxa"/>
            <w:tcBorders>
              <w:top w:val="single" w:sz="4" w:space="0" w:color="000000"/>
              <w:bottom w:val="single" w:sz="4" w:space="0" w:color="000000"/>
            </w:tcBorders>
          </w:tcPr>
          <w:p>
            <w:pPr>
              <w:pStyle w:val="TableParagraph"/>
              <w:spacing w:line="268" w:lineRule="exact"/>
              <w:ind w:left="406"/>
              <w:rPr>
                <w:sz w:val="22"/>
              </w:rPr>
            </w:pPr>
            <w:r>
              <w:rPr>
                <w:spacing w:val="-2"/>
                <w:sz w:val="22"/>
              </w:rPr>
              <w:t>10:50</w:t>
            </w:r>
          </w:p>
        </w:tc>
        <w:tc>
          <w:tcPr>
            <w:tcW w:w="1093" w:type="dxa"/>
            <w:tcBorders>
              <w:top w:val="single" w:sz="4" w:space="0" w:color="000000"/>
              <w:bottom w:val="single" w:sz="4" w:space="0" w:color="000000"/>
            </w:tcBorders>
          </w:tcPr>
          <w:p>
            <w:pPr>
              <w:pStyle w:val="TableParagraph"/>
              <w:spacing w:line="268" w:lineRule="exact"/>
              <w:ind w:left="294"/>
              <w:rPr>
                <w:sz w:val="22"/>
              </w:rPr>
            </w:pPr>
            <w:r>
              <w:rPr>
                <w:spacing w:val="-2"/>
                <w:sz w:val="22"/>
              </w:rPr>
              <w:t>20:50</w:t>
            </w:r>
          </w:p>
        </w:tc>
        <w:tc>
          <w:tcPr>
            <w:tcW w:w="1094" w:type="dxa"/>
            <w:tcBorders>
              <w:top w:val="single" w:sz="4" w:space="0" w:color="000000"/>
              <w:bottom w:val="single" w:sz="4" w:space="0" w:color="000000"/>
            </w:tcBorders>
          </w:tcPr>
          <w:p>
            <w:pPr>
              <w:pStyle w:val="TableParagraph"/>
              <w:spacing w:line="268" w:lineRule="exact"/>
              <w:ind w:left="295"/>
              <w:rPr>
                <w:sz w:val="22"/>
              </w:rPr>
            </w:pPr>
            <w:r>
              <w:rPr>
                <w:spacing w:val="-2"/>
                <w:sz w:val="22"/>
              </w:rPr>
              <w:t>30:50</w:t>
            </w:r>
          </w:p>
        </w:tc>
        <w:tc>
          <w:tcPr>
            <w:tcW w:w="1094" w:type="dxa"/>
            <w:tcBorders>
              <w:top w:val="single" w:sz="4" w:space="0" w:color="000000"/>
              <w:bottom w:val="single" w:sz="4" w:space="0" w:color="000000"/>
            </w:tcBorders>
          </w:tcPr>
          <w:p>
            <w:pPr>
              <w:pStyle w:val="TableParagraph"/>
              <w:spacing w:line="268" w:lineRule="exact"/>
              <w:ind w:left="4"/>
              <w:jc w:val="center"/>
              <w:rPr>
                <w:sz w:val="22"/>
              </w:rPr>
            </w:pPr>
            <w:r>
              <w:rPr>
                <w:spacing w:val="-2"/>
                <w:sz w:val="22"/>
              </w:rPr>
              <w:t>40:50</w:t>
            </w:r>
          </w:p>
        </w:tc>
        <w:tc>
          <w:tcPr>
            <w:tcW w:w="1235" w:type="dxa"/>
            <w:tcBorders>
              <w:top w:val="single" w:sz="4" w:space="0" w:color="000000"/>
              <w:bottom w:val="single" w:sz="4" w:space="0" w:color="000000"/>
            </w:tcBorders>
          </w:tcPr>
          <w:p>
            <w:pPr>
              <w:pStyle w:val="TableParagraph"/>
              <w:spacing w:line="268" w:lineRule="exact"/>
              <w:ind w:left="296"/>
              <w:rPr>
                <w:sz w:val="22"/>
              </w:rPr>
            </w:pPr>
            <w:r>
              <w:rPr>
                <w:spacing w:val="-2"/>
                <w:sz w:val="22"/>
              </w:rPr>
              <w:t>50:50</w:t>
            </w:r>
          </w:p>
        </w:tc>
      </w:tr>
      <w:tr>
        <w:trPr>
          <w:trHeight w:val="500" w:hRule="atLeast"/>
        </w:trPr>
        <w:tc>
          <w:tcPr>
            <w:tcW w:w="2925" w:type="dxa"/>
            <w:tcBorders>
              <w:top w:val="single" w:sz="4" w:space="0" w:color="000000"/>
            </w:tcBorders>
          </w:tcPr>
          <w:p>
            <w:pPr>
              <w:pStyle w:val="TableParagraph"/>
              <w:spacing w:line="265" w:lineRule="exact"/>
              <w:ind w:left="115"/>
              <w:rPr>
                <w:i/>
                <w:sz w:val="22"/>
              </w:rPr>
            </w:pPr>
            <w:r>
              <w:rPr>
                <w:i/>
                <w:sz w:val="22"/>
              </w:rPr>
              <w:t>Klebsiella</w:t>
            </w:r>
            <w:r>
              <w:rPr>
                <w:i/>
                <w:spacing w:val="-3"/>
                <w:sz w:val="22"/>
              </w:rPr>
              <w:t> </w:t>
            </w:r>
            <w:r>
              <w:rPr>
                <w:i/>
                <w:spacing w:val="-2"/>
                <w:sz w:val="22"/>
              </w:rPr>
              <w:t>pneumoniae</w:t>
            </w:r>
          </w:p>
        </w:tc>
        <w:tc>
          <w:tcPr>
            <w:tcW w:w="1205" w:type="dxa"/>
            <w:tcBorders>
              <w:top w:val="single" w:sz="4" w:space="0" w:color="000000"/>
            </w:tcBorders>
          </w:tcPr>
          <w:p>
            <w:pPr>
              <w:pStyle w:val="TableParagraph"/>
              <w:spacing w:line="265" w:lineRule="exact"/>
              <w:ind w:left="406"/>
              <w:rPr>
                <w:sz w:val="22"/>
              </w:rPr>
            </w:pPr>
            <w:r>
              <w:rPr>
                <w:spacing w:val="-4"/>
                <w:sz w:val="22"/>
              </w:rPr>
              <w:t>1.35</w:t>
            </w:r>
          </w:p>
        </w:tc>
        <w:tc>
          <w:tcPr>
            <w:tcW w:w="1093" w:type="dxa"/>
            <w:tcBorders>
              <w:top w:val="single" w:sz="4" w:space="0" w:color="000000"/>
            </w:tcBorders>
          </w:tcPr>
          <w:p>
            <w:pPr>
              <w:pStyle w:val="TableParagraph"/>
              <w:spacing w:line="265" w:lineRule="exact"/>
              <w:ind w:left="294"/>
              <w:rPr>
                <w:sz w:val="22"/>
              </w:rPr>
            </w:pPr>
            <w:r>
              <w:rPr>
                <w:spacing w:val="-4"/>
                <w:sz w:val="22"/>
              </w:rPr>
              <w:t>1.50</w:t>
            </w:r>
          </w:p>
        </w:tc>
        <w:tc>
          <w:tcPr>
            <w:tcW w:w="1094" w:type="dxa"/>
            <w:tcBorders>
              <w:top w:val="single" w:sz="4" w:space="0" w:color="000000"/>
            </w:tcBorders>
          </w:tcPr>
          <w:p>
            <w:pPr>
              <w:pStyle w:val="TableParagraph"/>
              <w:spacing w:line="265" w:lineRule="exact"/>
              <w:ind w:left="295"/>
              <w:rPr>
                <w:sz w:val="22"/>
              </w:rPr>
            </w:pPr>
            <w:r>
              <w:rPr>
                <w:spacing w:val="-4"/>
                <w:sz w:val="22"/>
              </w:rPr>
              <w:t>1.78</w:t>
            </w:r>
          </w:p>
        </w:tc>
        <w:tc>
          <w:tcPr>
            <w:tcW w:w="1094" w:type="dxa"/>
            <w:tcBorders>
              <w:top w:val="single" w:sz="4" w:space="0" w:color="000000"/>
            </w:tcBorders>
          </w:tcPr>
          <w:p>
            <w:pPr>
              <w:pStyle w:val="TableParagraph"/>
              <w:spacing w:line="265" w:lineRule="exact"/>
              <w:ind w:right="106"/>
              <w:jc w:val="center"/>
              <w:rPr>
                <w:sz w:val="22"/>
              </w:rPr>
            </w:pPr>
            <w:r>
              <w:rPr>
                <w:spacing w:val="-4"/>
                <w:sz w:val="22"/>
              </w:rPr>
              <w:t>1.94</w:t>
            </w:r>
          </w:p>
        </w:tc>
        <w:tc>
          <w:tcPr>
            <w:tcW w:w="1235" w:type="dxa"/>
            <w:tcBorders>
              <w:top w:val="single" w:sz="4" w:space="0" w:color="000000"/>
            </w:tcBorders>
          </w:tcPr>
          <w:p>
            <w:pPr>
              <w:pStyle w:val="TableParagraph"/>
              <w:spacing w:line="265" w:lineRule="exact"/>
              <w:ind w:left="296"/>
              <w:rPr>
                <w:sz w:val="22"/>
              </w:rPr>
            </w:pPr>
            <w:r>
              <w:rPr>
                <w:spacing w:val="-4"/>
                <w:sz w:val="22"/>
              </w:rPr>
              <w:t>1.99</w:t>
            </w:r>
          </w:p>
        </w:tc>
      </w:tr>
      <w:tr>
        <w:trPr>
          <w:trHeight w:val="697" w:hRule="atLeast"/>
        </w:trPr>
        <w:tc>
          <w:tcPr>
            <w:tcW w:w="2925" w:type="dxa"/>
          </w:tcPr>
          <w:p>
            <w:pPr>
              <w:pStyle w:val="TableParagraph"/>
              <w:spacing w:before="195"/>
              <w:ind w:left="115"/>
              <w:rPr>
                <w:i/>
                <w:sz w:val="22"/>
              </w:rPr>
            </w:pPr>
            <w:r>
              <w:rPr>
                <w:i/>
                <w:sz w:val="22"/>
              </w:rPr>
              <w:t>Staphylococcus</w:t>
            </w:r>
            <w:r>
              <w:rPr>
                <w:i/>
                <w:spacing w:val="-11"/>
                <w:sz w:val="22"/>
              </w:rPr>
              <w:t> </w:t>
            </w:r>
            <w:r>
              <w:rPr>
                <w:i/>
                <w:spacing w:val="-2"/>
                <w:sz w:val="22"/>
              </w:rPr>
              <w:t>aureus</w:t>
            </w:r>
          </w:p>
        </w:tc>
        <w:tc>
          <w:tcPr>
            <w:tcW w:w="1205" w:type="dxa"/>
          </w:tcPr>
          <w:p>
            <w:pPr>
              <w:pStyle w:val="TableParagraph"/>
              <w:spacing w:before="195"/>
              <w:ind w:left="406"/>
              <w:rPr>
                <w:sz w:val="22"/>
              </w:rPr>
            </w:pPr>
            <w:r>
              <w:rPr>
                <w:spacing w:val="-4"/>
                <w:sz w:val="22"/>
              </w:rPr>
              <w:t>1.39</w:t>
            </w:r>
          </w:p>
        </w:tc>
        <w:tc>
          <w:tcPr>
            <w:tcW w:w="1093" w:type="dxa"/>
          </w:tcPr>
          <w:p>
            <w:pPr>
              <w:pStyle w:val="TableParagraph"/>
              <w:spacing w:before="195"/>
              <w:ind w:left="294"/>
              <w:rPr>
                <w:sz w:val="22"/>
              </w:rPr>
            </w:pPr>
            <w:r>
              <w:rPr>
                <w:spacing w:val="-4"/>
                <w:sz w:val="22"/>
              </w:rPr>
              <w:t>1.65</w:t>
            </w:r>
          </w:p>
        </w:tc>
        <w:tc>
          <w:tcPr>
            <w:tcW w:w="1094" w:type="dxa"/>
          </w:tcPr>
          <w:p>
            <w:pPr>
              <w:pStyle w:val="TableParagraph"/>
              <w:spacing w:before="195"/>
              <w:ind w:left="295"/>
              <w:rPr>
                <w:sz w:val="22"/>
              </w:rPr>
            </w:pPr>
            <w:r>
              <w:rPr>
                <w:spacing w:val="-4"/>
                <w:sz w:val="22"/>
              </w:rPr>
              <w:t>1.56</w:t>
            </w:r>
          </w:p>
        </w:tc>
        <w:tc>
          <w:tcPr>
            <w:tcW w:w="1094" w:type="dxa"/>
          </w:tcPr>
          <w:p>
            <w:pPr>
              <w:pStyle w:val="TableParagraph"/>
              <w:spacing w:before="195"/>
              <w:ind w:right="106"/>
              <w:jc w:val="center"/>
              <w:rPr>
                <w:sz w:val="22"/>
              </w:rPr>
            </w:pPr>
            <w:r>
              <w:rPr>
                <w:spacing w:val="-4"/>
                <w:sz w:val="22"/>
              </w:rPr>
              <w:t>1.67</w:t>
            </w:r>
          </w:p>
        </w:tc>
        <w:tc>
          <w:tcPr>
            <w:tcW w:w="1235" w:type="dxa"/>
          </w:tcPr>
          <w:p>
            <w:pPr>
              <w:pStyle w:val="TableParagraph"/>
              <w:spacing w:before="195"/>
              <w:ind w:left="296"/>
              <w:rPr>
                <w:sz w:val="22"/>
              </w:rPr>
            </w:pPr>
            <w:r>
              <w:rPr>
                <w:spacing w:val="-4"/>
                <w:sz w:val="22"/>
              </w:rPr>
              <w:t>1.54</w:t>
            </w:r>
          </w:p>
        </w:tc>
      </w:tr>
      <w:tr>
        <w:trPr>
          <w:trHeight w:val="697" w:hRule="atLeast"/>
        </w:trPr>
        <w:tc>
          <w:tcPr>
            <w:tcW w:w="2925" w:type="dxa"/>
          </w:tcPr>
          <w:p>
            <w:pPr>
              <w:pStyle w:val="TableParagraph"/>
              <w:spacing w:before="193"/>
              <w:ind w:left="115"/>
              <w:rPr>
                <w:i/>
                <w:sz w:val="22"/>
              </w:rPr>
            </w:pPr>
            <w:r>
              <w:rPr>
                <w:i/>
                <w:sz w:val="22"/>
              </w:rPr>
              <w:t>Haemophilus</w:t>
            </w:r>
            <w:r>
              <w:rPr>
                <w:i/>
                <w:spacing w:val="-9"/>
                <w:sz w:val="22"/>
              </w:rPr>
              <w:t> </w:t>
            </w:r>
            <w:r>
              <w:rPr>
                <w:i/>
                <w:spacing w:val="-2"/>
                <w:sz w:val="22"/>
              </w:rPr>
              <w:t>influenzae</w:t>
            </w:r>
          </w:p>
        </w:tc>
        <w:tc>
          <w:tcPr>
            <w:tcW w:w="1205" w:type="dxa"/>
          </w:tcPr>
          <w:p>
            <w:pPr>
              <w:pStyle w:val="TableParagraph"/>
              <w:spacing w:before="193"/>
              <w:ind w:left="406"/>
              <w:rPr>
                <w:sz w:val="22"/>
              </w:rPr>
            </w:pPr>
            <w:r>
              <w:rPr>
                <w:spacing w:val="-4"/>
                <w:sz w:val="22"/>
              </w:rPr>
              <w:t>3.41</w:t>
            </w:r>
          </w:p>
        </w:tc>
        <w:tc>
          <w:tcPr>
            <w:tcW w:w="1093" w:type="dxa"/>
          </w:tcPr>
          <w:p>
            <w:pPr>
              <w:pStyle w:val="TableParagraph"/>
              <w:spacing w:before="193"/>
              <w:ind w:left="294"/>
              <w:rPr>
                <w:sz w:val="22"/>
              </w:rPr>
            </w:pPr>
            <w:r>
              <w:rPr>
                <w:spacing w:val="-4"/>
                <w:sz w:val="22"/>
              </w:rPr>
              <w:t>1.84</w:t>
            </w:r>
          </w:p>
        </w:tc>
        <w:tc>
          <w:tcPr>
            <w:tcW w:w="1094" w:type="dxa"/>
          </w:tcPr>
          <w:p>
            <w:pPr>
              <w:pStyle w:val="TableParagraph"/>
              <w:spacing w:before="193"/>
              <w:ind w:left="295"/>
              <w:rPr>
                <w:sz w:val="22"/>
              </w:rPr>
            </w:pPr>
            <w:r>
              <w:rPr>
                <w:spacing w:val="-4"/>
                <w:sz w:val="22"/>
              </w:rPr>
              <w:t>1.57</w:t>
            </w:r>
          </w:p>
        </w:tc>
        <w:tc>
          <w:tcPr>
            <w:tcW w:w="1094" w:type="dxa"/>
          </w:tcPr>
          <w:p>
            <w:pPr>
              <w:pStyle w:val="TableParagraph"/>
              <w:spacing w:before="193"/>
              <w:ind w:right="106"/>
              <w:jc w:val="center"/>
              <w:rPr>
                <w:sz w:val="22"/>
              </w:rPr>
            </w:pPr>
            <w:r>
              <w:rPr>
                <w:spacing w:val="-4"/>
                <w:sz w:val="22"/>
              </w:rPr>
              <w:t>1.84</w:t>
            </w:r>
          </w:p>
        </w:tc>
        <w:tc>
          <w:tcPr>
            <w:tcW w:w="1235" w:type="dxa"/>
          </w:tcPr>
          <w:p>
            <w:pPr>
              <w:pStyle w:val="TableParagraph"/>
              <w:spacing w:before="193"/>
              <w:ind w:left="296"/>
              <w:rPr>
                <w:sz w:val="22"/>
              </w:rPr>
            </w:pPr>
            <w:r>
              <w:rPr>
                <w:spacing w:val="-4"/>
                <w:sz w:val="22"/>
              </w:rPr>
              <w:t>1.84</w:t>
            </w:r>
          </w:p>
        </w:tc>
      </w:tr>
      <w:tr>
        <w:trPr>
          <w:trHeight w:val="697" w:hRule="atLeast"/>
        </w:trPr>
        <w:tc>
          <w:tcPr>
            <w:tcW w:w="2925" w:type="dxa"/>
          </w:tcPr>
          <w:p>
            <w:pPr>
              <w:pStyle w:val="TableParagraph"/>
              <w:spacing w:before="195"/>
              <w:ind w:left="115"/>
              <w:rPr>
                <w:i/>
                <w:sz w:val="22"/>
              </w:rPr>
            </w:pPr>
            <w:r>
              <w:rPr>
                <w:i/>
                <w:sz w:val="22"/>
              </w:rPr>
              <w:t>Pseudomonas</w:t>
            </w:r>
            <w:r>
              <w:rPr>
                <w:i/>
                <w:spacing w:val="-12"/>
                <w:sz w:val="22"/>
              </w:rPr>
              <w:t> </w:t>
            </w:r>
            <w:r>
              <w:rPr>
                <w:i/>
                <w:spacing w:val="-2"/>
                <w:sz w:val="22"/>
              </w:rPr>
              <w:t>aeruginosa</w:t>
            </w:r>
          </w:p>
        </w:tc>
        <w:tc>
          <w:tcPr>
            <w:tcW w:w="1205" w:type="dxa"/>
          </w:tcPr>
          <w:p>
            <w:pPr>
              <w:pStyle w:val="TableParagraph"/>
              <w:spacing w:before="195"/>
              <w:ind w:left="406"/>
              <w:rPr>
                <w:sz w:val="22"/>
              </w:rPr>
            </w:pPr>
            <w:r>
              <w:rPr>
                <w:spacing w:val="-4"/>
                <w:sz w:val="22"/>
              </w:rPr>
              <w:t>1.98</w:t>
            </w:r>
          </w:p>
        </w:tc>
        <w:tc>
          <w:tcPr>
            <w:tcW w:w="1093" w:type="dxa"/>
          </w:tcPr>
          <w:p>
            <w:pPr>
              <w:pStyle w:val="TableParagraph"/>
              <w:spacing w:before="195"/>
              <w:ind w:left="294"/>
              <w:rPr>
                <w:sz w:val="22"/>
              </w:rPr>
            </w:pPr>
            <w:r>
              <w:rPr>
                <w:spacing w:val="-4"/>
                <w:sz w:val="22"/>
              </w:rPr>
              <w:t>2.03</w:t>
            </w:r>
          </w:p>
        </w:tc>
        <w:tc>
          <w:tcPr>
            <w:tcW w:w="1094" w:type="dxa"/>
          </w:tcPr>
          <w:p>
            <w:pPr>
              <w:pStyle w:val="TableParagraph"/>
              <w:spacing w:before="195"/>
              <w:ind w:left="295"/>
              <w:rPr>
                <w:sz w:val="22"/>
              </w:rPr>
            </w:pPr>
            <w:r>
              <w:rPr>
                <w:spacing w:val="-4"/>
                <w:sz w:val="22"/>
              </w:rPr>
              <w:t>1.50</w:t>
            </w:r>
          </w:p>
        </w:tc>
        <w:tc>
          <w:tcPr>
            <w:tcW w:w="1094" w:type="dxa"/>
          </w:tcPr>
          <w:p>
            <w:pPr>
              <w:pStyle w:val="TableParagraph"/>
              <w:spacing w:before="195"/>
              <w:ind w:right="106"/>
              <w:jc w:val="center"/>
              <w:rPr>
                <w:sz w:val="22"/>
              </w:rPr>
            </w:pPr>
            <w:r>
              <w:rPr>
                <w:spacing w:val="-4"/>
                <w:sz w:val="22"/>
              </w:rPr>
              <w:t>1.59</w:t>
            </w:r>
          </w:p>
        </w:tc>
        <w:tc>
          <w:tcPr>
            <w:tcW w:w="1235" w:type="dxa"/>
          </w:tcPr>
          <w:p>
            <w:pPr>
              <w:pStyle w:val="TableParagraph"/>
              <w:spacing w:before="195"/>
              <w:ind w:left="296"/>
              <w:rPr>
                <w:sz w:val="22"/>
              </w:rPr>
            </w:pPr>
            <w:r>
              <w:rPr>
                <w:spacing w:val="-4"/>
                <w:sz w:val="22"/>
              </w:rPr>
              <w:t>1.77</w:t>
            </w:r>
          </w:p>
        </w:tc>
      </w:tr>
      <w:tr>
        <w:trPr>
          <w:trHeight w:val="696" w:hRule="atLeast"/>
        </w:trPr>
        <w:tc>
          <w:tcPr>
            <w:tcW w:w="2925" w:type="dxa"/>
          </w:tcPr>
          <w:p>
            <w:pPr>
              <w:pStyle w:val="TableParagraph"/>
              <w:spacing w:before="193"/>
              <w:ind w:left="115"/>
              <w:rPr>
                <w:i/>
                <w:sz w:val="22"/>
              </w:rPr>
            </w:pPr>
            <w:r>
              <w:rPr>
                <w:i/>
                <w:sz w:val="22"/>
              </w:rPr>
              <w:t>Streptococcus</w:t>
            </w:r>
            <w:r>
              <w:rPr>
                <w:i/>
                <w:spacing w:val="-10"/>
                <w:sz w:val="22"/>
              </w:rPr>
              <w:t> </w:t>
            </w:r>
            <w:r>
              <w:rPr>
                <w:i/>
                <w:spacing w:val="-2"/>
                <w:sz w:val="22"/>
              </w:rPr>
              <w:t>pneumoniae</w:t>
            </w:r>
          </w:p>
        </w:tc>
        <w:tc>
          <w:tcPr>
            <w:tcW w:w="1205" w:type="dxa"/>
          </w:tcPr>
          <w:p>
            <w:pPr>
              <w:pStyle w:val="TableParagraph"/>
              <w:spacing w:before="193"/>
              <w:ind w:left="406"/>
              <w:rPr>
                <w:sz w:val="22"/>
              </w:rPr>
            </w:pPr>
            <w:r>
              <w:rPr>
                <w:spacing w:val="-4"/>
                <w:sz w:val="22"/>
              </w:rPr>
              <w:t>1.16</w:t>
            </w:r>
          </w:p>
        </w:tc>
        <w:tc>
          <w:tcPr>
            <w:tcW w:w="1093" w:type="dxa"/>
          </w:tcPr>
          <w:p>
            <w:pPr>
              <w:pStyle w:val="TableParagraph"/>
              <w:spacing w:before="193"/>
              <w:ind w:left="294"/>
              <w:rPr>
                <w:sz w:val="22"/>
              </w:rPr>
            </w:pPr>
            <w:r>
              <w:rPr>
                <w:spacing w:val="-4"/>
                <w:sz w:val="22"/>
              </w:rPr>
              <w:t>1.18</w:t>
            </w:r>
          </w:p>
        </w:tc>
        <w:tc>
          <w:tcPr>
            <w:tcW w:w="1094" w:type="dxa"/>
          </w:tcPr>
          <w:p>
            <w:pPr>
              <w:pStyle w:val="TableParagraph"/>
              <w:spacing w:before="193"/>
              <w:ind w:left="295"/>
              <w:rPr>
                <w:sz w:val="22"/>
              </w:rPr>
            </w:pPr>
            <w:r>
              <w:rPr>
                <w:spacing w:val="-4"/>
                <w:sz w:val="22"/>
              </w:rPr>
              <w:t>1.21</w:t>
            </w:r>
          </w:p>
        </w:tc>
        <w:tc>
          <w:tcPr>
            <w:tcW w:w="1094" w:type="dxa"/>
          </w:tcPr>
          <w:p>
            <w:pPr>
              <w:pStyle w:val="TableParagraph"/>
              <w:spacing w:before="193"/>
              <w:ind w:right="106"/>
              <w:jc w:val="center"/>
              <w:rPr>
                <w:sz w:val="22"/>
              </w:rPr>
            </w:pPr>
            <w:r>
              <w:rPr>
                <w:spacing w:val="-4"/>
                <w:sz w:val="22"/>
              </w:rPr>
              <w:t>1.16</w:t>
            </w:r>
          </w:p>
        </w:tc>
        <w:tc>
          <w:tcPr>
            <w:tcW w:w="1235" w:type="dxa"/>
          </w:tcPr>
          <w:p>
            <w:pPr>
              <w:pStyle w:val="TableParagraph"/>
              <w:spacing w:before="193"/>
              <w:ind w:left="296"/>
              <w:rPr>
                <w:sz w:val="22"/>
              </w:rPr>
            </w:pPr>
            <w:r>
              <w:rPr>
                <w:spacing w:val="-4"/>
                <w:sz w:val="22"/>
              </w:rPr>
              <w:t>1.16</w:t>
            </w:r>
          </w:p>
        </w:tc>
      </w:tr>
      <w:tr>
        <w:trPr>
          <w:trHeight w:val="895" w:hRule="atLeast"/>
        </w:trPr>
        <w:tc>
          <w:tcPr>
            <w:tcW w:w="2925" w:type="dxa"/>
            <w:tcBorders>
              <w:bottom w:val="single" w:sz="4" w:space="0" w:color="000000"/>
            </w:tcBorders>
          </w:tcPr>
          <w:p>
            <w:pPr>
              <w:pStyle w:val="TableParagraph"/>
              <w:spacing w:before="193"/>
              <w:ind w:left="115"/>
              <w:rPr>
                <w:i/>
                <w:sz w:val="22"/>
              </w:rPr>
            </w:pPr>
            <w:r>
              <w:rPr>
                <w:i/>
                <w:sz w:val="22"/>
              </w:rPr>
              <w:t>Streptococcus</w:t>
            </w:r>
            <w:r>
              <w:rPr>
                <w:i/>
                <w:spacing w:val="-10"/>
                <w:sz w:val="22"/>
              </w:rPr>
              <w:t> </w:t>
            </w:r>
            <w:r>
              <w:rPr>
                <w:i/>
                <w:spacing w:val="-2"/>
                <w:sz w:val="22"/>
              </w:rPr>
              <w:t>pyogenes</w:t>
            </w:r>
          </w:p>
        </w:tc>
        <w:tc>
          <w:tcPr>
            <w:tcW w:w="1205" w:type="dxa"/>
            <w:tcBorders>
              <w:bottom w:val="single" w:sz="4" w:space="0" w:color="000000"/>
            </w:tcBorders>
          </w:tcPr>
          <w:p>
            <w:pPr>
              <w:pStyle w:val="TableParagraph"/>
              <w:spacing w:before="193"/>
              <w:ind w:left="406"/>
              <w:rPr>
                <w:sz w:val="22"/>
              </w:rPr>
            </w:pPr>
            <w:r>
              <w:rPr>
                <w:spacing w:val="-4"/>
                <w:sz w:val="22"/>
              </w:rPr>
              <w:t>1.06</w:t>
            </w:r>
          </w:p>
        </w:tc>
        <w:tc>
          <w:tcPr>
            <w:tcW w:w="1093" w:type="dxa"/>
            <w:tcBorders>
              <w:bottom w:val="single" w:sz="4" w:space="0" w:color="000000"/>
            </w:tcBorders>
          </w:tcPr>
          <w:p>
            <w:pPr>
              <w:pStyle w:val="TableParagraph"/>
              <w:spacing w:before="193"/>
              <w:ind w:left="294"/>
              <w:rPr>
                <w:sz w:val="22"/>
              </w:rPr>
            </w:pPr>
            <w:r>
              <w:rPr>
                <w:spacing w:val="-4"/>
                <w:sz w:val="22"/>
              </w:rPr>
              <w:t>1.02</w:t>
            </w:r>
          </w:p>
        </w:tc>
        <w:tc>
          <w:tcPr>
            <w:tcW w:w="1094" w:type="dxa"/>
            <w:tcBorders>
              <w:bottom w:val="single" w:sz="4" w:space="0" w:color="000000"/>
            </w:tcBorders>
          </w:tcPr>
          <w:p>
            <w:pPr>
              <w:pStyle w:val="TableParagraph"/>
              <w:spacing w:before="193"/>
              <w:ind w:left="295"/>
              <w:rPr>
                <w:sz w:val="22"/>
              </w:rPr>
            </w:pPr>
            <w:r>
              <w:rPr>
                <w:spacing w:val="-4"/>
                <w:sz w:val="22"/>
              </w:rPr>
              <w:t>0.93</w:t>
            </w:r>
          </w:p>
        </w:tc>
        <w:tc>
          <w:tcPr>
            <w:tcW w:w="1094" w:type="dxa"/>
            <w:tcBorders>
              <w:bottom w:val="single" w:sz="4" w:space="0" w:color="000000"/>
            </w:tcBorders>
          </w:tcPr>
          <w:p>
            <w:pPr>
              <w:pStyle w:val="TableParagraph"/>
              <w:spacing w:before="193"/>
              <w:ind w:right="106"/>
              <w:jc w:val="center"/>
              <w:rPr>
                <w:sz w:val="22"/>
              </w:rPr>
            </w:pPr>
            <w:r>
              <w:rPr>
                <w:spacing w:val="-4"/>
                <w:sz w:val="22"/>
              </w:rPr>
              <w:t>0.93</w:t>
            </w:r>
          </w:p>
        </w:tc>
        <w:tc>
          <w:tcPr>
            <w:tcW w:w="1235" w:type="dxa"/>
            <w:tcBorders>
              <w:bottom w:val="single" w:sz="4" w:space="0" w:color="000000"/>
            </w:tcBorders>
          </w:tcPr>
          <w:p>
            <w:pPr>
              <w:pStyle w:val="TableParagraph"/>
              <w:spacing w:before="193"/>
              <w:ind w:left="296"/>
              <w:rPr>
                <w:sz w:val="22"/>
              </w:rPr>
            </w:pPr>
            <w:r>
              <w:rPr>
                <w:spacing w:val="-4"/>
                <w:sz w:val="22"/>
              </w:rPr>
              <w:t>0.97</w:t>
            </w:r>
          </w:p>
        </w:tc>
      </w:tr>
    </w:tbl>
    <w:p>
      <w:pPr>
        <w:spacing w:after="0"/>
        <w:rPr>
          <w:sz w:val="22"/>
        </w:rPr>
        <w:sectPr>
          <w:pgSz w:w="11910" w:h="16840"/>
          <w:pgMar w:header="0" w:footer="1055" w:top="1920" w:bottom="1240" w:left="1060" w:right="4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9"/>
        <w:rPr>
          <w:b/>
        </w:rPr>
      </w:pPr>
    </w:p>
    <w:p>
      <w:pPr>
        <w:spacing w:line="480" w:lineRule="auto" w:before="0"/>
        <w:ind w:left="663" w:right="975" w:firstLine="0"/>
        <w:jc w:val="left"/>
        <w:rPr>
          <w:b/>
          <w:sz w:val="22"/>
        </w:rPr>
      </w:pPr>
      <w:r>
        <w:rPr>
          <w:b/>
          <w:sz w:val="22"/>
        </w:rPr>
        <w:t>Table 4.9:</w:t>
      </w:r>
      <w:r>
        <w:rPr>
          <w:b/>
          <w:spacing w:val="80"/>
          <w:sz w:val="22"/>
        </w:rPr>
        <w:t> </w:t>
      </w:r>
      <w:r>
        <w:rPr>
          <w:b/>
          <w:sz w:val="22"/>
        </w:rPr>
        <w:t>∑FIC</w:t>
      </w:r>
      <w:r>
        <w:rPr>
          <w:b/>
          <w:spacing w:val="22"/>
          <w:sz w:val="22"/>
        </w:rPr>
        <w:t> </w:t>
      </w:r>
      <w:r>
        <w:rPr>
          <w:b/>
          <w:sz w:val="22"/>
        </w:rPr>
        <w:t>values</w:t>
      </w:r>
      <w:r>
        <w:rPr>
          <w:b/>
          <w:spacing w:val="22"/>
          <w:sz w:val="22"/>
        </w:rPr>
        <w:t> </w:t>
      </w:r>
      <w:r>
        <w:rPr>
          <w:b/>
          <w:sz w:val="22"/>
        </w:rPr>
        <w:t>for</w:t>
      </w:r>
      <w:r>
        <w:rPr>
          <w:b/>
          <w:spacing w:val="22"/>
          <w:sz w:val="22"/>
        </w:rPr>
        <w:t> </w:t>
      </w:r>
      <w:r>
        <w:rPr>
          <w:b/>
          <w:sz w:val="22"/>
        </w:rPr>
        <w:t>the test</w:t>
      </w:r>
      <w:r>
        <w:rPr>
          <w:b/>
          <w:spacing w:val="22"/>
          <w:sz w:val="22"/>
        </w:rPr>
        <w:t> </w:t>
      </w:r>
      <w:r>
        <w:rPr>
          <w:b/>
          <w:sz w:val="22"/>
        </w:rPr>
        <w:t>agents</w:t>
      </w:r>
      <w:r>
        <w:rPr>
          <w:b/>
          <w:spacing w:val="22"/>
          <w:sz w:val="22"/>
        </w:rPr>
        <w:t> </w:t>
      </w:r>
      <w:r>
        <w:rPr>
          <w:b/>
          <w:sz w:val="22"/>
        </w:rPr>
        <w:t>(Lemon</w:t>
      </w:r>
      <w:r>
        <w:rPr>
          <w:b/>
          <w:spacing w:val="24"/>
          <w:sz w:val="22"/>
        </w:rPr>
        <w:t> </w:t>
      </w:r>
      <w:r>
        <w:rPr>
          <w:b/>
          <w:sz w:val="22"/>
        </w:rPr>
        <w:t>juice/Honey</w:t>
      </w:r>
      <w:r>
        <w:rPr>
          <w:b/>
          <w:spacing w:val="22"/>
          <w:sz w:val="22"/>
        </w:rPr>
        <w:t> </w:t>
      </w:r>
      <w:r>
        <w:rPr>
          <w:b/>
          <w:sz w:val="22"/>
        </w:rPr>
        <w:t>mixture)</w:t>
      </w:r>
      <w:r>
        <w:rPr>
          <w:b/>
          <w:spacing w:val="22"/>
          <w:sz w:val="22"/>
        </w:rPr>
        <w:t> </w:t>
      </w:r>
      <w:r>
        <w:rPr>
          <w:b/>
          <w:sz w:val="22"/>
        </w:rPr>
        <w:t>against</w:t>
      </w:r>
      <w:r>
        <w:rPr>
          <w:b/>
          <w:spacing w:val="22"/>
          <w:sz w:val="22"/>
        </w:rPr>
        <w:t> </w:t>
      </w:r>
      <w:r>
        <w:rPr>
          <w:b/>
          <w:sz w:val="22"/>
        </w:rPr>
        <w:t>the bacterial </w:t>
      </w:r>
      <w:r>
        <w:rPr>
          <w:b/>
          <w:spacing w:val="-2"/>
          <w:sz w:val="22"/>
        </w:rPr>
        <w:t>isolates</w:t>
      </w:r>
    </w:p>
    <w:p>
      <w:pPr>
        <w:pStyle w:val="BodyText"/>
        <w:spacing w:before="4"/>
        <w:rPr>
          <w:b/>
          <w:sz w:val="13"/>
        </w:rPr>
      </w:pPr>
    </w:p>
    <w:tbl>
      <w:tblPr>
        <w:tblW w:w="0" w:type="auto"/>
        <w:jc w:val="left"/>
        <w:tblInd w:w="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25"/>
        <w:gridCol w:w="1206"/>
        <w:gridCol w:w="1094"/>
        <w:gridCol w:w="1093"/>
        <w:gridCol w:w="1093"/>
        <w:gridCol w:w="1235"/>
      </w:tblGrid>
      <w:tr>
        <w:trPr>
          <w:trHeight w:val="697" w:hRule="atLeast"/>
        </w:trPr>
        <w:tc>
          <w:tcPr>
            <w:tcW w:w="2925" w:type="dxa"/>
            <w:tcBorders>
              <w:top w:val="single" w:sz="4" w:space="0" w:color="000000"/>
              <w:bottom w:val="single" w:sz="4" w:space="0" w:color="000000"/>
            </w:tcBorders>
          </w:tcPr>
          <w:p>
            <w:pPr>
              <w:pStyle w:val="TableParagraph"/>
              <w:spacing w:line="265" w:lineRule="exact"/>
              <w:ind w:left="115"/>
              <w:rPr>
                <w:sz w:val="22"/>
              </w:rPr>
            </w:pPr>
            <w:r>
              <w:rPr>
                <w:sz w:val="22"/>
              </w:rPr>
              <w:t>Bacterial</w:t>
            </w:r>
            <w:r>
              <w:rPr>
                <w:spacing w:val="-3"/>
                <w:sz w:val="22"/>
              </w:rPr>
              <w:t> </w:t>
            </w:r>
            <w:r>
              <w:rPr>
                <w:spacing w:val="-2"/>
                <w:sz w:val="22"/>
              </w:rPr>
              <w:t>isolates</w:t>
            </w:r>
          </w:p>
        </w:tc>
        <w:tc>
          <w:tcPr>
            <w:tcW w:w="1206" w:type="dxa"/>
            <w:tcBorders>
              <w:top w:val="single" w:sz="4" w:space="0" w:color="000000"/>
              <w:bottom w:val="single" w:sz="4" w:space="0" w:color="000000"/>
            </w:tcBorders>
          </w:tcPr>
          <w:p>
            <w:pPr>
              <w:pStyle w:val="TableParagraph"/>
              <w:spacing w:line="265" w:lineRule="exact"/>
              <w:ind w:left="406"/>
              <w:rPr>
                <w:sz w:val="22"/>
              </w:rPr>
            </w:pPr>
            <w:r>
              <w:rPr>
                <w:spacing w:val="-2"/>
                <w:sz w:val="22"/>
              </w:rPr>
              <w:t>10:50</w:t>
            </w:r>
          </w:p>
        </w:tc>
        <w:tc>
          <w:tcPr>
            <w:tcW w:w="1094" w:type="dxa"/>
            <w:tcBorders>
              <w:top w:val="single" w:sz="4" w:space="0" w:color="000000"/>
              <w:bottom w:val="single" w:sz="4" w:space="0" w:color="000000"/>
            </w:tcBorders>
          </w:tcPr>
          <w:p>
            <w:pPr>
              <w:pStyle w:val="TableParagraph"/>
              <w:spacing w:line="265" w:lineRule="exact"/>
              <w:ind w:left="295"/>
              <w:rPr>
                <w:sz w:val="22"/>
              </w:rPr>
            </w:pPr>
            <w:r>
              <w:rPr>
                <w:spacing w:val="-2"/>
                <w:sz w:val="22"/>
              </w:rPr>
              <w:t>20:50</w:t>
            </w:r>
          </w:p>
        </w:tc>
        <w:tc>
          <w:tcPr>
            <w:tcW w:w="1093" w:type="dxa"/>
            <w:tcBorders>
              <w:top w:val="single" w:sz="4" w:space="0" w:color="000000"/>
              <w:bottom w:val="single" w:sz="4" w:space="0" w:color="000000"/>
            </w:tcBorders>
          </w:tcPr>
          <w:p>
            <w:pPr>
              <w:pStyle w:val="TableParagraph"/>
              <w:spacing w:line="265" w:lineRule="exact"/>
              <w:ind w:left="3"/>
              <w:jc w:val="center"/>
              <w:rPr>
                <w:sz w:val="22"/>
              </w:rPr>
            </w:pPr>
            <w:r>
              <w:rPr>
                <w:spacing w:val="-2"/>
                <w:sz w:val="22"/>
              </w:rPr>
              <w:t>30:50</w:t>
            </w:r>
          </w:p>
        </w:tc>
        <w:tc>
          <w:tcPr>
            <w:tcW w:w="1093" w:type="dxa"/>
            <w:tcBorders>
              <w:top w:val="single" w:sz="4" w:space="0" w:color="000000"/>
              <w:bottom w:val="single" w:sz="4" w:space="0" w:color="000000"/>
            </w:tcBorders>
          </w:tcPr>
          <w:p>
            <w:pPr>
              <w:pStyle w:val="TableParagraph"/>
              <w:spacing w:line="265" w:lineRule="exact"/>
              <w:ind w:left="295"/>
              <w:rPr>
                <w:sz w:val="22"/>
              </w:rPr>
            </w:pPr>
            <w:r>
              <w:rPr>
                <w:spacing w:val="-2"/>
                <w:sz w:val="22"/>
              </w:rPr>
              <w:t>40:50</w:t>
            </w:r>
          </w:p>
        </w:tc>
        <w:tc>
          <w:tcPr>
            <w:tcW w:w="1235" w:type="dxa"/>
            <w:tcBorders>
              <w:top w:val="single" w:sz="4" w:space="0" w:color="000000"/>
              <w:bottom w:val="single" w:sz="4" w:space="0" w:color="000000"/>
            </w:tcBorders>
          </w:tcPr>
          <w:p>
            <w:pPr>
              <w:pStyle w:val="TableParagraph"/>
              <w:spacing w:line="265" w:lineRule="exact"/>
              <w:ind w:left="112" w:right="246"/>
              <w:jc w:val="center"/>
              <w:rPr>
                <w:sz w:val="22"/>
              </w:rPr>
            </w:pPr>
            <w:r>
              <w:rPr>
                <w:spacing w:val="-2"/>
                <w:sz w:val="22"/>
              </w:rPr>
              <w:t>50:50</w:t>
            </w:r>
          </w:p>
        </w:tc>
      </w:tr>
      <w:tr>
        <w:trPr>
          <w:trHeight w:val="499" w:hRule="atLeast"/>
        </w:trPr>
        <w:tc>
          <w:tcPr>
            <w:tcW w:w="2925" w:type="dxa"/>
            <w:tcBorders>
              <w:top w:val="single" w:sz="4" w:space="0" w:color="000000"/>
            </w:tcBorders>
          </w:tcPr>
          <w:p>
            <w:pPr>
              <w:pStyle w:val="TableParagraph"/>
              <w:spacing w:line="265" w:lineRule="exact"/>
              <w:ind w:left="115"/>
              <w:rPr>
                <w:i/>
                <w:sz w:val="22"/>
              </w:rPr>
            </w:pPr>
            <w:r>
              <w:rPr>
                <w:i/>
                <w:sz w:val="22"/>
              </w:rPr>
              <w:t>Klebsiella</w:t>
            </w:r>
            <w:r>
              <w:rPr>
                <w:i/>
                <w:spacing w:val="-3"/>
                <w:sz w:val="22"/>
              </w:rPr>
              <w:t> </w:t>
            </w:r>
            <w:r>
              <w:rPr>
                <w:i/>
                <w:spacing w:val="-2"/>
                <w:sz w:val="22"/>
              </w:rPr>
              <w:t>pneumoniae</w:t>
            </w:r>
          </w:p>
        </w:tc>
        <w:tc>
          <w:tcPr>
            <w:tcW w:w="1206" w:type="dxa"/>
            <w:tcBorders>
              <w:top w:val="single" w:sz="4" w:space="0" w:color="000000"/>
            </w:tcBorders>
          </w:tcPr>
          <w:p>
            <w:pPr>
              <w:pStyle w:val="TableParagraph"/>
              <w:spacing w:line="265" w:lineRule="exact"/>
              <w:ind w:left="406"/>
              <w:rPr>
                <w:sz w:val="22"/>
              </w:rPr>
            </w:pPr>
            <w:r>
              <w:rPr>
                <w:spacing w:val="-4"/>
                <w:sz w:val="22"/>
              </w:rPr>
              <w:t>2.36</w:t>
            </w:r>
          </w:p>
        </w:tc>
        <w:tc>
          <w:tcPr>
            <w:tcW w:w="1094" w:type="dxa"/>
            <w:tcBorders>
              <w:top w:val="single" w:sz="4" w:space="0" w:color="000000"/>
            </w:tcBorders>
          </w:tcPr>
          <w:p>
            <w:pPr>
              <w:pStyle w:val="TableParagraph"/>
              <w:spacing w:line="265" w:lineRule="exact"/>
              <w:ind w:left="295"/>
              <w:rPr>
                <w:sz w:val="22"/>
              </w:rPr>
            </w:pPr>
            <w:r>
              <w:rPr>
                <w:spacing w:val="-4"/>
                <w:sz w:val="22"/>
              </w:rPr>
              <w:t>2.24</w:t>
            </w:r>
          </w:p>
        </w:tc>
        <w:tc>
          <w:tcPr>
            <w:tcW w:w="1093" w:type="dxa"/>
            <w:tcBorders>
              <w:top w:val="single" w:sz="4" w:space="0" w:color="000000"/>
            </w:tcBorders>
          </w:tcPr>
          <w:p>
            <w:pPr>
              <w:pStyle w:val="TableParagraph"/>
              <w:spacing w:line="265" w:lineRule="exact"/>
              <w:ind w:right="106"/>
              <w:jc w:val="center"/>
              <w:rPr>
                <w:sz w:val="22"/>
              </w:rPr>
            </w:pPr>
            <w:r>
              <w:rPr>
                <w:spacing w:val="-4"/>
                <w:sz w:val="22"/>
              </w:rPr>
              <w:t>2.05</w:t>
            </w:r>
          </w:p>
        </w:tc>
        <w:tc>
          <w:tcPr>
            <w:tcW w:w="1093" w:type="dxa"/>
            <w:tcBorders>
              <w:top w:val="single" w:sz="4" w:space="0" w:color="000000"/>
            </w:tcBorders>
          </w:tcPr>
          <w:p>
            <w:pPr>
              <w:pStyle w:val="TableParagraph"/>
              <w:spacing w:line="265" w:lineRule="exact"/>
              <w:ind w:left="295"/>
              <w:rPr>
                <w:sz w:val="22"/>
              </w:rPr>
            </w:pPr>
            <w:r>
              <w:rPr>
                <w:spacing w:val="-4"/>
                <w:sz w:val="22"/>
              </w:rPr>
              <w:t>2.02</w:t>
            </w:r>
          </w:p>
        </w:tc>
        <w:tc>
          <w:tcPr>
            <w:tcW w:w="1235" w:type="dxa"/>
            <w:tcBorders>
              <w:top w:val="single" w:sz="4" w:space="0" w:color="000000"/>
            </w:tcBorders>
          </w:tcPr>
          <w:p>
            <w:pPr>
              <w:pStyle w:val="TableParagraph"/>
              <w:spacing w:line="265" w:lineRule="exact"/>
              <w:ind w:right="246"/>
              <w:jc w:val="center"/>
              <w:rPr>
                <w:sz w:val="22"/>
              </w:rPr>
            </w:pPr>
            <w:r>
              <w:rPr>
                <w:spacing w:val="-4"/>
                <w:sz w:val="22"/>
              </w:rPr>
              <w:t>1.99</w:t>
            </w:r>
          </w:p>
        </w:tc>
      </w:tr>
      <w:tr>
        <w:trPr>
          <w:trHeight w:val="697" w:hRule="atLeast"/>
        </w:trPr>
        <w:tc>
          <w:tcPr>
            <w:tcW w:w="2925" w:type="dxa"/>
          </w:tcPr>
          <w:p>
            <w:pPr>
              <w:pStyle w:val="TableParagraph"/>
              <w:spacing w:before="193"/>
              <w:ind w:left="115"/>
              <w:rPr>
                <w:i/>
                <w:sz w:val="22"/>
              </w:rPr>
            </w:pPr>
            <w:r>
              <w:rPr>
                <w:i/>
                <w:sz w:val="22"/>
              </w:rPr>
              <w:t>Staphylococcus</w:t>
            </w:r>
            <w:r>
              <w:rPr>
                <w:i/>
                <w:spacing w:val="-11"/>
                <w:sz w:val="22"/>
              </w:rPr>
              <w:t> </w:t>
            </w:r>
            <w:r>
              <w:rPr>
                <w:i/>
                <w:spacing w:val="-2"/>
                <w:sz w:val="22"/>
              </w:rPr>
              <w:t>aureus</w:t>
            </w:r>
          </w:p>
        </w:tc>
        <w:tc>
          <w:tcPr>
            <w:tcW w:w="1206" w:type="dxa"/>
          </w:tcPr>
          <w:p>
            <w:pPr>
              <w:pStyle w:val="TableParagraph"/>
              <w:spacing w:before="193"/>
              <w:ind w:left="406"/>
              <w:rPr>
                <w:sz w:val="22"/>
              </w:rPr>
            </w:pPr>
            <w:r>
              <w:rPr>
                <w:spacing w:val="-4"/>
                <w:sz w:val="22"/>
              </w:rPr>
              <w:t>2.47</w:t>
            </w:r>
          </w:p>
        </w:tc>
        <w:tc>
          <w:tcPr>
            <w:tcW w:w="1094" w:type="dxa"/>
          </w:tcPr>
          <w:p>
            <w:pPr>
              <w:pStyle w:val="TableParagraph"/>
              <w:spacing w:before="193"/>
              <w:ind w:left="295"/>
              <w:rPr>
                <w:sz w:val="22"/>
              </w:rPr>
            </w:pPr>
            <w:r>
              <w:rPr>
                <w:spacing w:val="-4"/>
                <w:sz w:val="22"/>
              </w:rPr>
              <w:t>2.18</w:t>
            </w:r>
          </w:p>
        </w:tc>
        <w:tc>
          <w:tcPr>
            <w:tcW w:w="1093" w:type="dxa"/>
          </w:tcPr>
          <w:p>
            <w:pPr>
              <w:pStyle w:val="TableParagraph"/>
              <w:spacing w:before="193"/>
              <w:ind w:right="106"/>
              <w:jc w:val="center"/>
              <w:rPr>
                <w:sz w:val="22"/>
              </w:rPr>
            </w:pPr>
            <w:r>
              <w:rPr>
                <w:spacing w:val="-4"/>
                <w:sz w:val="22"/>
              </w:rPr>
              <w:t>1.70</w:t>
            </w:r>
          </w:p>
        </w:tc>
        <w:tc>
          <w:tcPr>
            <w:tcW w:w="1093" w:type="dxa"/>
          </w:tcPr>
          <w:p>
            <w:pPr>
              <w:pStyle w:val="TableParagraph"/>
              <w:spacing w:before="193"/>
              <w:ind w:left="295"/>
              <w:rPr>
                <w:sz w:val="22"/>
              </w:rPr>
            </w:pPr>
            <w:r>
              <w:rPr>
                <w:spacing w:val="-4"/>
                <w:sz w:val="22"/>
              </w:rPr>
              <w:t>1.64</w:t>
            </w:r>
          </w:p>
        </w:tc>
        <w:tc>
          <w:tcPr>
            <w:tcW w:w="1235" w:type="dxa"/>
          </w:tcPr>
          <w:p>
            <w:pPr>
              <w:pStyle w:val="TableParagraph"/>
              <w:spacing w:before="193"/>
              <w:ind w:right="246"/>
              <w:jc w:val="center"/>
              <w:rPr>
                <w:sz w:val="22"/>
              </w:rPr>
            </w:pPr>
            <w:r>
              <w:rPr>
                <w:spacing w:val="-4"/>
                <w:sz w:val="22"/>
              </w:rPr>
              <w:t>1.54</w:t>
            </w:r>
          </w:p>
        </w:tc>
      </w:tr>
      <w:tr>
        <w:trPr>
          <w:trHeight w:val="697" w:hRule="atLeast"/>
        </w:trPr>
        <w:tc>
          <w:tcPr>
            <w:tcW w:w="2925" w:type="dxa"/>
          </w:tcPr>
          <w:p>
            <w:pPr>
              <w:pStyle w:val="TableParagraph"/>
              <w:spacing w:before="195"/>
              <w:ind w:left="115"/>
              <w:rPr>
                <w:i/>
                <w:sz w:val="22"/>
              </w:rPr>
            </w:pPr>
            <w:r>
              <w:rPr>
                <w:i/>
                <w:sz w:val="22"/>
              </w:rPr>
              <w:t>Haemophilus</w:t>
            </w:r>
            <w:r>
              <w:rPr>
                <w:i/>
                <w:spacing w:val="-9"/>
                <w:sz w:val="22"/>
              </w:rPr>
              <w:t> </w:t>
            </w:r>
            <w:r>
              <w:rPr>
                <w:i/>
                <w:spacing w:val="-2"/>
                <w:sz w:val="22"/>
              </w:rPr>
              <w:t>influenzae</w:t>
            </w:r>
          </w:p>
        </w:tc>
        <w:tc>
          <w:tcPr>
            <w:tcW w:w="1206" w:type="dxa"/>
          </w:tcPr>
          <w:p>
            <w:pPr>
              <w:pStyle w:val="TableParagraph"/>
              <w:spacing w:before="195"/>
              <w:ind w:left="406"/>
              <w:rPr>
                <w:sz w:val="22"/>
              </w:rPr>
            </w:pPr>
            <w:r>
              <w:rPr>
                <w:spacing w:val="-4"/>
                <w:sz w:val="22"/>
              </w:rPr>
              <w:t>3.14</w:t>
            </w:r>
          </w:p>
        </w:tc>
        <w:tc>
          <w:tcPr>
            <w:tcW w:w="1094" w:type="dxa"/>
          </w:tcPr>
          <w:p>
            <w:pPr>
              <w:pStyle w:val="TableParagraph"/>
              <w:spacing w:before="195"/>
              <w:ind w:left="295"/>
              <w:rPr>
                <w:sz w:val="22"/>
              </w:rPr>
            </w:pPr>
            <w:r>
              <w:rPr>
                <w:spacing w:val="-4"/>
                <w:sz w:val="22"/>
              </w:rPr>
              <w:t>2.88</w:t>
            </w:r>
          </w:p>
        </w:tc>
        <w:tc>
          <w:tcPr>
            <w:tcW w:w="1093" w:type="dxa"/>
          </w:tcPr>
          <w:p>
            <w:pPr>
              <w:pStyle w:val="TableParagraph"/>
              <w:spacing w:before="195"/>
              <w:ind w:right="106"/>
              <w:jc w:val="center"/>
              <w:rPr>
                <w:sz w:val="22"/>
              </w:rPr>
            </w:pPr>
            <w:r>
              <w:rPr>
                <w:spacing w:val="-4"/>
                <w:sz w:val="22"/>
              </w:rPr>
              <w:t>2.88</w:t>
            </w:r>
          </w:p>
        </w:tc>
        <w:tc>
          <w:tcPr>
            <w:tcW w:w="1093" w:type="dxa"/>
          </w:tcPr>
          <w:p>
            <w:pPr>
              <w:pStyle w:val="TableParagraph"/>
              <w:spacing w:before="195"/>
              <w:ind w:left="295"/>
              <w:rPr>
                <w:sz w:val="22"/>
              </w:rPr>
            </w:pPr>
            <w:r>
              <w:rPr>
                <w:spacing w:val="-4"/>
                <w:sz w:val="22"/>
              </w:rPr>
              <w:t>2.49</w:t>
            </w:r>
          </w:p>
        </w:tc>
        <w:tc>
          <w:tcPr>
            <w:tcW w:w="1235" w:type="dxa"/>
          </w:tcPr>
          <w:p>
            <w:pPr>
              <w:pStyle w:val="TableParagraph"/>
              <w:spacing w:before="195"/>
              <w:ind w:right="246"/>
              <w:jc w:val="center"/>
              <w:rPr>
                <w:sz w:val="22"/>
              </w:rPr>
            </w:pPr>
            <w:r>
              <w:rPr>
                <w:spacing w:val="-4"/>
                <w:sz w:val="22"/>
              </w:rPr>
              <w:t>1.84</w:t>
            </w:r>
          </w:p>
        </w:tc>
      </w:tr>
      <w:tr>
        <w:trPr>
          <w:trHeight w:val="697" w:hRule="atLeast"/>
        </w:trPr>
        <w:tc>
          <w:tcPr>
            <w:tcW w:w="2925" w:type="dxa"/>
          </w:tcPr>
          <w:p>
            <w:pPr>
              <w:pStyle w:val="TableParagraph"/>
              <w:spacing w:before="194"/>
              <w:ind w:left="115"/>
              <w:rPr>
                <w:i/>
                <w:sz w:val="22"/>
              </w:rPr>
            </w:pPr>
            <w:r>
              <w:rPr>
                <w:i/>
                <w:sz w:val="22"/>
              </w:rPr>
              <w:t>Pseudomonas</w:t>
            </w:r>
            <w:r>
              <w:rPr>
                <w:i/>
                <w:spacing w:val="-12"/>
                <w:sz w:val="22"/>
              </w:rPr>
              <w:t> </w:t>
            </w:r>
            <w:r>
              <w:rPr>
                <w:i/>
                <w:spacing w:val="-2"/>
                <w:sz w:val="22"/>
              </w:rPr>
              <w:t>aeruginosa</w:t>
            </w:r>
          </w:p>
        </w:tc>
        <w:tc>
          <w:tcPr>
            <w:tcW w:w="1206" w:type="dxa"/>
          </w:tcPr>
          <w:p>
            <w:pPr>
              <w:pStyle w:val="TableParagraph"/>
              <w:spacing w:before="194"/>
              <w:ind w:left="406"/>
              <w:rPr>
                <w:sz w:val="22"/>
              </w:rPr>
            </w:pPr>
            <w:r>
              <w:rPr>
                <w:spacing w:val="-4"/>
                <w:sz w:val="22"/>
              </w:rPr>
              <w:t>2.33</w:t>
            </w:r>
          </w:p>
        </w:tc>
        <w:tc>
          <w:tcPr>
            <w:tcW w:w="1094" w:type="dxa"/>
          </w:tcPr>
          <w:p>
            <w:pPr>
              <w:pStyle w:val="TableParagraph"/>
              <w:spacing w:before="194"/>
              <w:ind w:left="295"/>
              <w:rPr>
                <w:sz w:val="22"/>
              </w:rPr>
            </w:pPr>
            <w:r>
              <w:rPr>
                <w:spacing w:val="-4"/>
                <w:sz w:val="22"/>
              </w:rPr>
              <w:t>2.09</w:t>
            </w:r>
          </w:p>
        </w:tc>
        <w:tc>
          <w:tcPr>
            <w:tcW w:w="1093" w:type="dxa"/>
          </w:tcPr>
          <w:p>
            <w:pPr>
              <w:pStyle w:val="TableParagraph"/>
              <w:spacing w:before="194"/>
              <w:ind w:right="106"/>
              <w:jc w:val="center"/>
              <w:rPr>
                <w:sz w:val="22"/>
              </w:rPr>
            </w:pPr>
            <w:r>
              <w:rPr>
                <w:spacing w:val="-4"/>
                <w:sz w:val="22"/>
              </w:rPr>
              <w:t>1.83</w:t>
            </w:r>
          </w:p>
        </w:tc>
        <w:tc>
          <w:tcPr>
            <w:tcW w:w="1093" w:type="dxa"/>
          </w:tcPr>
          <w:p>
            <w:pPr>
              <w:pStyle w:val="TableParagraph"/>
              <w:spacing w:before="194"/>
              <w:ind w:left="295"/>
              <w:rPr>
                <w:sz w:val="22"/>
              </w:rPr>
            </w:pPr>
            <w:r>
              <w:rPr>
                <w:spacing w:val="-4"/>
                <w:sz w:val="22"/>
              </w:rPr>
              <w:t>1.64</w:t>
            </w:r>
          </w:p>
        </w:tc>
        <w:tc>
          <w:tcPr>
            <w:tcW w:w="1235" w:type="dxa"/>
          </w:tcPr>
          <w:p>
            <w:pPr>
              <w:pStyle w:val="TableParagraph"/>
              <w:spacing w:before="194"/>
              <w:ind w:right="246"/>
              <w:jc w:val="center"/>
              <w:rPr>
                <w:sz w:val="22"/>
              </w:rPr>
            </w:pPr>
            <w:r>
              <w:rPr>
                <w:spacing w:val="-4"/>
                <w:sz w:val="22"/>
              </w:rPr>
              <w:t>1.77</w:t>
            </w:r>
          </w:p>
        </w:tc>
      </w:tr>
      <w:tr>
        <w:trPr>
          <w:trHeight w:val="697" w:hRule="atLeast"/>
        </w:trPr>
        <w:tc>
          <w:tcPr>
            <w:tcW w:w="2925" w:type="dxa"/>
          </w:tcPr>
          <w:p>
            <w:pPr>
              <w:pStyle w:val="TableParagraph"/>
              <w:spacing w:before="195"/>
              <w:ind w:left="115"/>
              <w:rPr>
                <w:i/>
                <w:sz w:val="22"/>
              </w:rPr>
            </w:pPr>
            <w:r>
              <w:rPr>
                <w:i/>
                <w:sz w:val="22"/>
              </w:rPr>
              <w:t>Streptococcus</w:t>
            </w:r>
            <w:r>
              <w:rPr>
                <w:i/>
                <w:spacing w:val="-10"/>
                <w:sz w:val="22"/>
              </w:rPr>
              <w:t> </w:t>
            </w:r>
            <w:r>
              <w:rPr>
                <w:i/>
                <w:spacing w:val="-2"/>
                <w:sz w:val="22"/>
              </w:rPr>
              <w:t>pneumoniae</w:t>
            </w:r>
          </w:p>
        </w:tc>
        <w:tc>
          <w:tcPr>
            <w:tcW w:w="1206" w:type="dxa"/>
          </w:tcPr>
          <w:p>
            <w:pPr>
              <w:pStyle w:val="TableParagraph"/>
              <w:spacing w:before="195"/>
              <w:ind w:left="406"/>
              <w:rPr>
                <w:sz w:val="22"/>
              </w:rPr>
            </w:pPr>
            <w:r>
              <w:rPr>
                <w:spacing w:val="-4"/>
                <w:sz w:val="22"/>
              </w:rPr>
              <w:t>2.58</w:t>
            </w:r>
          </w:p>
        </w:tc>
        <w:tc>
          <w:tcPr>
            <w:tcW w:w="1094" w:type="dxa"/>
          </w:tcPr>
          <w:p>
            <w:pPr>
              <w:pStyle w:val="TableParagraph"/>
              <w:spacing w:before="195"/>
              <w:ind w:left="295"/>
              <w:rPr>
                <w:sz w:val="22"/>
              </w:rPr>
            </w:pPr>
            <w:r>
              <w:rPr>
                <w:spacing w:val="-4"/>
                <w:sz w:val="22"/>
              </w:rPr>
              <w:t>2.28</w:t>
            </w:r>
          </w:p>
        </w:tc>
        <w:tc>
          <w:tcPr>
            <w:tcW w:w="1093" w:type="dxa"/>
          </w:tcPr>
          <w:p>
            <w:pPr>
              <w:pStyle w:val="TableParagraph"/>
              <w:spacing w:before="195"/>
              <w:ind w:right="106"/>
              <w:jc w:val="center"/>
              <w:rPr>
                <w:sz w:val="22"/>
              </w:rPr>
            </w:pPr>
            <w:r>
              <w:rPr>
                <w:spacing w:val="-4"/>
                <w:sz w:val="22"/>
              </w:rPr>
              <w:t>1.60</w:t>
            </w:r>
          </w:p>
        </w:tc>
        <w:tc>
          <w:tcPr>
            <w:tcW w:w="1093" w:type="dxa"/>
          </w:tcPr>
          <w:p>
            <w:pPr>
              <w:pStyle w:val="TableParagraph"/>
              <w:spacing w:before="195"/>
              <w:ind w:left="295"/>
              <w:rPr>
                <w:sz w:val="22"/>
              </w:rPr>
            </w:pPr>
            <w:r>
              <w:rPr>
                <w:spacing w:val="-4"/>
                <w:sz w:val="22"/>
              </w:rPr>
              <w:t>1.41</w:t>
            </w:r>
          </w:p>
        </w:tc>
        <w:tc>
          <w:tcPr>
            <w:tcW w:w="1235" w:type="dxa"/>
          </w:tcPr>
          <w:p>
            <w:pPr>
              <w:pStyle w:val="TableParagraph"/>
              <w:spacing w:before="195"/>
              <w:ind w:right="246"/>
              <w:jc w:val="center"/>
              <w:rPr>
                <w:sz w:val="22"/>
              </w:rPr>
            </w:pPr>
            <w:r>
              <w:rPr>
                <w:spacing w:val="-4"/>
                <w:sz w:val="22"/>
              </w:rPr>
              <w:t>1.16</w:t>
            </w:r>
          </w:p>
        </w:tc>
      </w:tr>
      <w:tr>
        <w:trPr>
          <w:trHeight w:val="895" w:hRule="atLeast"/>
        </w:trPr>
        <w:tc>
          <w:tcPr>
            <w:tcW w:w="2925" w:type="dxa"/>
            <w:tcBorders>
              <w:bottom w:val="single" w:sz="4" w:space="0" w:color="000000"/>
            </w:tcBorders>
          </w:tcPr>
          <w:p>
            <w:pPr>
              <w:pStyle w:val="TableParagraph"/>
              <w:spacing w:before="193"/>
              <w:ind w:left="115"/>
              <w:rPr>
                <w:i/>
                <w:sz w:val="22"/>
              </w:rPr>
            </w:pPr>
            <w:r>
              <w:rPr>
                <w:i/>
                <w:sz w:val="22"/>
              </w:rPr>
              <w:t>Streptococcus</w:t>
            </w:r>
            <w:r>
              <w:rPr>
                <w:i/>
                <w:spacing w:val="-10"/>
                <w:sz w:val="22"/>
              </w:rPr>
              <w:t> </w:t>
            </w:r>
            <w:r>
              <w:rPr>
                <w:i/>
                <w:spacing w:val="-2"/>
                <w:sz w:val="22"/>
              </w:rPr>
              <w:t>pyogenes</w:t>
            </w:r>
          </w:p>
        </w:tc>
        <w:tc>
          <w:tcPr>
            <w:tcW w:w="1206" w:type="dxa"/>
            <w:tcBorders>
              <w:bottom w:val="single" w:sz="4" w:space="0" w:color="000000"/>
            </w:tcBorders>
          </w:tcPr>
          <w:p>
            <w:pPr>
              <w:pStyle w:val="TableParagraph"/>
              <w:spacing w:before="193"/>
              <w:ind w:left="406"/>
              <w:rPr>
                <w:sz w:val="22"/>
              </w:rPr>
            </w:pPr>
            <w:r>
              <w:rPr>
                <w:spacing w:val="-4"/>
                <w:sz w:val="22"/>
              </w:rPr>
              <w:t>1.71</w:t>
            </w:r>
          </w:p>
        </w:tc>
        <w:tc>
          <w:tcPr>
            <w:tcW w:w="1094" w:type="dxa"/>
            <w:tcBorders>
              <w:bottom w:val="single" w:sz="4" w:space="0" w:color="000000"/>
            </w:tcBorders>
          </w:tcPr>
          <w:p>
            <w:pPr>
              <w:pStyle w:val="TableParagraph"/>
              <w:spacing w:before="193"/>
              <w:ind w:left="295"/>
              <w:rPr>
                <w:sz w:val="22"/>
              </w:rPr>
            </w:pPr>
            <w:r>
              <w:rPr>
                <w:spacing w:val="-4"/>
                <w:sz w:val="22"/>
              </w:rPr>
              <w:t>1.45</w:t>
            </w:r>
          </w:p>
        </w:tc>
        <w:tc>
          <w:tcPr>
            <w:tcW w:w="1093" w:type="dxa"/>
            <w:tcBorders>
              <w:bottom w:val="single" w:sz="4" w:space="0" w:color="000000"/>
            </w:tcBorders>
          </w:tcPr>
          <w:p>
            <w:pPr>
              <w:pStyle w:val="TableParagraph"/>
              <w:spacing w:before="193"/>
              <w:ind w:right="106"/>
              <w:jc w:val="center"/>
              <w:rPr>
                <w:sz w:val="22"/>
              </w:rPr>
            </w:pPr>
            <w:r>
              <w:rPr>
                <w:spacing w:val="-4"/>
                <w:sz w:val="22"/>
              </w:rPr>
              <w:t>1.35</w:t>
            </w:r>
          </w:p>
        </w:tc>
        <w:tc>
          <w:tcPr>
            <w:tcW w:w="1093" w:type="dxa"/>
            <w:tcBorders>
              <w:bottom w:val="single" w:sz="4" w:space="0" w:color="000000"/>
            </w:tcBorders>
          </w:tcPr>
          <w:p>
            <w:pPr>
              <w:pStyle w:val="TableParagraph"/>
              <w:spacing w:before="193"/>
              <w:ind w:left="295"/>
              <w:rPr>
                <w:sz w:val="22"/>
              </w:rPr>
            </w:pPr>
            <w:r>
              <w:rPr>
                <w:spacing w:val="-4"/>
                <w:sz w:val="22"/>
              </w:rPr>
              <w:t>1.17</w:t>
            </w:r>
          </w:p>
        </w:tc>
        <w:tc>
          <w:tcPr>
            <w:tcW w:w="1235" w:type="dxa"/>
            <w:tcBorders>
              <w:bottom w:val="single" w:sz="4" w:space="0" w:color="000000"/>
            </w:tcBorders>
          </w:tcPr>
          <w:p>
            <w:pPr>
              <w:pStyle w:val="TableParagraph"/>
              <w:spacing w:before="193"/>
              <w:ind w:right="246"/>
              <w:jc w:val="center"/>
              <w:rPr>
                <w:sz w:val="22"/>
              </w:rPr>
            </w:pPr>
            <w:r>
              <w:rPr>
                <w:spacing w:val="-4"/>
                <w:sz w:val="22"/>
              </w:rPr>
              <w:t>0.97</w:t>
            </w:r>
          </w:p>
        </w:tc>
      </w:tr>
    </w:tbl>
    <w:p>
      <w:pPr>
        <w:spacing w:after="0"/>
        <w:jc w:val="center"/>
        <w:rPr>
          <w:sz w:val="22"/>
        </w:rPr>
        <w:sectPr>
          <w:pgSz w:w="11910" w:h="16840"/>
          <w:pgMar w:header="0" w:footer="1055" w:top="1920" w:bottom="1240" w:left="1060" w:right="4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8"/>
        <w:rPr>
          <w:b/>
        </w:rPr>
      </w:pPr>
    </w:p>
    <w:p>
      <w:pPr>
        <w:pStyle w:val="ListParagraph"/>
        <w:numPr>
          <w:ilvl w:val="1"/>
          <w:numId w:val="4"/>
        </w:numPr>
        <w:tabs>
          <w:tab w:pos="2540" w:val="left" w:leader="none"/>
        </w:tabs>
        <w:spacing w:line="240" w:lineRule="auto" w:before="0" w:after="0"/>
        <w:ind w:left="2540" w:right="0" w:hanging="2160"/>
        <w:jc w:val="left"/>
        <w:rPr>
          <w:b/>
          <w:sz w:val="22"/>
        </w:rPr>
      </w:pPr>
      <w:r>
        <w:rPr>
          <w:b/>
          <w:sz w:val="22"/>
        </w:rPr>
        <w:t>Comparative</w:t>
      </w:r>
      <w:r>
        <w:rPr>
          <w:b/>
          <w:spacing w:val="-4"/>
          <w:sz w:val="22"/>
        </w:rPr>
        <w:t> </w:t>
      </w:r>
      <w:r>
        <w:rPr>
          <w:b/>
          <w:sz w:val="22"/>
        </w:rPr>
        <w:t>Analysis</w:t>
      </w:r>
      <w:r>
        <w:rPr>
          <w:b/>
          <w:spacing w:val="-2"/>
          <w:sz w:val="22"/>
        </w:rPr>
        <w:t> </w:t>
      </w:r>
      <w:r>
        <w:rPr>
          <w:b/>
          <w:sz w:val="22"/>
        </w:rPr>
        <w:t>of</w:t>
      </w:r>
      <w:r>
        <w:rPr>
          <w:b/>
          <w:spacing w:val="-6"/>
          <w:sz w:val="22"/>
        </w:rPr>
        <w:t> </w:t>
      </w:r>
      <w:r>
        <w:rPr>
          <w:b/>
          <w:sz w:val="22"/>
        </w:rPr>
        <w:t>the</w:t>
      </w:r>
      <w:r>
        <w:rPr>
          <w:b/>
          <w:spacing w:val="-4"/>
          <w:sz w:val="22"/>
        </w:rPr>
        <w:t> </w:t>
      </w:r>
      <w:r>
        <w:rPr>
          <w:b/>
          <w:sz w:val="22"/>
        </w:rPr>
        <w:t>Mean</w:t>
      </w:r>
      <w:r>
        <w:rPr>
          <w:b/>
          <w:spacing w:val="-5"/>
          <w:sz w:val="22"/>
        </w:rPr>
        <w:t> </w:t>
      </w:r>
      <w:r>
        <w:rPr>
          <w:b/>
          <w:sz w:val="22"/>
        </w:rPr>
        <w:t>Zones</w:t>
      </w:r>
      <w:r>
        <w:rPr>
          <w:b/>
          <w:spacing w:val="-4"/>
          <w:sz w:val="22"/>
        </w:rPr>
        <w:t> </w:t>
      </w:r>
      <w:r>
        <w:rPr>
          <w:b/>
          <w:sz w:val="22"/>
        </w:rPr>
        <w:t>of</w:t>
      </w:r>
      <w:r>
        <w:rPr>
          <w:b/>
          <w:spacing w:val="-3"/>
          <w:sz w:val="22"/>
        </w:rPr>
        <w:t> </w:t>
      </w:r>
      <w:r>
        <w:rPr>
          <w:b/>
          <w:spacing w:val="-2"/>
          <w:sz w:val="22"/>
        </w:rPr>
        <w:t>Inhibition</w:t>
      </w:r>
    </w:p>
    <w:p>
      <w:pPr>
        <w:pStyle w:val="BodyText"/>
        <w:rPr>
          <w:b/>
        </w:rPr>
      </w:pPr>
    </w:p>
    <w:p>
      <w:pPr>
        <w:pStyle w:val="BodyText"/>
        <w:spacing w:before="91"/>
        <w:rPr>
          <w:b/>
        </w:rPr>
      </w:pPr>
    </w:p>
    <w:p>
      <w:pPr>
        <w:pStyle w:val="BodyText"/>
        <w:spacing w:line="480" w:lineRule="auto" w:before="1"/>
        <w:ind w:left="1100" w:right="975" w:firstLine="720"/>
        <w:jc w:val="both"/>
      </w:pPr>
      <w:r>
        <w:rPr/>
        <w:t>There is significant difference at P≤0.05 between the mean zone of inhibition of undiluted Honey and 30:50, 40:50, 50:50 % v/v concentrations of Honey/Lemon juice mixtures against </w:t>
      </w:r>
      <w:r>
        <w:rPr>
          <w:i/>
        </w:rPr>
        <w:t>Klebsiella pneumoniae </w:t>
      </w:r>
      <w:r>
        <w:rPr/>
        <w:t>(Fig. 4.12).</w:t>
      </w:r>
    </w:p>
    <w:p>
      <w:pPr>
        <w:pStyle w:val="BodyText"/>
        <w:spacing w:line="480" w:lineRule="auto" w:before="163"/>
        <w:ind w:left="1100" w:right="973" w:firstLine="720"/>
        <w:jc w:val="both"/>
      </w:pPr>
      <w:r>
        <w:rPr/>
        <w:t>There is also significant difference at P≤0.05 between the mean zone of inhibition of undiluted Honey and 10:50, 20:50, 30:50, 40:50, 50:50 % v/v concentrations of Honey and Lemon mixtures against </w:t>
      </w:r>
      <w:r>
        <w:rPr>
          <w:i/>
        </w:rPr>
        <w:t>Staphylococcus aureus </w:t>
      </w:r>
      <w:r>
        <w:rPr/>
        <w:t>(Fig. 4.13).</w:t>
      </w:r>
    </w:p>
    <w:p>
      <w:pPr>
        <w:pStyle w:val="BodyText"/>
        <w:spacing w:line="477" w:lineRule="auto" w:before="159"/>
        <w:ind w:left="1100" w:right="975" w:firstLine="720"/>
        <w:jc w:val="both"/>
      </w:pPr>
      <w:r>
        <w:rPr/>
        <w:t>There is also significant difference at P≤0.05 between the mean zone of inhibition of undiluted Honey and 10:50, 20:50,</w:t>
      </w:r>
      <w:r>
        <w:rPr>
          <w:spacing w:val="16"/>
        </w:rPr>
        <w:t> </w:t>
      </w:r>
      <w:r>
        <w:rPr/>
        <w:t>40:50, 50:50</w:t>
      </w:r>
      <w:r>
        <w:rPr>
          <w:spacing w:val="16"/>
        </w:rPr>
        <w:t> </w:t>
      </w:r>
      <w:r>
        <w:rPr/>
        <w:t>% v/v concentrations of Honey and Lemon</w:t>
      </w:r>
    </w:p>
    <w:p>
      <w:pPr>
        <w:spacing w:after="0" w:line="477" w:lineRule="auto"/>
        <w:jc w:val="both"/>
        <w:sectPr>
          <w:pgSz w:w="11910" w:h="16840"/>
          <w:pgMar w:header="0" w:footer="1055" w:top="1920" w:bottom="1240" w:left="1060" w:right="460"/>
        </w:sectPr>
      </w:pPr>
    </w:p>
    <w:p>
      <w:pPr>
        <w:spacing w:line="480" w:lineRule="auto" w:before="38"/>
        <w:ind w:left="1100" w:right="972" w:firstLine="0"/>
        <w:jc w:val="both"/>
        <w:rPr>
          <w:sz w:val="22"/>
        </w:rPr>
      </w:pPr>
      <w:r>
        <w:rPr>
          <w:sz w:val="22"/>
        </w:rPr>
        <w:t>juice mixtures against </w:t>
      </w:r>
      <w:r>
        <w:rPr>
          <w:i/>
          <w:sz w:val="22"/>
        </w:rPr>
        <w:t>Streptococcus pneumoniae </w:t>
      </w:r>
      <w:r>
        <w:rPr>
          <w:sz w:val="22"/>
        </w:rPr>
        <w:t>and </w:t>
      </w:r>
      <w:r>
        <w:rPr>
          <w:i/>
          <w:sz w:val="22"/>
        </w:rPr>
        <w:t>Streptococcus pyogenes </w:t>
      </w:r>
      <w:r>
        <w:rPr>
          <w:sz w:val="22"/>
        </w:rPr>
        <w:t>(Fig. 4.14; Fig. </w:t>
      </w:r>
      <w:r>
        <w:rPr>
          <w:spacing w:val="-2"/>
          <w:sz w:val="22"/>
        </w:rPr>
        <w:t>4.15).</w:t>
      </w:r>
    </w:p>
    <w:p>
      <w:pPr>
        <w:pStyle w:val="BodyText"/>
        <w:spacing w:line="480" w:lineRule="auto" w:before="160"/>
        <w:ind w:left="1100" w:right="974" w:firstLine="720"/>
        <w:jc w:val="both"/>
      </w:pPr>
      <w:r>
        <w:rPr/>
        <w:t>In addition, there is significant difference at P≤0.05 between the mean zones of inhibition of undiluted Honey, undiluted Lemon and 50:50 % v/v</w:t>
      </w:r>
      <w:r>
        <w:rPr>
          <w:spacing w:val="40"/>
        </w:rPr>
        <w:t> </w:t>
      </w:r>
      <w:r>
        <w:rPr/>
        <w:t>concentrations of Honey and Lemon juice mixtures against </w:t>
      </w:r>
      <w:r>
        <w:rPr>
          <w:i/>
        </w:rPr>
        <w:t>Staphylococcus aureus </w:t>
      </w:r>
      <w:r>
        <w:rPr/>
        <w:t>and </w:t>
      </w:r>
      <w:r>
        <w:rPr>
          <w:i/>
        </w:rPr>
        <w:t>Streptococcus pyogenes </w:t>
      </w:r>
      <w:r>
        <w:rPr/>
        <w:t>(Fig. 4.16; 4.18).</w:t>
      </w:r>
    </w:p>
    <w:p>
      <w:pPr>
        <w:pStyle w:val="BodyText"/>
        <w:spacing w:line="480" w:lineRule="auto" w:before="161"/>
        <w:ind w:left="1100" w:right="973" w:firstLine="720"/>
        <w:jc w:val="both"/>
      </w:pPr>
      <w:r>
        <w:rPr/>
        <w:t>There is significant difference at P≤0.05 between the mean zone of inhibition of undiluted Lemon juice and 10:50, 20:50, 30:50, 40:50 and 50:50 % v/v concentrations of Honey and Lemon juice mixture against </w:t>
      </w:r>
      <w:r>
        <w:rPr>
          <w:i/>
        </w:rPr>
        <w:t>Pseudomonas aeruginosa </w:t>
      </w:r>
      <w:r>
        <w:rPr/>
        <w:t>(Fig. 4.17).</w:t>
      </w:r>
    </w:p>
    <w:p>
      <w:pPr>
        <w:pStyle w:val="BodyText"/>
        <w:spacing w:line="480" w:lineRule="auto" w:before="160"/>
        <w:ind w:left="1100" w:right="974" w:firstLine="720"/>
        <w:jc w:val="both"/>
      </w:pPr>
      <w:r>
        <w:rPr/>
        <w:t>However, for the other organisms and the other concentrations, there is no significant difference at P≤0.05 between 100 % v/v concentration of Honey, 100 % v/v concentration of Lemon juice and the Honey/Lemon juice mixture (see appendix III &amp; IV).</w:t>
      </w:r>
    </w:p>
    <w:p>
      <w:pPr>
        <w:pStyle w:val="BodyText"/>
        <w:spacing w:line="480" w:lineRule="auto" w:before="160"/>
        <w:ind w:left="1100" w:right="973" w:firstLine="720"/>
        <w:jc w:val="both"/>
      </w:pPr>
      <w:r>
        <w:rPr/>
        <w:t>Furthermore, the mean zone of inhibition between Honey and lemon juice and the standard antibiotic formulations has been compared. There is no significant difference at P≤0.05 between the standard antibiotic formulations and undiluted honey, undiluted lemon juice,</w:t>
      </w:r>
      <w:r>
        <w:rPr>
          <w:spacing w:val="-1"/>
        </w:rPr>
        <w:t> </w:t>
      </w:r>
      <w:r>
        <w:rPr/>
        <w:t>honey/lemon</w:t>
      </w:r>
      <w:r>
        <w:rPr>
          <w:spacing w:val="-2"/>
        </w:rPr>
        <w:t> </w:t>
      </w:r>
      <w:r>
        <w:rPr/>
        <w:t>juice</w:t>
      </w:r>
      <w:r>
        <w:rPr>
          <w:spacing w:val="-1"/>
        </w:rPr>
        <w:t> </w:t>
      </w:r>
      <w:r>
        <w:rPr/>
        <w:t>mixture; except</w:t>
      </w:r>
      <w:r>
        <w:rPr>
          <w:spacing w:val="-1"/>
        </w:rPr>
        <w:t> </w:t>
      </w:r>
      <w:r>
        <w:rPr/>
        <w:t>for</w:t>
      </w:r>
      <w:r>
        <w:rPr>
          <w:spacing w:val="-1"/>
        </w:rPr>
        <w:t> </w:t>
      </w:r>
      <w:r>
        <w:rPr/>
        <w:t>AMC,</w:t>
      </w:r>
      <w:r>
        <w:rPr>
          <w:spacing w:val="-1"/>
        </w:rPr>
        <w:t> </w:t>
      </w:r>
      <w:r>
        <w:rPr/>
        <w:t>and</w:t>
      </w:r>
      <w:r>
        <w:rPr>
          <w:spacing w:val="-2"/>
        </w:rPr>
        <w:t> </w:t>
      </w:r>
      <w:r>
        <w:rPr/>
        <w:t>AZM in</w:t>
      </w:r>
      <w:r>
        <w:rPr>
          <w:spacing w:val="-3"/>
        </w:rPr>
        <w:t> </w:t>
      </w:r>
      <w:r>
        <w:rPr/>
        <w:t>some,</w:t>
      </w:r>
      <w:r>
        <w:rPr>
          <w:spacing w:val="-1"/>
        </w:rPr>
        <w:t> </w:t>
      </w:r>
      <w:r>
        <w:rPr/>
        <w:t>25 % v/v concentration of Honey (Table 4.10 to 4.26).</w:t>
      </w:r>
    </w:p>
    <w:p>
      <w:pPr>
        <w:spacing w:after="0" w:line="480" w:lineRule="auto"/>
        <w:jc w:val="both"/>
        <w:sectPr>
          <w:pgSz w:w="11910" w:h="16840"/>
          <w:pgMar w:header="0" w:footer="1055" w:top="1380" w:bottom="1240" w:left="1060" w:right="46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4"/>
        <w:rPr>
          <w:sz w:val="18"/>
        </w:rPr>
      </w:pPr>
    </w:p>
    <w:p>
      <w:pPr>
        <w:spacing w:before="0"/>
        <w:ind w:left="1022" w:right="0" w:firstLine="0"/>
        <w:jc w:val="left"/>
        <w:rPr>
          <w:sz w:val="18"/>
        </w:rPr>
      </w:pPr>
      <w:r>
        <w:rPr/>
        <mc:AlternateContent>
          <mc:Choice Requires="wps">
            <w:drawing>
              <wp:anchor distT="0" distB="0" distL="0" distR="0" allowOverlap="1" layoutInCell="1" locked="0" behindDoc="0" simplePos="0" relativeHeight="15752704">
                <wp:simplePos x="0" y="0"/>
                <wp:positionH relativeFrom="page">
                  <wp:posOffset>3194557</wp:posOffset>
                </wp:positionH>
                <wp:positionV relativeFrom="paragraph">
                  <wp:posOffset>-63007</wp:posOffset>
                </wp:positionV>
                <wp:extent cx="3295650" cy="1510665"/>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3295650" cy="1510665"/>
                          <a:chExt cx="3295650" cy="1510665"/>
                        </a:xfrm>
                      </wpg:grpSpPr>
                      <pic:pic>
                        <pic:nvPicPr>
                          <pic:cNvPr id="170" name="Image 170"/>
                          <pic:cNvPicPr/>
                        </pic:nvPicPr>
                        <pic:blipFill>
                          <a:blip r:embed="rId297" cstate="print"/>
                          <a:stretch>
                            <a:fillRect/>
                          </a:stretch>
                        </pic:blipFill>
                        <pic:spPr>
                          <a:xfrm>
                            <a:off x="0" y="0"/>
                            <a:ext cx="1492504" cy="1510411"/>
                          </a:xfrm>
                          <a:prstGeom prst="rect">
                            <a:avLst/>
                          </a:prstGeom>
                        </pic:spPr>
                      </pic:pic>
                      <pic:pic>
                        <pic:nvPicPr>
                          <pic:cNvPr id="171" name="Image 171"/>
                          <pic:cNvPicPr/>
                        </pic:nvPicPr>
                        <pic:blipFill>
                          <a:blip r:embed="rId297" cstate="print"/>
                          <a:stretch>
                            <a:fillRect/>
                          </a:stretch>
                        </pic:blipFill>
                        <pic:spPr>
                          <a:xfrm>
                            <a:off x="890524" y="0"/>
                            <a:ext cx="1492503" cy="1510411"/>
                          </a:xfrm>
                          <a:prstGeom prst="rect">
                            <a:avLst/>
                          </a:prstGeom>
                        </pic:spPr>
                      </pic:pic>
                      <pic:pic>
                        <pic:nvPicPr>
                          <pic:cNvPr id="172" name="Image 172"/>
                          <pic:cNvPicPr/>
                        </pic:nvPicPr>
                        <pic:blipFill>
                          <a:blip r:embed="rId297" cstate="print"/>
                          <a:stretch>
                            <a:fillRect/>
                          </a:stretch>
                        </pic:blipFill>
                        <pic:spPr>
                          <a:xfrm>
                            <a:off x="1802892" y="0"/>
                            <a:ext cx="1492503" cy="1510411"/>
                          </a:xfrm>
                          <a:prstGeom prst="rect">
                            <a:avLst/>
                          </a:prstGeom>
                        </pic:spPr>
                      </pic:pic>
                    </wpg:wgp>
                  </a:graphicData>
                </a:graphic>
              </wp:anchor>
            </w:drawing>
          </mc:Choice>
          <mc:Fallback>
            <w:pict>
              <v:group style="position:absolute;margin-left:251.539993pt;margin-top:-4.96125pt;width:259.5pt;height:118.95pt;mso-position-horizontal-relative:page;mso-position-vertical-relative:paragraph;z-index:15752704" id="docshapegroup127" coordorigin="5031,-99" coordsize="5190,2379">
                <v:shape style="position:absolute;left:5030;top:-100;width:2351;height:2379" type="#_x0000_t75" id="docshape128" stroked="false">
                  <v:imagedata r:id="rId297" o:title=""/>
                </v:shape>
                <v:shape style="position:absolute;left:6433;top:-100;width:2351;height:2379" type="#_x0000_t75" id="docshape129" stroked="false">
                  <v:imagedata r:id="rId297" o:title=""/>
                </v:shape>
                <v:shape style="position:absolute;left:7870;top:-100;width:2351;height:2379" type="#_x0000_t75" id="docshape130" stroked="false">
                  <v:imagedata r:id="rId297" o:title=""/>
                </v:shape>
                <w10:wrap type="none"/>
              </v:group>
            </w:pict>
          </mc:Fallback>
        </mc:AlternateContent>
      </w:r>
      <w:r>
        <w:rPr>
          <w:spacing w:val="-2"/>
          <w:sz w:val="18"/>
        </w:rPr>
        <w:t>25.000</w:t>
      </w:r>
    </w:p>
    <w:p>
      <w:pPr>
        <w:pStyle w:val="BodyText"/>
        <w:rPr>
          <w:sz w:val="18"/>
        </w:rPr>
      </w:pPr>
    </w:p>
    <w:p>
      <w:pPr>
        <w:pStyle w:val="BodyText"/>
        <w:rPr>
          <w:sz w:val="18"/>
        </w:rPr>
      </w:pPr>
    </w:p>
    <w:p>
      <w:pPr>
        <w:pStyle w:val="BodyText"/>
        <w:rPr>
          <w:sz w:val="18"/>
        </w:rPr>
      </w:pPr>
    </w:p>
    <w:p>
      <w:pPr>
        <w:pStyle w:val="BodyText"/>
        <w:spacing w:before="112"/>
        <w:rPr>
          <w:sz w:val="18"/>
        </w:rPr>
      </w:pPr>
    </w:p>
    <w:p>
      <w:pPr>
        <w:spacing w:before="0"/>
        <w:ind w:left="1022" w:right="0" w:firstLine="0"/>
        <w:jc w:val="left"/>
        <w:rPr>
          <w:sz w:val="18"/>
        </w:rPr>
      </w:pPr>
      <w:r>
        <w:rPr/>
        <mc:AlternateContent>
          <mc:Choice Requires="wps">
            <w:drawing>
              <wp:anchor distT="0" distB="0" distL="0" distR="0" allowOverlap="1" layoutInCell="1" locked="0" behindDoc="1" simplePos="0" relativeHeight="472721408">
                <wp:simplePos x="0" y="0"/>
                <wp:positionH relativeFrom="page">
                  <wp:posOffset>1979676</wp:posOffset>
                </wp:positionH>
                <wp:positionV relativeFrom="paragraph">
                  <wp:posOffset>114898</wp:posOffset>
                </wp:positionV>
                <wp:extent cx="205740" cy="3035935"/>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205740" cy="3035935"/>
                          <a:chExt cx="205740" cy="3035935"/>
                        </a:xfrm>
                      </wpg:grpSpPr>
                      <wps:wsp>
                        <wps:cNvPr id="174" name="Graphic 174"/>
                        <wps:cNvSpPr/>
                        <wps:spPr>
                          <a:xfrm>
                            <a:off x="0" y="63753"/>
                            <a:ext cx="205740" cy="2971800"/>
                          </a:xfrm>
                          <a:custGeom>
                            <a:avLst/>
                            <a:gdLst/>
                            <a:ahLst/>
                            <a:cxnLst/>
                            <a:rect l="l" t="t" r="r" b="b"/>
                            <a:pathLst>
                              <a:path w="205740" h="2971800">
                                <a:moveTo>
                                  <a:pt x="205740" y="0"/>
                                </a:moveTo>
                                <a:lnTo>
                                  <a:pt x="0" y="0"/>
                                </a:lnTo>
                                <a:lnTo>
                                  <a:pt x="0" y="2971800"/>
                                </a:lnTo>
                                <a:lnTo>
                                  <a:pt x="205740" y="2971800"/>
                                </a:lnTo>
                                <a:lnTo>
                                  <a:pt x="205740" y="0"/>
                                </a:lnTo>
                                <a:close/>
                              </a:path>
                            </a:pathLst>
                          </a:custGeom>
                          <a:solidFill>
                            <a:srgbClr val="5B9BD4"/>
                          </a:solidFill>
                        </wps:spPr>
                        <wps:bodyPr wrap="square" lIns="0" tIns="0" rIns="0" bIns="0" rtlCol="0">
                          <a:prstTxWarp prst="textNoShape">
                            <a:avLst/>
                          </a:prstTxWarp>
                          <a:noAutofit/>
                        </wps:bodyPr>
                      </wps:wsp>
                      <wps:wsp>
                        <wps:cNvPr id="175" name="Graphic 175"/>
                        <wps:cNvSpPr/>
                        <wps:spPr>
                          <a:xfrm>
                            <a:off x="74802" y="6350"/>
                            <a:ext cx="57150" cy="115570"/>
                          </a:xfrm>
                          <a:custGeom>
                            <a:avLst/>
                            <a:gdLst/>
                            <a:ahLst/>
                            <a:cxnLst/>
                            <a:rect l="l" t="t" r="r" b="b"/>
                            <a:pathLst>
                              <a:path w="57150" h="115570">
                                <a:moveTo>
                                  <a:pt x="28575" y="115062"/>
                                </a:moveTo>
                                <a:lnTo>
                                  <a:pt x="28575" y="57530"/>
                                </a:lnTo>
                                <a:lnTo>
                                  <a:pt x="28575" y="0"/>
                                </a:lnTo>
                              </a:path>
                              <a:path w="57150" h="11557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5.880005pt;margin-top:9.04711pt;width:16.2pt;height:239.05pt;mso-position-horizontal-relative:page;mso-position-vertical-relative:paragraph;z-index:-30595072" id="docshapegroup131" coordorigin="3118,181" coordsize="324,4781">
                <v:rect style="position:absolute;left:3117;top:281;width:324;height:4680" id="docshape132" filled="true" fillcolor="#5b9bd4" stroked="false">
                  <v:fill type="solid"/>
                </v:rect>
                <v:shape style="position:absolute;left:3235;top:190;width:90;height:182" id="docshape133" coordorigin="3235,191" coordsize="90,182" path="m3280,372l3280,282,3280,191m3235,191l3325,191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21920">
                <wp:simplePos x="0" y="0"/>
                <wp:positionH relativeFrom="page">
                  <wp:posOffset>2898648</wp:posOffset>
                </wp:positionH>
                <wp:positionV relativeFrom="paragraph">
                  <wp:posOffset>114898</wp:posOffset>
                </wp:positionV>
                <wp:extent cx="207645" cy="303593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207645" cy="3035935"/>
                          <a:chExt cx="207645" cy="3035935"/>
                        </a:xfrm>
                      </wpg:grpSpPr>
                      <wps:wsp>
                        <wps:cNvPr id="177" name="Graphic 177"/>
                        <wps:cNvSpPr/>
                        <wps:spPr>
                          <a:xfrm>
                            <a:off x="0" y="63753"/>
                            <a:ext cx="207645" cy="2971800"/>
                          </a:xfrm>
                          <a:custGeom>
                            <a:avLst/>
                            <a:gdLst/>
                            <a:ahLst/>
                            <a:cxnLst/>
                            <a:rect l="l" t="t" r="r" b="b"/>
                            <a:pathLst>
                              <a:path w="207645" h="2971800">
                                <a:moveTo>
                                  <a:pt x="207263" y="0"/>
                                </a:moveTo>
                                <a:lnTo>
                                  <a:pt x="0" y="0"/>
                                </a:lnTo>
                                <a:lnTo>
                                  <a:pt x="0" y="2971800"/>
                                </a:lnTo>
                                <a:lnTo>
                                  <a:pt x="207263" y="2971800"/>
                                </a:lnTo>
                                <a:lnTo>
                                  <a:pt x="207263" y="0"/>
                                </a:lnTo>
                                <a:close/>
                              </a:path>
                            </a:pathLst>
                          </a:custGeom>
                          <a:solidFill>
                            <a:srgbClr val="5B9BD4"/>
                          </a:solidFill>
                        </wps:spPr>
                        <wps:bodyPr wrap="square" lIns="0" tIns="0" rIns="0" bIns="0" rtlCol="0">
                          <a:prstTxWarp prst="textNoShape">
                            <a:avLst/>
                          </a:prstTxWarp>
                          <a:noAutofit/>
                        </wps:bodyPr>
                      </wps:wsp>
                      <wps:wsp>
                        <wps:cNvPr id="178" name="Graphic 178"/>
                        <wps:cNvSpPr/>
                        <wps:spPr>
                          <a:xfrm>
                            <a:off x="74930" y="6350"/>
                            <a:ext cx="57150" cy="115570"/>
                          </a:xfrm>
                          <a:custGeom>
                            <a:avLst/>
                            <a:gdLst/>
                            <a:ahLst/>
                            <a:cxnLst/>
                            <a:rect l="l" t="t" r="r" b="b"/>
                            <a:pathLst>
                              <a:path w="57150" h="115570">
                                <a:moveTo>
                                  <a:pt x="28575" y="115062"/>
                                </a:moveTo>
                                <a:lnTo>
                                  <a:pt x="28575" y="57530"/>
                                </a:lnTo>
                                <a:lnTo>
                                  <a:pt x="28575" y="0"/>
                                </a:lnTo>
                              </a:path>
                              <a:path w="57150" h="11557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240005pt;margin-top:9.04711pt;width:16.3500pt;height:239.05pt;mso-position-horizontal-relative:page;mso-position-vertical-relative:paragraph;z-index:-30594560" id="docshapegroup134" coordorigin="4565,181" coordsize="327,4781">
                <v:rect style="position:absolute;left:4564;top:281;width:327;height:4680" id="docshape135" filled="true" fillcolor="#5b9bd4" stroked="false">
                  <v:fill type="solid"/>
                </v:rect>
                <v:shape style="position:absolute;left:4682;top:190;width:90;height:182" id="docshape136" coordorigin="4683,191" coordsize="90,182" path="m4728,372l4728,282,4728,191m4683,191l4773,191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22432">
                <wp:simplePos x="0" y="0"/>
                <wp:positionH relativeFrom="page">
                  <wp:posOffset>3817620</wp:posOffset>
                </wp:positionH>
                <wp:positionV relativeFrom="paragraph">
                  <wp:posOffset>114898</wp:posOffset>
                </wp:positionV>
                <wp:extent cx="207645" cy="303593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207645" cy="3035935"/>
                          <a:chExt cx="207645" cy="3035935"/>
                        </a:xfrm>
                      </wpg:grpSpPr>
                      <wps:wsp>
                        <wps:cNvPr id="180" name="Graphic 180"/>
                        <wps:cNvSpPr/>
                        <wps:spPr>
                          <a:xfrm>
                            <a:off x="0" y="63753"/>
                            <a:ext cx="207645" cy="2971800"/>
                          </a:xfrm>
                          <a:custGeom>
                            <a:avLst/>
                            <a:gdLst/>
                            <a:ahLst/>
                            <a:cxnLst/>
                            <a:rect l="l" t="t" r="r" b="b"/>
                            <a:pathLst>
                              <a:path w="207645" h="2971800">
                                <a:moveTo>
                                  <a:pt x="207263" y="0"/>
                                </a:moveTo>
                                <a:lnTo>
                                  <a:pt x="0" y="0"/>
                                </a:lnTo>
                                <a:lnTo>
                                  <a:pt x="0" y="2971800"/>
                                </a:lnTo>
                                <a:lnTo>
                                  <a:pt x="207263" y="2971800"/>
                                </a:lnTo>
                                <a:lnTo>
                                  <a:pt x="207263" y="0"/>
                                </a:lnTo>
                                <a:close/>
                              </a:path>
                            </a:pathLst>
                          </a:custGeom>
                          <a:solidFill>
                            <a:srgbClr val="5B9BD4"/>
                          </a:solidFill>
                        </wps:spPr>
                        <wps:bodyPr wrap="square" lIns="0" tIns="0" rIns="0" bIns="0" rtlCol="0">
                          <a:prstTxWarp prst="textNoShape">
                            <a:avLst/>
                          </a:prstTxWarp>
                          <a:noAutofit/>
                        </wps:bodyPr>
                      </wps:wsp>
                      <wps:wsp>
                        <wps:cNvPr id="181" name="Graphic 181"/>
                        <wps:cNvSpPr/>
                        <wps:spPr>
                          <a:xfrm>
                            <a:off x="75184" y="6350"/>
                            <a:ext cx="57150" cy="115570"/>
                          </a:xfrm>
                          <a:custGeom>
                            <a:avLst/>
                            <a:gdLst/>
                            <a:ahLst/>
                            <a:cxnLst/>
                            <a:rect l="l" t="t" r="r" b="b"/>
                            <a:pathLst>
                              <a:path w="57150" h="115570">
                                <a:moveTo>
                                  <a:pt x="28575" y="115062"/>
                                </a:moveTo>
                                <a:lnTo>
                                  <a:pt x="28575" y="57530"/>
                                </a:lnTo>
                                <a:lnTo>
                                  <a:pt x="28575" y="0"/>
                                </a:lnTo>
                              </a:path>
                              <a:path w="57150" h="11557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0.600006pt;margin-top:9.04711pt;width:16.3500pt;height:239.05pt;mso-position-horizontal-relative:page;mso-position-vertical-relative:paragraph;z-index:-30594048" id="docshapegroup137" coordorigin="6012,181" coordsize="327,4781">
                <v:rect style="position:absolute;left:6012;top:281;width:327;height:4680" id="docshape138" filled="true" fillcolor="#5b9bd4" stroked="false">
                  <v:fill type="solid"/>
                </v:rect>
                <v:shape style="position:absolute;left:6130;top:190;width:90;height:182" id="docshape139" coordorigin="6130,191" coordsize="90,182" path="m6175,372l6175,282,6175,191m6130,191l6220,191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22944">
                <wp:simplePos x="0" y="0"/>
                <wp:positionH relativeFrom="page">
                  <wp:posOffset>4738115</wp:posOffset>
                </wp:positionH>
                <wp:positionV relativeFrom="paragraph">
                  <wp:posOffset>114898</wp:posOffset>
                </wp:positionV>
                <wp:extent cx="205740" cy="3035935"/>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205740" cy="3035935"/>
                          <a:chExt cx="205740" cy="3035935"/>
                        </a:xfrm>
                      </wpg:grpSpPr>
                      <wps:wsp>
                        <wps:cNvPr id="183" name="Graphic 183"/>
                        <wps:cNvSpPr/>
                        <wps:spPr>
                          <a:xfrm>
                            <a:off x="0" y="63753"/>
                            <a:ext cx="205740" cy="2971800"/>
                          </a:xfrm>
                          <a:custGeom>
                            <a:avLst/>
                            <a:gdLst/>
                            <a:ahLst/>
                            <a:cxnLst/>
                            <a:rect l="l" t="t" r="r" b="b"/>
                            <a:pathLst>
                              <a:path w="205740" h="2971800">
                                <a:moveTo>
                                  <a:pt x="205739" y="0"/>
                                </a:moveTo>
                                <a:lnTo>
                                  <a:pt x="0" y="0"/>
                                </a:lnTo>
                                <a:lnTo>
                                  <a:pt x="0" y="2971800"/>
                                </a:lnTo>
                                <a:lnTo>
                                  <a:pt x="205739" y="2971800"/>
                                </a:lnTo>
                                <a:lnTo>
                                  <a:pt x="205739" y="0"/>
                                </a:lnTo>
                                <a:close/>
                              </a:path>
                            </a:pathLst>
                          </a:custGeom>
                          <a:solidFill>
                            <a:srgbClr val="5B9BD4"/>
                          </a:solidFill>
                        </wps:spPr>
                        <wps:bodyPr wrap="square" lIns="0" tIns="0" rIns="0" bIns="0" rtlCol="0">
                          <a:prstTxWarp prst="textNoShape">
                            <a:avLst/>
                          </a:prstTxWarp>
                          <a:noAutofit/>
                        </wps:bodyPr>
                      </wps:wsp>
                      <wps:wsp>
                        <wps:cNvPr id="184" name="Graphic 184"/>
                        <wps:cNvSpPr/>
                        <wps:spPr>
                          <a:xfrm>
                            <a:off x="73914" y="6350"/>
                            <a:ext cx="57150" cy="115570"/>
                          </a:xfrm>
                          <a:custGeom>
                            <a:avLst/>
                            <a:gdLst/>
                            <a:ahLst/>
                            <a:cxnLst/>
                            <a:rect l="l" t="t" r="r" b="b"/>
                            <a:pathLst>
                              <a:path w="57150" h="115570">
                                <a:moveTo>
                                  <a:pt x="28575" y="115062"/>
                                </a:moveTo>
                                <a:lnTo>
                                  <a:pt x="28575" y="57530"/>
                                </a:lnTo>
                                <a:lnTo>
                                  <a:pt x="28575" y="0"/>
                                </a:lnTo>
                              </a:path>
                              <a:path w="57150" h="11557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3.079987pt;margin-top:9.04711pt;width:16.2pt;height:239.05pt;mso-position-horizontal-relative:page;mso-position-vertical-relative:paragraph;z-index:-30593536" id="docshapegroup140" coordorigin="7462,181" coordsize="324,4781">
                <v:rect style="position:absolute;left:7461;top:281;width:324;height:4680" id="docshape141" filled="true" fillcolor="#5b9bd4" stroked="false">
                  <v:fill type="solid"/>
                </v:rect>
                <v:shape style="position:absolute;left:7578;top:190;width:90;height:182" id="docshape142" coordorigin="7578,191" coordsize="90,182" path="m7623,372l7623,282,7623,191m7578,191l7668,191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23456">
                <wp:simplePos x="0" y="0"/>
                <wp:positionH relativeFrom="page">
                  <wp:posOffset>5657088</wp:posOffset>
                </wp:positionH>
                <wp:positionV relativeFrom="paragraph">
                  <wp:posOffset>114898</wp:posOffset>
                </wp:positionV>
                <wp:extent cx="205740" cy="303593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205740" cy="3035935"/>
                          <a:chExt cx="205740" cy="3035935"/>
                        </a:xfrm>
                      </wpg:grpSpPr>
                      <wps:wsp>
                        <wps:cNvPr id="186" name="Graphic 186"/>
                        <wps:cNvSpPr/>
                        <wps:spPr>
                          <a:xfrm>
                            <a:off x="0" y="63753"/>
                            <a:ext cx="205740" cy="2971800"/>
                          </a:xfrm>
                          <a:custGeom>
                            <a:avLst/>
                            <a:gdLst/>
                            <a:ahLst/>
                            <a:cxnLst/>
                            <a:rect l="l" t="t" r="r" b="b"/>
                            <a:pathLst>
                              <a:path w="205740" h="2971800">
                                <a:moveTo>
                                  <a:pt x="205739" y="0"/>
                                </a:moveTo>
                                <a:lnTo>
                                  <a:pt x="0" y="0"/>
                                </a:lnTo>
                                <a:lnTo>
                                  <a:pt x="0" y="2971800"/>
                                </a:lnTo>
                                <a:lnTo>
                                  <a:pt x="205739" y="2971800"/>
                                </a:lnTo>
                                <a:lnTo>
                                  <a:pt x="205739" y="0"/>
                                </a:lnTo>
                                <a:close/>
                              </a:path>
                            </a:pathLst>
                          </a:custGeom>
                          <a:solidFill>
                            <a:srgbClr val="5B9BD4"/>
                          </a:solidFill>
                        </wps:spPr>
                        <wps:bodyPr wrap="square" lIns="0" tIns="0" rIns="0" bIns="0" rtlCol="0">
                          <a:prstTxWarp prst="textNoShape">
                            <a:avLst/>
                          </a:prstTxWarp>
                          <a:noAutofit/>
                        </wps:bodyPr>
                      </wps:wsp>
                      <wps:wsp>
                        <wps:cNvPr id="187" name="Graphic 187"/>
                        <wps:cNvSpPr/>
                        <wps:spPr>
                          <a:xfrm>
                            <a:off x="74040" y="6350"/>
                            <a:ext cx="57150" cy="115570"/>
                          </a:xfrm>
                          <a:custGeom>
                            <a:avLst/>
                            <a:gdLst/>
                            <a:ahLst/>
                            <a:cxnLst/>
                            <a:rect l="l" t="t" r="r" b="b"/>
                            <a:pathLst>
                              <a:path w="57150" h="115570">
                                <a:moveTo>
                                  <a:pt x="28575" y="115062"/>
                                </a:moveTo>
                                <a:lnTo>
                                  <a:pt x="28575" y="57530"/>
                                </a:lnTo>
                                <a:lnTo>
                                  <a:pt x="28575" y="0"/>
                                </a:lnTo>
                              </a:path>
                              <a:path w="57150" h="11557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5.440002pt;margin-top:9.04711pt;width:16.2pt;height:239.05pt;mso-position-horizontal-relative:page;mso-position-vertical-relative:paragraph;z-index:-30593024" id="docshapegroup143" coordorigin="8909,181" coordsize="324,4781">
                <v:rect style="position:absolute;left:8908;top:281;width:324;height:4680" id="docshape144" filled="true" fillcolor="#5b9bd4" stroked="false">
                  <v:fill type="solid"/>
                </v:rect>
                <v:shape style="position:absolute;left:9025;top:190;width:90;height:182" id="docshape145" coordorigin="9025,191" coordsize="90,182" path="m9070,372l9070,282,9070,191m9025,191l9115,191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49120">
                <wp:simplePos x="0" y="0"/>
                <wp:positionH relativeFrom="page">
                  <wp:posOffset>2241804</wp:posOffset>
                </wp:positionH>
                <wp:positionV relativeFrom="paragraph">
                  <wp:posOffset>-170343</wp:posOffset>
                </wp:positionV>
                <wp:extent cx="205740" cy="332105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205740" cy="3321050"/>
                          <a:chExt cx="205740" cy="3321050"/>
                        </a:xfrm>
                      </wpg:grpSpPr>
                      <wps:wsp>
                        <wps:cNvPr id="189" name="Graphic 189"/>
                        <wps:cNvSpPr/>
                        <wps:spPr>
                          <a:xfrm>
                            <a:off x="0" y="114300"/>
                            <a:ext cx="205740" cy="3206750"/>
                          </a:xfrm>
                          <a:custGeom>
                            <a:avLst/>
                            <a:gdLst/>
                            <a:ahLst/>
                            <a:cxnLst/>
                            <a:rect l="l" t="t" r="r" b="b"/>
                            <a:pathLst>
                              <a:path w="205740" h="3206750">
                                <a:moveTo>
                                  <a:pt x="205739" y="0"/>
                                </a:moveTo>
                                <a:lnTo>
                                  <a:pt x="0" y="0"/>
                                </a:lnTo>
                                <a:lnTo>
                                  <a:pt x="0" y="3206496"/>
                                </a:lnTo>
                                <a:lnTo>
                                  <a:pt x="205739" y="3206496"/>
                                </a:lnTo>
                                <a:lnTo>
                                  <a:pt x="205739" y="0"/>
                                </a:lnTo>
                                <a:close/>
                              </a:path>
                            </a:pathLst>
                          </a:custGeom>
                          <a:solidFill>
                            <a:srgbClr val="EC7C30"/>
                          </a:solidFill>
                        </wps:spPr>
                        <wps:bodyPr wrap="square" lIns="0" tIns="0" rIns="0" bIns="0" rtlCol="0">
                          <a:prstTxWarp prst="textNoShape">
                            <a:avLst/>
                          </a:prstTxWarp>
                          <a:noAutofit/>
                        </wps:bodyPr>
                      </wps:wsp>
                      <wps:wsp>
                        <wps:cNvPr id="190" name="Graphic 190"/>
                        <wps:cNvSpPr/>
                        <wps:spPr>
                          <a:xfrm>
                            <a:off x="74294" y="6350"/>
                            <a:ext cx="57150" cy="213995"/>
                          </a:xfrm>
                          <a:custGeom>
                            <a:avLst/>
                            <a:gdLst/>
                            <a:ahLst/>
                            <a:cxnLst/>
                            <a:rect l="l" t="t" r="r" b="b"/>
                            <a:pathLst>
                              <a:path w="57150" h="213995">
                                <a:moveTo>
                                  <a:pt x="28575" y="213994"/>
                                </a:moveTo>
                                <a:lnTo>
                                  <a:pt x="28575" y="106933"/>
                                </a:lnTo>
                                <a:lnTo>
                                  <a:pt x="28575" y="0"/>
                                </a:lnTo>
                              </a:path>
                              <a:path w="57150" h="213995">
                                <a:moveTo>
                                  <a:pt x="0" y="213994"/>
                                </a:moveTo>
                                <a:lnTo>
                                  <a:pt x="57150" y="213994"/>
                                </a:lnTo>
                              </a:path>
                              <a:path w="57150" h="21399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6.520004pt;margin-top:-13.41289pt;width:16.2pt;height:261.5pt;mso-position-horizontal-relative:page;mso-position-vertical-relative:paragraph;z-index:15749120" id="docshapegroup146" coordorigin="3530,-268" coordsize="324,5230">
                <v:rect style="position:absolute;left:3530;top:-89;width:324;height:5050" id="docshape147" filled="true" fillcolor="#ec7c30" stroked="false">
                  <v:fill type="solid"/>
                </v:rect>
                <v:shape style="position:absolute;left:3647;top:-259;width:90;height:337" id="docshape148" coordorigin="3647,-258" coordsize="90,337" path="m3692,79l3692,-90,3692,-258m3647,79l3737,79m3647,-258l3737,-258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49632">
                <wp:simplePos x="0" y="0"/>
                <wp:positionH relativeFrom="page">
                  <wp:posOffset>3160776</wp:posOffset>
                </wp:positionH>
                <wp:positionV relativeFrom="paragraph">
                  <wp:posOffset>-173899</wp:posOffset>
                </wp:positionV>
                <wp:extent cx="205740" cy="3324860"/>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205740" cy="3324860"/>
                          <a:chExt cx="205740" cy="3324860"/>
                        </a:xfrm>
                      </wpg:grpSpPr>
                      <wps:wsp>
                        <wps:cNvPr id="192" name="Graphic 192"/>
                        <wps:cNvSpPr/>
                        <wps:spPr>
                          <a:xfrm>
                            <a:off x="0" y="96519"/>
                            <a:ext cx="205740" cy="3228340"/>
                          </a:xfrm>
                          <a:custGeom>
                            <a:avLst/>
                            <a:gdLst/>
                            <a:ahLst/>
                            <a:cxnLst/>
                            <a:rect l="l" t="t" r="r" b="b"/>
                            <a:pathLst>
                              <a:path w="205740" h="3228340">
                                <a:moveTo>
                                  <a:pt x="205739" y="0"/>
                                </a:moveTo>
                                <a:lnTo>
                                  <a:pt x="0" y="0"/>
                                </a:lnTo>
                                <a:lnTo>
                                  <a:pt x="0" y="3227832"/>
                                </a:lnTo>
                                <a:lnTo>
                                  <a:pt x="205739" y="3227832"/>
                                </a:lnTo>
                                <a:lnTo>
                                  <a:pt x="205739" y="0"/>
                                </a:lnTo>
                                <a:close/>
                              </a:path>
                            </a:pathLst>
                          </a:custGeom>
                          <a:solidFill>
                            <a:srgbClr val="EC7C30"/>
                          </a:solidFill>
                        </wps:spPr>
                        <wps:bodyPr wrap="square" lIns="0" tIns="0" rIns="0" bIns="0" rtlCol="0">
                          <a:prstTxWarp prst="textNoShape">
                            <a:avLst/>
                          </a:prstTxWarp>
                          <a:noAutofit/>
                        </wps:bodyPr>
                      </wps:wsp>
                      <wps:wsp>
                        <wps:cNvPr id="193" name="Graphic 193"/>
                        <wps:cNvSpPr/>
                        <wps:spPr>
                          <a:xfrm>
                            <a:off x="74548" y="6350"/>
                            <a:ext cx="57150" cy="180340"/>
                          </a:xfrm>
                          <a:custGeom>
                            <a:avLst/>
                            <a:gdLst/>
                            <a:ahLst/>
                            <a:cxnLst/>
                            <a:rect l="l" t="t" r="r" b="b"/>
                            <a:pathLst>
                              <a:path w="57150" h="180340">
                                <a:moveTo>
                                  <a:pt x="28575" y="180085"/>
                                </a:moveTo>
                                <a:lnTo>
                                  <a:pt x="28575" y="90042"/>
                                </a:lnTo>
                                <a:lnTo>
                                  <a:pt x="28575" y="0"/>
                                </a:lnTo>
                              </a:path>
                              <a:path w="57150" h="180340">
                                <a:moveTo>
                                  <a:pt x="0" y="180085"/>
                                </a:moveTo>
                                <a:lnTo>
                                  <a:pt x="57150" y="180085"/>
                                </a:lnTo>
                              </a:path>
                              <a:path w="57150" h="18034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8.880005pt;margin-top:-13.69289pt;width:16.2pt;height:261.8pt;mso-position-horizontal-relative:page;mso-position-vertical-relative:paragraph;z-index:15749632" id="docshapegroup149" coordorigin="4978,-274" coordsize="324,5236">
                <v:rect style="position:absolute;left:4977;top:-122;width:324;height:5084" id="docshape150" filled="true" fillcolor="#ec7c30" stroked="false">
                  <v:fill type="solid"/>
                </v:rect>
                <v:shape style="position:absolute;left:5095;top:-264;width:90;height:284" id="docshape151" coordorigin="5095,-264" coordsize="90,284" path="m5140,20l5140,-122,5140,-264m5095,20l5185,20m5095,-264l5185,-264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50144">
                <wp:simplePos x="0" y="0"/>
                <wp:positionH relativeFrom="page">
                  <wp:posOffset>4079747</wp:posOffset>
                </wp:positionH>
                <wp:positionV relativeFrom="paragraph">
                  <wp:posOffset>-278166</wp:posOffset>
                </wp:positionV>
                <wp:extent cx="207645" cy="342900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207645" cy="3429000"/>
                          <a:chExt cx="207645" cy="3429000"/>
                        </a:xfrm>
                      </wpg:grpSpPr>
                      <wps:wsp>
                        <wps:cNvPr id="195" name="Graphic 195"/>
                        <wps:cNvSpPr/>
                        <wps:spPr>
                          <a:xfrm>
                            <a:off x="0" y="57531"/>
                            <a:ext cx="207645" cy="3371215"/>
                          </a:xfrm>
                          <a:custGeom>
                            <a:avLst/>
                            <a:gdLst/>
                            <a:ahLst/>
                            <a:cxnLst/>
                            <a:rect l="l" t="t" r="r" b="b"/>
                            <a:pathLst>
                              <a:path w="207645" h="3371215">
                                <a:moveTo>
                                  <a:pt x="207263" y="0"/>
                                </a:moveTo>
                                <a:lnTo>
                                  <a:pt x="0" y="0"/>
                                </a:lnTo>
                                <a:lnTo>
                                  <a:pt x="0" y="3371088"/>
                                </a:lnTo>
                                <a:lnTo>
                                  <a:pt x="207263" y="3371088"/>
                                </a:lnTo>
                                <a:lnTo>
                                  <a:pt x="207263" y="0"/>
                                </a:lnTo>
                                <a:close/>
                              </a:path>
                            </a:pathLst>
                          </a:custGeom>
                          <a:solidFill>
                            <a:srgbClr val="EC7C30"/>
                          </a:solidFill>
                        </wps:spPr>
                        <wps:bodyPr wrap="square" lIns="0" tIns="0" rIns="0" bIns="0" rtlCol="0">
                          <a:prstTxWarp prst="textNoShape">
                            <a:avLst/>
                          </a:prstTxWarp>
                          <a:noAutofit/>
                        </wps:bodyPr>
                      </wps:wsp>
                      <wps:wsp>
                        <wps:cNvPr id="196" name="Graphic 196"/>
                        <wps:cNvSpPr/>
                        <wps:spPr>
                          <a:xfrm>
                            <a:off x="74802" y="6350"/>
                            <a:ext cx="57150" cy="102235"/>
                          </a:xfrm>
                          <a:custGeom>
                            <a:avLst/>
                            <a:gdLst/>
                            <a:ahLst/>
                            <a:cxnLst/>
                            <a:rect l="l" t="t" r="r" b="b"/>
                            <a:pathLst>
                              <a:path w="57150" h="102235">
                                <a:moveTo>
                                  <a:pt x="28575" y="101726"/>
                                </a:moveTo>
                                <a:lnTo>
                                  <a:pt x="28575" y="50926"/>
                                </a:lnTo>
                                <a:lnTo>
                                  <a:pt x="28575" y="0"/>
                                </a:lnTo>
                              </a:path>
                              <a:path w="57150" h="102235">
                                <a:moveTo>
                                  <a:pt x="0" y="101726"/>
                                </a:moveTo>
                                <a:lnTo>
                                  <a:pt x="57150" y="101726"/>
                                </a:lnTo>
                              </a:path>
                              <a:path w="57150" h="10223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1.239990pt;margin-top:-21.902891pt;width:16.3500pt;height:270pt;mso-position-horizontal-relative:page;mso-position-vertical-relative:paragraph;z-index:15750144" id="docshapegroup152" coordorigin="6425,-438" coordsize="327,5400">
                <v:rect style="position:absolute;left:6424;top:-348;width:327;height:5309" id="docshape153" filled="true" fillcolor="#ec7c30" stroked="false">
                  <v:fill type="solid"/>
                </v:rect>
                <v:shape style="position:absolute;left:6542;top:-429;width:90;height:161" id="docshape154" coordorigin="6543,-428" coordsize="90,161" path="m6588,-268l6588,-348,6588,-428m6543,-268l6633,-268m6543,-428l6633,-428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50656">
                <wp:simplePos x="0" y="0"/>
                <wp:positionH relativeFrom="page">
                  <wp:posOffset>4998720</wp:posOffset>
                </wp:positionH>
                <wp:positionV relativeFrom="paragraph">
                  <wp:posOffset>-237526</wp:posOffset>
                </wp:positionV>
                <wp:extent cx="207645" cy="3388360"/>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207645" cy="3388360"/>
                          <a:chExt cx="207645" cy="3388360"/>
                        </a:xfrm>
                      </wpg:grpSpPr>
                      <wps:wsp>
                        <wps:cNvPr id="198" name="Graphic 198"/>
                        <wps:cNvSpPr/>
                        <wps:spPr>
                          <a:xfrm>
                            <a:off x="0" y="79375"/>
                            <a:ext cx="207645" cy="3308985"/>
                          </a:xfrm>
                          <a:custGeom>
                            <a:avLst/>
                            <a:gdLst/>
                            <a:ahLst/>
                            <a:cxnLst/>
                            <a:rect l="l" t="t" r="r" b="b"/>
                            <a:pathLst>
                              <a:path w="207645" h="3308985">
                                <a:moveTo>
                                  <a:pt x="207263" y="0"/>
                                </a:moveTo>
                                <a:lnTo>
                                  <a:pt x="0" y="0"/>
                                </a:lnTo>
                                <a:lnTo>
                                  <a:pt x="0" y="3308604"/>
                                </a:lnTo>
                                <a:lnTo>
                                  <a:pt x="207263" y="3308604"/>
                                </a:lnTo>
                                <a:lnTo>
                                  <a:pt x="207263" y="0"/>
                                </a:lnTo>
                                <a:close/>
                              </a:path>
                            </a:pathLst>
                          </a:custGeom>
                          <a:solidFill>
                            <a:srgbClr val="EC7C30"/>
                          </a:solidFill>
                        </wps:spPr>
                        <wps:bodyPr wrap="square" lIns="0" tIns="0" rIns="0" bIns="0" rtlCol="0">
                          <a:prstTxWarp prst="textNoShape">
                            <a:avLst/>
                          </a:prstTxWarp>
                          <a:noAutofit/>
                        </wps:bodyPr>
                      </wps:wsp>
                      <wps:wsp>
                        <wps:cNvPr id="199" name="Graphic 199"/>
                        <wps:cNvSpPr/>
                        <wps:spPr>
                          <a:xfrm>
                            <a:off x="75056" y="6350"/>
                            <a:ext cx="57150" cy="143510"/>
                          </a:xfrm>
                          <a:custGeom>
                            <a:avLst/>
                            <a:gdLst/>
                            <a:ahLst/>
                            <a:cxnLst/>
                            <a:rect l="l" t="t" r="r" b="b"/>
                            <a:pathLst>
                              <a:path w="57150" h="143510">
                                <a:moveTo>
                                  <a:pt x="28575" y="143510"/>
                                </a:moveTo>
                                <a:lnTo>
                                  <a:pt x="28575" y="71755"/>
                                </a:lnTo>
                                <a:lnTo>
                                  <a:pt x="28575" y="0"/>
                                </a:lnTo>
                              </a:path>
                              <a:path w="57150" h="143510">
                                <a:moveTo>
                                  <a:pt x="0" y="143510"/>
                                </a:moveTo>
                                <a:lnTo>
                                  <a:pt x="57150" y="143510"/>
                                </a:lnTo>
                              </a:path>
                              <a:path w="57150" h="14351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600006pt;margin-top:-18.70289pt;width:16.3500pt;height:266.8pt;mso-position-horizontal-relative:page;mso-position-vertical-relative:paragraph;z-index:15750656" id="docshapegroup155" coordorigin="7872,-374" coordsize="327,5336">
                <v:rect style="position:absolute;left:7872;top:-250;width:327;height:5211" id="docshape156" filled="true" fillcolor="#ec7c30" stroked="false">
                  <v:fill type="solid"/>
                </v:rect>
                <v:shape style="position:absolute;left:7990;top:-365;width:90;height:226" id="docshape157" coordorigin="7990,-364" coordsize="90,226" path="m8035,-138l8035,-251,8035,-364m7990,-138l8080,-138m7990,-364l8080,-364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51168">
                <wp:simplePos x="0" y="0"/>
                <wp:positionH relativeFrom="page">
                  <wp:posOffset>5919215</wp:posOffset>
                </wp:positionH>
                <wp:positionV relativeFrom="paragraph">
                  <wp:posOffset>-448346</wp:posOffset>
                </wp:positionV>
                <wp:extent cx="205740" cy="3599179"/>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205740" cy="3599179"/>
                          <a:chExt cx="205740" cy="3599179"/>
                        </a:xfrm>
                      </wpg:grpSpPr>
                      <wps:wsp>
                        <wps:cNvPr id="201" name="Graphic 201"/>
                        <wps:cNvSpPr/>
                        <wps:spPr>
                          <a:xfrm>
                            <a:off x="0" y="95122"/>
                            <a:ext cx="205740" cy="3503929"/>
                          </a:xfrm>
                          <a:custGeom>
                            <a:avLst/>
                            <a:gdLst/>
                            <a:ahLst/>
                            <a:cxnLst/>
                            <a:rect l="l" t="t" r="r" b="b"/>
                            <a:pathLst>
                              <a:path w="205740" h="3503929">
                                <a:moveTo>
                                  <a:pt x="205739" y="0"/>
                                </a:moveTo>
                                <a:lnTo>
                                  <a:pt x="0" y="0"/>
                                </a:lnTo>
                                <a:lnTo>
                                  <a:pt x="0" y="3503676"/>
                                </a:lnTo>
                                <a:lnTo>
                                  <a:pt x="205739" y="3503676"/>
                                </a:lnTo>
                                <a:lnTo>
                                  <a:pt x="205739" y="0"/>
                                </a:lnTo>
                                <a:close/>
                              </a:path>
                            </a:pathLst>
                          </a:custGeom>
                          <a:solidFill>
                            <a:srgbClr val="EC7C30"/>
                          </a:solidFill>
                        </wps:spPr>
                        <wps:bodyPr wrap="square" lIns="0" tIns="0" rIns="0" bIns="0" rtlCol="0">
                          <a:prstTxWarp prst="textNoShape">
                            <a:avLst/>
                          </a:prstTxWarp>
                          <a:noAutofit/>
                        </wps:bodyPr>
                      </wps:wsp>
                      <wps:wsp>
                        <wps:cNvPr id="202" name="Graphic 202"/>
                        <wps:cNvSpPr/>
                        <wps:spPr>
                          <a:xfrm>
                            <a:off x="73660" y="6350"/>
                            <a:ext cx="57150" cy="175895"/>
                          </a:xfrm>
                          <a:custGeom>
                            <a:avLst/>
                            <a:gdLst/>
                            <a:ahLst/>
                            <a:cxnLst/>
                            <a:rect l="l" t="t" r="r" b="b"/>
                            <a:pathLst>
                              <a:path w="57150" h="175895">
                                <a:moveTo>
                                  <a:pt x="28575" y="175640"/>
                                </a:moveTo>
                                <a:lnTo>
                                  <a:pt x="28575" y="87756"/>
                                </a:lnTo>
                                <a:lnTo>
                                  <a:pt x="28575" y="0"/>
                                </a:lnTo>
                              </a:path>
                              <a:path w="57150" h="175895">
                                <a:moveTo>
                                  <a:pt x="0" y="175640"/>
                                </a:moveTo>
                                <a:lnTo>
                                  <a:pt x="57150" y="175640"/>
                                </a:lnTo>
                              </a:path>
                              <a:path w="57150" h="17589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6.079987pt;margin-top:-35.302891pt;width:16.2pt;height:283.4pt;mso-position-horizontal-relative:page;mso-position-vertical-relative:paragraph;z-index:15751168" id="docshapegroup158" coordorigin="9322,-706" coordsize="324,5668">
                <v:rect style="position:absolute;left:9321;top:-557;width:324;height:5518" id="docshape159" filled="true" fillcolor="#ec7c30" stroked="false">
                  <v:fill type="solid"/>
                </v:rect>
                <v:shape style="position:absolute;left:9437;top:-697;width:90;height:277" id="docshape160" coordorigin="9438,-696" coordsize="90,277" path="m9483,-419l9483,-558,9483,-696m9438,-419l9528,-419m9438,-696l9528,-696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51680">
                <wp:simplePos x="0" y="0"/>
                <wp:positionH relativeFrom="page">
                  <wp:posOffset>1086332</wp:posOffset>
                </wp:positionH>
                <wp:positionV relativeFrom="paragraph">
                  <wp:posOffset>442071</wp:posOffset>
                </wp:positionV>
                <wp:extent cx="152400" cy="156845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152400" cy="1568450"/>
                        </a:xfrm>
                        <a:prstGeom prst="rect">
                          <a:avLst/>
                        </a:prstGeom>
                      </wps:spPr>
                      <wps:txbx>
                        <w:txbxContent>
                          <w:p>
                            <w:pPr>
                              <w:spacing w:line="223" w:lineRule="exact" w:before="0"/>
                              <w:ind w:left="20" w:right="0" w:firstLine="0"/>
                              <w:jc w:val="left"/>
                              <w:rPr>
                                <w:sz w:val="20"/>
                              </w:rPr>
                            </w:pPr>
                            <w:r>
                              <w:rPr>
                                <w:sz w:val="20"/>
                              </w:rPr>
                              <w:t>Mean</w:t>
                            </w:r>
                            <w:r>
                              <w:rPr>
                                <w:spacing w:val="-5"/>
                                <w:sz w:val="20"/>
                              </w:rPr>
                              <w:t> </w:t>
                            </w:r>
                            <w:r>
                              <w:rPr>
                                <w:sz w:val="20"/>
                              </w:rPr>
                              <w:t>zone</w:t>
                            </w:r>
                            <w:r>
                              <w:rPr>
                                <w:spacing w:val="-3"/>
                                <w:sz w:val="20"/>
                              </w:rPr>
                              <w:t> </w:t>
                            </w:r>
                            <w:r>
                              <w:rPr>
                                <w:sz w:val="20"/>
                              </w:rPr>
                              <w:t>of</w:t>
                            </w:r>
                            <w:r>
                              <w:rPr>
                                <w:spacing w:val="-4"/>
                                <w:sz w:val="20"/>
                              </w:rPr>
                              <w:t> </w:t>
                            </w:r>
                            <w:r>
                              <w:rPr>
                                <w:sz w:val="20"/>
                              </w:rPr>
                              <w:t>inhibition</w:t>
                            </w:r>
                            <w:r>
                              <w:rPr>
                                <w:spacing w:val="-3"/>
                                <w:sz w:val="20"/>
                              </w:rPr>
                              <w:t> </w:t>
                            </w:r>
                            <w:r>
                              <w:rPr>
                                <w:spacing w:val="-4"/>
                                <w:sz w:val="20"/>
                              </w:rPr>
                              <w:t>(mm)</w:t>
                            </w:r>
                          </w:p>
                        </w:txbxContent>
                      </wps:txbx>
                      <wps:bodyPr wrap="square" lIns="0" tIns="0" rIns="0" bIns="0" rtlCol="0" vert="vert270">
                        <a:noAutofit/>
                      </wps:bodyPr>
                    </wps:wsp>
                  </a:graphicData>
                </a:graphic>
              </wp:anchor>
            </w:drawing>
          </mc:Choice>
          <mc:Fallback>
            <w:pict>
              <v:shape style="position:absolute;margin-left:85.538002pt;margin-top:34.808758pt;width:12pt;height:123.5pt;mso-position-horizontal-relative:page;mso-position-vertical-relative:paragraph;z-index:15751680" type="#_x0000_t202" id="docshape161" filled="false" stroked="false">
                <v:textbox inset="0,0,0,0" style="layout-flow:vertical;mso-layout-flow-alt:bottom-to-top">
                  <w:txbxContent>
                    <w:p>
                      <w:pPr>
                        <w:spacing w:line="223" w:lineRule="exact" w:before="0"/>
                        <w:ind w:left="20" w:right="0" w:firstLine="0"/>
                        <w:jc w:val="left"/>
                        <w:rPr>
                          <w:sz w:val="20"/>
                        </w:rPr>
                      </w:pPr>
                      <w:r>
                        <w:rPr>
                          <w:sz w:val="20"/>
                        </w:rPr>
                        <w:t>Mean</w:t>
                      </w:r>
                      <w:r>
                        <w:rPr>
                          <w:spacing w:val="-5"/>
                          <w:sz w:val="20"/>
                        </w:rPr>
                        <w:t> </w:t>
                      </w:r>
                      <w:r>
                        <w:rPr>
                          <w:sz w:val="20"/>
                        </w:rPr>
                        <w:t>zone</w:t>
                      </w:r>
                      <w:r>
                        <w:rPr>
                          <w:spacing w:val="-3"/>
                          <w:sz w:val="20"/>
                        </w:rPr>
                        <w:t> </w:t>
                      </w:r>
                      <w:r>
                        <w:rPr>
                          <w:sz w:val="20"/>
                        </w:rPr>
                        <w:t>of</w:t>
                      </w:r>
                      <w:r>
                        <w:rPr>
                          <w:spacing w:val="-4"/>
                          <w:sz w:val="20"/>
                        </w:rPr>
                        <w:t> </w:t>
                      </w:r>
                      <w:r>
                        <w:rPr>
                          <w:sz w:val="20"/>
                        </w:rPr>
                        <w:t>inhibition</w:t>
                      </w:r>
                      <w:r>
                        <w:rPr>
                          <w:spacing w:val="-3"/>
                          <w:sz w:val="20"/>
                        </w:rPr>
                        <w:t> </w:t>
                      </w:r>
                      <w:r>
                        <w:rPr>
                          <w:spacing w:val="-4"/>
                          <w:sz w:val="20"/>
                        </w:rPr>
                        <w:t>(mm)</w:t>
                      </w:r>
                    </w:p>
                  </w:txbxContent>
                </v:textbox>
                <w10:wrap type="none"/>
              </v:shape>
            </w:pict>
          </mc:Fallback>
        </mc:AlternateContent>
      </w:r>
      <w:r>
        <w:rPr/>
        <mc:AlternateContent>
          <mc:Choice Requires="wps">
            <w:drawing>
              <wp:anchor distT="0" distB="0" distL="0" distR="0" allowOverlap="1" layoutInCell="1" locked="0" behindDoc="0" simplePos="0" relativeHeight="15752192">
                <wp:simplePos x="0" y="0"/>
                <wp:positionH relativeFrom="page">
                  <wp:posOffset>1716023</wp:posOffset>
                </wp:positionH>
                <wp:positionV relativeFrom="paragraph">
                  <wp:posOffset>174080</wp:posOffset>
                </wp:positionV>
                <wp:extent cx="4672965" cy="297624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4672965" cy="2976245"/>
                        </a:xfrm>
                        <a:prstGeom prst="rect">
                          <a:avLst/>
                        </a:prstGeom>
                      </wps:spPr>
                      <wps:txbx>
                        <w:txbxContent>
                          <w:tbl>
                            <w:tblPr>
                              <w:tblW w:w="0" w:type="auto"/>
                              <w:jc w:val="left"/>
                              <w:tblCellSpacing w:w="44" w:type="dxa"/>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4"/>
                              <w:gridCol w:w="1449"/>
                              <w:gridCol w:w="1448"/>
                              <w:gridCol w:w="1448"/>
                              <w:gridCol w:w="1449"/>
                              <w:gridCol w:w="724"/>
                            </w:tblGrid>
                            <w:tr>
                              <w:trPr>
                                <w:trHeight w:val="4672" w:hRule="atLeast"/>
                              </w:trPr>
                              <w:tc>
                                <w:tcPr>
                                  <w:tcW w:w="680" w:type="dxa"/>
                                  <w:tcBorders>
                                    <w:top w:val="nil"/>
                                    <w:left w:val="nil"/>
                                    <w:bottom w:val="single" w:sz="6" w:space="0" w:color="D9D9D9"/>
                                  </w:tcBorders>
                                </w:tcPr>
                                <w:p>
                                  <w:pPr>
                                    <w:pStyle w:val="TableParagraph"/>
                                    <w:rPr>
                                      <w:rFonts w:ascii="Times New Roman"/>
                                      <w:sz w:val="20"/>
                                    </w:rPr>
                                  </w:pPr>
                                </w:p>
                              </w:tc>
                              <w:tc>
                                <w:tcPr>
                                  <w:tcW w:w="1361" w:type="dxa"/>
                                  <w:tcBorders>
                                    <w:top w:val="nil"/>
                                    <w:bottom w:val="single" w:sz="6" w:space="0" w:color="D9D9D9"/>
                                  </w:tcBorders>
                                </w:tcPr>
                                <w:p>
                                  <w:pPr>
                                    <w:pStyle w:val="TableParagraph"/>
                                    <w:rPr>
                                      <w:rFonts w:ascii="Times New Roman"/>
                                      <w:sz w:val="20"/>
                                    </w:rPr>
                                  </w:pPr>
                                </w:p>
                              </w:tc>
                              <w:tc>
                                <w:tcPr>
                                  <w:tcW w:w="1360" w:type="dxa"/>
                                  <w:tcBorders>
                                    <w:top w:val="nil"/>
                                    <w:bottom w:val="single" w:sz="6" w:space="0" w:color="D9D9D9"/>
                                  </w:tcBorders>
                                </w:tcPr>
                                <w:p>
                                  <w:pPr>
                                    <w:pStyle w:val="TableParagraph"/>
                                    <w:rPr>
                                      <w:rFonts w:ascii="Times New Roman"/>
                                      <w:sz w:val="20"/>
                                    </w:rPr>
                                  </w:pPr>
                                </w:p>
                              </w:tc>
                              <w:tc>
                                <w:tcPr>
                                  <w:tcW w:w="1360" w:type="dxa"/>
                                  <w:tcBorders>
                                    <w:top w:val="nil"/>
                                    <w:bottom w:val="single" w:sz="6" w:space="0" w:color="D9D9D9"/>
                                  </w:tcBorders>
                                </w:tcPr>
                                <w:p>
                                  <w:pPr>
                                    <w:pStyle w:val="TableParagraph"/>
                                    <w:rPr>
                                      <w:rFonts w:ascii="Times New Roman"/>
                                      <w:sz w:val="20"/>
                                    </w:rPr>
                                  </w:pPr>
                                </w:p>
                              </w:tc>
                              <w:tc>
                                <w:tcPr>
                                  <w:tcW w:w="1361" w:type="dxa"/>
                                  <w:tcBorders>
                                    <w:top w:val="nil"/>
                                    <w:bottom w:val="single" w:sz="6" w:space="0" w:color="D9D9D9"/>
                                  </w:tcBorders>
                                </w:tcPr>
                                <w:p>
                                  <w:pPr>
                                    <w:pStyle w:val="TableParagraph"/>
                                    <w:rPr>
                                      <w:rFonts w:ascii="Times New Roman"/>
                                      <w:sz w:val="20"/>
                                    </w:rPr>
                                  </w:pPr>
                                </w:p>
                              </w:tc>
                              <w:tc>
                                <w:tcPr>
                                  <w:tcW w:w="680" w:type="dxa"/>
                                  <w:tcBorders>
                                    <w:top w:val="nil"/>
                                    <w:bottom w:val="single" w:sz="6" w:space="0" w:color="D9D9D9"/>
                                    <w:right w:val="nil"/>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135.119995pt;margin-top:13.707109pt;width:367.95pt;height:234.35pt;mso-position-horizontal-relative:page;mso-position-vertical-relative:paragraph;z-index:15752192" type="#_x0000_t202" id="docshape162" filled="false" stroked="false">
                <v:textbox inset="0,0,0,0">
                  <w:txbxContent>
                    <w:tbl>
                      <w:tblPr>
                        <w:tblW w:w="0" w:type="auto"/>
                        <w:jc w:val="left"/>
                        <w:tblCellSpacing w:w="44" w:type="dxa"/>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4"/>
                        <w:gridCol w:w="1449"/>
                        <w:gridCol w:w="1448"/>
                        <w:gridCol w:w="1448"/>
                        <w:gridCol w:w="1449"/>
                        <w:gridCol w:w="724"/>
                      </w:tblGrid>
                      <w:tr>
                        <w:trPr>
                          <w:trHeight w:val="4672" w:hRule="atLeast"/>
                        </w:trPr>
                        <w:tc>
                          <w:tcPr>
                            <w:tcW w:w="680" w:type="dxa"/>
                            <w:tcBorders>
                              <w:top w:val="nil"/>
                              <w:left w:val="nil"/>
                              <w:bottom w:val="single" w:sz="6" w:space="0" w:color="D9D9D9"/>
                            </w:tcBorders>
                          </w:tcPr>
                          <w:p>
                            <w:pPr>
                              <w:pStyle w:val="TableParagraph"/>
                              <w:rPr>
                                <w:rFonts w:ascii="Times New Roman"/>
                                <w:sz w:val="20"/>
                              </w:rPr>
                            </w:pPr>
                          </w:p>
                        </w:tc>
                        <w:tc>
                          <w:tcPr>
                            <w:tcW w:w="1361" w:type="dxa"/>
                            <w:tcBorders>
                              <w:top w:val="nil"/>
                              <w:bottom w:val="single" w:sz="6" w:space="0" w:color="D9D9D9"/>
                            </w:tcBorders>
                          </w:tcPr>
                          <w:p>
                            <w:pPr>
                              <w:pStyle w:val="TableParagraph"/>
                              <w:rPr>
                                <w:rFonts w:ascii="Times New Roman"/>
                                <w:sz w:val="20"/>
                              </w:rPr>
                            </w:pPr>
                          </w:p>
                        </w:tc>
                        <w:tc>
                          <w:tcPr>
                            <w:tcW w:w="1360" w:type="dxa"/>
                            <w:tcBorders>
                              <w:top w:val="nil"/>
                              <w:bottom w:val="single" w:sz="6" w:space="0" w:color="D9D9D9"/>
                            </w:tcBorders>
                          </w:tcPr>
                          <w:p>
                            <w:pPr>
                              <w:pStyle w:val="TableParagraph"/>
                              <w:rPr>
                                <w:rFonts w:ascii="Times New Roman"/>
                                <w:sz w:val="20"/>
                              </w:rPr>
                            </w:pPr>
                          </w:p>
                        </w:tc>
                        <w:tc>
                          <w:tcPr>
                            <w:tcW w:w="1360" w:type="dxa"/>
                            <w:tcBorders>
                              <w:top w:val="nil"/>
                              <w:bottom w:val="single" w:sz="6" w:space="0" w:color="D9D9D9"/>
                            </w:tcBorders>
                          </w:tcPr>
                          <w:p>
                            <w:pPr>
                              <w:pStyle w:val="TableParagraph"/>
                              <w:rPr>
                                <w:rFonts w:ascii="Times New Roman"/>
                                <w:sz w:val="20"/>
                              </w:rPr>
                            </w:pPr>
                          </w:p>
                        </w:tc>
                        <w:tc>
                          <w:tcPr>
                            <w:tcW w:w="1361" w:type="dxa"/>
                            <w:tcBorders>
                              <w:top w:val="nil"/>
                              <w:bottom w:val="single" w:sz="6" w:space="0" w:color="D9D9D9"/>
                            </w:tcBorders>
                          </w:tcPr>
                          <w:p>
                            <w:pPr>
                              <w:pStyle w:val="TableParagraph"/>
                              <w:rPr>
                                <w:rFonts w:ascii="Times New Roman"/>
                                <w:sz w:val="20"/>
                              </w:rPr>
                            </w:pPr>
                          </w:p>
                        </w:tc>
                        <w:tc>
                          <w:tcPr>
                            <w:tcW w:w="680" w:type="dxa"/>
                            <w:tcBorders>
                              <w:top w:val="nil"/>
                              <w:bottom w:val="single" w:sz="6" w:space="0" w:color="D9D9D9"/>
                              <w:right w:val="nil"/>
                            </w:tcBorders>
                          </w:tcPr>
                          <w:p>
                            <w:pPr>
                              <w:pStyle w:val="TableParagraph"/>
                              <w:rPr>
                                <w:rFonts w:ascii="Times New Roman"/>
                                <w:sz w:val="20"/>
                              </w:rPr>
                            </w:pPr>
                          </w:p>
                        </w:tc>
                      </w:tr>
                    </w:tbl>
                    <w:p>
                      <w:pPr>
                        <w:pStyle w:val="BodyText"/>
                      </w:pPr>
                    </w:p>
                  </w:txbxContent>
                </v:textbox>
                <w10:wrap type="none"/>
              </v:shape>
            </w:pict>
          </mc:Fallback>
        </mc:AlternateContent>
      </w:r>
      <w:r>
        <w:rPr>
          <w:spacing w:val="-2"/>
          <w:sz w:val="18"/>
        </w:rPr>
        <w:t>20.000</w:t>
      </w:r>
    </w:p>
    <w:p>
      <w:pPr>
        <w:pStyle w:val="BodyText"/>
        <w:spacing w:before="6"/>
        <w:rPr>
          <w:sz w:val="10"/>
        </w:rPr>
      </w:pPr>
      <w:r>
        <w:rPr/>
        <mc:AlternateContent>
          <mc:Choice Requires="wps">
            <w:drawing>
              <wp:anchor distT="0" distB="0" distL="0" distR="0" allowOverlap="1" layoutInCell="1" locked="0" behindDoc="1" simplePos="0" relativeHeight="487603200">
                <wp:simplePos x="0" y="0"/>
                <wp:positionH relativeFrom="page">
                  <wp:posOffset>2054479</wp:posOffset>
                </wp:positionH>
                <wp:positionV relativeFrom="paragraph">
                  <wp:posOffset>96783</wp:posOffset>
                </wp:positionV>
                <wp:extent cx="57150" cy="1270"/>
                <wp:effectExtent l="0" t="0" r="0" b="0"/>
                <wp:wrapTopAndBottom/>
                <wp:docPr id="205" name="Graphic 205"/>
                <wp:cNvGraphicFramePr>
                  <a:graphicFrameLocks/>
                </wp:cNvGraphicFramePr>
                <a:graphic>
                  <a:graphicData uri="http://schemas.microsoft.com/office/word/2010/wordprocessingShape">
                    <wps:wsp>
                      <wps:cNvPr id="205" name="Graphic 205"/>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161.770004pt;margin-top:7.620781pt;width:4.5pt;height:.1pt;mso-position-horizontal-relative:page;mso-position-vertical-relative:paragraph;z-index:-15713280;mso-wrap-distance-left:0;mso-wrap-distance-right:0" id="docshape163" coordorigin="3235,152" coordsize="90,0" path="m3235,152l3325,152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3712">
                <wp:simplePos x="0" y="0"/>
                <wp:positionH relativeFrom="page">
                  <wp:posOffset>2973577</wp:posOffset>
                </wp:positionH>
                <wp:positionV relativeFrom="paragraph">
                  <wp:posOffset>96783</wp:posOffset>
                </wp:positionV>
                <wp:extent cx="57150" cy="1270"/>
                <wp:effectExtent l="0" t="0" r="0" b="0"/>
                <wp:wrapTopAndBottom/>
                <wp:docPr id="206" name="Graphic 206"/>
                <wp:cNvGraphicFramePr>
                  <a:graphicFrameLocks/>
                </wp:cNvGraphicFramePr>
                <a:graphic>
                  <a:graphicData uri="http://schemas.microsoft.com/office/word/2010/wordprocessingShape">
                    <wps:wsp>
                      <wps:cNvPr id="206" name="Graphic 206"/>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234.139999pt;margin-top:7.620781pt;width:4.5pt;height:.1pt;mso-position-horizontal-relative:page;mso-position-vertical-relative:paragraph;z-index:-15712768;mso-wrap-distance-left:0;mso-wrap-distance-right:0" id="docshape164" coordorigin="4683,152" coordsize="90,0" path="m4683,152l4773,152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4224">
                <wp:simplePos x="0" y="0"/>
                <wp:positionH relativeFrom="page">
                  <wp:posOffset>3892803</wp:posOffset>
                </wp:positionH>
                <wp:positionV relativeFrom="paragraph">
                  <wp:posOffset>96783</wp:posOffset>
                </wp:positionV>
                <wp:extent cx="57150" cy="1270"/>
                <wp:effectExtent l="0" t="0" r="0" b="0"/>
                <wp:wrapTopAndBottom/>
                <wp:docPr id="207" name="Graphic 207"/>
                <wp:cNvGraphicFramePr>
                  <a:graphicFrameLocks/>
                </wp:cNvGraphicFramePr>
                <a:graphic>
                  <a:graphicData uri="http://schemas.microsoft.com/office/word/2010/wordprocessingShape">
                    <wps:wsp>
                      <wps:cNvPr id="207" name="Graphic 207"/>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306.519989pt;margin-top:7.620781pt;width:4.5pt;height:.1pt;mso-position-horizontal-relative:page;mso-position-vertical-relative:paragraph;z-index:-15712256;mso-wrap-distance-left:0;mso-wrap-distance-right:0" id="docshape165" coordorigin="6130,152" coordsize="90,0" path="m6130,152l6220,152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4736">
                <wp:simplePos x="0" y="0"/>
                <wp:positionH relativeFrom="page">
                  <wp:posOffset>4812029</wp:posOffset>
                </wp:positionH>
                <wp:positionV relativeFrom="paragraph">
                  <wp:posOffset>96783</wp:posOffset>
                </wp:positionV>
                <wp:extent cx="57150" cy="1270"/>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378.899994pt;margin-top:7.620781pt;width:4.5pt;height:.1pt;mso-position-horizontal-relative:page;mso-position-vertical-relative:paragraph;z-index:-15711744;mso-wrap-distance-left:0;mso-wrap-distance-right:0" id="docshape166" coordorigin="7578,152" coordsize="90,0" path="m7578,152l7668,152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5248">
                <wp:simplePos x="0" y="0"/>
                <wp:positionH relativeFrom="page">
                  <wp:posOffset>5731128</wp:posOffset>
                </wp:positionH>
                <wp:positionV relativeFrom="paragraph">
                  <wp:posOffset>96783</wp:posOffset>
                </wp:positionV>
                <wp:extent cx="57150" cy="1270"/>
                <wp:effectExtent l="0" t="0" r="0" b="0"/>
                <wp:wrapTopAndBottom/>
                <wp:docPr id="209" name="Graphic 209"/>
                <wp:cNvGraphicFramePr>
                  <a:graphicFrameLocks/>
                </wp:cNvGraphicFramePr>
                <a:graphic>
                  <a:graphicData uri="http://schemas.microsoft.com/office/word/2010/wordprocessingShape">
                    <wps:wsp>
                      <wps:cNvPr id="209" name="Graphic 209"/>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451.269989pt;margin-top:7.620781pt;width:4.5pt;height:.1pt;mso-position-horizontal-relative:page;mso-position-vertical-relative:paragraph;z-index:-15711232;mso-wrap-distance-left:0;mso-wrap-distance-right:0" id="docshape167" coordorigin="9025,152" coordsize="90,0" path="m9025,152l9115,152e" filled="false" stroked="true" strokeweight="1pt" strokecolor="#585858">
                <v:path arrowok="t"/>
                <v:stroke dashstyle="solid"/>
                <w10:wrap type="topAndBottom"/>
              </v:shape>
            </w:pict>
          </mc:Fallback>
        </mc:AlternateContent>
      </w:r>
    </w:p>
    <w:p>
      <w:pPr>
        <w:pStyle w:val="BodyText"/>
        <w:rPr>
          <w:sz w:val="18"/>
        </w:rPr>
      </w:pPr>
    </w:p>
    <w:p>
      <w:pPr>
        <w:pStyle w:val="BodyText"/>
        <w:rPr>
          <w:sz w:val="18"/>
        </w:rPr>
      </w:pPr>
    </w:p>
    <w:p>
      <w:pPr>
        <w:pStyle w:val="BodyText"/>
        <w:spacing w:before="169"/>
        <w:rPr>
          <w:sz w:val="18"/>
        </w:rPr>
      </w:pPr>
    </w:p>
    <w:p>
      <w:pPr>
        <w:spacing w:before="0"/>
        <w:ind w:left="1022" w:right="0" w:firstLine="0"/>
        <w:jc w:val="left"/>
        <w:rPr>
          <w:sz w:val="18"/>
        </w:rPr>
      </w:pPr>
      <w:r>
        <w:rPr>
          <w:spacing w:val="-2"/>
          <w:sz w:val="18"/>
        </w:rPr>
        <w:t>15.000</w:t>
      </w:r>
    </w:p>
    <w:p>
      <w:pPr>
        <w:pStyle w:val="BodyText"/>
        <w:rPr>
          <w:sz w:val="18"/>
        </w:rPr>
      </w:pPr>
    </w:p>
    <w:p>
      <w:pPr>
        <w:pStyle w:val="BodyText"/>
        <w:rPr>
          <w:sz w:val="18"/>
        </w:rPr>
      </w:pPr>
    </w:p>
    <w:p>
      <w:pPr>
        <w:pStyle w:val="BodyText"/>
        <w:rPr>
          <w:sz w:val="18"/>
        </w:rPr>
      </w:pPr>
    </w:p>
    <w:p>
      <w:pPr>
        <w:pStyle w:val="BodyText"/>
        <w:spacing w:before="112"/>
        <w:rPr>
          <w:sz w:val="18"/>
        </w:rPr>
      </w:pPr>
    </w:p>
    <w:p>
      <w:pPr>
        <w:spacing w:before="0"/>
        <w:ind w:left="1022" w:right="0" w:firstLine="0"/>
        <w:jc w:val="left"/>
        <w:rPr>
          <w:sz w:val="18"/>
        </w:rPr>
      </w:pPr>
      <w:r>
        <w:rPr>
          <w:spacing w:val="-2"/>
          <w:sz w:val="18"/>
        </w:rPr>
        <w:t>10.000</w:t>
      </w:r>
    </w:p>
    <w:p>
      <w:pPr>
        <w:pStyle w:val="BodyText"/>
        <w:rPr>
          <w:sz w:val="18"/>
        </w:rPr>
      </w:pPr>
    </w:p>
    <w:p>
      <w:pPr>
        <w:pStyle w:val="BodyText"/>
        <w:rPr>
          <w:sz w:val="18"/>
        </w:rPr>
      </w:pPr>
    </w:p>
    <w:p>
      <w:pPr>
        <w:pStyle w:val="BodyText"/>
        <w:rPr>
          <w:sz w:val="18"/>
        </w:rPr>
      </w:pPr>
    </w:p>
    <w:p>
      <w:pPr>
        <w:pStyle w:val="BodyText"/>
        <w:spacing w:before="112"/>
        <w:rPr>
          <w:sz w:val="18"/>
        </w:rPr>
      </w:pPr>
    </w:p>
    <w:p>
      <w:pPr>
        <w:spacing w:before="0"/>
        <w:ind w:left="1114" w:right="0" w:firstLine="0"/>
        <w:jc w:val="left"/>
        <w:rPr>
          <w:sz w:val="18"/>
        </w:rPr>
      </w:pPr>
      <w:r>
        <w:rPr>
          <w:spacing w:val="-2"/>
          <w:sz w:val="18"/>
        </w:rPr>
        <w:t>5.000</w:t>
      </w:r>
    </w:p>
    <w:p>
      <w:pPr>
        <w:pStyle w:val="BodyText"/>
        <w:rPr>
          <w:sz w:val="18"/>
        </w:rPr>
      </w:pPr>
    </w:p>
    <w:p>
      <w:pPr>
        <w:pStyle w:val="BodyText"/>
        <w:rPr>
          <w:sz w:val="18"/>
        </w:rPr>
      </w:pPr>
    </w:p>
    <w:p>
      <w:pPr>
        <w:pStyle w:val="BodyText"/>
        <w:rPr>
          <w:sz w:val="18"/>
        </w:rPr>
      </w:pPr>
    </w:p>
    <w:p>
      <w:pPr>
        <w:pStyle w:val="BodyText"/>
        <w:spacing w:before="112"/>
        <w:rPr>
          <w:sz w:val="18"/>
        </w:rPr>
      </w:pPr>
    </w:p>
    <w:p>
      <w:pPr>
        <w:spacing w:before="0"/>
        <w:ind w:left="1114" w:right="0" w:firstLine="0"/>
        <w:jc w:val="left"/>
        <w:rPr>
          <w:sz w:val="18"/>
        </w:rPr>
      </w:pPr>
      <w:r>
        <w:rPr>
          <w:spacing w:val="-2"/>
          <w:sz w:val="18"/>
        </w:rPr>
        <w:t>0.000</w:t>
      </w:r>
    </w:p>
    <w:p>
      <w:pPr>
        <w:tabs>
          <w:tab w:pos="1693" w:val="left" w:leader="none"/>
          <w:tab w:pos="3161" w:val="left" w:leader="none"/>
          <w:tab w:pos="4597" w:val="left" w:leader="none"/>
        </w:tabs>
        <w:spacing w:before="77"/>
        <w:ind w:left="245" w:right="0" w:firstLine="0"/>
        <w:jc w:val="center"/>
        <w:rPr>
          <w:sz w:val="18"/>
        </w:rPr>
      </w:pPr>
      <w:r>
        <w:rPr>
          <w:spacing w:val="-2"/>
          <w:sz w:val="18"/>
        </w:rPr>
        <w:t>100%H/10:50H:L</w:t>
      </w:r>
      <w:r>
        <w:rPr>
          <w:sz w:val="18"/>
        </w:rPr>
        <w:tab/>
      </w:r>
      <w:r>
        <w:rPr>
          <w:spacing w:val="-2"/>
          <w:sz w:val="18"/>
        </w:rPr>
        <w:t>100%H/20:50H:L</w:t>
      </w:r>
      <w:r>
        <w:rPr>
          <w:sz w:val="18"/>
        </w:rPr>
        <w:tab/>
      </w:r>
      <w:r>
        <w:rPr>
          <w:spacing w:val="-2"/>
          <w:sz w:val="18"/>
        </w:rPr>
        <w:t>100%H/30:50H:L</w:t>
      </w:r>
      <w:r>
        <w:rPr>
          <w:sz w:val="18"/>
        </w:rPr>
        <w:tab/>
        <w:t>100%H/40:50H/L</w:t>
      </w:r>
      <w:r>
        <w:rPr>
          <w:spacing w:val="51"/>
          <w:sz w:val="18"/>
        </w:rPr>
        <w:t>  </w:t>
      </w:r>
      <w:r>
        <w:rPr>
          <w:spacing w:val="-2"/>
          <w:sz w:val="18"/>
        </w:rPr>
        <w:t>100%H/50:50H/L</w:t>
      </w:r>
    </w:p>
    <w:p>
      <w:pPr>
        <w:spacing w:before="150"/>
        <w:ind w:left="255" w:right="0" w:firstLine="0"/>
        <w:jc w:val="center"/>
        <w:rPr>
          <w:sz w:val="20"/>
        </w:rPr>
      </w:pPr>
      <w:r>
        <w:rPr>
          <w:sz w:val="20"/>
        </w:rPr>
        <w:t>Honey/mixture</w:t>
      </w:r>
      <w:r>
        <w:rPr>
          <w:spacing w:val="-8"/>
          <w:sz w:val="20"/>
        </w:rPr>
        <w:t> </w:t>
      </w:r>
      <w:r>
        <w:rPr>
          <w:sz w:val="20"/>
        </w:rPr>
        <w:t>of</w:t>
      </w:r>
      <w:r>
        <w:rPr>
          <w:spacing w:val="-9"/>
          <w:sz w:val="20"/>
        </w:rPr>
        <w:t> </w:t>
      </w:r>
      <w:r>
        <w:rPr>
          <w:sz w:val="20"/>
        </w:rPr>
        <w:t>Honey</w:t>
      </w:r>
      <w:r>
        <w:rPr>
          <w:spacing w:val="-6"/>
          <w:sz w:val="20"/>
        </w:rPr>
        <w:t> </w:t>
      </w:r>
      <w:r>
        <w:rPr>
          <w:sz w:val="20"/>
        </w:rPr>
        <w:t>and</w:t>
      </w:r>
      <w:r>
        <w:rPr>
          <w:spacing w:val="-9"/>
          <w:sz w:val="20"/>
        </w:rPr>
        <w:t> </w:t>
      </w:r>
      <w:r>
        <w:rPr>
          <w:spacing w:val="-2"/>
          <w:sz w:val="20"/>
        </w:rPr>
        <w:t>Lemon</w:t>
      </w:r>
    </w:p>
    <w:p>
      <w:pPr>
        <w:pStyle w:val="BodyText"/>
        <w:spacing w:before="167"/>
      </w:pPr>
    </w:p>
    <w:p>
      <w:pPr>
        <w:pStyle w:val="BodyText"/>
        <w:spacing w:line="259" w:lineRule="auto"/>
        <w:ind w:left="380" w:right="975"/>
      </w:pPr>
      <w:r>
        <w:rPr/>
        <w:t>Figure</w:t>
      </w:r>
      <w:r>
        <w:rPr>
          <w:spacing w:val="-1"/>
        </w:rPr>
        <w:t> </w:t>
      </w:r>
      <w:r>
        <w:rPr/>
        <w:t>4.12:</w:t>
      </w:r>
      <w:r>
        <w:rPr>
          <w:spacing w:val="-3"/>
        </w:rPr>
        <w:t> </w:t>
      </w:r>
      <w:r>
        <w:rPr/>
        <w:t>Comparing</w:t>
      </w:r>
      <w:r>
        <w:rPr>
          <w:spacing w:val="-2"/>
        </w:rPr>
        <w:t> </w:t>
      </w:r>
      <w:r>
        <w:rPr/>
        <w:t>the</w:t>
      </w:r>
      <w:r>
        <w:rPr>
          <w:spacing w:val="-3"/>
        </w:rPr>
        <w:t> </w:t>
      </w:r>
      <w:r>
        <w:rPr/>
        <w:t>mean</w:t>
      </w:r>
      <w:r>
        <w:rPr>
          <w:spacing w:val="-2"/>
        </w:rPr>
        <w:t> </w:t>
      </w:r>
      <w:r>
        <w:rPr/>
        <w:t>zones</w:t>
      </w:r>
      <w:r>
        <w:rPr>
          <w:spacing w:val="-3"/>
        </w:rPr>
        <w:t> </w:t>
      </w:r>
      <w:r>
        <w:rPr/>
        <w:t>of</w:t>
      </w:r>
      <w:r>
        <w:rPr>
          <w:spacing w:val="-4"/>
        </w:rPr>
        <w:t> </w:t>
      </w:r>
      <w:r>
        <w:rPr/>
        <w:t>inhibition</w:t>
      </w:r>
      <w:r>
        <w:rPr>
          <w:spacing w:val="-4"/>
        </w:rPr>
        <w:t> </w:t>
      </w:r>
      <w:r>
        <w:rPr/>
        <w:t>of</w:t>
      </w:r>
      <w:r>
        <w:rPr>
          <w:spacing w:val="-1"/>
        </w:rPr>
        <w:t> </w:t>
      </w:r>
      <w:r>
        <w:rPr/>
        <w:t>Honey</w:t>
      </w:r>
      <w:r>
        <w:rPr>
          <w:spacing w:val="-1"/>
        </w:rPr>
        <w:t> </w:t>
      </w:r>
      <w:r>
        <w:rPr/>
        <w:t>and</w:t>
      </w:r>
      <w:r>
        <w:rPr>
          <w:spacing w:val="-3"/>
        </w:rPr>
        <w:t> </w:t>
      </w:r>
      <w:r>
        <w:rPr/>
        <w:t>the</w:t>
      </w:r>
      <w:r>
        <w:rPr>
          <w:spacing w:val="-3"/>
        </w:rPr>
        <w:t> </w:t>
      </w:r>
      <w:r>
        <w:rPr/>
        <w:t>mixture</w:t>
      </w:r>
      <w:r>
        <w:rPr>
          <w:spacing w:val="-3"/>
        </w:rPr>
        <w:t> </w:t>
      </w:r>
      <w:r>
        <w:rPr/>
        <w:t>of</w:t>
      </w:r>
      <w:r>
        <w:rPr>
          <w:spacing w:val="-4"/>
        </w:rPr>
        <w:t> </w:t>
      </w:r>
      <w:r>
        <w:rPr/>
        <w:t>Honey</w:t>
      </w:r>
      <w:r>
        <w:rPr>
          <w:spacing w:val="-1"/>
        </w:rPr>
        <w:t> </w:t>
      </w:r>
      <w:r>
        <w:rPr/>
        <w:t>and</w:t>
      </w:r>
      <w:r>
        <w:rPr>
          <w:spacing w:val="-3"/>
        </w:rPr>
        <w:t> </w:t>
      </w:r>
      <w:r>
        <w:rPr/>
        <w:t>Lemon juice against </w:t>
      </w:r>
      <w:r>
        <w:rPr>
          <w:i/>
        </w:rPr>
        <w:t>Klebsiella pneumoniae</w:t>
      </w:r>
      <w:r>
        <w:rPr/>
        <w:t>.</w:t>
      </w:r>
    </w:p>
    <w:p>
      <w:pPr>
        <w:pStyle w:val="BodyText"/>
        <w:spacing w:before="162"/>
        <w:ind w:left="380"/>
      </w:pPr>
      <w:r>
        <w:rPr/>
        <w:t>Key:</w:t>
      </w:r>
      <w:r>
        <w:rPr>
          <w:spacing w:val="-6"/>
        </w:rPr>
        <w:t> </w:t>
      </w:r>
      <w:r>
        <w:rPr/>
        <w:t>*=Significant</w:t>
      </w:r>
      <w:r>
        <w:rPr>
          <w:spacing w:val="-6"/>
        </w:rPr>
        <w:t> </w:t>
      </w:r>
      <w:r>
        <w:rPr/>
        <w:t>difference,</w:t>
      </w:r>
      <w:r>
        <w:rPr>
          <w:spacing w:val="-6"/>
        </w:rPr>
        <w:t> </w:t>
      </w:r>
      <w:r>
        <w:rPr/>
        <w:t>H=Honey,</w:t>
      </w:r>
      <w:r>
        <w:rPr>
          <w:spacing w:val="-8"/>
        </w:rPr>
        <w:t> </w:t>
      </w:r>
      <w:r>
        <w:rPr/>
        <w:t>L=Lemon</w:t>
      </w:r>
      <w:r>
        <w:rPr>
          <w:spacing w:val="-6"/>
        </w:rPr>
        <w:t> </w:t>
      </w:r>
      <w:r>
        <w:rPr>
          <w:spacing w:val="-2"/>
        </w:rPr>
        <w:t>juice.</w:t>
      </w:r>
    </w:p>
    <w:p>
      <w:pPr>
        <w:spacing w:after="0"/>
        <w:sectPr>
          <w:pgSz w:w="11910" w:h="16840"/>
          <w:pgMar w:header="0" w:footer="1055" w:top="1920" w:bottom="1240" w:left="1060" w:right="460"/>
        </w:sectPr>
      </w:pPr>
    </w:p>
    <w:p>
      <w:pPr>
        <w:spacing w:before="41"/>
        <w:ind w:left="1023" w:right="0" w:firstLine="0"/>
        <w:jc w:val="left"/>
        <w:rPr>
          <w:sz w:val="18"/>
        </w:rPr>
      </w:pPr>
      <w:r>
        <w:rPr/>
        <mc:AlternateContent>
          <mc:Choice Requires="wps">
            <w:drawing>
              <wp:anchor distT="0" distB="0" distL="0" distR="0" allowOverlap="1" layoutInCell="1" locked="0" behindDoc="0" simplePos="0" relativeHeight="15762432">
                <wp:simplePos x="0" y="0"/>
                <wp:positionH relativeFrom="page">
                  <wp:posOffset>1381760</wp:posOffset>
                </wp:positionH>
                <wp:positionV relativeFrom="paragraph">
                  <wp:posOffset>251840</wp:posOffset>
                </wp:positionV>
                <wp:extent cx="4946650" cy="1805305"/>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4946650" cy="1805305"/>
                          <a:chExt cx="4946650" cy="1805305"/>
                        </a:xfrm>
                      </wpg:grpSpPr>
                      <pic:pic>
                        <pic:nvPicPr>
                          <pic:cNvPr id="211" name="Image 211"/>
                          <pic:cNvPicPr/>
                        </pic:nvPicPr>
                        <pic:blipFill>
                          <a:blip r:embed="rId297" cstate="print"/>
                          <a:stretch>
                            <a:fillRect/>
                          </a:stretch>
                        </pic:blipFill>
                        <pic:spPr>
                          <a:xfrm>
                            <a:off x="0" y="112268"/>
                            <a:ext cx="1450213" cy="1660652"/>
                          </a:xfrm>
                          <a:prstGeom prst="rect">
                            <a:avLst/>
                          </a:prstGeom>
                        </pic:spPr>
                      </pic:pic>
                      <pic:pic>
                        <pic:nvPicPr>
                          <pic:cNvPr id="212" name="Image 212"/>
                          <pic:cNvPicPr/>
                        </pic:nvPicPr>
                        <pic:blipFill>
                          <a:blip r:embed="rId297" cstate="print"/>
                          <a:stretch>
                            <a:fillRect/>
                          </a:stretch>
                        </pic:blipFill>
                        <pic:spPr>
                          <a:xfrm>
                            <a:off x="865250" y="96393"/>
                            <a:ext cx="1450213" cy="1660525"/>
                          </a:xfrm>
                          <a:prstGeom prst="rect">
                            <a:avLst/>
                          </a:prstGeom>
                        </pic:spPr>
                      </pic:pic>
                      <pic:pic>
                        <pic:nvPicPr>
                          <pic:cNvPr id="213" name="Image 213"/>
                          <pic:cNvPicPr/>
                        </pic:nvPicPr>
                        <pic:blipFill>
                          <a:blip r:embed="rId297" cstate="print"/>
                          <a:stretch>
                            <a:fillRect/>
                          </a:stretch>
                        </pic:blipFill>
                        <pic:spPr>
                          <a:xfrm>
                            <a:off x="1748027" y="96393"/>
                            <a:ext cx="1450213" cy="1660525"/>
                          </a:xfrm>
                          <a:prstGeom prst="rect">
                            <a:avLst/>
                          </a:prstGeom>
                        </pic:spPr>
                      </pic:pic>
                      <pic:pic>
                        <pic:nvPicPr>
                          <pic:cNvPr id="214" name="Image 214"/>
                          <pic:cNvPicPr/>
                        </pic:nvPicPr>
                        <pic:blipFill>
                          <a:blip r:embed="rId297" cstate="print"/>
                          <a:stretch>
                            <a:fillRect/>
                          </a:stretch>
                        </pic:blipFill>
                        <pic:spPr>
                          <a:xfrm>
                            <a:off x="2613405" y="144398"/>
                            <a:ext cx="1450213" cy="1660652"/>
                          </a:xfrm>
                          <a:prstGeom prst="rect">
                            <a:avLst/>
                          </a:prstGeom>
                        </pic:spPr>
                      </pic:pic>
                      <pic:pic>
                        <pic:nvPicPr>
                          <pic:cNvPr id="215" name="Image 215"/>
                          <pic:cNvPicPr/>
                        </pic:nvPicPr>
                        <pic:blipFill>
                          <a:blip r:embed="rId297" cstate="print"/>
                          <a:stretch>
                            <a:fillRect/>
                          </a:stretch>
                        </pic:blipFill>
                        <pic:spPr>
                          <a:xfrm>
                            <a:off x="3496055" y="0"/>
                            <a:ext cx="1450213" cy="1660652"/>
                          </a:xfrm>
                          <a:prstGeom prst="rect">
                            <a:avLst/>
                          </a:prstGeom>
                        </pic:spPr>
                      </pic:pic>
                    </wpg:wgp>
                  </a:graphicData>
                </a:graphic>
              </wp:anchor>
            </w:drawing>
          </mc:Choice>
          <mc:Fallback>
            <w:pict>
              <v:group style="position:absolute;margin-left:108.800003pt;margin-top:19.830pt;width:389.5pt;height:142.15pt;mso-position-horizontal-relative:page;mso-position-vertical-relative:paragraph;z-index:15762432" id="docshapegroup168" coordorigin="2176,397" coordsize="7790,2843">
                <v:shape style="position:absolute;left:2176;top:573;width:2284;height:2616" type="#_x0000_t75" id="docshape169" stroked="false">
                  <v:imagedata r:id="rId297" o:title=""/>
                </v:shape>
                <v:shape style="position:absolute;left:3538;top:548;width:2284;height:2615" type="#_x0000_t75" id="docshape170" stroked="false">
                  <v:imagedata r:id="rId297" o:title=""/>
                </v:shape>
                <v:shape style="position:absolute;left:4928;top:548;width:2284;height:2615" type="#_x0000_t75" id="docshape171" stroked="false">
                  <v:imagedata r:id="rId297" o:title=""/>
                </v:shape>
                <v:shape style="position:absolute;left:6291;top:624;width:2284;height:2616" type="#_x0000_t75" id="docshape172" stroked="false">
                  <v:imagedata r:id="rId297" o:title=""/>
                </v:shape>
                <v:shape style="position:absolute;left:7681;top:396;width:2284;height:2616" type="#_x0000_t75" id="docshape173" stroked="false">
                  <v:imagedata r:id="rId297" o:title=""/>
                </v:shape>
                <w10:wrap type="none"/>
              </v:group>
            </w:pict>
          </mc:Fallback>
        </mc:AlternateContent>
      </w:r>
      <w:r>
        <w:rPr>
          <w:color w:val="585858"/>
          <w:spacing w:val="-2"/>
          <w:sz w:val="18"/>
        </w:rPr>
        <w:t>30.000</w:t>
      </w:r>
    </w:p>
    <w:p>
      <w:pPr>
        <w:pStyle w:val="BodyText"/>
        <w:rPr>
          <w:sz w:val="20"/>
        </w:rPr>
      </w:pPr>
    </w:p>
    <w:p>
      <w:pPr>
        <w:pStyle w:val="BodyText"/>
        <w:rPr>
          <w:sz w:val="20"/>
        </w:rPr>
      </w:pPr>
    </w:p>
    <w:p>
      <w:pPr>
        <w:pStyle w:val="BodyText"/>
        <w:spacing w:before="143"/>
        <w:rPr>
          <w:sz w:val="20"/>
        </w:rPr>
      </w:pPr>
      <w:r>
        <w:rPr/>
        <mc:AlternateContent>
          <mc:Choice Requires="wps">
            <w:drawing>
              <wp:anchor distT="0" distB="0" distL="0" distR="0" allowOverlap="1" layoutInCell="1" locked="0" behindDoc="1" simplePos="0" relativeHeight="487612416">
                <wp:simplePos x="0" y="0"/>
                <wp:positionH relativeFrom="page">
                  <wp:posOffset>1323086</wp:posOffset>
                </wp:positionH>
                <wp:positionV relativeFrom="paragraph">
                  <wp:posOffset>261361</wp:posOffset>
                </wp:positionV>
                <wp:extent cx="331470" cy="802640"/>
                <wp:effectExtent l="0" t="0" r="0" b="0"/>
                <wp:wrapTopAndBottom/>
                <wp:docPr id="216" name="Group 216"/>
                <wp:cNvGraphicFramePr>
                  <a:graphicFrameLocks/>
                </wp:cNvGraphicFramePr>
                <a:graphic>
                  <a:graphicData uri="http://schemas.microsoft.com/office/word/2010/wordprocessingGroup">
                    <wpg:wgp>
                      <wpg:cNvPr id="216" name="Group 216"/>
                      <wpg:cNvGrpSpPr/>
                      <wpg:grpSpPr>
                        <a:xfrm>
                          <a:off x="0" y="0"/>
                          <a:ext cx="331470" cy="802640"/>
                          <a:chExt cx="331470" cy="802640"/>
                        </a:xfrm>
                      </wpg:grpSpPr>
                      <wps:wsp>
                        <wps:cNvPr id="217" name="Textbox 217"/>
                        <wps:cNvSpPr txBox="1"/>
                        <wps:spPr>
                          <a:xfrm>
                            <a:off x="0" y="0"/>
                            <a:ext cx="331470" cy="114300"/>
                          </a:xfrm>
                          <a:prstGeom prst="rect">
                            <a:avLst/>
                          </a:prstGeom>
                        </wps:spPr>
                        <wps:txbx>
                          <w:txbxContent>
                            <w:p>
                              <w:pPr>
                                <w:spacing w:line="180" w:lineRule="exact" w:before="0"/>
                                <w:ind w:left="0" w:right="0" w:firstLine="0"/>
                                <w:jc w:val="left"/>
                                <w:rPr>
                                  <w:sz w:val="18"/>
                                </w:rPr>
                              </w:pPr>
                              <w:r>
                                <w:rPr>
                                  <w:color w:val="585858"/>
                                  <w:spacing w:val="-2"/>
                                  <w:sz w:val="18"/>
                                </w:rPr>
                                <w:t>25.000</w:t>
                              </w:r>
                            </w:p>
                          </w:txbxContent>
                        </wps:txbx>
                        <wps:bodyPr wrap="square" lIns="0" tIns="0" rIns="0" bIns="0" rtlCol="0">
                          <a:noAutofit/>
                        </wps:bodyPr>
                      </wps:wsp>
                      <wps:wsp>
                        <wps:cNvPr id="218" name="Textbox 218"/>
                        <wps:cNvSpPr txBox="1"/>
                        <wps:spPr>
                          <a:xfrm>
                            <a:off x="0" y="687958"/>
                            <a:ext cx="331470" cy="114300"/>
                          </a:xfrm>
                          <a:prstGeom prst="rect">
                            <a:avLst/>
                          </a:prstGeom>
                        </wps:spPr>
                        <wps:txbx>
                          <w:txbxContent>
                            <w:p>
                              <w:pPr>
                                <w:spacing w:line="180" w:lineRule="exact" w:before="0"/>
                                <w:ind w:left="0" w:right="0" w:firstLine="0"/>
                                <w:jc w:val="left"/>
                                <w:rPr>
                                  <w:sz w:val="18"/>
                                </w:rPr>
                              </w:pPr>
                              <w:r>
                                <w:rPr>
                                  <w:color w:val="585858"/>
                                  <w:spacing w:val="-2"/>
                                  <w:sz w:val="18"/>
                                </w:rPr>
                                <w:t>20.000</w:t>
                              </w:r>
                            </w:p>
                          </w:txbxContent>
                        </wps:txbx>
                        <wps:bodyPr wrap="square" lIns="0" tIns="0" rIns="0" bIns="0" rtlCol="0">
                          <a:noAutofit/>
                        </wps:bodyPr>
                      </wps:wsp>
                    </wpg:wgp>
                  </a:graphicData>
                </a:graphic>
              </wp:anchor>
            </w:drawing>
          </mc:Choice>
          <mc:Fallback>
            <w:pict>
              <v:group style="position:absolute;margin-left:104.18pt;margin-top:20.579609pt;width:26.1pt;height:63.2pt;mso-position-horizontal-relative:page;mso-position-vertical-relative:paragraph;z-index:-15704064;mso-wrap-distance-left:0;mso-wrap-distance-right:0" id="docshapegroup174" coordorigin="2084,412" coordsize="522,1264">
                <v:shape style="position:absolute;left:2083;top:411;width:522;height:180" type="#_x0000_t202" id="docshape175" filled="false" stroked="false">
                  <v:textbox inset="0,0,0,0">
                    <w:txbxContent>
                      <w:p>
                        <w:pPr>
                          <w:spacing w:line="180" w:lineRule="exact" w:before="0"/>
                          <w:ind w:left="0" w:right="0" w:firstLine="0"/>
                          <w:jc w:val="left"/>
                          <w:rPr>
                            <w:sz w:val="18"/>
                          </w:rPr>
                        </w:pPr>
                        <w:r>
                          <w:rPr>
                            <w:color w:val="585858"/>
                            <w:spacing w:val="-2"/>
                            <w:sz w:val="18"/>
                          </w:rPr>
                          <w:t>25.000</w:t>
                        </w:r>
                      </w:p>
                    </w:txbxContent>
                  </v:textbox>
                  <w10:wrap type="none"/>
                </v:shape>
                <v:shape style="position:absolute;left:2083;top:1495;width:522;height:180" type="#_x0000_t202" id="docshape176" filled="false" stroked="false">
                  <v:textbox inset="0,0,0,0">
                    <w:txbxContent>
                      <w:p>
                        <w:pPr>
                          <w:spacing w:line="180" w:lineRule="exact" w:before="0"/>
                          <w:ind w:left="0" w:right="0" w:firstLine="0"/>
                          <w:jc w:val="left"/>
                          <w:rPr>
                            <w:sz w:val="18"/>
                          </w:rPr>
                        </w:pPr>
                        <w:r>
                          <w:rPr>
                            <w:color w:val="585858"/>
                            <w:spacing w:val="-2"/>
                            <w:sz w:val="18"/>
                          </w:rPr>
                          <w:t>20.000</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2928">
                <wp:simplePos x="0" y="0"/>
                <wp:positionH relativeFrom="page">
                  <wp:posOffset>2044319</wp:posOffset>
                </wp:positionH>
                <wp:positionV relativeFrom="paragraph">
                  <wp:posOffset>1136518</wp:posOffset>
                </wp:positionV>
                <wp:extent cx="57150" cy="1270"/>
                <wp:effectExtent l="0" t="0" r="0" b="0"/>
                <wp:wrapTopAndBottom/>
                <wp:docPr id="219" name="Graphic 219"/>
                <wp:cNvGraphicFramePr>
                  <a:graphicFrameLocks/>
                </wp:cNvGraphicFramePr>
                <a:graphic>
                  <a:graphicData uri="http://schemas.microsoft.com/office/word/2010/wordprocessingShape">
                    <wps:wsp>
                      <wps:cNvPr id="219" name="Graphic 219"/>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160.970001pt;margin-top:89.489609pt;width:4.5pt;height:.1pt;mso-position-horizontal-relative:page;mso-position-vertical-relative:paragraph;z-index:-15703552;mso-wrap-distance-left:0;mso-wrap-distance-right:0" id="docshape177" coordorigin="3219,1790" coordsize="90,0" path="m3219,1790l3309,1790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3440">
                <wp:simplePos x="0" y="0"/>
                <wp:positionH relativeFrom="page">
                  <wp:posOffset>2935351</wp:posOffset>
                </wp:positionH>
                <wp:positionV relativeFrom="paragraph">
                  <wp:posOffset>1136518</wp:posOffset>
                </wp:positionV>
                <wp:extent cx="57150" cy="1270"/>
                <wp:effectExtent l="0" t="0" r="0" b="0"/>
                <wp:wrapTopAndBottom/>
                <wp:docPr id="220" name="Graphic 220"/>
                <wp:cNvGraphicFramePr>
                  <a:graphicFrameLocks/>
                </wp:cNvGraphicFramePr>
                <a:graphic>
                  <a:graphicData uri="http://schemas.microsoft.com/office/word/2010/wordprocessingShape">
                    <wps:wsp>
                      <wps:cNvPr id="220" name="Graphic 220"/>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231.130005pt;margin-top:89.489609pt;width:4.5pt;height:.1pt;mso-position-horizontal-relative:page;mso-position-vertical-relative:paragraph;z-index:-15703040;mso-wrap-distance-left:0;mso-wrap-distance-right:0" id="docshape178" coordorigin="4623,1790" coordsize="90,0" path="m4623,1790l4713,1790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3952">
                <wp:simplePos x="0" y="0"/>
                <wp:positionH relativeFrom="page">
                  <wp:posOffset>3826383</wp:posOffset>
                </wp:positionH>
                <wp:positionV relativeFrom="paragraph">
                  <wp:posOffset>1136518</wp:posOffset>
                </wp:positionV>
                <wp:extent cx="57150" cy="1270"/>
                <wp:effectExtent l="0" t="0" r="0" b="0"/>
                <wp:wrapTopAndBottom/>
                <wp:docPr id="221" name="Graphic 221"/>
                <wp:cNvGraphicFramePr>
                  <a:graphicFrameLocks/>
                </wp:cNvGraphicFramePr>
                <a:graphic>
                  <a:graphicData uri="http://schemas.microsoft.com/office/word/2010/wordprocessingShape">
                    <wps:wsp>
                      <wps:cNvPr id="221" name="Graphic 221"/>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301.290009pt;margin-top:89.489609pt;width:4.5pt;height:.1pt;mso-position-horizontal-relative:page;mso-position-vertical-relative:paragraph;z-index:-15702528;mso-wrap-distance-left:0;mso-wrap-distance-right:0" id="docshape179" coordorigin="6026,1790" coordsize="90,0" path="m6026,1790l6116,1790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4464">
                <wp:simplePos x="0" y="0"/>
                <wp:positionH relativeFrom="page">
                  <wp:posOffset>4717288</wp:posOffset>
                </wp:positionH>
                <wp:positionV relativeFrom="paragraph">
                  <wp:posOffset>1136518</wp:posOffset>
                </wp:positionV>
                <wp:extent cx="57150" cy="1270"/>
                <wp:effectExtent l="0" t="0" r="0" b="0"/>
                <wp:wrapTopAndBottom/>
                <wp:docPr id="222" name="Graphic 222"/>
                <wp:cNvGraphicFramePr>
                  <a:graphicFrameLocks/>
                </wp:cNvGraphicFramePr>
                <a:graphic>
                  <a:graphicData uri="http://schemas.microsoft.com/office/word/2010/wordprocessingShape">
                    <wps:wsp>
                      <wps:cNvPr id="222" name="Graphic 222"/>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371.440002pt;margin-top:89.489609pt;width:4.5pt;height:.1pt;mso-position-horizontal-relative:page;mso-position-vertical-relative:paragraph;z-index:-15702016;mso-wrap-distance-left:0;mso-wrap-distance-right:0" id="docshape180" coordorigin="7429,1790" coordsize="90,0" path="m7429,1790l7519,1790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4976">
                <wp:simplePos x="0" y="0"/>
                <wp:positionH relativeFrom="page">
                  <wp:posOffset>5608320</wp:posOffset>
                </wp:positionH>
                <wp:positionV relativeFrom="paragraph">
                  <wp:posOffset>1136518</wp:posOffset>
                </wp:positionV>
                <wp:extent cx="57150" cy="1270"/>
                <wp:effectExtent l="0" t="0" r="0" b="0"/>
                <wp:wrapTopAndBottom/>
                <wp:docPr id="223" name="Graphic 223"/>
                <wp:cNvGraphicFramePr>
                  <a:graphicFrameLocks/>
                </wp:cNvGraphicFramePr>
                <a:graphic>
                  <a:graphicData uri="http://schemas.microsoft.com/office/word/2010/wordprocessingShape">
                    <wps:wsp>
                      <wps:cNvPr id="223" name="Graphic 223"/>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441.600006pt;margin-top:89.489609pt;width:4.5pt;height:.1pt;mso-position-horizontal-relative:page;mso-position-vertical-relative:paragraph;z-index:-15701504;mso-wrap-distance-left:0;mso-wrap-distance-right:0" id="docshape181" coordorigin="8832,1790" coordsize="90,0" path="m8832,1790l8922,1790e" filled="false" stroked="true" strokeweight="1pt" strokecolor="#585858">
                <v:path arrowok="t"/>
                <v:stroke dashstyle="solid"/>
                <w10:wrap type="topAndBottom"/>
              </v:shape>
            </w:pict>
          </mc:Fallback>
        </mc:AlternateContent>
      </w:r>
    </w:p>
    <w:p>
      <w:pPr>
        <w:pStyle w:val="BodyText"/>
        <w:spacing w:before="5"/>
        <w:rPr>
          <w:sz w:val="7"/>
        </w:rPr>
      </w:pPr>
    </w:p>
    <w:p>
      <w:pPr>
        <w:pStyle w:val="BodyText"/>
        <w:rPr>
          <w:sz w:val="18"/>
        </w:rPr>
      </w:pPr>
    </w:p>
    <w:p>
      <w:pPr>
        <w:pStyle w:val="BodyText"/>
        <w:rPr>
          <w:sz w:val="18"/>
        </w:rPr>
      </w:pPr>
    </w:p>
    <w:p>
      <w:pPr>
        <w:pStyle w:val="BodyText"/>
        <w:spacing w:before="83"/>
        <w:rPr>
          <w:sz w:val="18"/>
        </w:rPr>
      </w:pPr>
    </w:p>
    <w:p>
      <w:pPr>
        <w:spacing w:before="0"/>
        <w:ind w:left="1023" w:right="0" w:firstLine="0"/>
        <w:jc w:val="left"/>
        <w:rPr>
          <w:sz w:val="18"/>
        </w:rPr>
      </w:pPr>
      <w:r>
        <w:rPr/>
        <mc:AlternateContent>
          <mc:Choice Requires="wps">
            <w:drawing>
              <wp:anchor distT="0" distB="0" distL="0" distR="0" allowOverlap="1" layoutInCell="1" locked="0" behindDoc="1" simplePos="0" relativeHeight="472731136">
                <wp:simplePos x="0" y="0"/>
                <wp:positionH relativeFrom="page">
                  <wp:posOffset>1973579</wp:posOffset>
                </wp:positionH>
                <wp:positionV relativeFrom="paragraph">
                  <wp:posOffset>-594601</wp:posOffset>
                </wp:positionV>
                <wp:extent cx="200025" cy="2734945"/>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200025" cy="2734945"/>
                          <a:chExt cx="200025" cy="2734945"/>
                        </a:xfrm>
                      </wpg:grpSpPr>
                      <wps:wsp>
                        <wps:cNvPr id="225" name="Graphic 225"/>
                        <wps:cNvSpPr/>
                        <wps:spPr>
                          <a:xfrm>
                            <a:off x="0" y="61848"/>
                            <a:ext cx="200025" cy="2673350"/>
                          </a:xfrm>
                          <a:custGeom>
                            <a:avLst/>
                            <a:gdLst/>
                            <a:ahLst/>
                            <a:cxnLst/>
                            <a:rect l="l" t="t" r="r" b="b"/>
                            <a:pathLst>
                              <a:path w="200025" h="2673350">
                                <a:moveTo>
                                  <a:pt x="199644" y="0"/>
                                </a:moveTo>
                                <a:lnTo>
                                  <a:pt x="0" y="0"/>
                                </a:lnTo>
                                <a:lnTo>
                                  <a:pt x="0" y="2673095"/>
                                </a:lnTo>
                                <a:lnTo>
                                  <a:pt x="199644" y="2673095"/>
                                </a:lnTo>
                                <a:lnTo>
                                  <a:pt x="199644" y="0"/>
                                </a:lnTo>
                                <a:close/>
                              </a:path>
                            </a:pathLst>
                          </a:custGeom>
                          <a:solidFill>
                            <a:srgbClr val="5B9BD4"/>
                          </a:solidFill>
                        </wps:spPr>
                        <wps:bodyPr wrap="square" lIns="0" tIns="0" rIns="0" bIns="0" rtlCol="0">
                          <a:prstTxWarp prst="textNoShape">
                            <a:avLst/>
                          </a:prstTxWarp>
                          <a:noAutofit/>
                        </wps:bodyPr>
                      </wps:wsp>
                      <wps:wsp>
                        <wps:cNvPr id="226" name="Graphic 226"/>
                        <wps:cNvSpPr/>
                        <wps:spPr>
                          <a:xfrm>
                            <a:off x="70739" y="6350"/>
                            <a:ext cx="57150" cy="111125"/>
                          </a:xfrm>
                          <a:custGeom>
                            <a:avLst/>
                            <a:gdLst/>
                            <a:ahLst/>
                            <a:cxnLst/>
                            <a:rect l="l" t="t" r="r" b="b"/>
                            <a:pathLst>
                              <a:path w="57150" h="111125">
                                <a:moveTo>
                                  <a:pt x="28575" y="110617"/>
                                </a:moveTo>
                                <a:lnTo>
                                  <a:pt x="28575" y="55372"/>
                                </a:lnTo>
                                <a:lnTo>
                                  <a:pt x="28575" y="0"/>
                                </a:lnTo>
                              </a:path>
                              <a:path w="57150" h="11112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5.399994pt;margin-top:-46.818985pt;width:15.75pt;height:215.35pt;mso-position-horizontal-relative:page;mso-position-vertical-relative:paragraph;z-index:-30585344" id="docshapegroup182" coordorigin="3108,-936" coordsize="315,4307">
                <v:rect style="position:absolute;left:3108;top:-839;width:315;height:4210" id="docshape183" filled="true" fillcolor="#5b9bd4" stroked="false">
                  <v:fill type="solid"/>
                </v:rect>
                <v:shape style="position:absolute;left:3219;top:-927;width:90;height:175" id="docshape184" coordorigin="3219,-926" coordsize="90,175" path="m3264,-752l3264,-839,3264,-926m3219,-926l3309,-926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31648">
                <wp:simplePos x="0" y="0"/>
                <wp:positionH relativeFrom="page">
                  <wp:posOffset>2863595</wp:posOffset>
                </wp:positionH>
                <wp:positionV relativeFrom="paragraph">
                  <wp:posOffset>-594601</wp:posOffset>
                </wp:positionV>
                <wp:extent cx="200025" cy="2734945"/>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200025" cy="2734945"/>
                          <a:chExt cx="200025" cy="2734945"/>
                        </a:xfrm>
                      </wpg:grpSpPr>
                      <wps:wsp>
                        <wps:cNvPr id="228" name="Graphic 228"/>
                        <wps:cNvSpPr/>
                        <wps:spPr>
                          <a:xfrm>
                            <a:off x="0" y="61848"/>
                            <a:ext cx="200025" cy="2673350"/>
                          </a:xfrm>
                          <a:custGeom>
                            <a:avLst/>
                            <a:gdLst/>
                            <a:ahLst/>
                            <a:cxnLst/>
                            <a:rect l="l" t="t" r="r" b="b"/>
                            <a:pathLst>
                              <a:path w="200025" h="2673350">
                                <a:moveTo>
                                  <a:pt x="199644" y="0"/>
                                </a:moveTo>
                                <a:lnTo>
                                  <a:pt x="0" y="0"/>
                                </a:lnTo>
                                <a:lnTo>
                                  <a:pt x="0" y="2673095"/>
                                </a:lnTo>
                                <a:lnTo>
                                  <a:pt x="199644" y="2673095"/>
                                </a:lnTo>
                                <a:lnTo>
                                  <a:pt x="199644" y="0"/>
                                </a:lnTo>
                                <a:close/>
                              </a:path>
                            </a:pathLst>
                          </a:custGeom>
                          <a:solidFill>
                            <a:srgbClr val="5B9BD4"/>
                          </a:solidFill>
                        </wps:spPr>
                        <wps:bodyPr wrap="square" lIns="0" tIns="0" rIns="0" bIns="0" rtlCol="0">
                          <a:prstTxWarp prst="textNoShape">
                            <a:avLst/>
                          </a:prstTxWarp>
                          <a:noAutofit/>
                        </wps:bodyPr>
                      </wps:wsp>
                      <wps:wsp>
                        <wps:cNvPr id="229" name="Graphic 229"/>
                        <wps:cNvSpPr/>
                        <wps:spPr>
                          <a:xfrm>
                            <a:off x="71755" y="6350"/>
                            <a:ext cx="57150" cy="111125"/>
                          </a:xfrm>
                          <a:custGeom>
                            <a:avLst/>
                            <a:gdLst/>
                            <a:ahLst/>
                            <a:cxnLst/>
                            <a:rect l="l" t="t" r="r" b="b"/>
                            <a:pathLst>
                              <a:path w="57150" h="111125">
                                <a:moveTo>
                                  <a:pt x="28575" y="110617"/>
                                </a:moveTo>
                                <a:lnTo>
                                  <a:pt x="28575" y="55372"/>
                                </a:lnTo>
                                <a:lnTo>
                                  <a:pt x="28575" y="0"/>
                                </a:lnTo>
                              </a:path>
                              <a:path w="57150" h="11112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5.479996pt;margin-top:-46.818985pt;width:15.75pt;height:215.35pt;mso-position-horizontal-relative:page;mso-position-vertical-relative:paragraph;z-index:-30584832" id="docshapegroup185" coordorigin="4510,-936" coordsize="315,4307">
                <v:rect style="position:absolute;left:4509;top:-839;width:315;height:4210" id="docshape186" filled="true" fillcolor="#5b9bd4" stroked="false">
                  <v:fill type="solid"/>
                </v:rect>
                <v:shape style="position:absolute;left:4622;top:-927;width:90;height:175" id="docshape187" coordorigin="4623,-926" coordsize="90,175" path="m4668,-752l4668,-839,4668,-926m4623,-926l4713,-926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32160">
                <wp:simplePos x="0" y="0"/>
                <wp:positionH relativeFrom="page">
                  <wp:posOffset>3755135</wp:posOffset>
                </wp:positionH>
                <wp:positionV relativeFrom="paragraph">
                  <wp:posOffset>-594601</wp:posOffset>
                </wp:positionV>
                <wp:extent cx="200025" cy="2734945"/>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200025" cy="2734945"/>
                          <a:chExt cx="200025" cy="2734945"/>
                        </a:xfrm>
                      </wpg:grpSpPr>
                      <wps:wsp>
                        <wps:cNvPr id="231" name="Graphic 231"/>
                        <wps:cNvSpPr/>
                        <wps:spPr>
                          <a:xfrm>
                            <a:off x="0" y="61848"/>
                            <a:ext cx="200025" cy="2673350"/>
                          </a:xfrm>
                          <a:custGeom>
                            <a:avLst/>
                            <a:gdLst/>
                            <a:ahLst/>
                            <a:cxnLst/>
                            <a:rect l="l" t="t" r="r" b="b"/>
                            <a:pathLst>
                              <a:path w="200025" h="2673350">
                                <a:moveTo>
                                  <a:pt x="199643" y="0"/>
                                </a:moveTo>
                                <a:lnTo>
                                  <a:pt x="0" y="0"/>
                                </a:lnTo>
                                <a:lnTo>
                                  <a:pt x="0" y="2673095"/>
                                </a:lnTo>
                                <a:lnTo>
                                  <a:pt x="199643" y="2673095"/>
                                </a:lnTo>
                                <a:lnTo>
                                  <a:pt x="199643" y="0"/>
                                </a:lnTo>
                                <a:close/>
                              </a:path>
                            </a:pathLst>
                          </a:custGeom>
                          <a:solidFill>
                            <a:srgbClr val="5B9BD4"/>
                          </a:solidFill>
                        </wps:spPr>
                        <wps:bodyPr wrap="square" lIns="0" tIns="0" rIns="0" bIns="0" rtlCol="0">
                          <a:prstTxWarp prst="textNoShape">
                            <a:avLst/>
                          </a:prstTxWarp>
                          <a:noAutofit/>
                        </wps:bodyPr>
                      </wps:wsp>
                      <wps:wsp>
                        <wps:cNvPr id="232" name="Graphic 232"/>
                        <wps:cNvSpPr/>
                        <wps:spPr>
                          <a:xfrm>
                            <a:off x="71247" y="6350"/>
                            <a:ext cx="57150" cy="111125"/>
                          </a:xfrm>
                          <a:custGeom>
                            <a:avLst/>
                            <a:gdLst/>
                            <a:ahLst/>
                            <a:cxnLst/>
                            <a:rect l="l" t="t" r="r" b="b"/>
                            <a:pathLst>
                              <a:path w="57150" h="111125">
                                <a:moveTo>
                                  <a:pt x="28575" y="110617"/>
                                </a:moveTo>
                                <a:lnTo>
                                  <a:pt x="28575" y="55372"/>
                                </a:lnTo>
                                <a:lnTo>
                                  <a:pt x="28575" y="0"/>
                                </a:lnTo>
                              </a:path>
                              <a:path w="57150" h="11112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5.679993pt;margin-top:-46.818985pt;width:15.75pt;height:215.35pt;mso-position-horizontal-relative:page;mso-position-vertical-relative:paragraph;z-index:-30584320" id="docshapegroup188" coordorigin="5914,-936" coordsize="315,4307">
                <v:rect style="position:absolute;left:5913;top:-839;width:315;height:4210" id="docshape189" filled="true" fillcolor="#5b9bd4" stroked="false">
                  <v:fill type="solid"/>
                </v:rect>
                <v:shape style="position:absolute;left:6025;top:-927;width:90;height:175" id="docshape190" coordorigin="6026,-926" coordsize="90,175" path="m6071,-752l6071,-839,6071,-926m6026,-926l6116,-926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32672">
                <wp:simplePos x="0" y="0"/>
                <wp:positionH relativeFrom="page">
                  <wp:posOffset>4645152</wp:posOffset>
                </wp:positionH>
                <wp:positionV relativeFrom="paragraph">
                  <wp:posOffset>-594601</wp:posOffset>
                </wp:positionV>
                <wp:extent cx="200025" cy="2734945"/>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200025" cy="2734945"/>
                          <a:chExt cx="200025" cy="2734945"/>
                        </a:xfrm>
                      </wpg:grpSpPr>
                      <wps:wsp>
                        <wps:cNvPr id="234" name="Graphic 234"/>
                        <wps:cNvSpPr/>
                        <wps:spPr>
                          <a:xfrm>
                            <a:off x="0" y="61848"/>
                            <a:ext cx="200025" cy="2673350"/>
                          </a:xfrm>
                          <a:custGeom>
                            <a:avLst/>
                            <a:gdLst/>
                            <a:ahLst/>
                            <a:cxnLst/>
                            <a:rect l="l" t="t" r="r" b="b"/>
                            <a:pathLst>
                              <a:path w="200025" h="2673350">
                                <a:moveTo>
                                  <a:pt x="199644" y="0"/>
                                </a:moveTo>
                                <a:lnTo>
                                  <a:pt x="0" y="0"/>
                                </a:lnTo>
                                <a:lnTo>
                                  <a:pt x="0" y="2673095"/>
                                </a:lnTo>
                                <a:lnTo>
                                  <a:pt x="199644" y="2673095"/>
                                </a:lnTo>
                                <a:lnTo>
                                  <a:pt x="199644" y="0"/>
                                </a:lnTo>
                                <a:close/>
                              </a:path>
                            </a:pathLst>
                          </a:custGeom>
                          <a:solidFill>
                            <a:srgbClr val="5B9BD4"/>
                          </a:solidFill>
                        </wps:spPr>
                        <wps:bodyPr wrap="square" lIns="0" tIns="0" rIns="0" bIns="0" rtlCol="0">
                          <a:prstTxWarp prst="textNoShape">
                            <a:avLst/>
                          </a:prstTxWarp>
                          <a:noAutofit/>
                        </wps:bodyPr>
                      </wps:wsp>
                      <wps:wsp>
                        <wps:cNvPr id="235" name="Graphic 235"/>
                        <wps:cNvSpPr/>
                        <wps:spPr>
                          <a:xfrm>
                            <a:off x="72135" y="6350"/>
                            <a:ext cx="57150" cy="111125"/>
                          </a:xfrm>
                          <a:custGeom>
                            <a:avLst/>
                            <a:gdLst/>
                            <a:ahLst/>
                            <a:cxnLst/>
                            <a:rect l="l" t="t" r="r" b="b"/>
                            <a:pathLst>
                              <a:path w="57150" h="111125">
                                <a:moveTo>
                                  <a:pt x="28575" y="110617"/>
                                </a:moveTo>
                                <a:lnTo>
                                  <a:pt x="28575" y="55372"/>
                                </a:lnTo>
                                <a:lnTo>
                                  <a:pt x="28575" y="0"/>
                                </a:lnTo>
                              </a:path>
                              <a:path w="57150" h="11112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5.76001pt;margin-top:-46.818985pt;width:15.75pt;height:215.35pt;mso-position-horizontal-relative:page;mso-position-vertical-relative:paragraph;z-index:-30583808" id="docshapegroup191" coordorigin="7315,-936" coordsize="315,4307">
                <v:rect style="position:absolute;left:7315;top:-839;width:315;height:4210" id="docshape192" filled="true" fillcolor="#5b9bd4" stroked="false">
                  <v:fill type="solid"/>
                </v:rect>
                <v:shape style="position:absolute;left:7428;top:-927;width:90;height:175" id="docshape193" coordorigin="7429,-926" coordsize="90,175" path="m7474,-752l7474,-839,7474,-926m7429,-926l7519,-926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33184">
                <wp:simplePos x="0" y="0"/>
                <wp:positionH relativeFrom="page">
                  <wp:posOffset>5536691</wp:posOffset>
                </wp:positionH>
                <wp:positionV relativeFrom="paragraph">
                  <wp:posOffset>-594601</wp:posOffset>
                </wp:positionV>
                <wp:extent cx="200025" cy="2734945"/>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200025" cy="2734945"/>
                          <a:chExt cx="200025" cy="2734945"/>
                        </a:xfrm>
                      </wpg:grpSpPr>
                      <wps:wsp>
                        <wps:cNvPr id="237" name="Graphic 237"/>
                        <wps:cNvSpPr/>
                        <wps:spPr>
                          <a:xfrm>
                            <a:off x="0" y="61848"/>
                            <a:ext cx="200025" cy="2673350"/>
                          </a:xfrm>
                          <a:custGeom>
                            <a:avLst/>
                            <a:gdLst/>
                            <a:ahLst/>
                            <a:cxnLst/>
                            <a:rect l="l" t="t" r="r" b="b"/>
                            <a:pathLst>
                              <a:path w="200025" h="2673350">
                                <a:moveTo>
                                  <a:pt x="199644" y="0"/>
                                </a:moveTo>
                                <a:lnTo>
                                  <a:pt x="0" y="0"/>
                                </a:lnTo>
                                <a:lnTo>
                                  <a:pt x="0" y="2673095"/>
                                </a:lnTo>
                                <a:lnTo>
                                  <a:pt x="199644" y="2673095"/>
                                </a:lnTo>
                                <a:lnTo>
                                  <a:pt x="199644" y="0"/>
                                </a:lnTo>
                                <a:close/>
                              </a:path>
                            </a:pathLst>
                          </a:custGeom>
                          <a:solidFill>
                            <a:srgbClr val="5B9BD4"/>
                          </a:solidFill>
                        </wps:spPr>
                        <wps:bodyPr wrap="square" lIns="0" tIns="0" rIns="0" bIns="0" rtlCol="0">
                          <a:prstTxWarp prst="textNoShape">
                            <a:avLst/>
                          </a:prstTxWarp>
                          <a:noAutofit/>
                        </wps:bodyPr>
                      </wps:wsp>
                      <wps:wsp>
                        <wps:cNvPr id="238" name="Graphic 238"/>
                        <wps:cNvSpPr/>
                        <wps:spPr>
                          <a:xfrm>
                            <a:off x="71627" y="6350"/>
                            <a:ext cx="57150" cy="111125"/>
                          </a:xfrm>
                          <a:custGeom>
                            <a:avLst/>
                            <a:gdLst/>
                            <a:ahLst/>
                            <a:cxnLst/>
                            <a:rect l="l" t="t" r="r" b="b"/>
                            <a:pathLst>
                              <a:path w="57150" h="111125">
                                <a:moveTo>
                                  <a:pt x="28575" y="110617"/>
                                </a:moveTo>
                                <a:lnTo>
                                  <a:pt x="28575" y="55372"/>
                                </a:lnTo>
                                <a:lnTo>
                                  <a:pt x="28575" y="0"/>
                                </a:lnTo>
                              </a:path>
                              <a:path w="57150" h="11112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5.959991pt;margin-top:-46.818985pt;width:15.75pt;height:215.35pt;mso-position-horizontal-relative:page;mso-position-vertical-relative:paragraph;z-index:-30583296" id="docshapegroup194" coordorigin="8719,-936" coordsize="315,4307">
                <v:rect style="position:absolute;left:8719;top:-839;width:315;height:4210" id="docshape195" filled="true" fillcolor="#5b9bd4" stroked="false">
                  <v:fill type="solid"/>
                </v:rect>
                <v:shape style="position:absolute;left:8832;top:-927;width:90;height:175" id="docshape196" coordorigin="8832,-926" coordsize="90,175" path="m8877,-752l8877,-839,8877,-926m8832,-926l8922,-926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58848">
                <wp:simplePos x="0" y="0"/>
                <wp:positionH relativeFrom="page">
                  <wp:posOffset>2226564</wp:posOffset>
                </wp:positionH>
                <wp:positionV relativeFrom="paragraph">
                  <wp:posOffset>-975474</wp:posOffset>
                </wp:positionV>
                <wp:extent cx="200025" cy="3115945"/>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200025" cy="3115945"/>
                          <a:chExt cx="200025" cy="3115945"/>
                        </a:xfrm>
                      </wpg:grpSpPr>
                      <wps:wsp>
                        <wps:cNvPr id="240" name="Graphic 240"/>
                        <wps:cNvSpPr/>
                        <wps:spPr>
                          <a:xfrm>
                            <a:off x="0" y="80010"/>
                            <a:ext cx="200025" cy="3035935"/>
                          </a:xfrm>
                          <a:custGeom>
                            <a:avLst/>
                            <a:gdLst/>
                            <a:ahLst/>
                            <a:cxnLst/>
                            <a:rect l="l" t="t" r="r" b="b"/>
                            <a:pathLst>
                              <a:path w="200025" h="3035935">
                                <a:moveTo>
                                  <a:pt x="199644" y="0"/>
                                </a:moveTo>
                                <a:lnTo>
                                  <a:pt x="0" y="0"/>
                                </a:lnTo>
                                <a:lnTo>
                                  <a:pt x="0" y="3035808"/>
                                </a:lnTo>
                                <a:lnTo>
                                  <a:pt x="199644" y="3035808"/>
                                </a:lnTo>
                                <a:lnTo>
                                  <a:pt x="199644" y="0"/>
                                </a:lnTo>
                                <a:close/>
                              </a:path>
                            </a:pathLst>
                          </a:custGeom>
                          <a:solidFill>
                            <a:srgbClr val="EC7C30"/>
                          </a:solidFill>
                        </wps:spPr>
                        <wps:bodyPr wrap="square" lIns="0" tIns="0" rIns="0" bIns="0" rtlCol="0">
                          <a:prstTxWarp prst="textNoShape">
                            <a:avLst/>
                          </a:prstTxWarp>
                          <a:noAutofit/>
                        </wps:bodyPr>
                      </wps:wsp>
                      <wps:wsp>
                        <wps:cNvPr id="241" name="Graphic 241"/>
                        <wps:cNvSpPr/>
                        <wps:spPr>
                          <a:xfrm>
                            <a:off x="71501" y="6350"/>
                            <a:ext cx="57150" cy="146050"/>
                          </a:xfrm>
                          <a:custGeom>
                            <a:avLst/>
                            <a:gdLst/>
                            <a:ahLst/>
                            <a:cxnLst/>
                            <a:rect l="l" t="t" r="r" b="b"/>
                            <a:pathLst>
                              <a:path w="57150" h="146050">
                                <a:moveTo>
                                  <a:pt x="28575" y="145542"/>
                                </a:moveTo>
                                <a:lnTo>
                                  <a:pt x="28575" y="72771"/>
                                </a:lnTo>
                                <a:lnTo>
                                  <a:pt x="28575" y="0"/>
                                </a:lnTo>
                              </a:path>
                              <a:path w="57150" h="146050">
                                <a:moveTo>
                                  <a:pt x="0" y="145542"/>
                                </a:moveTo>
                                <a:lnTo>
                                  <a:pt x="57150" y="145542"/>
                                </a:lnTo>
                              </a:path>
                              <a:path w="57150" h="14605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5.320007pt;margin-top:-76.808983pt;width:15.75pt;height:245.35pt;mso-position-horizontal-relative:page;mso-position-vertical-relative:paragraph;z-index:15758848" id="docshapegroup197" coordorigin="3506,-1536" coordsize="315,4907">
                <v:rect style="position:absolute;left:3506;top:-1411;width:315;height:4781" id="docshape198" filled="true" fillcolor="#ec7c30" stroked="false">
                  <v:fill type="solid"/>
                </v:rect>
                <v:shape style="position:absolute;left:3619;top:-1527;width:90;height:230" id="docshape199" coordorigin="3619,-1526" coordsize="90,230" path="m3664,-1297l3664,-1412,3664,-1526m3619,-1297l3709,-1297m3619,-1526l3709,-1526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59360">
                <wp:simplePos x="0" y="0"/>
                <wp:positionH relativeFrom="page">
                  <wp:posOffset>3118104</wp:posOffset>
                </wp:positionH>
                <wp:positionV relativeFrom="paragraph">
                  <wp:posOffset>-981570</wp:posOffset>
                </wp:positionV>
                <wp:extent cx="200025" cy="3122295"/>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200025" cy="3122295"/>
                          <a:chExt cx="200025" cy="3122295"/>
                        </a:xfrm>
                      </wpg:grpSpPr>
                      <wps:wsp>
                        <wps:cNvPr id="243" name="Graphic 243"/>
                        <wps:cNvSpPr/>
                        <wps:spPr>
                          <a:xfrm>
                            <a:off x="0" y="75438"/>
                            <a:ext cx="200025" cy="3046730"/>
                          </a:xfrm>
                          <a:custGeom>
                            <a:avLst/>
                            <a:gdLst/>
                            <a:ahLst/>
                            <a:cxnLst/>
                            <a:rect l="l" t="t" r="r" b="b"/>
                            <a:pathLst>
                              <a:path w="200025" h="3046730">
                                <a:moveTo>
                                  <a:pt x="199644" y="0"/>
                                </a:moveTo>
                                <a:lnTo>
                                  <a:pt x="0" y="0"/>
                                </a:lnTo>
                                <a:lnTo>
                                  <a:pt x="0" y="3046475"/>
                                </a:lnTo>
                                <a:lnTo>
                                  <a:pt x="199644" y="3046475"/>
                                </a:lnTo>
                                <a:lnTo>
                                  <a:pt x="199644" y="0"/>
                                </a:lnTo>
                                <a:close/>
                              </a:path>
                            </a:pathLst>
                          </a:custGeom>
                          <a:solidFill>
                            <a:srgbClr val="EC7C30"/>
                          </a:solidFill>
                        </wps:spPr>
                        <wps:bodyPr wrap="square" lIns="0" tIns="0" rIns="0" bIns="0" rtlCol="0">
                          <a:prstTxWarp prst="textNoShape">
                            <a:avLst/>
                          </a:prstTxWarp>
                          <a:noAutofit/>
                        </wps:bodyPr>
                      </wps:wsp>
                      <wps:wsp>
                        <wps:cNvPr id="244" name="Graphic 244"/>
                        <wps:cNvSpPr/>
                        <wps:spPr>
                          <a:xfrm>
                            <a:off x="70993" y="6350"/>
                            <a:ext cx="57150" cy="138430"/>
                          </a:xfrm>
                          <a:custGeom>
                            <a:avLst/>
                            <a:gdLst/>
                            <a:ahLst/>
                            <a:cxnLst/>
                            <a:rect l="l" t="t" r="r" b="b"/>
                            <a:pathLst>
                              <a:path w="57150" h="138430">
                                <a:moveTo>
                                  <a:pt x="28575" y="137922"/>
                                </a:moveTo>
                                <a:lnTo>
                                  <a:pt x="28575" y="68961"/>
                                </a:lnTo>
                                <a:lnTo>
                                  <a:pt x="28575" y="0"/>
                                </a:lnTo>
                              </a:path>
                              <a:path w="57150" h="138430">
                                <a:moveTo>
                                  <a:pt x="0" y="137922"/>
                                </a:moveTo>
                                <a:lnTo>
                                  <a:pt x="57150" y="137922"/>
                                </a:lnTo>
                              </a:path>
                              <a:path w="57150" h="13843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5.520004pt;margin-top:-77.288986pt;width:15.75pt;height:245.85pt;mso-position-horizontal-relative:page;mso-position-vertical-relative:paragraph;z-index:15759360" id="docshapegroup200" coordorigin="4910,-1546" coordsize="315,4917">
                <v:rect style="position:absolute;left:4910;top:-1427;width:315;height:4798" id="docshape201" filled="true" fillcolor="#ec7c30" stroked="false">
                  <v:fill type="solid"/>
                </v:rect>
                <v:shape style="position:absolute;left:5022;top:-1536;width:90;height:218" id="docshape202" coordorigin="5022,-1536" coordsize="90,218" path="m5067,-1319l5067,-1427,5067,-1536m5022,-1319l5112,-1319m5022,-1536l5112,-1536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59872">
                <wp:simplePos x="0" y="0"/>
                <wp:positionH relativeFrom="page">
                  <wp:posOffset>4008120</wp:posOffset>
                </wp:positionH>
                <wp:positionV relativeFrom="paragraph">
                  <wp:posOffset>-1095616</wp:posOffset>
                </wp:positionV>
                <wp:extent cx="200025" cy="3235960"/>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200025" cy="3235960"/>
                          <a:chExt cx="200025" cy="3235960"/>
                        </a:xfrm>
                      </wpg:grpSpPr>
                      <wps:wsp>
                        <wps:cNvPr id="246" name="Graphic 246"/>
                        <wps:cNvSpPr/>
                        <wps:spPr>
                          <a:xfrm>
                            <a:off x="0" y="120904"/>
                            <a:ext cx="200025" cy="3115310"/>
                          </a:xfrm>
                          <a:custGeom>
                            <a:avLst/>
                            <a:gdLst/>
                            <a:ahLst/>
                            <a:cxnLst/>
                            <a:rect l="l" t="t" r="r" b="b"/>
                            <a:pathLst>
                              <a:path w="200025" h="3115310">
                                <a:moveTo>
                                  <a:pt x="199643" y="0"/>
                                </a:moveTo>
                                <a:lnTo>
                                  <a:pt x="0" y="0"/>
                                </a:lnTo>
                                <a:lnTo>
                                  <a:pt x="0" y="3115056"/>
                                </a:lnTo>
                                <a:lnTo>
                                  <a:pt x="199643" y="3115056"/>
                                </a:lnTo>
                                <a:lnTo>
                                  <a:pt x="199643" y="0"/>
                                </a:lnTo>
                                <a:close/>
                              </a:path>
                            </a:pathLst>
                          </a:custGeom>
                          <a:solidFill>
                            <a:srgbClr val="EC7C30"/>
                          </a:solidFill>
                        </wps:spPr>
                        <wps:bodyPr wrap="square" lIns="0" tIns="0" rIns="0" bIns="0" rtlCol="0">
                          <a:prstTxWarp prst="textNoShape">
                            <a:avLst/>
                          </a:prstTxWarp>
                          <a:noAutofit/>
                        </wps:bodyPr>
                      </wps:wsp>
                      <wps:wsp>
                        <wps:cNvPr id="247" name="Graphic 247"/>
                        <wps:cNvSpPr/>
                        <wps:spPr>
                          <a:xfrm>
                            <a:off x="71881" y="6350"/>
                            <a:ext cx="57150" cy="228600"/>
                          </a:xfrm>
                          <a:custGeom>
                            <a:avLst/>
                            <a:gdLst/>
                            <a:ahLst/>
                            <a:cxnLst/>
                            <a:rect l="l" t="t" r="r" b="b"/>
                            <a:pathLst>
                              <a:path w="57150" h="228600">
                                <a:moveTo>
                                  <a:pt x="28575" y="228346"/>
                                </a:moveTo>
                                <a:lnTo>
                                  <a:pt x="28575" y="114173"/>
                                </a:lnTo>
                                <a:lnTo>
                                  <a:pt x="28575" y="0"/>
                                </a:lnTo>
                              </a:path>
                              <a:path w="57150" h="228600">
                                <a:moveTo>
                                  <a:pt x="0" y="228346"/>
                                </a:moveTo>
                                <a:lnTo>
                                  <a:pt x="57150" y="228346"/>
                                </a:lnTo>
                              </a:path>
                              <a:path w="57150" h="22860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5.600006pt;margin-top:-86.268982pt;width:15.75pt;height:254.8pt;mso-position-horizontal-relative:page;mso-position-vertical-relative:paragraph;z-index:15759872" id="docshapegroup203" coordorigin="6312,-1725" coordsize="315,5096">
                <v:rect style="position:absolute;left:6312;top:-1535;width:315;height:4906" id="docshape204" filled="true" fillcolor="#ec7c30" stroked="false">
                  <v:fill type="solid"/>
                </v:rect>
                <v:shape style="position:absolute;left:6425;top:-1716;width:90;height:360" id="docshape205" coordorigin="6425,-1715" coordsize="90,360" path="m6470,-1356l6470,-1536,6470,-1715m6425,-1356l6515,-1356m6425,-1715l6515,-1715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60384">
                <wp:simplePos x="0" y="0"/>
                <wp:positionH relativeFrom="page">
                  <wp:posOffset>4899659</wp:posOffset>
                </wp:positionH>
                <wp:positionV relativeFrom="paragraph">
                  <wp:posOffset>-1022210</wp:posOffset>
                </wp:positionV>
                <wp:extent cx="200025" cy="3162935"/>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200025" cy="3162935"/>
                          <a:chExt cx="200025" cy="3162935"/>
                        </a:xfrm>
                      </wpg:grpSpPr>
                      <wps:wsp>
                        <wps:cNvPr id="249" name="Graphic 249"/>
                        <wps:cNvSpPr/>
                        <wps:spPr>
                          <a:xfrm>
                            <a:off x="0" y="76453"/>
                            <a:ext cx="200025" cy="3086100"/>
                          </a:xfrm>
                          <a:custGeom>
                            <a:avLst/>
                            <a:gdLst/>
                            <a:ahLst/>
                            <a:cxnLst/>
                            <a:rect l="l" t="t" r="r" b="b"/>
                            <a:pathLst>
                              <a:path w="200025" h="3086100">
                                <a:moveTo>
                                  <a:pt x="199643" y="0"/>
                                </a:moveTo>
                                <a:lnTo>
                                  <a:pt x="0" y="0"/>
                                </a:lnTo>
                                <a:lnTo>
                                  <a:pt x="0" y="3086099"/>
                                </a:lnTo>
                                <a:lnTo>
                                  <a:pt x="199643" y="3086099"/>
                                </a:lnTo>
                                <a:lnTo>
                                  <a:pt x="199643" y="0"/>
                                </a:lnTo>
                                <a:close/>
                              </a:path>
                            </a:pathLst>
                          </a:custGeom>
                          <a:solidFill>
                            <a:srgbClr val="EC7C30"/>
                          </a:solidFill>
                        </wps:spPr>
                        <wps:bodyPr wrap="square" lIns="0" tIns="0" rIns="0" bIns="0" rtlCol="0">
                          <a:prstTxWarp prst="textNoShape">
                            <a:avLst/>
                          </a:prstTxWarp>
                          <a:noAutofit/>
                        </wps:bodyPr>
                      </wps:wsp>
                      <wps:wsp>
                        <wps:cNvPr id="250" name="Graphic 250"/>
                        <wps:cNvSpPr/>
                        <wps:spPr>
                          <a:xfrm>
                            <a:off x="71373" y="6350"/>
                            <a:ext cx="57150" cy="140970"/>
                          </a:xfrm>
                          <a:custGeom>
                            <a:avLst/>
                            <a:gdLst/>
                            <a:ahLst/>
                            <a:cxnLst/>
                            <a:rect l="l" t="t" r="r" b="b"/>
                            <a:pathLst>
                              <a:path w="57150" h="140970">
                                <a:moveTo>
                                  <a:pt x="28575" y="140589"/>
                                </a:moveTo>
                                <a:lnTo>
                                  <a:pt x="28575" y="70231"/>
                                </a:lnTo>
                                <a:lnTo>
                                  <a:pt x="28575" y="0"/>
                                </a:lnTo>
                              </a:path>
                              <a:path w="57150" h="140970">
                                <a:moveTo>
                                  <a:pt x="0" y="140589"/>
                                </a:moveTo>
                                <a:lnTo>
                                  <a:pt x="57150" y="140589"/>
                                </a:lnTo>
                              </a:path>
                              <a:path w="57150" h="14097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5.799988pt;margin-top:-80.488983pt;width:15.75pt;height:249.05pt;mso-position-horizontal-relative:page;mso-position-vertical-relative:paragraph;z-index:15760384" id="docshapegroup206" coordorigin="7716,-1610" coordsize="315,4981">
                <v:rect style="position:absolute;left:7716;top:-1490;width:315;height:4860" id="docshape207" filled="true" fillcolor="#ec7c30" stroked="false">
                  <v:fill type="solid"/>
                </v:rect>
                <v:shape style="position:absolute;left:7828;top:-1600;width:90;height:222" id="docshape208" coordorigin="7828,-1600" coordsize="90,222" path="m7873,-1378l7873,-1489,7873,-1600m7828,-1378l7918,-1378m7828,-1600l7918,-1600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60896">
                <wp:simplePos x="0" y="0"/>
                <wp:positionH relativeFrom="page">
                  <wp:posOffset>5789676</wp:posOffset>
                </wp:positionH>
                <wp:positionV relativeFrom="paragraph">
                  <wp:posOffset>-1304150</wp:posOffset>
                </wp:positionV>
                <wp:extent cx="200025" cy="3444875"/>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200025" cy="3444875"/>
                          <a:chExt cx="200025" cy="3444875"/>
                        </a:xfrm>
                      </wpg:grpSpPr>
                      <wps:wsp>
                        <wps:cNvPr id="252" name="Graphic 252"/>
                        <wps:cNvSpPr/>
                        <wps:spPr>
                          <a:xfrm>
                            <a:off x="0" y="73406"/>
                            <a:ext cx="200025" cy="3371215"/>
                          </a:xfrm>
                          <a:custGeom>
                            <a:avLst/>
                            <a:gdLst/>
                            <a:ahLst/>
                            <a:cxnLst/>
                            <a:rect l="l" t="t" r="r" b="b"/>
                            <a:pathLst>
                              <a:path w="200025" h="3371215">
                                <a:moveTo>
                                  <a:pt x="199644" y="0"/>
                                </a:moveTo>
                                <a:lnTo>
                                  <a:pt x="0" y="0"/>
                                </a:lnTo>
                                <a:lnTo>
                                  <a:pt x="0" y="3371088"/>
                                </a:lnTo>
                                <a:lnTo>
                                  <a:pt x="199644" y="3371088"/>
                                </a:lnTo>
                                <a:lnTo>
                                  <a:pt x="199644" y="0"/>
                                </a:lnTo>
                                <a:close/>
                              </a:path>
                            </a:pathLst>
                          </a:custGeom>
                          <a:solidFill>
                            <a:srgbClr val="EC7C30"/>
                          </a:solidFill>
                        </wps:spPr>
                        <wps:bodyPr wrap="square" lIns="0" tIns="0" rIns="0" bIns="0" rtlCol="0">
                          <a:prstTxWarp prst="textNoShape">
                            <a:avLst/>
                          </a:prstTxWarp>
                          <a:noAutofit/>
                        </wps:bodyPr>
                      </wps:wsp>
                      <wps:wsp>
                        <wps:cNvPr id="253" name="Graphic 253"/>
                        <wps:cNvSpPr/>
                        <wps:spPr>
                          <a:xfrm>
                            <a:off x="72389" y="6350"/>
                            <a:ext cx="57150" cy="134620"/>
                          </a:xfrm>
                          <a:custGeom>
                            <a:avLst/>
                            <a:gdLst/>
                            <a:ahLst/>
                            <a:cxnLst/>
                            <a:rect l="l" t="t" r="r" b="b"/>
                            <a:pathLst>
                              <a:path w="57150" h="134620">
                                <a:moveTo>
                                  <a:pt x="28575" y="134620"/>
                                </a:moveTo>
                                <a:lnTo>
                                  <a:pt x="28575" y="67309"/>
                                </a:lnTo>
                                <a:lnTo>
                                  <a:pt x="28575" y="0"/>
                                </a:lnTo>
                              </a:path>
                              <a:path w="57150" h="134620">
                                <a:moveTo>
                                  <a:pt x="0" y="134620"/>
                                </a:moveTo>
                                <a:lnTo>
                                  <a:pt x="57150" y="134620"/>
                                </a:lnTo>
                              </a:path>
                              <a:path w="57150" h="13462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5.880005pt;margin-top:-102.688988pt;width:15.75pt;height:271.25pt;mso-position-horizontal-relative:page;mso-position-vertical-relative:paragraph;z-index:15760896" id="docshapegroup209" coordorigin="9118,-2054" coordsize="315,5425">
                <v:rect style="position:absolute;left:9117;top:-1939;width:315;height:5309" id="docshape210" filled="true" fillcolor="#ec7c30" stroked="false">
                  <v:fill type="solid"/>
                </v:rect>
                <v:shape style="position:absolute;left:9231;top:-2044;width:90;height:212" id="docshape211" coordorigin="9232,-2044" coordsize="90,212" path="m9277,-1832l9277,-1938,9277,-2044m9232,-1832l9322,-1832m9232,-2044l9322,-2044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61408">
                <wp:simplePos x="0" y="0"/>
                <wp:positionH relativeFrom="page">
                  <wp:posOffset>1086332</wp:posOffset>
                </wp:positionH>
                <wp:positionV relativeFrom="paragraph">
                  <wp:posOffset>-701778</wp:posOffset>
                </wp:positionV>
                <wp:extent cx="152400" cy="1560195"/>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152400" cy="1560195"/>
                        </a:xfrm>
                        <a:prstGeom prst="rect">
                          <a:avLst/>
                        </a:prstGeom>
                      </wps:spPr>
                      <wps:txbx>
                        <w:txbxContent>
                          <w:p>
                            <w:pPr>
                              <w:spacing w:line="223" w:lineRule="exact" w:before="0"/>
                              <w:ind w:left="20" w:right="0" w:firstLine="0"/>
                              <w:jc w:val="left"/>
                              <w:rPr>
                                <w:sz w:val="20"/>
                              </w:rPr>
                            </w:pPr>
                            <w:r>
                              <w:rPr>
                                <w:color w:val="585858"/>
                                <w:sz w:val="20"/>
                              </w:rPr>
                              <w:t>Mean</w:t>
                            </w:r>
                            <w:r>
                              <w:rPr>
                                <w:color w:val="585858"/>
                                <w:spacing w:val="-8"/>
                                <w:sz w:val="20"/>
                              </w:rPr>
                              <w:t> </w:t>
                            </w:r>
                            <w:r>
                              <w:rPr>
                                <w:color w:val="585858"/>
                                <w:sz w:val="20"/>
                              </w:rPr>
                              <w:t>zone</w:t>
                            </w:r>
                            <w:r>
                              <w:rPr>
                                <w:color w:val="585858"/>
                                <w:spacing w:val="-7"/>
                                <w:sz w:val="20"/>
                              </w:rPr>
                              <w:t> </w:t>
                            </w:r>
                            <w:r>
                              <w:rPr>
                                <w:color w:val="585858"/>
                                <w:sz w:val="20"/>
                              </w:rPr>
                              <w:t>of</w:t>
                            </w:r>
                            <w:r>
                              <w:rPr>
                                <w:color w:val="585858"/>
                                <w:spacing w:val="-8"/>
                                <w:sz w:val="20"/>
                              </w:rPr>
                              <w:t> </w:t>
                            </w:r>
                            <w:r>
                              <w:rPr>
                                <w:color w:val="585858"/>
                                <w:sz w:val="20"/>
                              </w:rPr>
                              <w:t>inhibition</w:t>
                            </w:r>
                            <w:r>
                              <w:rPr>
                                <w:color w:val="585858"/>
                                <w:spacing w:val="-7"/>
                                <w:sz w:val="20"/>
                              </w:rPr>
                              <w:t> </w:t>
                            </w:r>
                            <w:r>
                              <w:rPr>
                                <w:color w:val="585858"/>
                                <w:spacing w:val="-4"/>
                                <w:sz w:val="20"/>
                              </w:rPr>
                              <w:t>(mm)</w:t>
                            </w:r>
                          </w:p>
                        </w:txbxContent>
                      </wps:txbx>
                      <wps:bodyPr wrap="square" lIns="0" tIns="0" rIns="0" bIns="0" rtlCol="0" vert="vert270">
                        <a:noAutofit/>
                      </wps:bodyPr>
                    </wps:wsp>
                  </a:graphicData>
                </a:graphic>
              </wp:anchor>
            </w:drawing>
          </mc:Choice>
          <mc:Fallback>
            <w:pict>
              <v:shape style="position:absolute;margin-left:85.538002pt;margin-top:-55.258144pt;width:12pt;height:122.85pt;mso-position-horizontal-relative:page;mso-position-vertical-relative:paragraph;z-index:15761408" type="#_x0000_t202" id="docshape212" filled="false" stroked="false">
                <v:textbox inset="0,0,0,0" style="layout-flow:vertical;mso-layout-flow-alt:bottom-to-top">
                  <w:txbxContent>
                    <w:p>
                      <w:pPr>
                        <w:spacing w:line="223" w:lineRule="exact" w:before="0"/>
                        <w:ind w:left="20" w:right="0" w:firstLine="0"/>
                        <w:jc w:val="left"/>
                        <w:rPr>
                          <w:sz w:val="20"/>
                        </w:rPr>
                      </w:pPr>
                      <w:r>
                        <w:rPr>
                          <w:color w:val="585858"/>
                          <w:sz w:val="20"/>
                        </w:rPr>
                        <w:t>Mean</w:t>
                      </w:r>
                      <w:r>
                        <w:rPr>
                          <w:color w:val="585858"/>
                          <w:spacing w:val="-8"/>
                          <w:sz w:val="20"/>
                        </w:rPr>
                        <w:t> </w:t>
                      </w:r>
                      <w:r>
                        <w:rPr>
                          <w:color w:val="585858"/>
                          <w:sz w:val="20"/>
                        </w:rPr>
                        <w:t>zone</w:t>
                      </w:r>
                      <w:r>
                        <w:rPr>
                          <w:color w:val="585858"/>
                          <w:spacing w:val="-7"/>
                          <w:sz w:val="20"/>
                        </w:rPr>
                        <w:t> </w:t>
                      </w:r>
                      <w:r>
                        <w:rPr>
                          <w:color w:val="585858"/>
                          <w:sz w:val="20"/>
                        </w:rPr>
                        <w:t>of</w:t>
                      </w:r>
                      <w:r>
                        <w:rPr>
                          <w:color w:val="585858"/>
                          <w:spacing w:val="-8"/>
                          <w:sz w:val="20"/>
                        </w:rPr>
                        <w:t> </w:t>
                      </w:r>
                      <w:r>
                        <w:rPr>
                          <w:color w:val="585858"/>
                          <w:sz w:val="20"/>
                        </w:rPr>
                        <w:t>inhibition</w:t>
                      </w:r>
                      <w:r>
                        <w:rPr>
                          <w:color w:val="585858"/>
                          <w:spacing w:val="-7"/>
                          <w:sz w:val="20"/>
                        </w:rPr>
                        <w:t> </w:t>
                      </w:r>
                      <w:r>
                        <w:rPr>
                          <w:color w:val="585858"/>
                          <w:spacing w:val="-4"/>
                          <w:sz w:val="20"/>
                        </w:rPr>
                        <w:t>(mm)</w:t>
                      </w:r>
                    </w:p>
                  </w:txbxContent>
                </v:textbox>
                <w10:wrap type="none"/>
              </v:shape>
            </w:pict>
          </mc:Fallback>
        </mc:AlternateContent>
      </w:r>
      <w:r>
        <w:rPr/>
        <mc:AlternateContent>
          <mc:Choice Requires="wps">
            <w:drawing>
              <wp:anchor distT="0" distB="0" distL="0" distR="0" allowOverlap="1" layoutInCell="1" locked="0" behindDoc="0" simplePos="0" relativeHeight="15761920">
                <wp:simplePos x="0" y="0"/>
                <wp:positionH relativeFrom="page">
                  <wp:posOffset>1716023</wp:posOffset>
                </wp:positionH>
                <wp:positionV relativeFrom="paragraph">
                  <wp:posOffset>-537324</wp:posOffset>
                </wp:positionV>
                <wp:extent cx="4531360" cy="267779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4531360" cy="2677795"/>
                        </a:xfrm>
                        <a:prstGeom prst="rect">
                          <a:avLst/>
                        </a:prstGeom>
                      </wps:spPr>
                      <wps:txbx>
                        <w:txbxContent>
                          <w:tbl>
                            <w:tblPr>
                              <w:tblW w:w="0" w:type="auto"/>
                              <w:jc w:val="left"/>
                              <w:tblCellSpacing w:w="42" w:type="dxa"/>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2"/>
                              <w:gridCol w:w="1403"/>
                              <w:gridCol w:w="1403"/>
                              <w:gridCol w:w="1403"/>
                              <w:gridCol w:w="1403"/>
                              <w:gridCol w:w="702"/>
                            </w:tblGrid>
                            <w:tr>
                              <w:trPr>
                                <w:trHeight w:val="4202" w:hRule="atLeast"/>
                              </w:trPr>
                              <w:tc>
                                <w:tcPr>
                                  <w:tcW w:w="660" w:type="dxa"/>
                                  <w:tcBorders>
                                    <w:top w:val="nil"/>
                                    <w:left w:val="nil"/>
                                    <w:bottom w:val="single" w:sz="6" w:space="0" w:color="D9D9D9"/>
                                  </w:tcBorders>
                                </w:tcPr>
                                <w:p>
                                  <w:pPr>
                                    <w:pStyle w:val="TableParagraph"/>
                                    <w:rPr>
                                      <w:rFonts w:ascii="Times New Roman"/>
                                      <w:sz w:val="20"/>
                                    </w:rPr>
                                  </w:pPr>
                                </w:p>
                              </w:tc>
                              <w:tc>
                                <w:tcPr>
                                  <w:tcW w:w="1319" w:type="dxa"/>
                                  <w:tcBorders>
                                    <w:top w:val="nil"/>
                                    <w:bottom w:val="single" w:sz="6" w:space="0" w:color="D9D9D9"/>
                                  </w:tcBorders>
                                </w:tcPr>
                                <w:p>
                                  <w:pPr>
                                    <w:pStyle w:val="TableParagraph"/>
                                    <w:rPr>
                                      <w:rFonts w:ascii="Times New Roman"/>
                                      <w:sz w:val="20"/>
                                    </w:rPr>
                                  </w:pPr>
                                </w:p>
                              </w:tc>
                              <w:tc>
                                <w:tcPr>
                                  <w:tcW w:w="1319" w:type="dxa"/>
                                  <w:tcBorders>
                                    <w:top w:val="nil"/>
                                    <w:bottom w:val="single" w:sz="6" w:space="0" w:color="D9D9D9"/>
                                  </w:tcBorders>
                                </w:tcPr>
                                <w:p>
                                  <w:pPr>
                                    <w:pStyle w:val="TableParagraph"/>
                                    <w:rPr>
                                      <w:rFonts w:ascii="Times New Roman"/>
                                      <w:sz w:val="20"/>
                                    </w:rPr>
                                  </w:pPr>
                                </w:p>
                              </w:tc>
                              <w:tc>
                                <w:tcPr>
                                  <w:tcW w:w="1319" w:type="dxa"/>
                                  <w:tcBorders>
                                    <w:top w:val="nil"/>
                                    <w:bottom w:val="single" w:sz="6" w:space="0" w:color="D9D9D9"/>
                                  </w:tcBorders>
                                </w:tcPr>
                                <w:p>
                                  <w:pPr>
                                    <w:pStyle w:val="TableParagraph"/>
                                    <w:rPr>
                                      <w:rFonts w:ascii="Times New Roman"/>
                                      <w:sz w:val="20"/>
                                    </w:rPr>
                                  </w:pPr>
                                </w:p>
                              </w:tc>
                              <w:tc>
                                <w:tcPr>
                                  <w:tcW w:w="1319" w:type="dxa"/>
                                  <w:tcBorders>
                                    <w:top w:val="nil"/>
                                    <w:bottom w:val="single" w:sz="6" w:space="0" w:color="D9D9D9"/>
                                  </w:tcBorders>
                                </w:tcPr>
                                <w:p>
                                  <w:pPr>
                                    <w:pStyle w:val="TableParagraph"/>
                                    <w:rPr>
                                      <w:rFonts w:ascii="Times New Roman"/>
                                      <w:sz w:val="20"/>
                                    </w:rPr>
                                  </w:pPr>
                                </w:p>
                              </w:tc>
                              <w:tc>
                                <w:tcPr>
                                  <w:tcW w:w="660" w:type="dxa"/>
                                  <w:tcBorders>
                                    <w:top w:val="nil"/>
                                    <w:bottom w:val="single" w:sz="6" w:space="0" w:color="D9D9D9"/>
                                    <w:right w:val="nil"/>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135.119995pt;margin-top:-42.308983pt;width:356.8pt;height:210.85pt;mso-position-horizontal-relative:page;mso-position-vertical-relative:paragraph;z-index:15761920" type="#_x0000_t202" id="docshape213" filled="false" stroked="false">
                <v:textbox inset="0,0,0,0">
                  <w:txbxContent>
                    <w:tbl>
                      <w:tblPr>
                        <w:tblW w:w="0" w:type="auto"/>
                        <w:jc w:val="left"/>
                        <w:tblCellSpacing w:w="42" w:type="dxa"/>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2"/>
                        <w:gridCol w:w="1403"/>
                        <w:gridCol w:w="1403"/>
                        <w:gridCol w:w="1403"/>
                        <w:gridCol w:w="1403"/>
                        <w:gridCol w:w="702"/>
                      </w:tblGrid>
                      <w:tr>
                        <w:trPr>
                          <w:trHeight w:val="4202" w:hRule="atLeast"/>
                        </w:trPr>
                        <w:tc>
                          <w:tcPr>
                            <w:tcW w:w="660" w:type="dxa"/>
                            <w:tcBorders>
                              <w:top w:val="nil"/>
                              <w:left w:val="nil"/>
                              <w:bottom w:val="single" w:sz="6" w:space="0" w:color="D9D9D9"/>
                            </w:tcBorders>
                          </w:tcPr>
                          <w:p>
                            <w:pPr>
                              <w:pStyle w:val="TableParagraph"/>
                              <w:rPr>
                                <w:rFonts w:ascii="Times New Roman"/>
                                <w:sz w:val="20"/>
                              </w:rPr>
                            </w:pPr>
                          </w:p>
                        </w:tc>
                        <w:tc>
                          <w:tcPr>
                            <w:tcW w:w="1319" w:type="dxa"/>
                            <w:tcBorders>
                              <w:top w:val="nil"/>
                              <w:bottom w:val="single" w:sz="6" w:space="0" w:color="D9D9D9"/>
                            </w:tcBorders>
                          </w:tcPr>
                          <w:p>
                            <w:pPr>
                              <w:pStyle w:val="TableParagraph"/>
                              <w:rPr>
                                <w:rFonts w:ascii="Times New Roman"/>
                                <w:sz w:val="20"/>
                              </w:rPr>
                            </w:pPr>
                          </w:p>
                        </w:tc>
                        <w:tc>
                          <w:tcPr>
                            <w:tcW w:w="1319" w:type="dxa"/>
                            <w:tcBorders>
                              <w:top w:val="nil"/>
                              <w:bottom w:val="single" w:sz="6" w:space="0" w:color="D9D9D9"/>
                            </w:tcBorders>
                          </w:tcPr>
                          <w:p>
                            <w:pPr>
                              <w:pStyle w:val="TableParagraph"/>
                              <w:rPr>
                                <w:rFonts w:ascii="Times New Roman"/>
                                <w:sz w:val="20"/>
                              </w:rPr>
                            </w:pPr>
                          </w:p>
                        </w:tc>
                        <w:tc>
                          <w:tcPr>
                            <w:tcW w:w="1319" w:type="dxa"/>
                            <w:tcBorders>
                              <w:top w:val="nil"/>
                              <w:bottom w:val="single" w:sz="6" w:space="0" w:color="D9D9D9"/>
                            </w:tcBorders>
                          </w:tcPr>
                          <w:p>
                            <w:pPr>
                              <w:pStyle w:val="TableParagraph"/>
                              <w:rPr>
                                <w:rFonts w:ascii="Times New Roman"/>
                                <w:sz w:val="20"/>
                              </w:rPr>
                            </w:pPr>
                          </w:p>
                        </w:tc>
                        <w:tc>
                          <w:tcPr>
                            <w:tcW w:w="1319" w:type="dxa"/>
                            <w:tcBorders>
                              <w:top w:val="nil"/>
                              <w:bottom w:val="single" w:sz="6" w:space="0" w:color="D9D9D9"/>
                            </w:tcBorders>
                          </w:tcPr>
                          <w:p>
                            <w:pPr>
                              <w:pStyle w:val="TableParagraph"/>
                              <w:rPr>
                                <w:rFonts w:ascii="Times New Roman"/>
                                <w:sz w:val="20"/>
                              </w:rPr>
                            </w:pPr>
                          </w:p>
                        </w:tc>
                        <w:tc>
                          <w:tcPr>
                            <w:tcW w:w="660" w:type="dxa"/>
                            <w:tcBorders>
                              <w:top w:val="nil"/>
                              <w:bottom w:val="single" w:sz="6" w:space="0" w:color="D9D9D9"/>
                              <w:right w:val="nil"/>
                            </w:tcBorders>
                          </w:tcPr>
                          <w:p>
                            <w:pPr>
                              <w:pStyle w:val="TableParagraph"/>
                              <w:rPr>
                                <w:rFonts w:ascii="Times New Roman"/>
                                <w:sz w:val="20"/>
                              </w:rPr>
                            </w:pPr>
                          </w:p>
                        </w:tc>
                      </w:tr>
                    </w:tbl>
                    <w:p>
                      <w:pPr>
                        <w:pStyle w:val="BodyText"/>
                      </w:pPr>
                    </w:p>
                  </w:txbxContent>
                </v:textbox>
                <w10:wrap type="none"/>
              </v:shape>
            </w:pict>
          </mc:Fallback>
        </mc:AlternateContent>
      </w:r>
      <w:r>
        <w:rPr>
          <w:color w:val="585858"/>
          <w:spacing w:val="-2"/>
          <w:sz w:val="18"/>
        </w:rPr>
        <w:t>15.000</w:t>
      </w:r>
    </w:p>
    <w:p>
      <w:pPr>
        <w:pStyle w:val="BodyText"/>
        <w:rPr>
          <w:sz w:val="18"/>
        </w:rPr>
      </w:pPr>
    </w:p>
    <w:p>
      <w:pPr>
        <w:pStyle w:val="BodyText"/>
        <w:rPr>
          <w:sz w:val="18"/>
        </w:rPr>
      </w:pPr>
    </w:p>
    <w:p>
      <w:pPr>
        <w:pStyle w:val="BodyText"/>
        <w:spacing w:before="204"/>
        <w:rPr>
          <w:sz w:val="18"/>
        </w:rPr>
      </w:pPr>
    </w:p>
    <w:p>
      <w:pPr>
        <w:spacing w:before="1"/>
        <w:ind w:left="1023" w:right="0" w:firstLine="0"/>
        <w:jc w:val="left"/>
        <w:rPr>
          <w:sz w:val="18"/>
        </w:rPr>
      </w:pPr>
      <w:r>
        <w:rPr>
          <w:color w:val="585858"/>
          <w:spacing w:val="-2"/>
          <w:sz w:val="18"/>
        </w:rPr>
        <w:t>10.000</w:t>
      </w:r>
    </w:p>
    <w:p>
      <w:pPr>
        <w:pStyle w:val="BodyText"/>
        <w:rPr>
          <w:sz w:val="18"/>
        </w:rPr>
      </w:pPr>
    </w:p>
    <w:p>
      <w:pPr>
        <w:pStyle w:val="BodyText"/>
        <w:rPr>
          <w:sz w:val="18"/>
        </w:rPr>
      </w:pPr>
    </w:p>
    <w:p>
      <w:pPr>
        <w:pStyle w:val="BodyText"/>
        <w:spacing w:before="204"/>
        <w:rPr>
          <w:sz w:val="18"/>
        </w:rPr>
      </w:pPr>
    </w:p>
    <w:p>
      <w:pPr>
        <w:spacing w:before="0"/>
        <w:ind w:left="1114" w:right="0" w:firstLine="0"/>
        <w:jc w:val="left"/>
        <w:rPr>
          <w:sz w:val="18"/>
        </w:rPr>
      </w:pPr>
      <w:r>
        <w:rPr>
          <w:color w:val="585858"/>
          <w:spacing w:val="-2"/>
          <w:sz w:val="18"/>
        </w:rPr>
        <w:t>5.000</w:t>
      </w:r>
    </w:p>
    <w:p>
      <w:pPr>
        <w:pStyle w:val="BodyText"/>
        <w:rPr>
          <w:sz w:val="18"/>
        </w:rPr>
      </w:pPr>
    </w:p>
    <w:p>
      <w:pPr>
        <w:pStyle w:val="BodyText"/>
        <w:rPr>
          <w:sz w:val="18"/>
        </w:rPr>
      </w:pPr>
    </w:p>
    <w:p>
      <w:pPr>
        <w:pStyle w:val="BodyText"/>
        <w:spacing w:before="204"/>
        <w:rPr>
          <w:sz w:val="18"/>
        </w:rPr>
      </w:pPr>
    </w:p>
    <w:p>
      <w:pPr>
        <w:spacing w:before="1"/>
        <w:ind w:left="1114" w:right="0" w:firstLine="0"/>
        <w:jc w:val="left"/>
        <w:rPr>
          <w:sz w:val="18"/>
        </w:rPr>
      </w:pPr>
      <w:r>
        <w:rPr>
          <w:color w:val="585858"/>
          <w:spacing w:val="-2"/>
          <w:sz w:val="18"/>
        </w:rPr>
        <w:t>0.000</w:t>
      </w:r>
    </w:p>
    <w:p>
      <w:pPr>
        <w:spacing w:before="76"/>
        <w:ind w:left="24" w:right="0" w:firstLine="0"/>
        <w:jc w:val="center"/>
        <w:rPr>
          <w:sz w:val="18"/>
        </w:rPr>
      </w:pPr>
      <w:r>
        <w:rPr>
          <w:color w:val="585858"/>
          <w:sz w:val="18"/>
        </w:rPr>
        <w:t>100%H/10:50H:L</w:t>
      </w:r>
      <w:r>
        <w:rPr>
          <w:color w:val="585858"/>
          <w:spacing w:val="40"/>
          <w:sz w:val="18"/>
        </w:rPr>
        <w:t>  </w:t>
      </w:r>
      <w:r>
        <w:rPr>
          <w:color w:val="585858"/>
          <w:sz w:val="18"/>
        </w:rPr>
        <w:t>100%H/20:50H:L</w:t>
      </w:r>
      <w:r>
        <w:rPr>
          <w:color w:val="585858"/>
          <w:spacing w:val="49"/>
          <w:sz w:val="18"/>
        </w:rPr>
        <w:t>  </w:t>
      </w:r>
      <w:r>
        <w:rPr>
          <w:color w:val="585858"/>
          <w:sz w:val="18"/>
        </w:rPr>
        <w:t>100%H/30:50H:L</w:t>
      </w:r>
      <w:r>
        <w:rPr>
          <w:color w:val="585858"/>
          <w:spacing w:val="34"/>
          <w:sz w:val="18"/>
        </w:rPr>
        <w:t>  </w:t>
      </w:r>
      <w:r>
        <w:rPr>
          <w:color w:val="585858"/>
          <w:sz w:val="18"/>
        </w:rPr>
        <w:t>100%H/40:50H/L</w:t>
      </w:r>
      <w:r>
        <w:rPr>
          <w:color w:val="585858"/>
          <w:spacing w:val="30"/>
          <w:sz w:val="18"/>
        </w:rPr>
        <w:t>  </w:t>
      </w:r>
      <w:r>
        <w:rPr>
          <w:color w:val="585858"/>
          <w:spacing w:val="-2"/>
          <w:sz w:val="18"/>
        </w:rPr>
        <w:t>100%H/50:50H/L</w:t>
      </w:r>
    </w:p>
    <w:p>
      <w:pPr>
        <w:spacing w:before="151"/>
        <w:ind w:left="34" w:right="0" w:firstLine="0"/>
        <w:jc w:val="center"/>
        <w:rPr>
          <w:sz w:val="20"/>
        </w:rPr>
      </w:pPr>
      <w:r>
        <w:rPr>
          <w:color w:val="585858"/>
          <w:sz w:val="20"/>
        </w:rPr>
        <w:t>Honey/mixture</w:t>
      </w:r>
      <w:r>
        <w:rPr>
          <w:color w:val="585858"/>
          <w:spacing w:val="-8"/>
          <w:sz w:val="20"/>
        </w:rPr>
        <w:t> </w:t>
      </w:r>
      <w:r>
        <w:rPr>
          <w:color w:val="585858"/>
          <w:sz w:val="20"/>
        </w:rPr>
        <w:t>of</w:t>
      </w:r>
      <w:r>
        <w:rPr>
          <w:color w:val="585858"/>
          <w:spacing w:val="-9"/>
          <w:sz w:val="20"/>
        </w:rPr>
        <w:t> </w:t>
      </w:r>
      <w:r>
        <w:rPr>
          <w:color w:val="585858"/>
          <w:sz w:val="20"/>
        </w:rPr>
        <w:t>Honey</w:t>
      </w:r>
      <w:r>
        <w:rPr>
          <w:color w:val="585858"/>
          <w:spacing w:val="-6"/>
          <w:sz w:val="20"/>
        </w:rPr>
        <w:t> </w:t>
      </w:r>
      <w:r>
        <w:rPr>
          <w:color w:val="585858"/>
          <w:sz w:val="20"/>
        </w:rPr>
        <w:t>and</w:t>
      </w:r>
      <w:r>
        <w:rPr>
          <w:color w:val="585858"/>
          <w:spacing w:val="-9"/>
          <w:sz w:val="20"/>
        </w:rPr>
        <w:t> </w:t>
      </w:r>
      <w:r>
        <w:rPr>
          <w:color w:val="585858"/>
          <w:spacing w:val="-2"/>
          <w:sz w:val="20"/>
        </w:rPr>
        <w:t>Lemon</w:t>
      </w:r>
    </w:p>
    <w:p>
      <w:pPr>
        <w:pStyle w:val="BodyText"/>
        <w:spacing w:before="170"/>
      </w:pPr>
    </w:p>
    <w:p>
      <w:pPr>
        <w:pStyle w:val="BodyText"/>
        <w:spacing w:line="259" w:lineRule="auto"/>
        <w:ind w:left="380" w:right="975"/>
      </w:pPr>
      <w:r>
        <w:rPr/>
        <w:t>Figure</w:t>
      </w:r>
      <w:r>
        <w:rPr>
          <w:spacing w:val="-1"/>
        </w:rPr>
        <w:t> </w:t>
      </w:r>
      <w:r>
        <w:rPr/>
        <w:t>4.13:</w:t>
      </w:r>
      <w:r>
        <w:rPr>
          <w:spacing w:val="-3"/>
        </w:rPr>
        <w:t> </w:t>
      </w:r>
      <w:r>
        <w:rPr/>
        <w:t>Comparing</w:t>
      </w:r>
      <w:r>
        <w:rPr>
          <w:spacing w:val="-2"/>
        </w:rPr>
        <w:t> </w:t>
      </w:r>
      <w:r>
        <w:rPr/>
        <w:t>the</w:t>
      </w:r>
      <w:r>
        <w:rPr>
          <w:spacing w:val="-3"/>
        </w:rPr>
        <w:t> </w:t>
      </w:r>
      <w:r>
        <w:rPr/>
        <w:t>mean zones</w:t>
      </w:r>
      <w:r>
        <w:rPr>
          <w:spacing w:val="-3"/>
        </w:rPr>
        <w:t> </w:t>
      </w:r>
      <w:r>
        <w:rPr/>
        <w:t>of</w:t>
      </w:r>
      <w:r>
        <w:rPr>
          <w:spacing w:val="-4"/>
        </w:rPr>
        <w:t> </w:t>
      </w:r>
      <w:r>
        <w:rPr/>
        <w:t>inhibition</w:t>
      </w:r>
      <w:r>
        <w:rPr>
          <w:spacing w:val="-4"/>
        </w:rPr>
        <w:t> </w:t>
      </w:r>
      <w:r>
        <w:rPr/>
        <w:t>of</w:t>
      </w:r>
      <w:r>
        <w:rPr>
          <w:spacing w:val="-1"/>
        </w:rPr>
        <w:t> </w:t>
      </w:r>
      <w:r>
        <w:rPr/>
        <w:t>Honey</w:t>
      </w:r>
      <w:r>
        <w:rPr>
          <w:spacing w:val="-1"/>
        </w:rPr>
        <w:t> </w:t>
      </w:r>
      <w:r>
        <w:rPr/>
        <w:t>and</w:t>
      </w:r>
      <w:r>
        <w:rPr>
          <w:spacing w:val="-3"/>
        </w:rPr>
        <w:t> </w:t>
      </w:r>
      <w:r>
        <w:rPr/>
        <w:t>the</w:t>
      </w:r>
      <w:r>
        <w:rPr>
          <w:spacing w:val="-3"/>
        </w:rPr>
        <w:t> </w:t>
      </w:r>
      <w:r>
        <w:rPr/>
        <w:t>mixture</w:t>
      </w:r>
      <w:r>
        <w:rPr>
          <w:spacing w:val="-3"/>
        </w:rPr>
        <w:t> </w:t>
      </w:r>
      <w:r>
        <w:rPr/>
        <w:t>of</w:t>
      </w:r>
      <w:r>
        <w:rPr>
          <w:spacing w:val="-4"/>
        </w:rPr>
        <w:t> </w:t>
      </w:r>
      <w:r>
        <w:rPr/>
        <w:t>Honey</w:t>
      </w:r>
      <w:r>
        <w:rPr>
          <w:spacing w:val="-1"/>
        </w:rPr>
        <w:t> </w:t>
      </w:r>
      <w:r>
        <w:rPr/>
        <w:t>and</w:t>
      </w:r>
      <w:r>
        <w:rPr>
          <w:spacing w:val="-3"/>
        </w:rPr>
        <w:t> </w:t>
      </w:r>
      <w:r>
        <w:rPr/>
        <w:t>Lemon juice against </w:t>
      </w:r>
      <w:r>
        <w:rPr>
          <w:i/>
        </w:rPr>
        <w:t>Staphylococcus aureus</w:t>
      </w:r>
      <w:r>
        <w:rPr/>
        <w:t>.</w:t>
      </w:r>
    </w:p>
    <w:p>
      <w:pPr>
        <w:pStyle w:val="BodyText"/>
      </w:pPr>
    </w:p>
    <w:p>
      <w:pPr>
        <w:pStyle w:val="BodyText"/>
        <w:spacing w:before="73"/>
      </w:pPr>
    </w:p>
    <w:p>
      <w:pPr>
        <w:pStyle w:val="BodyText"/>
        <w:ind w:left="380"/>
      </w:pPr>
      <w:r>
        <w:rPr/>
        <w:t>Key:</w:t>
      </w:r>
      <w:r>
        <w:rPr>
          <w:spacing w:val="-6"/>
        </w:rPr>
        <w:t> </w:t>
      </w:r>
      <w:r>
        <w:rPr/>
        <w:t>*=Significant</w:t>
      </w:r>
      <w:r>
        <w:rPr>
          <w:spacing w:val="-6"/>
        </w:rPr>
        <w:t> </w:t>
      </w:r>
      <w:r>
        <w:rPr/>
        <w:t>difference,</w:t>
      </w:r>
      <w:r>
        <w:rPr>
          <w:spacing w:val="-6"/>
        </w:rPr>
        <w:t> </w:t>
      </w:r>
      <w:r>
        <w:rPr/>
        <w:t>H=Honey,</w:t>
      </w:r>
      <w:r>
        <w:rPr>
          <w:spacing w:val="-8"/>
        </w:rPr>
        <w:t> </w:t>
      </w:r>
      <w:r>
        <w:rPr/>
        <w:t>L=Lemon</w:t>
      </w:r>
      <w:r>
        <w:rPr>
          <w:spacing w:val="-6"/>
        </w:rPr>
        <w:t> </w:t>
      </w:r>
      <w:r>
        <w:rPr>
          <w:spacing w:val="-2"/>
        </w:rPr>
        <w:t>juice.</w:t>
      </w:r>
    </w:p>
    <w:p>
      <w:pPr>
        <w:spacing w:after="0"/>
        <w:sectPr>
          <w:pgSz w:w="11910" w:h="16840"/>
          <w:pgMar w:header="0" w:footer="1055" w:top="1480" w:bottom="1240" w:left="1060" w:right="460"/>
        </w:sectPr>
      </w:pPr>
    </w:p>
    <w:p>
      <w:pPr>
        <w:spacing w:before="41"/>
        <w:ind w:left="1024" w:right="0" w:firstLine="0"/>
        <w:jc w:val="left"/>
        <w:rPr>
          <w:sz w:val="18"/>
        </w:rPr>
      </w:pPr>
      <w:r>
        <w:rPr/>
        <mc:AlternateContent>
          <mc:Choice Requires="wps">
            <w:drawing>
              <wp:anchor distT="0" distB="0" distL="0" distR="0" allowOverlap="1" layoutInCell="1" locked="0" behindDoc="0" simplePos="0" relativeHeight="15772160">
                <wp:simplePos x="0" y="0"/>
                <wp:positionH relativeFrom="page">
                  <wp:posOffset>1371219</wp:posOffset>
                </wp:positionH>
                <wp:positionV relativeFrom="paragraph">
                  <wp:posOffset>288416</wp:posOffset>
                </wp:positionV>
                <wp:extent cx="2444750" cy="1360805"/>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2444750" cy="1360805"/>
                          <a:chExt cx="2444750" cy="1360805"/>
                        </a:xfrm>
                      </wpg:grpSpPr>
                      <pic:pic>
                        <pic:nvPicPr>
                          <pic:cNvPr id="257" name="Image 257"/>
                          <pic:cNvPicPr/>
                        </pic:nvPicPr>
                        <pic:blipFill>
                          <a:blip r:embed="rId297" cstate="print"/>
                          <a:stretch>
                            <a:fillRect/>
                          </a:stretch>
                        </pic:blipFill>
                        <pic:spPr>
                          <a:xfrm>
                            <a:off x="0" y="0"/>
                            <a:ext cx="1530858" cy="1347216"/>
                          </a:xfrm>
                          <a:prstGeom prst="rect">
                            <a:avLst/>
                          </a:prstGeom>
                        </pic:spPr>
                      </pic:pic>
                      <pic:pic>
                        <pic:nvPicPr>
                          <pic:cNvPr id="258" name="Image 258"/>
                          <pic:cNvPicPr/>
                        </pic:nvPicPr>
                        <pic:blipFill>
                          <a:blip r:embed="rId297" cstate="print"/>
                          <a:stretch>
                            <a:fillRect/>
                          </a:stretch>
                        </pic:blipFill>
                        <pic:spPr>
                          <a:xfrm>
                            <a:off x="913638" y="13080"/>
                            <a:ext cx="1530858" cy="1347216"/>
                          </a:xfrm>
                          <a:prstGeom prst="rect">
                            <a:avLst/>
                          </a:prstGeom>
                        </pic:spPr>
                      </pic:pic>
                    </wpg:wgp>
                  </a:graphicData>
                </a:graphic>
              </wp:anchor>
            </w:drawing>
          </mc:Choice>
          <mc:Fallback>
            <w:pict>
              <v:group style="position:absolute;margin-left:107.970001pt;margin-top:22.709999pt;width:192.5pt;height:107.15pt;mso-position-horizontal-relative:page;mso-position-vertical-relative:paragraph;z-index:15772160" id="docshapegroup214" coordorigin="2159,454" coordsize="3850,2143">
                <v:shape style="position:absolute;left:2159;top:454;width:2411;height:2122" type="#_x0000_t75" id="docshape215" stroked="false">
                  <v:imagedata r:id="rId297" o:title=""/>
                </v:shape>
                <v:shape style="position:absolute;left:3598;top:474;width:2411;height:2122" type="#_x0000_t75" id="docshape216" stroked="false">
                  <v:imagedata r:id="rId297" o:title=""/>
                </v:shape>
                <w10:wrap type="none"/>
              </v:group>
            </w:pict>
          </mc:Fallback>
        </mc:AlternateContent>
      </w:r>
      <w:r>
        <w:rPr>
          <w:color w:val="585858"/>
          <w:spacing w:val="-2"/>
          <w:sz w:val="18"/>
        </w:rPr>
        <w:t>30.000</w:t>
      </w:r>
    </w:p>
    <w:p>
      <w:pPr>
        <w:pStyle w:val="BodyText"/>
        <w:rPr>
          <w:sz w:val="20"/>
        </w:rPr>
      </w:pPr>
    </w:p>
    <w:p>
      <w:pPr>
        <w:pStyle w:val="BodyText"/>
        <w:rPr>
          <w:sz w:val="20"/>
        </w:rPr>
      </w:pPr>
    </w:p>
    <w:p>
      <w:pPr>
        <w:pStyle w:val="BodyText"/>
        <w:spacing w:before="9"/>
        <w:rPr>
          <w:sz w:val="20"/>
        </w:rPr>
      </w:pPr>
      <w:r>
        <w:rPr/>
        <mc:AlternateContent>
          <mc:Choice Requires="wps">
            <w:drawing>
              <wp:anchor distT="0" distB="0" distL="0" distR="0" allowOverlap="1" layoutInCell="1" locked="0" behindDoc="1" simplePos="0" relativeHeight="487622144">
                <wp:simplePos x="0" y="0"/>
                <wp:positionH relativeFrom="page">
                  <wp:posOffset>1323721</wp:posOffset>
                </wp:positionH>
                <wp:positionV relativeFrom="paragraph">
                  <wp:posOffset>176017</wp:posOffset>
                </wp:positionV>
                <wp:extent cx="331470" cy="716915"/>
                <wp:effectExtent l="0" t="0" r="0" b="0"/>
                <wp:wrapTopAndBottom/>
                <wp:docPr id="259" name="Group 259"/>
                <wp:cNvGraphicFramePr>
                  <a:graphicFrameLocks/>
                </wp:cNvGraphicFramePr>
                <a:graphic>
                  <a:graphicData uri="http://schemas.microsoft.com/office/word/2010/wordprocessingGroup">
                    <wpg:wgp>
                      <wpg:cNvPr id="259" name="Group 259"/>
                      <wpg:cNvGrpSpPr/>
                      <wpg:grpSpPr>
                        <a:xfrm>
                          <a:off x="0" y="0"/>
                          <a:ext cx="331470" cy="716915"/>
                          <a:chExt cx="331470" cy="716915"/>
                        </a:xfrm>
                      </wpg:grpSpPr>
                      <wps:wsp>
                        <wps:cNvPr id="260" name="Textbox 260"/>
                        <wps:cNvSpPr txBox="1"/>
                        <wps:spPr>
                          <a:xfrm>
                            <a:off x="0" y="0"/>
                            <a:ext cx="331470" cy="114300"/>
                          </a:xfrm>
                          <a:prstGeom prst="rect">
                            <a:avLst/>
                          </a:prstGeom>
                        </wps:spPr>
                        <wps:txbx>
                          <w:txbxContent>
                            <w:p>
                              <w:pPr>
                                <w:spacing w:line="180" w:lineRule="exact" w:before="0"/>
                                <w:ind w:left="0" w:right="0" w:firstLine="0"/>
                                <w:jc w:val="left"/>
                                <w:rPr>
                                  <w:sz w:val="18"/>
                                </w:rPr>
                              </w:pPr>
                              <w:r>
                                <w:rPr>
                                  <w:color w:val="585858"/>
                                  <w:spacing w:val="-2"/>
                                  <w:sz w:val="18"/>
                                </w:rPr>
                                <w:t>25.000</w:t>
                              </w:r>
                            </w:p>
                          </w:txbxContent>
                        </wps:txbx>
                        <wps:bodyPr wrap="square" lIns="0" tIns="0" rIns="0" bIns="0" rtlCol="0">
                          <a:noAutofit/>
                        </wps:bodyPr>
                      </wps:wsp>
                      <wps:wsp>
                        <wps:cNvPr id="261" name="Textbox 261"/>
                        <wps:cNvSpPr txBox="1"/>
                        <wps:spPr>
                          <a:xfrm>
                            <a:off x="0" y="602361"/>
                            <a:ext cx="331470" cy="114300"/>
                          </a:xfrm>
                          <a:prstGeom prst="rect">
                            <a:avLst/>
                          </a:prstGeom>
                        </wps:spPr>
                        <wps:txbx>
                          <w:txbxContent>
                            <w:p>
                              <w:pPr>
                                <w:spacing w:line="180" w:lineRule="exact" w:before="0"/>
                                <w:ind w:left="0" w:right="0" w:firstLine="0"/>
                                <w:jc w:val="left"/>
                                <w:rPr>
                                  <w:sz w:val="18"/>
                                </w:rPr>
                              </w:pPr>
                              <w:r>
                                <w:rPr>
                                  <w:color w:val="585858"/>
                                  <w:spacing w:val="-2"/>
                                  <w:sz w:val="18"/>
                                </w:rPr>
                                <w:t>20.000</w:t>
                              </w:r>
                            </w:p>
                          </w:txbxContent>
                        </wps:txbx>
                        <wps:bodyPr wrap="square" lIns="0" tIns="0" rIns="0" bIns="0" rtlCol="0">
                          <a:noAutofit/>
                        </wps:bodyPr>
                      </wps:wsp>
                    </wpg:wgp>
                  </a:graphicData>
                </a:graphic>
              </wp:anchor>
            </w:drawing>
          </mc:Choice>
          <mc:Fallback>
            <w:pict>
              <v:group style="position:absolute;margin-left:104.230003pt;margin-top:13.85961pt;width:26.1pt;height:56.45pt;mso-position-horizontal-relative:page;mso-position-vertical-relative:paragraph;z-index:-15694336;mso-wrap-distance-left:0;mso-wrap-distance-right:0" id="docshapegroup217" coordorigin="2085,277" coordsize="522,1129">
                <v:shape style="position:absolute;left:2084;top:277;width:522;height:180" type="#_x0000_t202" id="docshape218" filled="false" stroked="false">
                  <v:textbox inset="0,0,0,0">
                    <w:txbxContent>
                      <w:p>
                        <w:pPr>
                          <w:spacing w:line="180" w:lineRule="exact" w:before="0"/>
                          <w:ind w:left="0" w:right="0" w:firstLine="0"/>
                          <w:jc w:val="left"/>
                          <w:rPr>
                            <w:sz w:val="18"/>
                          </w:rPr>
                        </w:pPr>
                        <w:r>
                          <w:rPr>
                            <w:color w:val="585858"/>
                            <w:spacing w:val="-2"/>
                            <w:sz w:val="18"/>
                          </w:rPr>
                          <w:t>25.000</w:t>
                        </w:r>
                      </w:p>
                    </w:txbxContent>
                  </v:textbox>
                  <w10:wrap type="none"/>
                </v:shape>
                <v:shape style="position:absolute;left:2084;top:1225;width:522;height:180" type="#_x0000_t202" id="docshape219" filled="false" stroked="false">
                  <v:textbox inset="0,0,0,0">
                    <w:txbxContent>
                      <w:p>
                        <w:pPr>
                          <w:spacing w:line="180" w:lineRule="exact" w:before="0"/>
                          <w:ind w:left="0" w:right="0" w:firstLine="0"/>
                          <w:jc w:val="left"/>
                          <w:rPr>
                            <w:sz w:val="18"/>
                          </w:rPr>
                        </w:pPr>
                        <w:r>
                          <w:rPr>
                            <w:color w:val="585858"/>
                            <w:spacing w:val="-2"/>
                            <w:sz w:val="18"/>
                          </w:rPr>
                          <w:t>20.000</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2656">
                <wp:simplePos x="0" y="0"/>
                <wp:positionH relativeFrom="page">
                  <wp:posOffset>2055495</wp:posOffset>
                </wp:positionH>
                <wp:positionV relativeFrom="paragraph">
                  <wp:posOffset>963290</wp:posOffset>
                </wp:positionV>
                <wp:extent cx="57150" cy="1270"/>
                <wp:effectExtent l="0" t="0" r="0" b="0"/>
                <wp:wrapTopAndBottom/>
                <wp:docPr id="262" name="Graphic 262"/>
                <wp:cNvGraphicFramePr>
                  <a:graphicFrameLocks/>
                </wp:cNvGraphicFramePr>
                <a:graphic>
                  <a:graphicData uri="http://schemas.microsoft.com/office/word/2010/wordprocessingShape">
                    <wps:wsp>
                      <wps:cNvPr id="262" name="Graphic 262"/>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161.850006pt;margin-top:75.849609pt;width:4.5pt;height:.1pt;mso-position-horizontal-relative:page;mso-position-vertical-relative:paragraph;z-index:-15693824;mso-wrap-distance-left:0;mso-wrap-distance-right:0" id="docshape220" coordorigin="3237,1517" coordsize="90,0" path="m3237,1517l3327,1517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3168">
                <wp:simplePos x="0" y="0"/>
                <wp:positionH relativeFrom="page">
                  <wp:posOffset>2977895</wp:posOffset>
                </wp:positionH>
                <wp:positionV relativeFrom="paragraph">
                  <wp:posOffset>963290</wp:posOffset>
                </wp:positionV>
                <wp:extent cx="57150" cy="1270"/>
                <wp:effectExtent l="0" t="0" r="0" b="0"/>
                <wp:wrapTopAndBottom/>
                <wp:docPr id="263" name="Graphic 263"/>
                <wp:cNvGraphicFramePr>
                  <a:graphicFrameLocks/>
                </wp:cNvGraphicFramePr>
                <a:graphic>
                  <a:graphicData uri="http://schemas.microsoft.com/office/word/2010/wordprocessingShape">
                    <wps:wsp>
                      <wps:cNvPr id="263" name="Graphic 263"/>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234.479996pt;margin-top:75.849609pt;width:4.5pt;height:.1pt;mso-position-horizontal-relative:page;mso-position-vertical-relative:paragraph;z-index:-15693312;mso-wrap-distance-left:0;mso-wrap-distance-right:0" id="docshape221" coordorigin="4690,1517" coordsize="90,0" path="m4690,1517l4780,1517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3680">
                <wp:simplePos x="0" y="0"/>
                <wp:positionH relativeFrom="page">
                  <wp:posOffset>3900170</wp:posOffset>
                </wp:positionH>
                <wp:positionV relativeFrom="paragraph">
                  <wp:posOffset>963290</wp:posOffset>
                </wp:positionV>
                <wp:extent cx="57150" cy="1270"/>
                <wp:effectExtent l="0" t="0" r="0" b="0"/>
                <wp:wrapTopAndBottom/>
                <wp:docPr id="264" name="Graphic 264"/>
                <wp:cNvGraphicFramePr>
                  <a:graphicFrameLocks/>
                </wp:cNvGraphicFramePr>
                <a:graphic>
                  <a:graphicData uri="http://schemas.microsoft.com/office/word/2010/wordprocessingShape">
                    <wps:wsp>
                      <wps:cNvPr id="264" name="Graphic 264"/>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307.100006pt;margin-top:75.849609pt;width:4.5pt;height:.1pt;mso-position-horizontal-relative:page;mso-position-vertical-relative:paragraph;z-index:-15692800;mso-wrap-distance-left:0;mso-wrap-distance-right:0" id="docshape222" coordorigin="6142,1517" coordsize="90,0" path="m6142,1517l6232,1517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4192">
                <wp:simplePos x="0" y="0"/>
                <wp:positionH relativeFrom="page">
                  <wp:posOffset>4822444</wp:posOffset>
                </wp:positionH>
                <wp:positionV relativeFrom="paragraph">
                  <wp:posOffset>963290</wp:posOffset>
                </wp:positionV>
                <wp:extent cx="57150" cy="1270"/>
                <wp:effectExtent l="0" t="0" r="0" b="0"/>
                <wp:wrapTopAndBottom/>
                <wp:docPr id="265" name="Graphic 265"/>
                <wp:cNvGraphicFramePr>
                  <a:graphicFrameLocks/>
                </wp:cNvGraphicFramePr>
                <a:graphic>
                  <a:graphicData uri="http://schemas.microsoft.com/office/word/2010/wordprocessingShape">
                    <wps:wsp>
                      <wps:cNvPr id="265" name="Graphic 265"/>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379.720001pt;margin-top:75.849609pt;width:4.5pt;height:.1pt;mso-position-horizontal-relative:page;mso-position-vertical-relative:paragraph;z-index:-15692288;mso-wrap-distance-left:0;mso-wrap-distance-right:0" id="docshape223" coordorigin="7594,1517" coordsize="90,0" path="m7594,1517l7684,1517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4704">
                <wp:simplePos x="0" y="0"/>
                <wp:positionH relativeFrom="page">
                  <wp:posOffset>5744845</wp:posOffset>
                </wp:positionH>
                <wp:positionV relativeFrom="paragraph">
                  <wp:posOffset>963290</wp:posOffset>
                </wp:positionV>
                <wp:extent cx="57150" cy="1270"/>
                <wp:effectExtent l="0" t="0" r="0" b="0"/>
                <wp:wrapTopAndBottom/>
                <wp:docPr id="266" name="Graphic 266"/>
                <wp:cNvGraphicFramePr>
                  <a:graphicFrameLocks/>
                </wp:cNvGraphicFramePr>
                <a:graphic>
                  <a:graphicData uri="http://schemas.microsoft.com/office/word/2010/wordprocessingShape">
                    <wps:wsp>
                      <wps:cNvPr id="266" name="Graphic 266"/>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452.350006pt;margin-top:75.849609pt;width:4.5pt;height:.1pt;mso-position-horizontal-relative:page;mso-position-vertical-relative:paragraph;z-index:-15691776;mso-wrap-distance-left:0;mso-wrap-distance-right:0" id="docshape224" coordorigin="9047,1517" coordsize="90,0" path="m9047,1517l9137,1517e" filled="false" stroked="true" strokeweight="1pt" strokecolor="#585858">
                <v:path arrowok="t"/>
                <v:stroke dashstyle="solid"/>
                <w10:wrap type="topAndBottom"/>
              </v:shape>
            </w:pict>
          </mc:Fallback>
        </mc:AlternateContent>
      </w:r>
    </w:p>
    <w:p>
      <w:pPr>
        <w:pStyle w:val="BodyText"/>
        <w:spacing w:before="1"/>
        <w:rPr>
          <w:sz w:val="7"/>
        </w:rPr>
      </w:pPr>
    </w:p>
    <w:p>
      <w:pPr>
        <w:pStyle w:val="BodyText"/>
        <w:rPr>
          <w:sz w:val="18"/>
        </w:rPr>
      </w:pPr>
    </w:p>
    <w:p>
      <w:pPr>
        <w:pStyle w:val="BodyText"/>
        <w:spacing w:before="171"/>
        <w:rPr>
          <w:sz w:val="18"/>
        </w:rPr>
      </w:pPr>
    </w:p>
    <w:p>
      <w:pPr>
        <w:spacing w:before="0"/>
        <w:ind w:left="1024" w:right="0" w:firstLine="0"/>
        <w:jc w:val="left"/>
        <w:rPr>
          <w:sz w:val="18"/>
        </w:rPr>
      </w:pPr>
      <w:r>
        <w:rPr/>
        <mc:AlternateContent>
          <mc:Choice Requires="wps">
            <w:drawing>
              <wp:anchor distT="0" distB="0" distL="0" distR="0" allowOverlap="1" layoutInCell="1" locked="0" behindDoc="1" simplePos="0" relativeHeight="472740864">
                <wp:simplePos x="0" y="0"/>
                <wp:positionH relativeFrom="page">
                  <wp:posOffset>1981200</wp:posOffset>
                </wp:positionH>
                <wp:positionV relativeFrom="paragraph">
                  <wp:posOffset>-594901</wp:posOffset>
                </wp:positionV>
                <wp:extent cx="205740" cy="2479040"/>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205740" cy="2479040"/>
                          <a:chExt cx="205740" cy="2479040"/>
                        </a:xfrm>
                      </wpg:grpSpPr>
                      <wps:wsp>
                        <wps:cNvPr id="268" name="Graphic 268"/>
                        <wps:cNvSpPr/>
                        <wps:spPr>
                          <a:xfrm>
                            <a:off x="0" y="104139"/>
                            <a:ext cx="205740" cy="2374900"/>
                          </a:xfrm>
                          <a:custGeom>
                            <a:avLst/>
                            <a:gdLst/>
                            <a:ahLst/>
                            <a:cxnLst/>
                            <a:rect l="l" t="t" r="r" b="b"/>
                            <a:pathLst>
                              <a:path w="205740" h="2374900">
                                <a:moveTo>
                                  <a:pt x="205739" y="0"/>
                                </a:moveTo>
                                <a:lnTo>
                                  <a:pt x="0" y="0"/>
                                </a:lnTo>
                                <a:lnTo>
                                  <a:pt x="0" y="2374392"/>
                                </a:lnTo>
                                <a:lnTo>
                                  <a:pt x="205739" y="2374392"/>
                                </a:lnTo>
                                <a:lnTo>
                                  <a:pt x="205739" y="0"/>
                                </a:lnTo>
                                <a:close/>
                              </a:path>
                            </a:pathLst>
                          </a:custGeom>
                          <a:solidFill>
                            <a:srgbClr val="5B9BD4"/>
                          </a:solidFill>
                        </wps:spPr>
                        <wps:bodyPr wrap="square" lIns="0" tIns="0" rIns="0" bIns="0" rtlCol="0">
                          <a:prstTxWarp prst="textNoShape">
                            <a:avLst/>
                          </a:prstTxWarp>
                          <a:noAutofit/>
                        </wps:bodyPr>
                      </wps:wsp>
                      <wps:wsp>
                        <wps:cNvPr id="269" name="Graphic 269"/>
                        <wps:cNvSpPr/>
                        <wps:spPr>
                          <a:xfrm>
                            <a:off x="74294" y="6350"/>
                            <a:ext cx="57150" cy="194945"/>
                          </a:xfrm>
                          <a:custGeom>
                            <a:avLst/>
                            <a:gdLst/>
                            <a:ahLst/>
                            <a:cxnLst/>
                            <a:rect l="l" t="t" r="r" b="b"/>
                            <a:pathLst>
                              <a:path w="57150" h="194945">
                                <a:moveTo>
                                  <a:pt x="28575" y="194563"/>
                                </a:moveTo>
                                <a:lnTo>
                                  <a:pt x="28575" y="97281"/>
                                </a:lnTo>
                                <a:lnTo>
                                  <a:pt x="28575" y="0"/>
                                </a:lnTo>
                              </a:path>
                              <a:path w="57150" h="19494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6pt;margin-top:-46.842655pt;width:16.2pt;height:195.2pt;mso-position-horizontal-relative:page;mso-position-vertical-relative:paragraph;z-index:-30575616" id="docshapegroup225" coordorigin="3120,-937" coordsize="324,3904">
                <v:rect style="position:absolute;left:3120;top:-773;width:324;height:3740" id="docshape226" filled="true" fillcolor="#5b9bd4" stroked="false">
                  <v:fill type="solid"/>
                </v:rect>
                <v:shape style="position:absolute;left:3237;top:-927;width:90;height:307" id="docshape227" coordorigin="3237,-927" coordsize="90,307" path="m3282,-620l3282,-774,3282,-927m3237,-927l3327,-927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41376">
                <wp:simplePos x="0" y="0"/>
                <wp:positionH relativeFrom="page">
                  <wp:posOffset>2903220</wp:posOffset>
                </wp:positionH>
                <wp:positionV relativeFrom="paragraph">
                  <wp:posOffset>-594901</wp:posOffset>
                </wp:positionV>
                <wp:extent cx="205740" cy="2479040"/>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205740" cy="2479040"/>
                          <a:chExt cx="205740" cy="2479040"/>
                        </a:xfrm>
                      </wpg:grpSpPr>
                      <wps:wsp>
                        <wps:cNvPr id="271" name="Graphic 271"/>
                        <wps:cNvSpPr/>
                        <wps:spPr>
                          <a:xfrm>
                            <a:off x="0" y="104139"/>
                            <a:ext cx="205740" cy="2374900"/>
                          </a:xfrm>
                          <a:custGeom>
                            <a:avLst/>
                            <a:gdLst/>
                            <a:ahLst/>
                            <a:cxnLst/>
                            <a:rect l="l" t="t" r="r" b="b"/>
                            <a:pathLst>
                              <a:path w="205740" h="2374900">
                                <a:moveTo>
                                  <a:pt x="205740" y="0"/>
                                </a:moveTo>
                                <a:lnTo>
                                  <a:pt x="0" y="0"/>
                                </a:lnTo>
                                <a:lnTo>
                                  <a:pt x="0" y="2374392"/>
                                </a:lnTo>
                                <a:lnTo>
                                  <a:pt x="205740" y="2374392"/>
                                </a:lnTo>
                                <a:lnTo>
                                  <a:pt x="205740" y="0"/>
                                </a:lnTo>
                                <a:close/>
                              </a:path>
                            </a:pathLst>
                          </a:custGeom>
                          <a:solidFill>
                            <a:srgbClr val="5B9BD4"/>
                          </a:solidFill>
                        </wps:spPr>
                        <wps:bodyPr wrap="square" lIns="0" tIns="0" rIns="0" bIns="0" rtlCol="0">
                          <a:prstTxWarp prst="textNoShape">
                            <a:avLst/>
                          </a:prstTxWarp>
                          <a:noAutofit/>
                        </wps:bodyPr>
                      </wps:wsp>
                      <wps:wsp>
                        <wps:cNvPr id="272" name="Graphic 272"/>
                        <wps:cNvSpPr/>
                        <wps:spPr>
                          <a:xfrm>
                            <a:off x="74676" y="6350"/>
                            <a:ext cx="57150" cy="194945"/>
                          </a:xfrm>
                          <a:custGeom>
                            <a:avLst/>
                            <a:gdLst/>
                            <a:ahLst/>
                            <a:cxnLst/>
                            <a:rect l="l" t="t" r="r" b="b"/>
                            <a:pathLst>
                              <a:path w="57150" h="194945">
                                <a:moveTo>
                                  <a:pt x="28575" y="194563"/>
                                </a:moveTo>
                                <a:lnTo>
                                  <a:pt x="28575" y="97281"/>
                                </a:lnTo>
                                <a:lnTo>
                                  <a:pt x="28575" y="0"/>
                                </a:lnTo>
                              </a:path>
                              <a:path w="57150" h="19494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600006pt;margin-top:-46.842655pt;width:16.2pt;height:195.2pt;mso-position-horizontal-relative:page;mso-position-vertical-relative:paragraph;z-index:-30575104" id="docshapegroup228" coordorigin="4572,-937" coordsize="324,3904">
                <v:rect style="position:absolute;left:4572;top:-773;width:324;height:3740" id="docshape229" filled="true" fillcolor="#5b9bd4" stroked="false">
                  <v:fill type="solid"/>
                </v:rect>
                <v:shape style="position:absolute;left:4689;top:-927;width:90;height:307" id="docshape230" coordorigin="4690,-927" coordsize="90,307" path="m4735,-620l4735,-774,4735,-927m4690,-927l4780,-927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41888">
                <wp:simplePos x="0" y="0"/>
                <wp:positionH relativeFrom="page">
                  <wp:posOffset>3825240</wp:posOffset>
                </wp:positionH>
                <wp:positionV relativeFrom="paragraph">
                  <wp:posOffset>-594901</wp:posOffset>
                </wp:positionV>
                <wp:extent cx="207645" cy="2479040"/>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207645" cy="2479040"/>
                          <a:chExt cx="207645" cy="2479040"/>
                        </a:xfrm>
                      </wpg:grpSpPr>
                      <wps:wsp>
                        <wps:cNvPr id="274" name="Graphic 274"/>
                        <wps:cNvSpPr/>
                        <wps:spPr>
                          <a:xfrm>
                            <a:off x="0" y="104139"/>
                            <a:ext cx="207645" cy="2374900"/>
                          </a:xfrm>
                          <a:custGeom>
                            <a:avLst/>
                            <a:gdLst/>
                            <a:ahLst/>
                            <a:cxnLst/>
                            <a:rect l="l" t="t" r="r" b="b"/>
                            <a:pathLst>
                              <a:path w="207645" h="2374900">
                                <a:moveTo>
                                  <a:pt x="207263" y="0"/>
                                </a:moveTo>
                                <a:lnTo>
                                  <a:pt x="0" y="0"/>
                                </a:lnTo>
                                <a:lnTo>
                                  <a:pt x="0" y="2374392"/>
                                </a:lnTo>
                                <a:lnTo>
                                  <a:pt x="207263" y="2374392"/>
                                </a:lnTo>
                                <a:lnTo>
                                  <a:pt x="207263" y="0"/>
                                </a:lnTo>
                                <a:close/>
                              </a:path>
                            </a:pathLst>
                          </a:custGeom>
                          <a:solidFill>
                            <a:srgbClr val="5B9BD4"/>
                          </a:solidFill>
                        </wps:spPr>
                        <wps:bodyPr wrap="square" lIns="0" tIns="0" rIns="0" bIns="0" rtlCol="0">
                          <a:prstTxWarp prst="textNoShape">
                            <a:avLst/>
                          </a:prstTxWarp>
                          <a:noAutofit/>
                        </wps:bodyPr>
                      </wps:wsp>
                      <wps:wsp>
                        <wps:cNvPr id="275" name="Graphic 275"/>
                        <wps:cNvSpPr/>
                        <wps:spPr>
                          <a:xfrm>
                            <a:off x="74930" y="6350"/>
                            <a:ext cx="57150" cy="194945"/>
                          </a:xfrm>
                          <a:custGeom>
                            <a:avLst/>
                            <a:gdLst/>
                            <a:ahLst/>
                            <a:cxnLst/>
                            <a:rect l="l" t="t" r="r" b="b"/>
                            <a:pathLst>
                              <a:path w="57150" h="194945">
                                <a:moveTo>
                                  <a:pt x="28575" y="194563"/>
                                </a:moveTo>
                                <a:lnTo>
                                  <a:pt x="28575" y="97281"/>
                                </a:lnTo>
                                <a:lnTo>
                                  <a:pt x="28575" y="0"/>
                                </a:lnTo>
                              </a:path>
                              <a:path w="57150" h="19494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1.200012pt;margin-top:-46.842655pt;width:16.3500pt;height:195.2pt;mso-position-horizontal-relative:page;mso-position-vertical-relative:paragraph;z-index:-30574592" id="docshapegroup231" coordorigin="6024,-937" coordsize="327,3904">
                <v:rect style="position:absolute;left:6024;top:-773;width:327;height:3740" id="docshape232" filled="true" fillcolor="#5b9bd4" stroked="false">
                  <v:fill type="solid"/>
                </v:rect>
                <v:shape style="position:absolute;left:6142;top:-927;width:90;height:307" id="docshape233" coordorigin="6142,-927" coordsize="90,307" path="m6187,-620l6187,-774,6187,-927m6142,-927l6232,-927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42400">
                <wp:simplePos x="0" y="0"/>
                <wp:positionH relativeFrom="page">
                  <wp:posOffset>4747259</wp:posOffset>
                </wp:positionH>
                <wp:positionV relativeFrom="paragraph">
                  <wp:posOffset>-594901</wp:posOffset>
                </wp:positionV>
                <wp:extent cx="207645" cy="2479040"/>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207645" cy="2479040"/>
                          <a:chExt cx="207645" cy="2479040"/>
                        </a:xfrm>
                      </wpg:grpSpPr>
                      <wps:wsp>
                        <wps:cNvPr id="277" name="Graphic 277"/>
                        <wps:cNvSpPr/>
                        <wps:spPr>
                          <a:xfrm>
                            <a:off x="0" y="104139"/>
                            <a:ext cx="207645" cy="2374900"/>
                          </a:xfrm>
                          <a:custGeom>
                            <a:avLst/>
                            <a:gdLst/>
                            <a:ahLst/>
                            <a:cxnLst/>
                            <a:rect l="l" t="t" r="r" b="b"/>
                            <a:pathLst>
                              <a:path w="207645" h="2374900">
                                <a:moveTo>
                                  <a:pt x="207263" y="0"/>
                                </a:moveTo>
                                <a:lnTo>
                                  <a:pt x="0" y="0"/>
                                </a:lnTo>
                                <a:lnTo>
                                  <a:pt x="0" y="2374392"/>
                                </a:lnTo>
                                <a:lnTo>
                                  <a:pt x="207263" y="2374392"/>
                                </a:lnTo>
                                <a:lnTo>
                                  <a:pt x="207263" y="0"/>
                                </a:lnTo>
                                <a:close/>
                              </a:path>
                            </a:pathLst>
                          </a:custGeom>
                          <a:solidFill>
                            <a:srgbClr val="5B9BD4"/>
                          </a:solidFill>
                        </wps:spPr>
                        <wps:bodyPr wrap="square" lIns="0" tIns="0" rIns="0" bIns="0" rtlCol="0">
                          <a:prstTxWarp prst="textNoShape">
                            <a:avLst/>
                          </a:prstTxWarp>
                          <a:noAutofit/>
                        </wps:bodyPr>
                      </wps:wsp>
                      <wps:wsp>
                        <wps:cNvPr id="278" name="Graphic 278"/>
                        <wps:cNvSpPr/>
                        <wps:spPr>
                          <a:xfrm>
                            <a:off x="75184" y="6350"/>
                            <a:ext cx="57150" cy="194945"/>
                          </a:xfrm>
                          <a:custGeom>
                            <a:avLst/>
                            <a:gdLst/>
                            <a:ahLst/>
                            <a:cxnLst/>
                            <a:rect l="l" t="t" r="r" b="b"/>
                            <a:pathLst>
                              <a:path w="57150" h="194945">
                                <a:moveTo>
                                  <a:pt x="28575" y="194563"/>
                                </a:moveTo>
                                <a:lnTo>
                                  <a:pt x="28575" y="97281"/>
                                </a:lnTo>
                                <a:lnTo>
                                  <a:pt x="28575" y="0"/>
                                </a:lnTo>
                              </a:path>
                              <a:path w="57150" h="19494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3.799988pt;margin-top:-46.842655pt;width:16.3500pt;height:195.2pt;mso-position-horizontal-relative:page;mso-position-vertical-relative:paragraph;z-index:-30574080" id="docshapegroup234" coordorigin="7476,-937" coordsize="327,3904">
                <v:rect style="position:absolute;left:7476;top:-773;width:327;height:3740" id="docshape235" filled="true" fillcolor="#5b9bd4" stroked="false">
                  <v:fill type="solid"/>
                </v:rect>
                <v:shape style="position:absolute;left:7594;top:-927;width:90;height:307" id="docshape236" coordorigin="7594,-927" coordsize="90,307" path="m7639,-620l7639,-774,7639,-927m7594,-927l7684,-927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42912">
                <wp:simplePos x="0" y="0"/>
                <wp:positionH relativeFrom="page">
                  <wp:posOffset>5669279</wp:posOffset>
                </wp:positionH>
                <wp:positionV relativeFrom="paragraph">
                  <wp:posOffset>-594901</wp:posOffset>
                </wp:positionV>
                <wp:extent cx="207645" cy="2479040"/>
                <wp:effectExtent l="0" t="0" r="0" b="0"/>
                <wp:wrapNone/>
                <wp:docPr id="279" name="Group 279"/>
                <wp:cNvGraphicFramePr>
                  <a:graphicFrameLocks/>
                </wp:cNvGraphicFramePr>
                <a:graphic>
                  <a:graphicData uri="http://schemas.microsoft.com/office/word/2010/wordprocessingGroup">
                    <wpg:wgp>
                      <wpg:cNvPr id="279" name="Group 279"/>
                      <wpg:cNvGrpSpPr/>
                      <wpg:grpSpPr>
                        <a:xfrm>
                          <a:off x="0" y="0"/>
                          <a:ext cx="207645" cy="2479040"/>
                          <a:chExt cx="207645" cy="2479040"/>
                        </a:xfrm>
                      </wpg:grpSpPr>
                      <wps:wsp>
                        <wps:cNvPr id="280" name="Graphic 280"/>
                        <wps:cNvSpPr/>
                        <wps:spPr>
                          <a:xfrm>
                            <a:off x="0" y="104139"/>
                            <a:ext cx="207645" cy="2374900"/>
                          </a:xfrm>
                          <a:custGeom>
                            <a:avLst/>
                            <a:gdLst/>
                            <a:ahLst/>
                            <a:cxnLst/>
                            <a:rect l="l" t="t" r="r" b="b"/>
                            <a:pathLst>
                              <a:path w="207645" h="2374900">
                                <a:moveTo>
                                  <a:pt x="207264" y="0"/>
                                </a:moveTo>
                                <a:lnTo>
                                  <a:pt x="0" y="0"/>
                                </a:lnTo>
                                <a:lnTo>
                                  <a:pt x="0" y="2374392"/>
                                </a:lnTo>
                                <a:lnTo>
                                  <a:pt x="207264" y="2374392"/>
                                </a:lnTo>
                                <a:lnTo>
                                  <a:pt x="207264" y="0"/>
                                </a:lnTo>
                                <a:close/>
                              </a:path>
                            </a:pathLst>
                          </a:custGeom>
                          <a:solidFill>
                            <a:srgbClr val="5B9BD4"/>
                          </a:solidFill>
                        </wps:spPr>
                        <wps:bodyPr wrap="square" lIns="0" tIns="0" rIns="0" bIns="0" rtlCol="0">
                          <a:prstTxWarp prst="textNoShape">
                            <a:avLst/>
                          </a:prstTxWarp>
                          <a:noAutofit/>
                        </wps:bodyPr>
                      </wps:wsp>
                      <wps:wsp>
                        <wps:cNvPr id="281" name="Graphic 281"/>
                        <wps:cNvSpPr/>
                        <wps:spPr>
                          <a:xfrm>
                            <a:off x="75564" y="6350"/>
                            <a:ext cx="57150" cy="194945"/>
                          </a:xfrm>
                          <a:custGeom>
                            <a:avLst/>
                            <a:gdLst/>
                            <a:ahLst/>
                            <a:cxnLst/>
                            <a:rect l="l" t="t" r="r" b="b"/>
                            <a:pathLst>
                              <a:path w="57150" h="194945">
                                <a:moveTo>
                                  <a:pt x="28575" y="194563"/>
                                </a:moveTo>
                                <a:lnTo>
                                  <a:pt x="28575" y="97281"/>
                                </a:lnTo>
                                <a:lnTo>
                                  <a:pt x="28575" y="0"/>
                                </a:lnTo>
                              </a:path>
                              <a:path w="57150" h="19494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6.399994pt;margin-top:-46.842655pt;width:16.3500pt;height:195.2pt;mso-position-horizontal-relative:page;mso-position-vertical-relative:paragraph;z-index:-30573568" id="docshapegroup237" coordorigin="8928,-937" coordsize="327,3904">
                <v:rect style="position:absolute;left:8928;top:-773;width:327;height:3740" id="docshape238" filled="true" fillcolor="#5b9bd4" stroked="false">
                  <v:fill type="solid"/>
                </v:rect>
                <v:shape style="position:absolute;left:9047;top:-927;width:90;height:307" id="docshape239" coordorigin="9047,-927" coordsize="90,307" path="m9092,-620l9092,-774,9092,-927m9047,-927l9137,-927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68576">
                <wp:simplePos x="0" y="0"/>
                <wp:positionH relativeFrom="page">
                  <wp:posOffset>2243327</wp:posOffset>
                </wp:positionH>
                <wp:positionV relativeFrom="paragraph">
                  <wp:posOffset>-1003333</wp:posOffset>
                </wp:positionV>
                <wp:extent cx="207645" cy="2887345"/>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207645" cy="2887345"/>
                          <a:chExt cx="207645" cy="2887345"/>
                        </a:xfrm>
                      </wpg:grpSpPr>
                      <wps:wsp>
                        <wps:cNvPr id="283" name="Graphic 283"/>
                        <wps:cNvSpPr/>
                        <wps:spPr>
                          <a:xfrm>
                            <a:off x="0" y="99568"/>
                            <a:ext cx="207645" cy="2787650"/>
                          </a:xfrm>
                          <a:custGeom>
                            <a:avLst/>
                            <a:gdLst/>
                            <a:ahLst/>
                            <a:cxnLst/>
                            <a:rect l="l" t="t" r="r" b="b"/>
                            <a:pathLst>
                              <a:path w="207645" h="2787650">
                                <a:moveTo>
                                  <a:pt x="207264" y="0"/>
                                </a:moveTo>
                                <a:lnTo>
                                  <a:pt x="0" y="0"/>
                                </a:lnTo>
                                <a:lnTo>
                                  <a:pt x="0" y="2787396"/>
                                </a:lnTo>
                                <a:lnTo>
                                  <a:pt x="207264" y="2787396"/>
                                </a:lnTo>
                                <a:lnTo>
                                  <a:pt x="207264" y="0"/>
                                </a:lnTo>
                                <a:close/>
                              </a:path>
                            </a:pathLst>
                          </a:custGeom>
                          <a:solidFill>
                            <a:srgbClr val="EC7C30"/>
                          </a:solidFill>
                        </wps:spPr>
                        <wps:bodyPr wrap="square" lIns="0" tIns="0" rIns="0" bIns="0" rtlCol="0">
                          <a:prstTxWarp prst="textNoShape">
                            <a:avLst/>
                          </a:prstTxWarp>
                          <a:noAutofit/>
                        </wps:bodyPr>
                      </wps:wsp>
                      <wps:wsp>
                        <wps:cNvPr id="284" name="Graphic 284"/>
                        <wps:cNvSpPr/>
                        <wps:spPr>
                          <a:xfrm>
                            <a:off x="74802" y="6350"/>
                            <a:ext cx="57150" cy="185420"/>
                          </a:xfrm>
                          <a:custGeom>
                            <a:avLst/>
                            <a:gdLst/>
                            <a:ahLst/>
                            <a:cxnLst/>
                            <a:rect l="l" t="t" r="r" b="b"/>
                            <a:pathLst>
                              <a:path w="57150" h="185420">
                                <a:moveTo>
                                  <a:pt x="28575" y="185292"/>
                                </a:moveTo>
                                <a:lnTo>
                                  <a:pt x="28575" y="92709"/>
                                </a:lnTo>
                                <a:lnTo>
                                  <a:pt x="28575" y="0"/>
                                </a:lnTo>
                              </a:path>
                              <a:path w="57150" h="185420">
                                <a:moveTo>
                                  <a:pt x="0" y="185292"/>
                                </a:moveTo>
                                <a:lnTo>
                                  <a:pt x="57150" y="185292"/>
                                </a:lnTo>
                              </a:path>
                              <a:path w="57150" h="18542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6.639999pt;margin-top:-79.002655pt;width:16.3500pt;height:227.35pt;mso-position-horizontal-relative:page;mso-position-vertical-relative:paragraph;z-index:15768576" id="docshapegroup240" coordorigin="3533,-1580" coordsize="327,4547">
                <v:rect style="position:absolute;left:3532;top:-1424;width:327;height:4390" id="docshape241" filled="true" fillcolor="#ec7c30" stroked="false">
                  <v:fill type="solid"/>
                </v:rect>
                <v:shape style="position:absolute;left:3650;top:-1571;width:90;height:292" id="docshape242" coordorigin="3651,-1570" coordsize="90,292" path="m3696,-1278l3696,-1424,3696,-1570m3651,-1278l3741,-1278m3651,-1570l3741,-1570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69088">
                <wp:simplePos x="0" y="0"/>
                <wp:positionH relativeFrom="page">
                  <wp:posOffset>3165348</wp:posOffset>
                </wp:positionH>
                <wp:positionV relativeFrom="paragraph">
                  <wp:posOffset>-990760</wp:posOffset>
                </wp:positionV>
                <wp:extent cx="207645" cy="2874645"/>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207645" cy="2874645"/>
                          <a:chExt cx="207645" cy="2874645"/>
                        </a:xfrm>
                      </wpg:grpSpPr>
                      <wps:wsp>
                        <wps:cNvPr id="286" name="Graphic 286"/>
                        <wps:cNvSpPr/>
                        <wps:spPr>
                          <a:xfrm>
                            <a:off x="0" y="70231"/>
                            <a:ext cx="207645" cy="2804160"/>
                          </a:xfrm>
                          <a:custGeom>
                            <a:avLst/>
                            <a:gdLst/>
                            <a:ahLst/>
                            <a:cxnLst/>
                            <a:rect l="l" t="t" r="r" b="b"/>
                            <a:pathLst>
                              <a:path w="207645" h="2804160">
                                <a:moveTo>
                                  <a:pt x="207263" y="0"/>
                                </a:moveTo>
                                <a:lnTo>
                                  <a:pt x="0" y="0"/>
                                </a:lnTo>
                                <a:lnTo>
                                  <a:pt x="0" y="2804159"/>
                                </a:lnTo>
                                <a:lnTo>
                                  <a:pt x="207263" y="2804159"/>
                                </a:lnTo>
                                <a:lnTo>
                                  <a:pt x="207263" y="0"/>
                                </a:lnTo>
                                <a:close/>
                              </a:path>
                            </a:pathLst>
                          </a:custGeom>
                          <a:solidFill>
                            <a:srgbClr val="EC7C30"/>
                          </a:solidFill>
                        </wps:spPr>
                        <wps:bodyPr wrap="square" lIns="0" tIns="0" rIns="0" bIns="0" rtlCol="0">
                          <a:prstTxWarp prst="textNoShape">
                            <a:avLst/>
                          </a:prstTxWarp>
                          <a:noAutofit/>
                        </wps:bodyPr>
                      </wps:wsp>
                      <wps:wsp>
                        <wps:cNvPr id="287" name="Graphic 287"/>
                        <wps:cNvSpPr/>
                        <wps:spPr>
                          <a:xfrm>
                            <a:off x="75184" y="6350"/>
                            <a:ext cx="57150" cy="125730"/>
                          </a:xfrm>
                          <a:custGeom>
                            <a:avLst/>
                            <a:gdLst/>
                            <a:ahLst/>
                            <a:cxnLst/>
                            <a:rect l="l" t="t" r="r" b="b"/>
                            <a:pathLst>
                              <a:path w="57150" h="125730">
                                <a:moveTo>
                                  <a:pt x="28575" y="125730"/>
                                </a:moveTo>
                                <a:lnTo>
                                  <a:pt x="28575" y="62865"/>
                                </a:lnTo>
                                <a:lnTo>
                                  <a:pt x="28575" y="0"/>
                                </a:lnTo>
                              </a:path>
                              <a:path w="57150" h="125730">
                                <a:moveTo>
                                  <a:pt x="0" y="125730"/>
                                </a:moveTo>
                                <a:lnTo>
                                  <a:pt x="57150" y="125730"/>
                                </a:lnTo>
                              </a:path>
                              <a:path w="57150" h="12573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9.240005pt;margin-top:-78.012657pt;width:16.3500pt;height:226.35pt;mso-position-horizontal-relative:page;mso-position-vertical-relative:paragraph;z-index:15769088" id="docshapegroup243" coordorigin="4985,-1560" coordsize="327,4527">
                <v:rect style="position:absolute;left:4984;top:-1450;width:327;height:4416" id="docshape244" filled="true" fillcolor="#ec7c30" stroked="false">
                  <v:fill type="solid"/>
                </v:rect>
                <v:shape style="position:absolute;left:5103;top:-1551;width:90;height:198" id="docshape245" coordorigin="5103,-1550" coordsize="90,198" path="m5148,-1352l5148,-1451,5148,-1550m5103,-1352l5193,-1352m5103,-1550l5193,-1550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69600">
                <wp:simplePos x="0" y="0"/>
                <wp:positionH relativeFrom="page">
                  <wp:posOffset>4087367</wp:posOffset>
                </wp:positionH>
                <wp:positionV relativeFrom="paragraph">
                  <wp:posOffset>-856775</wp:posOffset>
                </wp:positionV>
                <wp:extent cx="207645" cy="2740660"/>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207645" cy="2740660"/>
                          <a:chExt cx="207645" cy="2740660"/>
                        </a:xfrm>
                      </wpg:grpSpPr>
                      <wps:wsp>
                        <wps:cNvPr id="289" name="Graphic 289"/>
                        <wps:cNvSpPr/>
                        <wps:spPr>
                          <a:xfrm>
                            <a:off x="0" y="73406"/>
                            <a:ext cx="207645" cy="2667000"/>
                          </a:xfrm>
                          <a:custGeom>
                            <a:avLst/>
                            <a:gdLst/>
                            <a:ahLst/>
                            <a:cxnLst/>
                            <a:rect l="l" t="t" r="r" b="b"/>
                            <a:pathLst>
                              <a:path w="207645" h="2667000">
                                <a:moveTo>
                                  <a:pt x="207264" y="0"/>
                                </a:moveTo>
                                <a:lnTo>
                                  <a:pt x="0" y="0"/>
                                </a:lnTo>
                                <a:lnTo>
                                  <a:pt x="0" y="2667000"/>
                                </a:lnTo>
                                <a:lnTo>
                                  <a:pt x="207264" y="2667000"/>
                                </a:lnTo>
                                <a:lnTo>
                                  <a:pt x="207264" y="0"/>
                                </a:lnTo>
                                <a:close/>
                              </a:path>
                            </a:pathLst>
                          </a:custGeom>
                          <a:solidFill>
                            <a:srgbClr val="EC7C30"/>
                          </a:solidFill>
                        </wps:spPr>
                        <wps:bodyPr wrap="square" lIns="0" tIns="0" rIns="0" bIns="0" rtlCol="0">
                          <a:prstTxWarp prst="textNoShape">
                            <a:avLst/>
                          </a:prstTxWarp>
                          <a:noAutofit/>
                        </wps:bodyPr>
                      </wps:wsp>
                      <wps:wsp>
                        <wps:cNvPr id="290" name="Graphic 290"/>
                        <wps:cNvSpPr/>
                        <wps:spPr>
                          <a:xfrm>
                            <a:off x="75438" y="6350"/>
                            <a:ext cx="57150" cy="133350"/>
                          </a:xfrm>
                          <a:custGeom>
                            <a:avLst/>
                            <a:gdLst/>
                            <a:ahLst/>
                            <a:cxnLst/>
                            <a:rect l="l" t="t" r="r" b="b"/>
                            <a:pathLst>
                              <a:path w="57150" h="133350">
                                <a:moveTo>
                                  <a:pt x="28575" y="133223"/>
                                </a:moveTo>
                                <a:lnTo>
                                  <a:pt x="28575" y="66548"/>
                                </a:lnTo>
                                <a:lnTo>
                                  <a:pt x="28575" y="0"/>
                                </a:lnTo>
                              </a:path>
                              <a:path w="57150" h="133350">
                                <a:moveTo>
                                  <a:pt x="0" y="133223"/>
                                </a:moveTo>
                                <a:lnTo>
                                  <a:pt x="57150" y="133223"/>
                                </a:lnTo>
                              </a:path>
                              <a:path w="57150" h="13335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1.839996pt;margin-top:-67.462654pt;width:16.3500pt;height:215.8pt;mso-position-horizontal-relative:page;mso-position-vertical-relative:paragraph;z-index:15769600" id="docshapegroup246" coordorigin="6437,-1349" coordsize="327,4316">
                <v:rect style="position:absolute;left:6436;top:-1234;width:327;height:4200" id="docshape247" filled="true" fillcolor="#ec7c30" stroked="false">
                  <v:fill type="solid"/>
                </v:rect>
                <v:shape style="position:absolute;left:6555;top:-1340;width:90;height:210" id="docshape248" coordorigin="6556,-1339" coordsize="90,210" path="m6601,-1129l6601,-1234,6601,-1339m6556,-1129l6646,-1129m6556,-1339l6646,-1339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70112">
                <wp:simplePos x="0" y="0"/>
                <wp:positionH relativeFrom="page">
                  <wp:posOffset>5010911</wp:posOffset>
                </wp:positionH>
                <wp:positionV relativeFrom="paragraph">
                  <wp:posOffset>-1007016</wp:posOffset>
                </wp:positionV>
                <wp:extent cx="205740" cy="2891155"/>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205740" cy="2891155"/>
                          <a:chExt cx="205740" cy="2891155"/>
                        </a:xfrm>
                      </wpg:grpSpPr>
                      <wps:wsp>
                        <wps:cNvPr id="292" name="Graphic 292"/>
                        <wps:cNvSpPr/>
                        <wps:spPr>
                          <a:xfrm>
                            <a:off x="0" y="103251"/>
                            <a:ext cx="205740" cy="2787650"/>
                          </a:xfrm>
                          <a:custGeom>
                            <a:avLst/>
                            <a:gdLst/>
                            <a:ahLst/>
                            <a:cxnLst/>
                            <a:rect l="l" t="t" r="r" b="b"/>
                            <a:pathLst>
                              <a:path w="205740" h="2787650">
                                <a:moveTo>
                                  <a:pt x="205739" y="0"/>
                                </a:moveTo>
                                <a:lnTo>
                                  <a:pt x="0" y="0"/>
                                </a:lnTo>
                                <a:lnTo>
                                  <a:pt x="0" y="2787396"/>
                                </a:lnTo>
                                <a:lnTo>
                                  <a:pt x="205739" y="2787396"/>
                                </a:lnTo>
                                <a:lnTo>
                                  <a:pt x="205739" y="0"/>
                                </a:lnTo>
                                <a:close/>
                              </a:path>
                            </a:pathLst>
                          </a:custGeom>
                          <a:solidFill>
                            <a:srgbClr val="EC7C30"/>
                          </a:solidFill>
                        </wps:spPr>
                        <wps:bodyPr wrap="square" lIns="0" tIns="0" rIns="0" bIns="0" rtlCol="0">
                          <a:prstTxWarp prst="textNoShape">
                            <a:avLst/>
                          </a:prstTxWarp>
                          <a:noAutofit/>
                        </wps:bodyPr>
                      </wps:wsp>
                      <wps:wsp>
                        <wps:cNvPr id="293" name="Graphic 293"/>
                        <wps:cNvSpPr/>
                        <wps:spPr>
                          <a:xfrm>
                            <a:off x="74168" y="6350"/>
                            <a:ext cx="57150" cy="193040"/>
                          </a:xfrm>
                          <a:custGeom>
                            <a:avLst/>
                            <a:gdLst/>
                            <a:ahLst/>
                            <a:cxnLst/>
                            <a:rect l="l" t="t" r="r" b="b"/>
                            <a:pathLst>
                              <a:path w="57150" h="193040">
                                <a:moveTo>
                                  <a:pt x="28575" y="192659"/>
                                </a:moveTo>
                                <a:lnTo>
                                  <a:pt x="28575" y="96393"/>
                                </a:lnTo>
                                <a:lnTo>
                                  <a:pt x="28575" y="0"/>
                                </a:lnTo>
                              </a:path>
                              <a:path w="57150" h="193040">
                                <a:moveTo>
                                  <a:pt x="0" y="192659"/>
                                </a:moveTo>
                                <a:lnTo>
                                  <a:pt x="57150" y="192659"/>
                                </a:lnTo>
                              </a:path>
                              <a:path w="57150" h="19304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4.559998pt;margin-top:-79.292656pt;width:16.2pt;height:227.65pt;mso-position-horizontal-relative:page;mso-position-vertical-relative:paragraph;z-index:15770112" id="docshapegroup249" coordorigin="7891,-1586" coordsize="324,4553">
                <v:rect style="position:absolute;left:7891;top:-1424;width:324;height:4390" id="docshape250" filled="true" fillcolor="#ec7c30" stroked="false">
                  <v:fill type="solid"/>
                </v:rect>
                <v:shape style="position:absolute;left:8008;top:-1576;width:90;height:304" id="docshape251" coordorigin="8008,-1576" coordsize="90,304" path="m8053,-1272l8053,-1424,8053,-1576m8008,-1272l8098,-1272m8008,-1576l8098,-1576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70624">
                <wp:simplePos x="0" y="0"/>
                <wp:positionH relativeFrom="page">
                  <wp:posOffset>5932932</wp:posOffset>
                </wp:positionH>
                <wp:positionV relativeFrom="paragraph">
                  <wp:posOffset>-1176942</wp:posOffset>
                </wp:positionV>
                <wp:extent cx="205740" cy="3060700"/>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205740" cy="3060700"/>
                          <a:chExt cx="205740" cy="3060700"/>
                        </a:xfrm>
                      </wpg:grpSpPr>
                      <wps:wsp>
                        <wps:cNvPr id="295" name="Graphic 295"/>
                        <wps:cNvSpPr/>
                        <wps:spPr>
                          <a:xfrm>
                            <a:off x="0" y="100964"/>
                            <a:ext cx="205740" cy="2959735"/>
                          </a:xfrm>
                          <a:custGeom>
                            <a:avLst/>
                            <a:gdLst/>
                            <a:ahLst/>
                            <a:cxnLst/>
                            <a:rect l="l" t="t" r="r" b="b"/>
                            <a:pathLst>
                              <a:path w="205740" h="2959735">
                                <a:moveTo>
                                  <a:pt x="205739" y="0"/>
                                </a:moveTo>
                                <a:lnTo>
                                  <a:pt x="0" y="0"/>
                                </a:lnTo>
                                <a:lnTo>
                                  <a:pt x="0" y="2959607"/>
                                </a:lnTo>
                                <a:lnTo>
                                  <a:pt x="205739" y="2959607"/>
                                </a:lnTo>
                                <a:lnTo>
                                  <a:pt x="205739" y="0"/>
                                </a:lnTo>
                                <a:close/>
                              </a:path>
                            </a:pathLst>
                          </a:custGeom>
                          <a:solidFill>
                            <a:srgbClr val="EC7C30"/>
                          </a:solidFill>
                        </wps:spPr>
                        <wps:bodyPr wrap="square" lIns="0" tIns="0" rIns="0" bIns="0" rtlCol="0">
                          <a:prstTxWarp prst="textNoShape">
                            <a:avLst/>
                          </a:prstTxWarp>
                          <a:noAutofit/>
                        </wps:bodyPr>
                      </wps:wsp>
                      <wps:wsp>
                        <wps:cNvPr id="296" name="Graphic 296"/>
                        <wps:cNvSpPr/>
                        <wps:spPr>
                          <a:xfrm>
                            <a:off x="74548" y="6350"/>
                            <a:ext cx="57150" cy="188595"/>
                          </a:xfrm>
                          <a:custGeom>
                            <a:avLst/>
                            <a:gdLst/>
                            <a:ahLst/>
                            <a:cxnLst/>
                            <a:rect l="l" t="t" r="r" b="b"/>
                            <a:pathLst>
                              <a:path w="57150" h="188595">
                                <a:moveTo>
                                  <a:pt x="28575" y="188595"/>
                                </a:moveTo>
                                <a:lnTo>
                                  <a:pt x="28575" y="94234"/>
                                </a:lnTo>
                                <a:lnTo>
                                  <a:pt x="28575" y="0"/>
                                </a:lnTo>
                              </a:path>
                              <a:path w="57150" h="188595">
                                <a:moveTo>
                                  <a:pt x="0" y="188595"/>
                                </a:moveTo>
                                <a:lnTo>
                                  <a:pt x="57150" y="188595"/>
                                </a:lnTo>
                              </a:path>
                              <a:path w="57150" h="18859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7.160004pt;margin-top:-92.672653pt;width:16.2pt;height:241pt;mso-position-horizontal-relative:page;mso-position-vertical-relative:paragraph;z-index:15770624" id="docshapegroup252" coordorigin="9343,-1853" coordsize="324,4820">
                <v:rect style="position:absolute;left:9343;top:-1695;width:324;height:4661" id="docshape253" filled="true" fillcolor="#ec7c30" stroked="false">
                  <v:fill type="solid"/>
                </v:rect>
                <v:shape style="position:absolute;left:9460;top:-1844;width:90;height:297" id="docshape254" coordorigin="9461,-1843" coordsize="90,297" path="m9506,-1546l9506,-1695,9506,-1843m9461,-1546l9551,-1546m9461,-1843l9551,-1843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71136">
                <wp:simplePos x="0" y="0"/>
                <wp:positionH relativeFrom="page">
                  <wp:posOffset>1086332</wp:posOffset>
                </wp:positionH>
                <wp:positionV relativeFrom="paragraph">
                  <wp:posOffset>-701317</wp:posOffset>
                </wp:positionV>
                <wp:extent cx="152400" cy="156019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152400" cy="1560195"/>
                        </a:xfrm>
                        <a:prstGeom prst="rect">
                          <a:avLst/>
                        </a:prstGeom>
                      </wps:spPr>
                      <wps:txbx>
                        <w:txbxContent>
                          <w:p>
                            <w:pPr>
                              <w:spacing w:line="223" w:lineRule="exact" w:before="0"/>
                              <w:ind w:left="20" w:right="0" w:firstLine="0"/>
                              <w:jc w:val="left"/>
                              <w:rPr>
                                <w:sz w:val="20"/>
                              </w:rPr>
                            </w:pPr>
                            <w:r>
                              <w:rPr>
                                <w:color w:val="585858"/>
                                <w:sz w:val="20"/>
                              </w:rPr>
                              <w:t>Mean</w:t>
                            </w:r>
                            <w:r>
                              <w:rPr>
                                <w:color w:val="585858"/>
                                <w:spacing w:val="-8"/>
                                <w:sz w:val="20"/>
                              </w:rPr>
                              <w:t> </w:t>
                            </w:r>
                            <w:r>
                              <w:rPr>
                                <w:color w:val="585858"/>
                                <w:sz w:val="20"/>
                              </w:rPr>
                              <w:t>zone</w:t>
                            </w:r>
                            <w:r>
                              <w:rPr>
                                <w:color w:val="585858"/>
                                <w:spacing w:val="-7"/>
                                <w:sz w:val="20"/>
                              </w:rPr>
                              <w:t> </w:t>
                            </w:r>
                            <w:r>
                              <w:rPr>
                                <w:color w:val="585858"/>
                                <w:sz w:val="20"/>
                              </w:rPr>
                              <w:t>of</w:t>
                            </w:r>
                            <w:r>
                              <w:rPr>
                                <w:color w:val="585858"/>
                                <w:spacing w:val="-8"/>
                                <w:sz w:val="20"/>
                              </w:rPr>
                              <w:t> </w:t>
                            </w:r>
                            <w:r>
                              <w:rPr>
                                <w:color w:val="585858"/>
                                <w:sz w:val="20"/>
                              </w:rPr>
                              <w:t>inhibition</w:t>
                            </w:r>
                            <w:r>
                              <w:rPr>
                                <w:color w:val="585858"/>
                                <w:spacing w:val="-7"/>
                                <w:sz w:val="20"/>
                              </w:rPr>
                              <w:t> </w:t>
                            </w:r>
                            <w:r>
                              <w:rPr>
                                <w:color w:val="585858"/>
                                <w:spacing w:val="-4"/>
                                <w:sz w:val="20"/>
                              </w:rPr>
                              <w:t>(mm)</w:t>
                            </w:r>
                          </w:p>
                        </w:txbxContent>
                      </wps:txbx>
                      <wps:bodyPr wrap="square" lIns="0" tIns="0" rIns="0" bIns="0" rtlCol="0" vert="vert270">
                        <a:noAutofit/>
                      </wps:bodyPr>
                    </wps:wsp>
                  </a:graphicData>
                </a:graphic>
              </wp:anchor>
            </w:drawing>
          </mc:Choice>
          <mc:Fallback>
            <w:pict>
              <v:shape style="position:absolute;margin-left:85.538002pt;margin-top:-55.221817pt;width:12pt;height:122.85pt;mso-position-horizontal-relative:page;mso-position-vertical-relative:paragraph;z-index:15771136" type="#_x0000_t202" id="docshape255" filled="false" stroked="false">
                <v:textbox inset="0,0,0,0" style="layout-flow:vertical;mso-layout-flow-alt:bottom-to-top">
                  <w:txbxContent>
                    <w:p>
                      <w:pPr>
                        <w:spacing w:line="223" w:lineRule="exact" w:before="0"/>
                        <w:ind w:left="20" w:right="0" w:firstLine="0"/>
                        <w:jc w:val="left"/>
                        <w:rPr>
                          <w:sz w:val="20"/>
                        </w:rPr>
                      </w:pPr>
                      <w:r>
                        <w:rPr>
                          <w:color w:val="585858"/>
                          <w:sz w:val="20"/>
                        </w:rPr>
                        <w:t>Mean</w:t>
                      </w:r>
                      <w:r>
                        <w:rPr>
                          <w:color w:val="585858"/>
                          <w:spacing w:val="-8"/>
                          <w:sz w:val="20"/>
                        </w:rPr>
                        <w:t> </w:t>
                      </w:r>
                      <w:r>
                        <w:rPr>
                          <w:color w:val="585858"/>
                          <w:sz w:val="20"/>
                        </w:rPr>
                        <w:t>zone</w:t>
                      </w:r>
                      <w:r>
                        <w:rPr>
                          <w:color w:val="585858"/>
                          <w:spacing w:val="-7"/>
                          <w:sz w:val="20"/>
                        </w:rPr>
                        <w:t> </w:t>
                      </w:r>
                      <w:r>
                        <w:rPr>
                          <w:color w:val="585858"/>
                          <w:sz w:val="20"/>
                        </w:rPr>
                        <w:t>of</w:t>
                      </w:r>
                      <w:r>
                        <w:rPr>
                          <w:color w:val="585858"/>
                          <w:spacing w:val="-8"/>
                          <w:sz w:val="20"/>
                        </w:rPr>
                        <w:t> </w:t>
                      </w:r>
                      <w:r>
                        <w:rPr>
                          <w:color w:val="585858"/>
                          <w:sz w:val="20"/>
                        </w:rPr>
                        <w:t>inhibition</w:t>
                      </w:r>
                      <w:r>
                        <w:rPr>
                          <w:color w:val="585858"/>
                          <w:spacing w:val="-7"/>
                          <w:sz w:val="20"/>
                        </w:rPr>
                        <w:t> </w:t>
                      </w:r>
                      <w:r>
                        <w:rPr>
                          <w:color w:val="585858"/>
                          <w:spacing w:val="-4"/>
                          <w:sz w:val="20"/>
                        </w:rPr>
                        <w:t>(mm)</w:t>
                      </w:r>
                    </w:p>
                  </w:txbxContent>
                </v:textbox>
                <w10:wrap type="none"/>
              </v:shape>
            </w:pict>
          </mc:Fallback>
        </mc:AlternateContent>
      </w:r>
      <w:r>
        <w:rPr/>
        <mc:AlternateContent>
          <mc:Choice Requires="wps">
            <w:drawing>
              <wp:anchor distT="0" distB="0" distL="0" distR="0" allowOverlap="1" layoutInCell="1" locked="0" behindDoc="0" simplePos="0" relativeHeight="15771648">
                <wp:simplePos x="0" y="0"/>
                <wp:positionH relativeFrom="page">
                  <wp:posOffset>1716023</wp:posOffset>
                </wp:positionH>
                <wp:positionV relativeFrom="paragraph">
                  <wp:posOffset>-495333</wp:posOffset>
                </wp:positionV>
                <wp:extent cx="4688205" cy="237871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4688205" cy="2378710"/>
                        </a:xfrm>
                        <a:prstGeom prst="rect">
                          <a:avLst/>
                        </a:prstGeom>
                      </wps:spPr>
                      <wps:txbx>
                        <w:txbxContent>
                          <w:tbl>
                            <w:tblPr>
                              <w:tblW w:w="0" w:type="auto"/>
                              <w:jc w:val="left"/>
                              <w:tblCellSpacing w:w="44" w:type="dxa"/>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6"/>
                              <w:gridCol w:w="1452"/>
                              <w:gridCol w:w="1453"/>
                              <w:gridCol w:w="1453"/>
                              <w:gridCol w:w="1452"/>
                              <w:gridCol w:w="726"/>
                            </w:tblGrid>
                            <w:tr>
                              <w:trPr>
                                <w:trHeight w:val="3731" w:hRule="atLeast"/>
                              </w:trPr>
                              <w:tc>
                                <w:tcPr>
                                  <w:tcW w:w="682" w:type="dxa"/>
                                  <w:tcBorders>
                                    <w:top w:val="nil"/>
                                    <w:left w:val="nil"/>
                                    <w:bottom w:val="single" w:sz="6" w:space="0" w:color="D9D9D9"/>
                                  </w:tcBorders>
                                </w:tcPr>
                                <w:p>
                                  <w:pPr>
                                    <w:pStyle w:val="TableParagraph"/>
                                    <w:rPr>
                                      <w:rFonts w:ascii="Times New Roman"/>
                                      <w:sz w:val="20"/>
                                    </w:rPr>
                                  </w:pPr>
                                </w:p>
                              </w:tc>
                              <w:tc>
                                <w:tcPr>
                                  <w:tcW w:w="1363" w:type="dxa"/>
                                  <w:tcBorders>
                                    <w:top w:val="nil"/>
                                    <w:bottom w:val="single" w:sz="6" w:space="0" w:color="D9D9D9"/>
                                  </w:tcBorders>
                                </w:tcPr>
                                <w:p>
                                  <w:pPr>
                                    <w:pStyle w:val="TableParagraph"/>
                                    <w:rPr>
                                      <w:rFonts w:ascii="Times New Roman"/>
                                      <w:sz w:val="20"/>
                                    </w:rPr>
                                  </w:pPr>
                                </w:p>
                              </w:tc>
                              <w:tc>
                                <w:tcPr>
                                  <w:tcW w:w="1364" w:type="dxa"/>
                                  <w:tcBorders>
                                    <w:top w:val="nil"/>
                                    <w:bottom w:val="single" w:sz="6" w:space="0" w:color="D9D9D9"/>
                                  </w:tcBorders>
                                </w:tcPr>
                                <w:p>
                                  <w:pPr>
                                    <w:pStyle w:val="TableParagraph"/>
                                    <w:rPr>
                                      <w:rFonts w:ascii="Times New Roman"/>
                                      <w:sz w:val="20"/>
                                    </w:rPr>
                                  </w:pPr>
                                </w:p>
                              </w:tc>
                              <w:tc>
                                <w:tcPr>
                                  <w:tcW w:w="1364" w:type="dxa"/>
                                  <w:tcBorders>
                                    <w:top w:val="nil"/>
                                    <w:bottom w:val="single" w:sz="6" w:space="0" w:color="D9D9D9"/>
                                  </w:tcBorders>
                                </w:tcPr>
                                <w:p>
                                  <w:pPr>
                                    <w:pStyle w:val="TableParagraph"/>
                                    <w:rPr>
                                      <w:rFonts w:ascii="Times New Roman"/>
                                      <w:sz w:val="20"/>
                                    </w:rPr>
                                  </w:pPr>
                                </w:p>
                              </w:tc>
                              <w:tc>
                                <w:tcPr>
                                  <w:tcW w:w="1363" w:type="dxa"/>
                                  <w:tcBorders>
                                    <w:top w:val="nil"/>
                                    <w:bottom w:val="single" w:sz="6" w:space="0" w:color="D9D9D9"/>
                                  </w:tcBorders>
                                </w:tcPr>
                                <w:p>
                                  <w:pPr>
                                    <w:pStyle w:val="TableParagraph"/>
                                    <w:rPr>
                                      <w:rFonts w:ascii="Times New Roman"/>
                                      <w:sz w:val="20"/>
                                    </w:rPr>
                                  </w:pPr>
                                </w:p>
                              </w:tc>
                              <w:tc>
                                <w:tcPr>
                                  <w:tcW w:w="682" w:type="dxa"/>
                                  <w:tcBorders>
                                    <w:top w:val="nil"/>
                                    <w:bottom w:val="single" w:sz="6" w:space="0" w:color="D9D9D9"/>
                                    <w:right w:val="nil"/>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135.119995pt;margin-top:-39.002655pt;width:369.15pt;height:187.3pt;mso-position-horizontal-relative:page;mso-position-vertical-relative:paragraph;z-index:15771648" type="#_x0000_t202" id="docshape256" filled="false" stroked="false">
                <v:textbox inset="0,0,0,0">
                  <w:txbxContent>
                    <w:tbl>
                      <w:tblPr>
                        <w:tblW w:w="0" w:type="auto"/>
                        <w:jc w:val="left"/>
                        <w:tblCellSpacing w:w="44" w:type="dxa"/>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6"/>
                        <w:gridCol w:w="1452"/>
                        <w:gridCol w:w="1453"/>
                        <w:gridCol w:w="1453"/>
                        <w:gridCol w:w="1452"/>
                        <w:gridCol w:w="726"/>
                      </w:tblGrid>
                      <w:tr>
                        <w:trPr>
                          <w:trHeight w:val="3731" w:hRule="atLeast"/>
                        </w:trPr>
                        <w:tc>
                          <w:tcPr>
                            <w:tcW w:w="682" w:type="dxa"/>
                            <w:tcBorders>
                              <w:top w:val="nil"/>
                              <w:left w:val="nil"/>
                              <w:bottom w:val="single" w:sz="6" w:space="0" w:color="D9D9D9"/>
                            </w:tcBorders>
                          </w:tcPr>
                          <w:p>
                            <w:pPr>
                              <w:pStyle w:val="TableParagraph"/>
                              <w:rPr>
                                <w:rFonts w:ascii="Times New Roman"/>
                                <w:sz w:val="20"/>
                              </w:rPr>
                            </w:pPr>
                          </w:p>
                        </w:tc>
                        <w:tc>
                          <w:tcPr>
                            <w:tcW w:w="1363" w:type="dxa"/>
                            <w:tcBorders>
                              <w:top w:val="nil"/>
                              <w:bottom w:val="single" w:sz="6" w:space="0" w:color="D9D9D9"/>
                            </w:tcBorders>
                          </w:tcPr>
                          <w:p>
                            <w:pPr>
                              <w:pStyle w:val="TableParagraph"/>
                              <w:rPr>
                                <w:rFonts w:ascii="Times New Roman"/>
                                <w:sz w:val="20"/>
                              </w:rPr>
                            </w:pPr>
                          </w:p>
                        </w:tc>
                        <w:tc>
                          <w:tcPr>
                            <w:tcW w:w="1364" w:type="dxa"/>
                            <w:tcBorders>
                              <w:top w:val="nil"/>
                              <w:bottom w:val="single" w:sz="6" w:space="0" w:color="D9D9D9"/>
                            </w:tcBorders>
                          </w:tcPr>
                          <w:p>
                            <w:pPr>
                              <w:pStyle w:val="TableParagraph"/>
                              <w:rPr>
                                <w:rFonts w:ascii="Times New Roman"/>
                                <w:sz w:val="20"/>
                              </w:rPr>
                            </w:pPr>
                          </w:p>
                        </w:tc>
                        <w:tc>
                          <w:tcPr>
                            <w:tcW w:w="1364" w:type="dxa"/>
                            <w:tcBorders>
                              <w:top w:val="nil"/>
                              <w:bottom w:val="single" w:sz="6" w:space="0" w:color="D9D9D9"/>
                            </w:tcBorders>
                          </w:tcPr>
                          <w:p>
                            <w:pPr>
                              <w:pStyle w:val="TableParagraph"/>
                              <w:rPr>
                                <w:rFonts w:ascii="Times New Roman"/>
                                <w:sz w:val="20"/>
                              </w:rPr>
                            </w:pPr>
                          </w:p>
                        </w:tc>
                        <w:tc>
                          <w:tcPr>
                            <w:tcW w:w="1363" w:type="dxa"/>
                            <w:tcBorders>
                              <w:top w:val="nil"/>
                              <w:bottom w:val="single" w:sz="6" w:space="0" w:color="D9D9D9"/>
                            </w:tcBorders>
                          </w:tcPr>
                          <w:p>
                            <w:pPr>
                              <w:pStyle w:val="TableParagraph"/>
                              <w:rPr>
                                <w:rFonts w:ascii="Times New Roman"/>
                                <w:sz w:val="20"/>
                              </w:rPr>
                            </w:pPr>
                          </w:p>
                        </w:tc>
                        <w:tc>
                          <w:tcPr>
                            <w:tcW w:w="682" w:type="dxa"/>
                            <w:tcBorders>
                              <w:top w:val="nil"/>
                              <w:bottom w:val="single" w:sz="6" w:space="0" w:color="D9D9D9"/>
                              <w:right w:val="nil"/>
                            </w:tcBorders>
                          </w:tcPr>
                          <w:p>
                            <w:pPr>
                              <w:pStyle w:val="TableParagraph"/>
                              <w:rPr>
                                <w:rFonts w:ascii="Times New Roman"/>
                                <w:sz w:val="20"/>
                              </w:rPr>
                            </w:pP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72672">
                <wp:simplePos x="0" y="0"/>
                <wp:positionH relativeFrom="page">
                  <wp:posOffset>4075429</wp:posOffset>
                </wp:positionH>
                <wp:positionV relativeFrom="paragraph">
                  <wp:posOffset>-1505364</wp:posOffset>
                </wp:positionV>
                <wp:extent cx="2430145" cy="1360170"/>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2430145" cy="1360170"/>
                          <a:chExt cx="2430145" cy="1360170"/>
                        </a:xfrm>
                      </wpg:grpSpPr>
                      <pic:pic>
                        <pic:nvPicPr>
                          <pic:cNvPr id="300" name="Image 300"/>
                          <pic:cNvPicPr/>
                        </pic:nvPicPr>
                        <pic:blipFill>
                          <a:blip r:embed="rId297" cstate="print"/>
                          <a:stretch>
                            <a:fillRect/>
                          </a:stretch>
                        </pic:blipFill>
                        <pic:spPr>
                          <a:xfrm>
                            <a:off x="0" y="13080"/>
                            <a:ext cx="1530858" cy="1347089"/>
                          </a:xfrm>
                          <a:prstGeom prst="rect">
                            <a:avLst/>
                          </a:prstGeom>
                        </pic:spPr>
                      </pic:pic>
                      <pic:pic>
                        <pic:nvPicPr>
                          <pic:cNvPr id="301" name="Image 301"/>
                          <pic:cNvPicPr/>
                        </pic:nvPicPr>
                        <pic:blipFill>
                          <a:blip r:embed="rId297" cstate="print"/>
                          <a:stretch>
                            <a:fillRect/>
                          </a:stretch>
                        </pic:blipFill>
                        <pic:spPr>
                          <a:xfrm>
                            <a:off x="899286" y="0"/>
                            <a:ext cx="1530858" cy="1347089"/>
                          </a:xfrm>
                          <a:prstGeom prst="rect">
                            <a:avLst/>
                          </a:prstGeom>
                        </pic:spPr>
                      </pic:pic>
                    </wpg:wgp>
                  </a:graphicData>
                </a:graphic>
              </wp:anchor>
            </w:drawing>
          </mc:Choice>
          <mc:Fallback>
            <w:pict>
              <v:group style="position:absolute;margin-left:320.899994pt;margin-top:-118.532654pt;width:191.35pt;height:107.1pt;mso-position-horizontal-relative:page;mso-position-vertical-relative:paragraph;z-index:15772672" id="docshapegroup257" coordorigin="6418,-2371" coordsize="3827,2142">
                <v:shape style="position:absolute;left:6418;top:-2351;width:2411;height:2122" type="#_x0000_t75" id="docshape258" stroked="false">
                  <v:imagedata r:id="rId297" o:title=""/>
                </v:shape>
                <v:shape style="position:absolute;left:7834;top:-2371;width:2411;height:2122" type="#_x0000_t75" id="docshape259" stroked="false">
                  <v:imagedata r:id="rId297" o:title=""/>
                </v:shape>
                <w10:wrap type="none"/>
              </v:group>
            </w:pict>
          </mc:Fallback>
        </mc:AlternateContent>
      </w:r>
      <w:r>
        <w:rPr>
          <w:color w:val="585858"/>
          <w:spacing w:val="-2"/>
          <w:sz w:val="18"/>
        </w:rPr>
        <w:t>15.000</w:t>
      </w:r>
    </w:p>
    <w:p>
      <w:pPr>
        <w:pStyle w:val="BodyText"/>
        <w:rPr>
          <w:sz w:val="18"/>
        </w:rPr>
      </w:pPr>
    </w:p>
    <w:p>
      <w:pPr>
        <w:pStyle w:val="BodyText"/>
        <w:rPr>
          <w:sz w:val="18"/>
        </w:rPr>
      </w:pPr>
    </w:p>
    <w:p>
      <w:pPr>
        <w:pStyle w:val="BodyText"/>
        <w:spacing w:before="70"/>
        <w:rPr>
          <w:sz w:val="18"/>
        </w:rPr>
      </w:pPr>
    </w:p>
    <w:p>
      <w:pPr>
        <w:spacing w:before="0"/>
        <w:ind w:left="1024" w:right="0" w:firstLine="0"/>
        <w:jc w:val="left"/>
        <w:rPr>
          <w:sz w:val="18"/>
        </w:rPr>
      </w:pPr>
      <w:r>
        <w:rPr>
          <w:color w:val="585858"/>
          <w:spacing w:val="-2"/>
          <w:sz w:val="18"/>
        </w:rPr>
        <w:t>10.000</w:t>
      </w:r>
    </w:p>
    <w:p>
      <w:pPr>
        <w:pStyle w:val="BodyText"/>
        <w:rPr>
          <w:sz w:val="18"/>
        </w:rPr>
      </w:pPr>
    </w:p>
    <w:p>
      <w:pPr>
        <w:pStyle w:val="BodyText"/>
        <w:rPr>
          <w:sz w:val="18"/>
        </w:rPr>
      </w:pPr>
    </w:p>
    <w:p>
      <w:pPr>
        <w:pStyle w:val="BodyText"/>
        <w:spacing w:before="69"/>
        <w:rPr>
          <w:sz w:val="18"/>
        </w:rPr>
      </w:pPr>
    </w:p>
    <w:p>
      <w:pPr>
        <w:spacing w:before="1"/>
        <w:ind w:left="1115" w:right="0" w:firstLine="0"/>
        <w:jc w:val="left"/>
        <w:rPr>
          <w:sz w:val="18"/>
        </w:rPr>
      </w:pPr>
      <w:r>
        <w:rPr>
          <w:color w:val="585858"/>
          <w:spacing w:val="-2"/>
          <w:sz w:val="18"/>
        </w:rPr>
        <w:t>5.000</w:t>
      </w:r>
    </w:p>
    <w:p>
      <w:pPr>
        <w:pStyle w:val="BodyText"/>
        <w:rPr>
          <w:sz w:val="18"/>
        </w:rPr>
      </w:pPr>
    </w:p>
    <w:p>
      <w:pPr>
        <w:pStyle w:val="BodyText"/>
        <w:rPr>
          <w:sz w:val="18"/>
        </w:rPr>
      </w:pPr>
    </w:p>
    <w:p>
      <w:pPr>
        <w:pStyle w:val="BodyText"/>
        <w:spacing w:before="69"/>
        <w:rPr>
          <w:sz w:val="18"/>
        </w:rPr>
      </w:pPr>
    </w:p>
    <w:p>
      <w:pPr>
        <w:spacing w:before="0"/>
        <w:ind w:left="1115" w:right="0" w:firstLine="0"/>
        <w:jc w:val="left"/>
        <w:rPr>
          <w:sz w:val="18"/>
        </w:rPr>
      </w:pPr>
      <w:r>
        <w:rPr>
          <w:color w:val="585858"/>
          <w:spacing w:val="-2"/>
          <w:sz w:val="18"/>
        </w:rPr>
        <w:t>0.000</w:t>
      </w:r>
    </w:p>
    <w:p>
      <w:pPr>
        <w:tabs>
          <w:tab w:pos="1723" w:val="left" w:leader="none"/>
          <w:tab w:pos="3196" w:val="left" w:leader="none"/>
          <w:tab w:pos="4637" w:val="left" w:leader="none"/>
        </w:tabs>
        <w:spacing w:before="78"/>
        <w:ind w:left="270" w:right="0" w:firstLine="0"/>
        <w:jc w:val="center"/>
        <w:rPr>
          <w:sz w:val="18"/>
        </w:rPr>
      </w:pPr>
      <w:r>
        <w:rPr>
          <w:color w:val="585858"/>
          <w:spacing w:val="-2"/>
          <w:sz w:val="18"/>
        </w:rPr>
        <w:t>100%H/10:50H:L</w:t>
      </w:r>
      <w:r>
        <w:rPr>
          <w:color w:val="585858"/>
          <w:sz w:val="18"/>
        </w:rPr>
        <w:tab/>
      </w:r>
      <w:r>
        <w:rPr>
          <w:color w:val="585858"/>
          <w:spacing w:val="-2"/>
          <w:sz w:val="18"/>
        </w:rPr>
        <w:t>100%H/20:50H:L</w:t>
      </w:r>
      <w:r>
        <w:rPr>
          <w:color w:val="585858"/>
          <w:sz w:val="18"/>
        </w:rPr>
        <w:tab/>
      </w:r>
      <w:r>
        <w:rPr>
          <w:color w:val="585858"/>
          <w:spacing w:val="-2"/>
          <w:sz w:val="18"/>
        </w:rPr>
        <w:t>100%H/30:50H:L</w:t>
      </w:r>
      <w:r>
        <w:rPr>
          <w:color w:val="585858"/>
          <w:sz w:val="18"/>
        </w:rPr>
        <w:tab/>
        <w:t>100%H/40:50H/L</w:t>
      </w:r>
      <w:r>
        <w:rPr>
          <w:color w:val="585858"/>
          <w:spacing w:val="53"/>
          <w:sz w:val="18"/>
        </w:rPr>
        <w:t>  </w:t>
      </w:r>
      <w:r>
        <w:rPr>
          <w:color w:val="585858"/>
          <w:spacing w:val="-2"/>
          <w:sz w:val="18"/>
        </w:rPr>
        <w:t>100%H/50:50H/L</w:t>
      </w:r>
    </w:p>
    <w:p>
      <w:pPr>
        <w:spacing w:before="150"/>
        <w:ind w:left="279" w:right="0" w:firstLine="0"/>
        <w:jc w:val="center"/>
        <w:rPr>
          <w:sz w:val="20"/>
        </w:rPr>
      </w:pPr>
      <w:r>
        <w:rPr>
          <w:color w:val="585858"/>
          <w:sz w:val="20"/>
        </w:rPr>
        <w:t>Honey/mixture</w:t>
      </w:r>
      <w:r>
        <w:rPr>
          <w:color w:val="585858"/>
          <w:spacing w:val="-8"/>
          <w:sz w:val="20"/>
        </w:rPr>
        <w:t> </w:t>
      </w:r>
      <w:r>
        <w:rPr>
          <w:color w:val="585858"/>
          <w:sz w:val="20"/>
        </w:rPr>
        <w:t>of</w:t>
      </w:r>
      <w:r>
        <w:rPr>
          <w:color w:val="585858"/>
          <w:spacing w:val="-9"/>
          <w:sz w:val="20"/>
        </w:rPr>
        <w:t> </w:t>
      </w:r>
      <w:r>
        <w:rPr>
          <w:color w:val="585858"/>
          <w:sz w:val="20"/>
        </w:rPr>
        <w:t>Honey</w:t>
      </w:r>
      <w:r>
        <w:rPr>
          <w:color w:val="585858"/>
          <w:spacing w:val="-6"/>
          <w:sz w:val="20"/>
        </w:rPr>
        <w:t> </w:t>
      </w:r>
      <w:r>
        <w:rPr>
          <w:color w:val="585858"/>
          <w:sz w:val="20"/>
        </w:rPr>
        <w:t>and</w:t>
      </w:r>
      <w:r>
        <w:rPr>
          <w:color w:val="585858"/>
          <w:spacing w:val="-9"/>
          <w:sz w:val="20"/>
        </w:rPr>
        <w:t> </w:t>
      </w:r>
      <w:r>
        <w:rPr>
          <w:color w:val="585858"/>
          <w:spacing w:val="-2"/>
          <w:sz w:val="20"/>
        </w:rPr>
        <w:t>Lemon</w:t>
      </w:r>
    </w:p>
    <w:p>
      <w:pPr>
        <w:pStyle w:val="BodyText"/>
        <w:spacing w:before="170"/>
      </w:pPr>
    </w:p>
    <w:p>
      <w:pPr>
        <w:pStyle w:val="BodyText"/>
        <w:spacing w:line="256" w:lineRule="auto"/>
        <w:ind w:left="380" w:right="975"/>
      </w:pPr>
      <w:r>
        <w:rPr/>
        <w:t>Figure</w:t>
      </w:r>
      <w:r>
        <w:rPr>
          <w:spacing w:val="-1"/>
        </w:rPr>
        <w:t> </w:t>
      </w:r>
      <w:r>
        <w:rPr/>
        <w:t>4.14:</w:t>
      </w:r>
      <w:r>
        <w:rPr>
          <w:spacing w:val="-3"/>
        </w:rPr>
        <w:t> </w:t>
      </w:r>
      <w:r>
        <w:rPr/>
        <w:t>Comparing</w:t>
      </w:r>
      <w:r>
        <w:rPr>
          <w:spacing w:val="-2"/>
        </w:rPr>
        <w:t> </w:t>
      </w:r>
      <w:r>
        <w:rPr/>
        <w:t>the</w:t>
      </w:r>
      <w:r>
        <w:rPr>
          <w:spacing w:val="-3"/>
        </w:rPr>
        <w:t> </w:t>
      </w:r>
      <w:r>
        <w:rPr/>
        <w:t>mean</w:t>
      </w:r>
      <w:r>
        <w:rPr>
          <w:spacing w:val="-2"/>
        </w:rPr>
        <w:t> </w:t>
      </w:r>
      <w:r>
        <w:rPr/>
        <w:t>zones</w:t>
      </w:r>
      <w:r>
        <w:rPr>
          <w:spacing w:val="-3"/>
        </w:rPr>
        <w:t> </w:t>
      </w:r>
      <w:r>
        <w:rPr/>
        <w:t>of</w:t>
      </w:r>
      <w:r>
        <w:rPr>
          <w:spacing w:val="-4"/>
        </w:rPr>
        <w:t> </w:t>
      </w:r>
      <w:r>
        <w:rPr/>
        <w:t>inhibition</w:t>
      </w:r>
      <w:r>
        <w:rPr>
          <w:spacing w:val="-4"/>
        </w:rPr>
        <w:t> </w:t>
      </w:r>
      <w:r>
        <w:rPr/>
        <w:t>of</w:t>
      </w:r>
      <w:r>
        <w:rPr>
          <w:spacing w:val="-1"/>
        </w:rPr>
        <w:t> </w:t>
      </w:r>
      <w:r>
        <w:rPr/>
        <w:t>Honey</w:t>
      </w:r>
      <w:r>
        <w:rPr>
          <w:spacing w:val="-1"/>
        </w:rPr>
        <w:t> </w:t>
      </w:r>
      <w:r>
        <w:rPr/>
        <w:t>and</w:t>
      </w:r>
      <w:r>
        <w:rPr>
          <w:spacing w:val="-3"/>
        </w:rPr>
        <w:t> </w:t>
      </w:r>
      <w:r>
        <w:rPr/>
        <w:t>the</w:t>
      </w:r>
      <w:r>
        <w:rPr>
          <w:spacing w:val="-3"/>
        </w:rPr>
        <w:t> </w:t>
      </w:r>
      <w:r>
        <w:rPr/>
        <w:t>mixture</w:t>
      </w:r>
      <w:r>
        <w:rPr>
          <w:spacing w:val="-3"/>
        </w:rPr>
        <w:t> </w:t>
      </w:r>
      <w:r>
        <w:rPr/>
        <w:t>of</w:t>
      </w:r>
      <w:r>
        <w:rPr>
          <w:spacing w:val="-4"/>
        </w:rPr>
        <w:t> </w:t>
      </w:r>
      <w:r>
        <w:rPr/>
        <w:t>Honey</w:t>
      </w:r>
      <w:r>
        <w:rPr>
          <w:spacing w:val="-1"/>
        </w:rPr>
        <w:t> </w:t>
      </w:r>
      <w:r>
        <w:rPr/>
        <w:t>and</w:t>
      </w:r>
      <w:r>
        <w:rPr>
          <w:spacing w:val="-3"/>
        </w:rPr>
        <w:t> </w:t>
      </w:r>
      <w:r>
        <w:rPr/>
        <w:t>Lemon juice against </w:t>
      </w:r>
      <w:r>
        <w:rPr>
          <w:i/>
        </w:rPr>
        <w:t>Streptococcus Pneumoniae</w:t>
      </w:r>
      <w:r>
        <w:rPr/>
        <w:t>.</w:t>
      </w:r>
    </w:p>
    <w:p>
      <w:pPr>
        <w:pStyle w:val="BodyText"/>
      </w:pPr>
    </w:p>
    <w:p>
      <w:pPr>
        <w:pStyle w:val="BodyText"/>
        <w:spacing w:before="76"/>
      </w:pPr>
    </w:p>
    <w:p>
      <w:pPr>
        <w:pStyle w:val="BodyText"/>
        <w:ind w:left="380"/>
      </w:pPr>
      <w:r>
        <w:rPr/>
        <w:t>Key:</w:t>
      </w:r>
      <w:r>
        <w:rPr>
          <w:spacing w:val="-6"/>
        </w:rPr>
        <w:t> </w:t>
      </w:r>
      <w:r>
        <w:rPr/>
        <w:t>*=Significant</w:t>
      </w:r>
      <w:r>
        <w:rPr>
          <w:spacing w:val="-6"/>
        </w:rPr>
        <w:t> </w:t>
      </w:r>
      <w:r>
        <w:rPr/>
        <w:t>difference,</w:t>
      </w:r>
      <w:r>
        <w:rPr>
          <w:spacing w:val="-6"/>
        </w:rPr>
        <w:t> </w:t>
      </w:r>
      <w:r>
        <w:rPr/>
        <w:t>H=Honey,</w:t>
      </w:r>
      <w:r>
        <w:rPr>
          <w:spacing w:val="-8"/>
        </w:rPr>
        <w:t> </w:t>
      </w:r>
      <w:r>
        <w:rPr/>
        <w:t>L=Lemon</w:t>
      </w:r>
      <w:r>
        <w:rPr>
          <w:spacing w:val="-6"/>
        </w:rPr>
        <w:t> </w:t>
      </w:r>
      <w:r>
        <w:rPr>
          <w:spacing w:val="-2"/>
        </w:rPr>
        <w:t>juice.</w:t>
      </w:r>
    </w:p>
    <w:p>
      <w:pPr>
        <w:spacing w:after="0"/>
        <w:sectPr>
          <w:pgSz w:w="11910" w:h="16840"/>
          <w:pgMar w:header="0" w:footer="1055" w:top="1480" w:bottom="1240" w:left="1060" w:right="460"/>
        </w:sectPr>
      </w:pPr>
    </w:p>
    <w:p>
      <w:pPr>
        <w:spacing w:before="41"/>
        <w:ind w:left="1023" w:right="0" w:firstLine="0"/>
        <w:jc w:val="left"/>
        <w:rPr>
          <w:sz w:val="18"/>
        </w:rPr>
      </w:pPr>
      <w:r>
        <w:rPr/>
        <mc:AlternateContent>
          <mc:Choice Requires="wps">
            <w:drawing>
              <wp:anchor distT="0" distB="0" distL="0" distR="0" allowOverlap="1" layoutInCell="1" locked="0" behindDoc="0" simplePos="0" relativeHeight="15782400">
                <wp:simplePos x="0" y="0"/>
                <wp:positionH relativeFrom="page">
                  <wp:posOffset>1400555</wp:posOffset>
                </wp:positionH>
                <wp:positionV relativeFrom="paragraph">
                  <wp:posOffset>251968</wp:posOffset>
                </wp:positionV>
                <wp:extent cx="2390775" cy="1574165"/>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2390775" cy="1574165"/>
                          <a:chExt cx="2390775" cy="1574165"/>
                        </a:xfrm>
                      </wpg:grpSpPr>
                      <pic:pic>
                        <pic:nvPicPr>
                          <pic:cNvPr id="303" name="Image 303"/>
                          <pic:cNvPicPr/>
                        </pic:nvPicPr>
                        <pic:blipFill>
                          <a:blip r:embed="rId297" cstate="print"/>
                          <a:stretch>
                            <a:fillRect/>
                          </a:stretch>
                        </pic:blipFill>
                        <pic:spPr>
                          <a:xfrm>
                            <a:off x="0" y="0"/>
                            <a:ext cx="1508506" cy="1574038"/>
                          </a:xfrm>
                          <a:prstGeom prst="rect">
                            <a:avLst/>
                          </a:prstGeom>
                        </pic:spPr>
                      </pic:pic>
                      <pic:pic>
                        <pic:nvPicPr>
                          <pic:cNvPr id="304" name="Image 304"/>
                          <pic:cNvPicPr/>
                        </pic:nvPicPr>
                        <pic:blipFill>
                          <a:blip r:embed="rId297" cstate="print"/>
                          <a:stretch>
                            <a:fillRect/>
                          </a:stretch>
                        </pic:blipFill>
                        <pic:spPr>
                          <a:xfrm>
                            <a:off x="882141" y="0"/>
                            <a:ext cx="1508505" cy="1574038"/>
                          </a:xfrm>
                          <a:prstGeom prst="rect">
                            <a:avLst/>
                          </a:prstGeom>
                        </pic:spPr>
                      </pic:pic>
                    </wpg:wgp>
                  </a:graphicData>
                </a:graphic>
              </wp:anchor>
            </w:drawing>
          </mc:Choice>
          <mc:Fallback>
            <w:pict>
              <v:group style="position:absolute;margin-left:110.279999pt;margin-top:19.84pt;width:188.25pt;height:123.95pt;mso-position-horizontal-relative:page;mso-position-vertical-relative:paragraph;z-index:15782400" id="docshapegroup260" coordorigin="2206,397" coordsize="3765,2479">
                <v:shape style="position:absolute;left:2205;top:396;width:2376;height:2479" type="#_x0000_t75" id="docshape261" stroked="false">
                  <v:imagedata r:id="rId297" o:title=""/>
                </v:shape>
                <v:shape style="position:absolute;left:3594;top:396;width:2376;height:2479" type="#_x0000_t75" id="docshape262" stroked="false">
                  <v:imagedata r:id="rId297" o:title=""/>
                </v:shape>
                <w10:wrap type="none"/>
              </v:group>
            </w:pict>
          </mc:Fallback>
        </mc:AlternateContent>
      </w:r>
      <w:r>
        <w:rPr/>
        <mc:AlternateContent>
          <mc:Choice Requires="wps">
            <w:drawing>
              <wp:anchor distT="0" distB="0" distL="0" distR="0" allowOverlap="1" layoutInCell="1" locked="0" behindDoc="0" simplePos="0" relativeHeight="15782912">
                <wp:simplePos x="0" y="0"/>
                <wp:positionH relativeFrom="page">
                  <wp:posOffset>4101084</wp:posOffset>
                </wp:positionH>
                <wp:positionV relativeFrom="paragraph">
                  <wp:posOffset>84581</wp:posOffset>
                </wp:positionV>
                <wp:extent cx="2444750" cy="1772285"/>
                <wp:effectExtent l="0" t="0" r="0" b="0"/>
                <wp:wrapNone/>
                <wp:docPr id="305" name="Group 305"/>
                <wp:cNvGraphicFramePr>
                  <a:graphicFrameLocks/>
                </wp:cNvGraphicFramePr>
                <a:graphic>
                  <a:graphicData uri="http://schemas.microsoft.com/office/word/2010/wordprocessingGroup">
                    <wpg:wgp>
                      <wpg:cNvPr id="305" name="Group 305"/>
                      <wpg:cNvGrpSpPr/>
                      <wpg:grpSpPr>
                        <a:xfrm>
                          <a:off x="0" y="0"/>
                          <a:ext cx="2444750" cy="1772285"/>
                          <a:chExt cx="2444750" cy="1772285"/>
                        </a:xfrm>
                      </wpg:grpSpPr>
                      <pic:pic>
                        <pic:nvPicPr>
                          <pic:cNvPr id="306" name="Image 306"/>
                          <pic:cNvPicPr/>
                        </pic:nvPicPr>
                        <pic:blipFill>
                          <a:blip r:embed="rId297" cstate="print"/>
                          <a:stretch>
                            <a:fillRect/>
                          </a:stretch>
                        </pic:blipFill>
                        <pic:spPr>
                          <a:xfrm>
                            <a:off x="0" y="197865"/>
                            <a:ext cx="1508506" cy="1574037"/>
                          </a:xfrm>
                          <a:prstGeom prst="rect">
                            <a:avLst/>
                          </a:prstGeom>
                        </pic:spPr>
                      </pic:pic>
                      <pic:pic>
                        <pic:nvPicPr>
                          <pic:cNvPr id="307" name="Image 307"/>
                          <pic:cNvPicPr/>
                        </pic:nvPicPr>
                        <pic:blipFill>
                          <a:blip r:embed="rId297" cstate="print"/>
                          <a:stretch>
                            <a:fillRect/>
                          </a:stretch>
                        </pic:blipFill>
                        <pic:spPr>
                          <a:xfrm>
                            <a:off x="936244" y="0"/>
                            <a:ext cx="1508505" cy="1574037"/>
                          </a:xfrm>
                          <a:prstGeom prst="rect">
                            <a:avLst/>
                          </a:prstGeom>
                        </pic:spPr>
                      </pic:pic>
                    </wpg:wgp>
                  </a:graphicData>
                </a:graphic>
              </wp:anchor>
            </w:drawing>
          </mc:Choice>
          <mc:Fallback>
            <w:pict>
              <v:group style="position:absolute;margin-left:322.920013pt;margin-top:6.66pt;width:192.5pt;height:139.550pt;mso-position-horizontal-relative:page;mso-position-vertical-relative:paragraph;z-index:15782912" id="docshapegroup263" coordorigin="6458,133" coordsize="3850,2791">
                <v:shape style="position:absolute;left:6458;top:444;width:2376;height:2479" type="#_x0000_t75" id="docshape264" stroked="false">
                  <v:imagedata r:id="rId297" o:title=""/>
                </v:shape>
                <v:shape style="position:absolute;left:7932;top:133;width:2376;height:2479" type="#_x0000_t75" id="docshape265" stroked="false">
                  <v:imagedata r:id="rId297" o:title=""/>
                </v:shape>
                <w10:wrap type="none"/>
              </v:group>
            </w:pict>
          </mc:Fallback>
        </mc:AlternateContent>
      </w:r>
      <w:r>
        <w:rPr>
          <w:color w:val="585858"/>
          <w:spacing w:val="-2"/>
          <w:sz w:val="18"/>
        </w:rPr>
        <w:t>30.000</w:t>
      </w:r>
    </w:p>
    <w:p>
      <w:pPr>
        <w:pStyle w:val="BodyText"/>
        <w:rPr>
          <w:sz w:val="20"/>
        </w:rPr>
      </w:pPr>
    </w:p>
    <w:p>
      <w:pPr>
        <w:pStyle w:val="BodyText"/>
        <w:rPr>
          <w:sz w:val="20"/>
        </w:rPr>
      </w:pPr>
    </w:p>
    <w:p>
      <w:pPr>
        <w:pStyle w:val="BodyText"/>
        <w:spacing w:before="52"/>
        <w:rPr>
          <w:sz w:val="20"/>
        </w:rPr>
      </w:pPr>
      <w:r>
        <w:rPr/>
        <mc:AlternateContent>
          <mc:Choice Requires="wps">
            <w:drawing>
              <wp:anchor distT="0" distB="0" distL="0" distR="0" allowOverlap="1" layoutInCell="1" locked="0" behindDoc="1" simplePos="0" relativeHeight="487632384">
                <wp:simplePos x="0" y="0"/>
                <wp:positionH relativeFrom="page">
                  <wp:posOffset>1323086</wp:posOffset>
                </wp:positionH>
                <wp:positionV relativeFrom="paragraph">
                  <wp:posOffset>203449</wp:posOffset>
                </wp:positionV>
                <wp:extent cx="331470" cy="744855"/>
                <wp:effectExtent l="0" t="0" r="0" b="0"/>
                <wp:wrapTopAndBottom/>
                <wp:docPr id="308" name="Group 308"/>
                <wp:cNvGraphicFramePr>
                  <a:graphicFrameLocks/>
                </wp:cNvGraphicFramePr>
                <a:graphic>
                  <a:graphicData uri="http://schemas.microsoft.com/office/word/2010/wordprocessingGroup">
                    <wpg:wgp>
                      <wpg:cNvPr id="308" name="Group 308"/>
                      <wpg:cNvGrpSpPr/>
                      <wpg:grpSpPr>
                        <a:xfrm>
                          <a:off x="0" y="0"/>
                          <a:ext cx="331470" cy="744855"/>
                          <a:chExt cx="331470" cy="744855"/>
                        </a:xfrm>
                      </wpg:grpSpPr>
                      <wps:wsp>
                        <wps:cNvPr id="309" name="Textbox 309"/>
                        <wps:cNvSpPr txBox="1"/>
                        <wps:spPr>
                          <a:xfrm>
                            <a:off x="0" y="0"/>
                            <a:ext cx="331470" cy="114300"/>
                          </a:xfrm>
                          <a:prstGeom prst="rect">
                            <a:avLst/>
                          </a:prstGeom>
                        </wps:spPr>
                        <wps:txbx>
                          <w:txbxContent>
                            <w:p>
                              <w:pPr>
                                <w:spacing w:line="180" w:lineRule="exact" w:before="0"/>
                                <w:ind w:left="0" w:right="0" w:firstLine="0"/>
                                <w:jc w:val="left"/>
                                <w:rPr>
                                  <w:sz w:val="18"/>
                                </w:rPr>
                              </w:pPr>
                              <w:r>
                                <w:rPr>
                                  <w:color w:val="585858"/>
                                  <w:spacing w:val="-2"/>
                                  <w:sz w:val="18"/>
                                </w:rPr>
                                <w:t>25.000</w:t>
                              </w:r>
                            </w:p>
                          </w:txbxContent>
                        </wps:txbx>
                        <wps:bodyPr wrap="square" lIns="0" tIns="0" rIns="0" bIns="0" rtlCol="0">
                          <a:noAutofit/>
                        </wps:bodyPr>
                      </wps:wsp>
                      <wps:wsp>
                        <wps:cNvPr id="310" name="Textbox 310"/>
                        <wps:cNvSpPr txBox="1"/>
                        <wps:spPr>
                          <a:xfrm>
                            <a:off x="0" y="630047"/>
                            <a:ext cx="331470" cy="114300"/>
                          </a:xfrm>
                          <a:prstGeom prst="rect">
                            <a:avLst/>
                          </a:prstGeom>
                        </wps:spPr>
                        <wps:txbx>
                          <w:txbxContent>
                            <w:p>
                              <w:pPr>
                                <w:spacing w:line="180" w:lineRule="exact" w:before="0"/>
                                <w:ind w:left="0" w:right="0" w:firstLine="0"/>
                                <w:jc w:val="left"/>
                                <w:rPr>
                                  <w:sz w:val="18"/>
                                </w:rPr>
                              </w:pPr>
                              <w:r>
                                <w:rPr>
                                  <w:color w:val="585858"/>
                                  <w:spacing w:val="-2"/>
                                  <w:sz w:val="18"/>
                                </w:rPr>
                                <w:t>20.000</w:t>
                              </w:r>
                            </w:p>
                          </w:txbxContent>
                        </wps:txbx>
                        <wps:bodyPr wrap="square" lIns="0" tIns="0" rIns="0" bIns="0" rtlCol="0">
                          <a:noAutofit/>
                        </wps:bodyPr>
                      </wps:wsp>
                    </wpg:wgp>
                  </a:graphicData>
                </a:graphic>
              </wp:anchor>
            </w:drawing>
          </mc:Choice>
          <mc:Fallback>
            <w:pict>
              <v:group style="position:absolute;margin-left:104.18pt;margin-top:16.019609pt;width:26.1pt;height:58.65pt;mso-position-horizontal-relative:page;mso-position-vertical-relative:paragraph;z-index:-15684096;mso-wrap-distance-left:0;mso-wrap-distance-right:0" id="docshapegroup266" coordorigin="2084,320" coordsize="522,1173">
                <v:shape style="position:absolute;left:2083;top:320;width:522;height:180" type="#_x0000_t202" id="docshape267" filled="false" stroked="false">
                  <v:textbox inset="0,0,0,0">
                    <w:txbxContent>
                      <w:p>
                        <w:pPr>
                          <w:spacing w:line="180" w:lineRule="exact" w:before="0"/>
                          <w:ind w:left="0" w:right="0" w:firstLine="0"/>
                          <w:jc w:val="left"/>
                          <w:rPr>
                            <w:sz w:val="18"/>
                          </w:rPr>
                        </w:pPr>
                        <w:r>
                          <w:rPr>
                            <w:color w:val="585858"/>
                            <w:spacing w:val="-2"/>
                            <w:sz w:val="18"/>
                          </w:rPr>
                          <w:t>25.000</w:t>
                        </w:r>
                      </w:p>
                    </w:txbxContent>
                  </v:textbox>
                  <w10:wrap type="none"/>
                </v:shape>
                <v:shape style="position:absolute;left:2083;top:1312;width:522;height:180" type="#_x0000_t202" id="docshape268" filled="false" stroked="false">
                  <v:textbox inset="0,0,0,0">
                    <w:txbxContent>
                      <w:p>
                        <w:pPr>
                          <w:spacing w:line="180" w:lineRule="exact" w:before="0"/>
                          <w:ind w:left="0" w:right="0" w:firstLine="0"/>
                          <w:jc w:val="left"/>
                          <w:rPr>
                            <w:sz w:val="18"/>
                          </w:rPr>
                        </w:pPr>
                        <w:r>
                          <w:rPr>
                            <w:color w:val="585858"/>
                            <w:spacing w:val="-2"/>
                            <w:sz w:val="18"/>
                          </w:rPr>
                          <w:t>20.000</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2896">
                <wp:simplePos x="0" y="0"/>
                <wp:positionH relativeFrom="page">
                  <wp:posOffset>2058670</wp:posOffset>
                </wp:positionH>
                <wp:positionV relativeFrom="paragraph">
                  <wp:posOffset>1059937</wp:posOffset>
                </wp:positionV>
                <wp:extent cx="57150" cy="1270"/>
                <wp:effectExtent l="0" t="0" r="0" b="0"/>
                <wp:wrapTopAndBottom/>
                <wp:docPr id="311" name="Graphic 311"/>
                <wp:cNvGraphicFramePr>
                  <a:graphicFrameLocks/>
                </wp:cNvGraphicFramePr>
                <a:graphic>
                  <a:graphicData uri="http://schemas.microsoft.com/office/word/2010/wordprocessingShape">
                    <wps:wsp>
                      <wps:cNvPr id="311" name="Graphic 311"/>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162.100006pt;margin-top:83.45961pt;width:4.5pt;height:.1pt;mso-position-horizontal-relative:page;mso-position-vertical-relative:paragraph;z-index:-15683584;mso-wrap-distance-left:0;mso-wrap-distance-right:0" id="docshape269" coordorigin="3242,1669" coordsize="90,0" path="m3242,1669l3332,1669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3408">
                <wp:simplePos x="0" y="0"/>
                <wp:positionH relativeFrom="page">
                  <wp:posOffset>2989833</wp:posOffset>
                </wp:positionH>
                <wp:positionV relativeFrom="paragraph">
                  <wp:posOffset>1059937</wp:posOffset>
                </wp:positionV>
                <wp:extent cx="57150" cy="1270"/>
                <wp:effectExtent l="0" t="0" r="0" b="0"/>
                <wp:wrapTopAndBottom/>
                <wp:docPr id="312" name="Graphic 312"/>
                <wp:cNvGraphicFramePr>
                  <a:graphicFrameLocks/>
                </wp:cNvGraphicFramePr>
                <a:graphic>
                  <a:graphicData uri="http://schemas.microsoft.com/office/word/2010/wordprocessingShape">
                    <wps:wsp>
                      <wps:cNvPr id="312" name="Graphic 312"/>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235.419998pt;margin-top:83.45961pt;width:4.5pt;height:.1pt;mso-position-horizontal-relative:page;mso-position-vertical-relative:paragraph;z-index:-15683072;mso-wrap-distance-left:0;mso-wrap-distance-right:0" id="docshape270" coordorigin="4708,1669" coordsize="90,0" path="m4708,1669l4798,1669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3920">
                <wp:simplePos x="0" y="0"/>
                <wp:positionH relativeFrom="page">
                  <wp:posOffset>3920997</wp:posOffset>
                </wp:positionH>
                <wp:positionV relativeFrom="paragraph">
                  <wp:posOffset>1059937</wp:posOffset>
                </wp:positionV>
                <wp:extent cx="57150" cy="1270"/>
                <wp:effectExtent l="0" t="0" r="0" b="0"/>
                <wp:wrapTopAndBottom/>
                <wp:docPr id="313" name="Graphic 313"/>
                <wp:cNvGraphicFramePr>
                  <a:graphicFrameLocks/>
                </wp:cNvGraphicFramePr>
                <a:graphic>
                  <a:graphicData uri="http://schemas.microsoft.com/office/word/2010/wordprocessingShape">
                    <wps:wsp>
                      <wps:cNvPr id="313" name="Graphic 313"/>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308.739990pt;margin-top:83.45961pt;width:4.5pt;height:.1pt;mso-position-horizontal-relative:page;mso-position-vertical-relative:paragraph;z-index:-15682560;mso-wrap-distance-left:0;mso-wrap-distance-right:0" id="docshape271" coordorigin="6175,1669" coordsize="90,0" path="m6175,1669l6265,1669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4432">
                <wp:simplePos x="0" y="0"/>
                <wp:positionH relativeFrom="page">
                  <wp:posOffset>4852034</wp:posOffset>
                </wp:positionH>
                <wp:positionV relativeFrom="paragraph">
                  <wp:posOffset>1059937</wp:posOffset>
                </wp:positionV>
                <wp:extent cx="57150" cy="1270"/>
                <wp:effectExtent l="0" t="0" r="0" b="0"/>
                <wp:wrapTopAndBottom/>
                <wp:docPr id="314" name="Graphic 314"/>
                <wp:cNvGraphicFramePr>
                  <a:graphicFrameLocks/>
                </wp:cNvGraphicFramePr>
                <a:graphic>
                  <a:graphicData uri="http://schemas.microsoft.com/office/word/2010/wordprocessingShape">
                    <wps:wsp>
                      <wps:cNvPr id="314" name="Graphic 314"/>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382.049988pt;margin-top:83.45961pt;width:4.5pt;height:.1pt;mso-position-horizontal-relative:page;mso-position-vertical-relative:paragraph;z-index:-15682048;mso-wrap-distance-left:0;mso-wrap-distance-right:0" id="docshape272" coordorigin="7641,1669" coordsize="90,0" path="m7641,1669l7731,1669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4944">
                <wp:simplePos x="0" y="0"/>
                <wp:positionH relativeFrom="page">
                  <wp:posOffset>5783198</wp:posOffset>
                </wp:positionH>
                <wp:positionV relativeFrom="paragraph">
                  <wp:posOffset>1059937</wp:posOffset>
                </wp:positionV>
                <wp:extent cx="57150" cy="1270"/>
                <wp:effectExtent l="0" t="0" r="0" b="0"/>
                <wp:wrapTopAndBottom/>
                <wp:docPr id="315" name="Graphic 315"/>
                <wp:cNvGraphicFramePr>
                  <a:graphicFrameLocks/>
                </wp:cNvGraphicFramePr>
                <a:graphic>
                  <a:graphicData uri="http://schemas.microsoft.com/office/word/2010/wordprocessingShape">
                    <wps:wsp>
                      <wps:cNvPr id="315" name="Graphic 315"/>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455.369995pt;margin-top:83.45961pt;width:4.5pt;height:.1pt;mso-position-horizontal-relative:page;mso-position-vertical-relative:paragraph;z-index:-15681536;mso-wrap-distance-left:0;mso-wrap-distance-right:0" id="docshape273" coordorigin="9107,1669" coordsize="90,0" path="m9107,1669l9197,1669e" filled="false" stroked="true" strokeweight="1pt" strokecolor="#585858">
                <v:path arrowok="t"/>
                <v:stroke dashstyle="solid"/>
                <w10:wrap type="topAndBottom"/>
              </v:shape>
            </w:pict>
          </mc:Fallback>
        </mc:AlternateContent>
      </w:r>
    </w:p>
    <w:p>
      <w:pPr>
        <w:pStyle w:val="BodyText"/>
        <w:spacing w:before="6"/>
        <w:rPr>
          <w:sz w:val="12"/>
        </w:rPr>
      </w:pPr>
    </w:p>
    <w:p>
      <w:pPr>
        <w:pStyle w:val="BodyText"/>
        <w:rPr>
          <w:sz w:val="18"/>
        </w:rPr>
      </w:pPr>
    </w:p>
    <w:p>
      <w:pPr>
        <w:pStyle w:val="BodyText"/>
        <w:spacing w:before="149"/>
        <w:rPr>
          <w:sz w:val="18"/>
        </w:rPr>
      </w:pPr>
    </w:p>
    <w:p>
      <w:pPr>
        <w:spacing w:before="0"/>
        <w:ind w:left="1023" w:right="0" w:firstLine="0"/>
        <w:jc w:val="left"/>
        <w:rPr>
          <w:sz w:val="18"/>
        </w:rPr>
      </w:pPr>
      <w:r>
        <w:rPr/>
        <mc:AlternateContent>
          <mc:Choice Requires="wps">
            <w:drawing>
              <wp:anchor distT="0" distB="0" distL="0" distR="0" allowOverlap="1" layoutInCell="1" locked="0" behindDoc="1" simplePos="0" relativeHeight="472751104">
                <wp:simplePos x="0" y="0"/>
                <wp:positionH relativeFrom="page">
                  <wp:posOffset>1982723</wp:posOffset>
                </wp:positionH>
                <wp:positionV relativeFrom="paragraph">
                  <wp:posOffset>-523146</wp:posOffset>
                </wp:positionV>
                <wp:extent cx="208915" cy="2489200"/>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208915" cy="2489200"/>
                          <a:chExt cx="208915" cy="2489200"/>
                        </a:xfrm>
                      </wpg:grpSpPr>
                      <wps:wsp>
                        <wps:cNvPr id="317" name="Graphic 317"/>
                        <wps:cNvSpPr/>
                        <wps:spPr>
                          <a:xfrm>
                            <a:off x="0" y="74676"/>
                            <a:ext cx="208915" cy="2414270"/>
                          </a:xfrm>
                          <a:custGeom>
                            <a:avLst/>
                            <a:gdLst/>
                            <a:ahLst/>
                            <a:cxnLst/>
                            <a:rect l="l" t="t" r="r" b="b"/>
                            <a:pathLst>
                              <a:path w="208915" h="2414270">
                                <a:moveTo>
                                  <a:pt x="208787" y="0"/>
                                </a:moveTo>
                                <a:lnTo>
                                  <a:pt x="0" y="0"/>
                                </a:lnTo>
                                <a:lnTo>
                                  <a:pt x="0" y="2414016"/>
                                </a:lnTo>
                                <a:lnTo>
                                  <a:pt x="208787" y="2414016"/>
                                </a:lnTo>
                                <a:lnTo>
                                  <a:pt x="208787" y="0"/>
                                </a:lnTo>
                                <a:close/>
                              </a:path>
                            </a:pathLst>
                          </a:custGeom>
                          <a:solidFill>
                            <a:srgbClr val="5B9BD4"/>
                          </a:solidFill>
                        </wps:spPr>
                        <wps:bodyPr wrap="square" lIns="0" tIns="0" rIns="0" bIns="0" rtlCol="0">
                          <a:prstTxWarp prst="textNoShape">
                            <a:avLst/>
                          </a:prstTxWarp>
                          <a:noAutofit/>
                        </wps:bodyPr>
                      </wps:wsp>
                      <wps:wsp>
                        <wps:cNvPr id="318" name="Graphic 318"/>
                        <wps:cNvSpPr/>
                        <wps:spPr>
                          <a:xfrm>
                            <a:off x="75946" y="6350"/>
                            <a:ext cx="57150" cy="137160"/>
                          </a:xfrm>
                          <a:custGeom>
                            <a:avLst/>
                            <a:gdLst/>
                            <a:ahLst/>
                            <a:cxnLst/>
                            <a:rect l="l" t="t" r="r" b="b"/>
                            <a:pathLst>
                              <a:path w="57150" h="137160">
                                <a:moveTo>
                                  <a:pt x="28575" y="136778"/>
                                </a:moveTo>
                                <a:lnTo>
                                  <a:pt x="28575" y="68452"/>
                                </a:lnTo>
                                <a:lnTo>
                                  <a:pt x="28575" y="0"/>
                                </a:lnTo>
                              </a:path>
                              <a:path w="57150" h="13716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6.119995pt;margin-top:-41.192657pt;width:16.45pt;height:196pt;mso-position-horizontal-relative:page;mso-position-vertical-relative:paragraph;z-index:-30565376" id="docshapegroup274" coordorigin="3122,-824" coordsize="329,3920">
                <v:rect style="position:absolute;left:3122;top:-707;width:329;height:3802" id="docshape275" filled="true" fillcolor="#5b9bd4" stroked="false">
                  <v:fill type="solid"/>
                </v:rect>
                <v:shape style="position:absolute;left:3242;top:-814;width:90;height:216" id="docshape276" coordorigin="3242,-814" coordsize="90,216" path="m3287,-598l3287,-706,3287,-814m3242,-814l3332,-814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51616">
                <wp:simplePos x="0" y="0"/>
                <wp:positionH relativeFrom="page">
                  <wp:posOffset>2913888</wp:posOffset>
                </wp:positionH>
                <wp:positionV relativeFrom="paragraph">
                  <wp:posOffset>-523146</wp:posOffset>
                </wp:positionV>
                <wp:extent cx="208915" cy="2489200"/>
                <wp:effectExtent l="0" t="0" r="0" b="0"/>
                <wp:wrapNone/>
                <wp:docPr id="319" name="Group 319"/>
                <wp:cNvGraphicFramePr>
                  <a:graphicFrameLocks/>
                </wp:cNvGraphicFramePr>
                <a:graphic>
                  <a:graphicData uri="http://schemas.microsoft.com/office/word/2010/wordprocessingGroup">
                    <wpg:wgp>
                      <wpg:cNvPr id="319" name="Group 319"/>
                      <wpg:cNvGrpSpPr/>
                      <wpg:grpSpPr>
                        <a:xfrm>
                          <a:off x="0" y="0"/>
                          <a:ext cx="208915" cy="2489200"/>
                          <a:chExt cx="208915" cy="2489200"/>
                        </a:xfrm>
                      </wpg:grpSpPr>
                      <wps:wsp>
                        <wps:cNvPr id="320" name="Graphic 320"/>
                        <wps:cNvSpPr/>
                        <wps:spPr>
                          <a:xfrm>
                            <a:off x="0" y="74676"/>
                            <a:ext cx="208915" cy="2414270"/>
                          </a:xfrm>
                          <a:custGeom>
                            <a:avLst/>
                            <a:gdLst/>
                            <a:ahLst/>
                            <a:cxnLst/>
                            <a:rect l="l" t="t" r="r" b="b"/>
                            <a:pathLst>
                              <a:path w="208915" h="2414270">
                                <a:moveTo>
                                  <a:pt x="208787" y="0"/>
                                </a:moveTo>
                                <a:lnTo>
                                  <a:pt x="0" y="0"/>
                                </a:lnTo>
                                <a:lnTo>
                                  <a:pt x="0" y="2414016"/>
                                </a:lnTo>
                                <a:lnTo>
                                  <a:pt x="208787" y="2414016"/>
                                </a:lnTo>
                                <a:lnTo>
                                  <a:pt x="208787" y="0"/>
                                </a:lnTo>
                                <a:close/>
                              </a:path>
                            </a:pathLst>
                          </a:custGeom>
                          <a:solidFill>
                            <a:srgbClr val="5B9BD4"/>
                          </a:solidFill>
                        </wps:spPr>
                        <wps:bodyPr wrap="square" lIns="0" tIns="0" rIns="0" bIns="0" rtlCol="0">
                          <a:prstTxWarp prst="textNoShape">
                            <a:avLst/>
                          </a:prstTxWarp>
                          <a:noAutofit/>
                        </wps:bodyPr>
                      </wps:wsp>
                      <wps:wsp>
                        <wps:cNvPr id="321" name="Graphic 321"/>
                        <wps:cNvSpPr/>
                        <wps:spPr>
                          <a:xfrm>
                            <a:off x="75946" y="6350"/>
                            <a:ext cx="57150" cy="137160"/>
                          </a:xfrm>
                          <a:custGeom>
                            <a:avLst/>
                            <a:gdLst/>
                            <a:ahLst/>
                            <a:cxnLst/>
                            <a:rect l="l" t="t" r="r" b="b"/>
                            <a:pathLst>
                              <a:path w="57150" h="137160">
                                <a:moveTo>
                                  <a:pt x="28575" y="136778"/>
                                </a:moveTo>
                                <a:lnTo>
                                  <a:pt x="28575" y="68452"/>
                                </a:lnTo>
                                <a:lnTo>
                                  <a:pt x="28575" y="0"/>
                                </a:lnTo>
                              </a:path>
                              <a:path w="57150" h="13716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9.440002pt;margin-top:-41.192657pt;width:16.45pt;height:196pt;mso-position-horizontal-relative:page;mso-position-vertical-relative:paragraph;z-index:-30564864" id="docshapegroup277" coordorigin="4589,-824" coordsize="329,3920">
                <v:rect style="position:absolute;left:4588;top:-707;width:329;height:3802" id="docshape278" filled="true" fillcolor="#5b9bd4" stroked="false">
                  <v:fill type="solid"/>
                </v:rect>
                <v:shape style="position:absolute;left:4708;top:-814;width:90;height:216" id="docshape279" coordorigin="4708,-814" coordsize="90,216" path="m4753,-598l4753,-706,4753,-814m4708,-814l4798,-814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52128">
                <wp:simplePos x="0" y="0"/>
                <wp:positionH relativeFrom="page">
                  <wp:posOffset>3845052</wp:posOffset>
                </wp:positionH>
                <wp:positionV relativeFrom="paragraph">
                  <wp:posOffset>-523146</wp:posOffset>
                </wp:positionV>
                <wp:extent cx="208915" cy="2489200"/>
                <wp:effectExtent l="0" t="0" r="0" b="0"/>
                <wp:wrapNone/>
                <wp:docPr id="322" name="Group 322"/>
                <wp:cNvGraphicFramePr>
                  <a:graphicFrameLocks/>
                </wp:cNvGraphicFramePr>
                <a:graphic>
                  <a:graphicData uri="http://schemas.microsoft.com/office/word/2010/wordprocessingGroup">
                    <wpg:wgp>
                      <wpg:cNvPr id="322" name="Group 322"/>
                      <wpg:cNvGrpSpPr/>
                      <wpg:grpSpPr>
                        <a:xfrm>
                          <a:off x="0" y="0"/>
                          <a:ext cx="208915" cy="2489200"/>
                          <a:chExt cx="208915" cy="2489200"/>
                        </a:xfrm>
                      </wpg:grpSpPr>
                      <wps:wsp>
                        <wps:cNvPr id="323" name="Graphic 323"/>
                        <wps:cNvSpPr/>
                        <wps:spPr>
                          <a:xfrm>
                            <a:off x="0" y="74676"/>
                            <a:ext cx="208915" cy="2414270"/>
                          </a:xfrm>
                          <a:custGeom>
                            <a:avLst/>
                            <a:gdLst/>
                            <a:ahLst/>
                            <a:cxnLst/>
                            <a:rect l="l" t="t" r="r" b="b"/>
                            <a:pathLst>
                              <a:path w="208915" h="2414270">
                                <a:moveTo>
                                  <a:pt x="208787" y="0"/>
                                </a:moveTo>
                                <a:lnTo>
                                  <a:pt x="0" y="0"/>
                                </a:lnTo>
                                <a:lnTo>
                                  <a:pt x="0" y="2414016"/>
                                </a:lnTo>
                                <a:lnTo>
                                  <a:pt x="208787" y="2414016"/>
                                </a:lnTo>
                                <a:lnTo>
                                  <a:pt x="208787" y="0"/>
                                </a:lnTo>
                                <a:close/>
                              </a:path>
                            </a:pathLst>
                          </a:custGeom>
                          <a:solidFill>
                            <a:srgbClr val="5B9BD4"/>
                          </a:solidFill>
                        </wps:spPr>
                        <wps:bodyPr wrap="square" lIns="0" tIns="0" rIns="0" bIns="0" rtlCol="0">
                          <a:prstTxWarp prst="textNoShape">
                            <a:avLst/>
                          </a:prstTxWarp>
                          <a:noAutofit/>
                        </wps:bodyPr>
                      </wps:wsp>
                      <wps:wsp>
                        <wps:cNvPr id="324" name="Graphic 324"/>
                        <wps:cNvSpPr/>
                        <wps:spPr>
                          <a:xfrm>
                            <a:off x="75946" y="6350"/>
                            <a:ext cx="57150" cy="137160"/>
                          </a:xfrm>
                          <a:custGeom>
                            <a:avLst/>
                            <a:gdLst/>
                            <a:ahLst/>
                            <a:cxnLst/>
                            <a:rect l="l" t="t" r="r" b="b"/>
                            <a:pathLst>
                              <a:path w="57150" h="137160">
                                <a:moveTo>
                                  <a:pt x="28575" y="136778"/>
                                </a:moveTo>
                                <a:lnTo>
                                  <a:pt x="28575" y="68452"/>
                                </a:lnTo>
                                <a:lnTo>
                                  <a:pt x="28575" y="0"/>
                                </a:lnTo>
                              </a:path>
                              <a:path w="57150" h="13716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2.760010pt;margin-top:-41.192657pt;width:16.45pt;height:196pt;mso-position-horizontal-relative:page;mso-position-vertical-relative:paragraph;z-index:-30564352" id="docshapegroup280" coordorigin="6055,-824" coordsize="329,3920">
                <v:rect style="position:absolute;left:6055;top:-707;width:329;height:3802" id="docshape281" filled="true" fillcolor="#5b9bd4" stroked="false">
                  <v:fill type="solid"/>
                </v:rect>
                <v:shape style="position:absolute;left:6174;top:-814;width:90;height:216" id="docshape282" coordorigin="6175,-814" coordsize="90,216" path="m6220,-598l6220,-706,6220,-814m6175,-814l6265,-814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52640">
                <wp:simplePos x="0" y="0"/>
                <wp:positionH relativeFrom="page">
                  <wp:posOffset>4776215</wp:posOffset>
                </wp:positionH>
                <wp:positionV relativeFrom="paragraph">
                  <wp:posOffset>-523146</wp:posOffset>
                </wp:positionV>
                <wp:extent cx="208915" cy="2489200"/>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208915" cy="2489200"/>
                          <a:chExt cx="208915" cy="2489200"/>
                        </a:xfrm>
                      </wpg:grpSpPr>
                      <wps:wsp>
                        <wps:cNvPr id="326" name="Graphic 326"/>
                        <wps:cNvSpPr/>
                        <wps:spPr>
                          <a:xfrm>
                            <a:off x="0" y="74676"/>
                            <a:ext cx="208915" cy="2414270"/>
                          </a:xfrm>
                          <a:custGeom>
                            <a:avLst/>
                            <a:gdLst/>
                            <a:ahLst/>
                            <a:cxnLst/>
                            <a:rect l="l" t="t" r="r" b="b"/>
                            <a:pathLst>
                              <a:path w="208915" h="2414270">
                                <a:moveTo>
                                  <a:pt x="208787" y="0"/>
                                </a:moveTo>
                                <a:lnTo>
                                  <a:pt x="0" y="0"/>
                                </a:lnTo>
                                <a:lnTo>
                                  <a:pt x="0" y="2414016"/>
                                </a:lnTo>
                                <a:lnTo>
                                  <a:pt x="208787" y="2414016"/>
                                </a:lnTo>
                                <a:lnTo>
                                  <a:pt x="208787" y="0"/>
                                </a:lnTo>
                                <a:close/>
                              </a:path>
                            </a:pathLst>
                          </a:custGeom>
                          <a:solidFill>
                            <a:srgbClr val="5B9BD4"/>
                          </a:solidFill>
                        </wps:spPr>
                        <wps:bodyPr wrap="square" lIns="0" tIns="0" rIns="0" bIns="0" rtlCol="0">
                          <a:prstTxWarp prst="textNoShape">
                            <a:avLst/>
                          </a:prstTxWarp>
                          <a:noAutofit/>
                        </wps:bodyPr>
                      </wps:wsp>
                      <wps:wsp>
                        <wps:cNvPr id="327" name="Graphic 327"/>
                        <wps:cNvSpPr/>
                        <wps:spPr>
                          <a:xfrm>
                            <a:off x="75818" y="6350"/>
                            <a:ext cx="57150" cy="137160"/>
                          </a:xfrm>
                          <a:custGeom>
                            <a:avLst/>
                            <a:gdLst/>
                            <a:ahLst/>
                            <a:cxnLst/>
                            <a:rect l="l" t="t" r="r" b="b"/>
                            <a:pathLst>
                              <a:path w="57150" h="137160">
                                <a:moveTo>
                                  <a:pt x="28575" y="136778"/>
                                </a:moveTo>
                                <a:lnTo>
                                  <a:pt x="28575" y="68452"/>
                                </a:lnTo>
                                <a:lnTo>
                                  <a:pt x="28575" y="0"/>
                                </a:lnTo>
                              </a:path>
                              <a:path w="57150" h="13716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6.079987pt;margin-top:-41.192657pt;width:16.45pt;height:196pt;mso-position-horizontal-relative:page;mso-position-vertical-relative:paragraph;z-index:-30563840" id="docshapegroup283" coordorigin="7522,-824" coordsize="329,3920">
                <v:rect style="position:absolute;left:7521;top:-707;width:329;height:3802" id="docshape284" filled="true" fillcolor="#5b9bd4" stroked="false">
                  <v:fill type="solid"/>
                </v:rect>
                <v:shape style="position:absolute;left:7641;top:-814;width:90;height:216" id="docshape285" coordorigin="7641,-814" coordsize="90,216" path="m7686,-598l7686,-706,7686,-814m7641,-814l7731,-814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53152">
                <wp:simplePos x="0" y="0"/>
                <wp:positionH relativeFrom="page">
                  <wp:posOffset>5707379</wp:posOffset>
                </wp:positionH>
                <wp:positionV relativeFrom="paragraph">
                  <wp:posOffset>-523146</wp:posOffset>
                </wp:positionV>
                <wp:extent cx="208915" cy="2489200"/>
                <wp:effectExtent l="0" t="0" r="0" b="0"/>
                <wp:wrapNone/>
                <wp:docPr id="328" name="Group 328"/>
                <wp:cNvGraphicFramePr>
                  <a:graphicFrameLocks/>
                </wp:cNvGraphicFramePr>
                <a:graphic>
                  <a:graphicData uri="http://schemas.microsoft.com/office/word/2010/wordprocessingGroup">
                    <wpg:wgp>
                      <wpg:cNvPr id="328" name="Group 328"/>
                      <wpg:cNvGrpSpPr/>
                      <wpg:grpSpPr>
                        <a:xfrm>
                          <a:off x="0" y="0"/>
                          <a:ext cx="208915" cy="2489200"/>
                          <a:chExt cx="208915" cy="2489200"/>
                        </a:xfrm>
                      </wpg:grpSpPr>
                      <wps:wsp>
                        <wps:cNvPr id="329" name="Graphic 329"/>
                        <wps:cNvSpPr/>
                        <wps:spPr>
                          <a:xfrm>
                            <a:off x="0" y="74676"/>
                            <a:ext cx="208915" cy="2414270"/>
                          </a:xfrm>
                          <a:custGeom>
                            <a:avLst/>
                            <a:gdLst/>
                            <a:ahLst/>
                            <a:cxnLst/>
                            <a:rect l="l" t="t" r="r" b="b"/>
                            <a:pathLst>
                              <a:path w="208915" h="2414270">
                                <a:moveTo>
                                  <a:pt x="208787" y="0"/>
                                </a:moveTo>
                                <a:lnTo>
                                  <a:pt x="0" y="0"/>
                                </a:lnTo>
                                <a:lnTo>
                                  <a:pt x="0" y="2414016"/>
                                </a:lnTo>
                                <a:lnTo>
                                  <a:pt x="208787" y="2414016"/>
                                </a:lnTo>
                                <a:lnTo>
                                  <a:pt x="208787" y="0"/>
                                </a:lnTo>
                                <a:close/>
                              </a:path>
                            </a:pathLst>
                          </a:custGeom>
                          <a:solidFill>
                            <a:srgbClr val="5B9BD4"/>
                          </a:solidFill>
                        </wps:spPr>
                        <wps:bodyPr wrap="square" lIns="0" tIns="0" rIns="0" bIns="0" rtlCol="0">
                          <a:prstTxWarp prst="textNoShape">
                            <a:avLst/>
                          </a:prstTxWarp>
                          <a:noAutofit/>
                        </wps:bodyPr>
                      </wps:wsp>
                      <wps:wsp>
                        <wps:cNvPr id="330" name="Graphic 330"/>
                        <wps:cNvSpPr/>
                        <wps:spPr>
                          <a:xfrm>
                            <a:off x="75818" y="6350"/>
                            <a:ext cx="57150" cy="137160"/>
                          </a:xfrm>
                          <a:custGeom>
                            <a:avLst/>
                            <a:gdLst/>
                            <a:ahLst/>
                            <a:cxnLst/>
                            <a:rect l="l" t="t" r="r" b="b"/>
                            <a:pathLst>
                              <a:path w="57150" h="137160">
                                <a:moveTo>
                                  <a:pt x="28575" y="136778"/>
                                </a:moveTo>
                                <a:lnTo>
                                  <a:pt x="28575" y="68452"/>
                                </a:lnTo>
                                <a:lnTo>
                                  <a:pt x="28575" y="0"/>
                                </a:lnTo>
                              </a:path>
                              <a:path w="57150" h="13716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9.399994pt;margin-top:-41.192657pt;width:16.45pt;height:196pt;mso-position-horizontal-relative:page;mso-position-vertical-relative:paragraph;z-index:-30563328" id="docshapegroup286" coordorigin="8988,-824" coordsize="329,3920">
                <v:rect style="position:absolute;left:8988;top:-707;width:329;height:3802" id="docshape287" filled="true" fillcolor="#5b9bd4" stroked="false">
                  <v:fill type="solid"/>
                </v:rect>
                <v:shape style="position:absolute;left:9107;top:-814;width:90;height:216" id="docshape288" coordorigin="9107,-814" coordsize="90,216" path="m9152,-598l9152,-706,9152,-814m9107,-814l9197,-814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78816">
                <wp:simplePos x="0" y="0"/>
                <wp:positionH relativeFrom="page">
                  <wp:posOffset>2247900</wp:posOffset>
                </wp:positionH>
                <wp:positionV relativeFrom="paragraph">
                  <wp:posOffset>-1099853</wp:posOffset>
                </wp:positionV>
                <wp:extent cx="208915" cy="3065780"/>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208915" cy="3065780"/>
                          <a:chExt cx="208915" cy="3065780"/>
                        </a:xfrm>
                      </wpg:grpSpPr>
                      <wps:wsp>
                        <wps:cNvPr id="332" name="Graphic 332"/>
                        <wps:cNvSpPr/>
                        <wps:spPr>
                          <a:xfrm>
                            <a:off x="0" y="127127"/>
                            <a:ext cx="208915" cy="2938780"/>
                          </a:xfrm>
                          <a:custGeom>
                            <a:avLst/>
                            <a:gdLst/>
                            <a:ahLst/>
                            <a:cxnLst/>
                            <a:rect l="l" t="t" r="r" b="b"/>
                            <a:pathLst>
                              <a:path w="208915" h="2938780">
                                <a:moveTo>
                                  <a:pt x="208787" y="0"/>
                                </a:moveTo>
                                <a:lnTo>
                                  <a:pt x="0" y="0"/>
                                </a:lnTo>
                                <a:lnTo>
                                  <a:pt x="0" y="2938272"/>
                                </a:lnTo>
                                <a:lnTo>
                                  <a:pt x="208787" y="2938272"/>
                                </a:lnTo>
                                <a:lnTo>
                                  <a:pt x="208787" y="0"/>
                                </a:lnTo>
                                <a:close/>
                              </a:path>
                            </a:pathLst>
                          </a:custGeom>
                          <a:solidFill>
                            <a:srgbClr val="EC7C30"/>
                          </a:solidFill>
                        </wps:spPr>
                        <wps:bodyPr wrap="square" lIns="0" tIns="0" rIns="0" bIns="0" rtlCol="0">
                          <a:prstTxWarp prst="textNoShape">
                            <a:avLst/>
                          </a:prstTxWarp>
                          <a:noAutofit/>
                        </wps:bodyPr>
                      </wps:wsp>
                      <wps:wsp>
                        <wps:cNvPr id="333" name="Graphic 333"/>
                        <wps:cNvSpPr/>
                        <wps:spPr>
                          <a:xfrm>
                            <a:off x="75946" y="6350"/>
                            <a:ext cx="57150" cy="240665"/>
                          </a:xfrm>
                          <a:custGeom>
                            <a:avLst/>
                            <a:gdLst/>
                            <a:ahLst/>
                            <a:cxnLst/>
                            <a:rect l="l" t="t" r="r" b="b"/>
                            <a:pathLst>
                              <a:path w="57150" h="240665">
                                <a:moveTo>
                                  <a:pt x="28575" y="240664"/>
                                </a:moveTo>
                                <a:lnTo>
                                  <a:pt x="28575" y="120396"/>
                                </a:lnTo>
                                <a:lnTo>
                                  <a:pt x="28575" y="0"/>
                                </a:lnTo>
                              </a:path>
                              <a:path w="57150" h="240665">
                                <a:moveTo>
                                  <a:pt x="0" y="240664"/>
                                </a:moveTo>
                                <a:lnTo>
                                  <a:pt x="57150" y="240664"/>
                                </a:lnTo>
                              </a:path>
                              <a:path w="57150" h="24066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pt;margin-top:-86.602654pt;width:16.45pt;height:241.4pt;mso-position-horizontal-relative:page;mso-position-vertical-relative:paragraph;z-index:15778816" id="docshapegroup289" coordorigin="3540,-1732" coordsize="329,4828">
                <v:rect style="position:absolute;left:3540;top:-1532;width:329;height:4628" id="docshape290" filled="true" fillcolor="#ec7c30" stroked="false">
                  <v:fill type="solid"/>
                </v:rect>
                <v:shape style="position:absolute;left:3659;top:-1723;width:90;height:379" id="docshape291" coordorigin="3660,-1722" coordsize="90,379" path="m3705,-1343l3705,-1532,3705,-1722m3660,-1343l3750,-1343m3660,-1722l3750,-1722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79328">
                <wp:simplePos x="0" y="0"/>
                <wp:positionH relativeFrom="page">
                  <wp:posOffset>3179064</wp:posOffset>
                </wp:positionH>
                <wp:positionV relativeFrom="paragraph">
                  <wp:posOffset>-1152304</wp:posOffset>
                </wp:positionV>
                <wp:extent cx="208915" cy="3117850"/>
                <wp:effectExtent l="0" t="0" r="0" b="0"/>
                <wp:wrapNone/>
                <wp:docPr id="334" name="Group 334"/>
                <wp:cNvGraphicFramePr>
                  <a:graphicFrameLocks/>
                </wp:cNvGraphicFramePr>
                <a:graphic>
                  <a:graphicData uri="http://schemas.microsoft.com/office/word/2010/wordprocessingGroup">
                    <wpg:wgp>
                      <wpg:cNvPr id="334" name="Group 334"/>
                      <wpg:cNvGrpSpPr/>
                      <wpg:grpSpPr>
                        <a:xfrm>
                          <a:off x="0" y="0"/>
                          <a:ext cx="208915" cy="3117850"/>
                          <a:chExt cx="208915" cy="3117850"/>
                        </a:xfrm>
                      </wpg:grpSpPr>
                      <wps:wsp>
                        <wps:cNvPr id="335" name="Graphic 335"/>
                        <wps:cNvSpPr/>
                        <wps:spPr>
                          <a:xfrm>
                            <a:off x="0" y="117094"/>
                            <a:ext cx="208915" cy="3001010"/>
                          </a:xfrm>
                          <a:custGeom>
                            <a:avLst/>
                            <a:gdLst/>
                            <a:ahLst/>
                            <a:cxnLst/>
                            <a:rect l="l" t="t" r="r" b="b"/>
                            <a:pathLst>
                              <a:path w="208915" h="3001010">
                                <a:moveTo>
                                  <a:pt x="208787" y="0"/>
                                </a:moveTo>
                                <a:lnTo>
                                  <a:pt x="0" y="0"/>
                                </a:lnTo>
                                <a:lnTo>
                                  <a:pt x="0" y="3000755"/>
                                </a:lnTo>
                                <a:lnTo>
                                  <a:pt x="208787" y="3000755"/>
                                </a:lnTo>
                                <a:lnTo>
                                  <a:pt x="208787" y="0"/>
                                </a:lnTo>
                                <a:close/>
                              </a:path>
                            </a:pathLst>
                          </a:custGeom>
                          <a:solidFill>
                            <a:srgbClr val="EC7C30"/>
                          </a:solidFill>
                        </wps:spPr>
                        <wps:bodyPr wrap="square" lIns="0" tIns="0" rIns="0" bIns="0" rtlCol="0">
                          <a:prstTxWarp prst="textNoShape">
                            <a:avLst/>
                          </a:prstTxWarp>
                          <a:noAutofit/>
                        </wps:bodyPr>
                      </wps:wsp>
                      <wps:wsp>
                        <wps:cNvPr id="336" name="Graphic 336"/>
                        <wps:cNvSpPr/>
                        <wps:spPr>
                          <a:xfrm>
                            <a:off x="75946" y="6350"/>
                            <a:ext cx="57150" cy="219710"/>
                          </a:xfrm>
                          <a:custGeom>
                            <a:avLst/>
                            <a:gdLst/>
                            <a:ahLst/>
                            <a:cxnLst/>
                            <a:rect l="l" t="t" r="r" b="b"/>
                            <a:pathLst>
                              <a:path w="57150" h="219710">
                                <a:moveTo>
                                  <a:pt x="28575" y="219709"/>
                                </a:moveTo>
                                <a:lnTo>
                                  <a:pt x="28575" y="109854"/>
                                </a:lnTo>
                                <a:lnTo>
                                  <a:pt x="28575" y="0"/>
                                </a:lnTo>
                              </a:path>
                              <a:path w="57150" h="219710">
                                <a:moveTo>
                                  <a:pt x="0" y="219709"/>
                                </a:moveTo>
                                <a:lnTo>
                                  <a:pt x="57150" y="219709"/>
                                </a:lnTo>
                              </a:path>
                              <a:path w="57150" h="21971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0.320007pt;margin-top:-90.732658pt;width:16.45pt;height:245.5pt;mso-position-horizontal-relative:page;mso-position-vertical-relative:paragraph;z-index:15779328" id="docshapegroup292" coordorigin="5006,-1815" coordsize="329,4910">
                <v:rect style="position:absolute;left:5006;top:-1631;width:329;height:4726" id="docshape293" filled="true" fillcolor="#ec7c30" stroked="false">
                  <v:fill type="solid"/>
                </v:rect>
                <v:shape style="position:absolute;left:5126;top:-1805;width:90;height:346" id="docshape294" coordorigin="5126,-1805" coordsize="90,346" path="m5171,-1459l5171,-1632,5171,-1805m5126,-1459l5216,-1459m5126,-1805l5216,-1805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79840">
                <wp:simplePos x="0" y="0"/>
                <wp:positionH relativeFrom="page">
                  <wp:posOffset>4110228</wp:posOffset>
                </wp:positionH>
                <wp:positionV relativeFrom="paragraph">
                  <wp:posOffset>-817659</wp:posOffset>
                </wp:positionV>
                <wp:extent cx="208915" cy="2783205"/>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208915" cy="2783205"/>
                          <a:chExt cx="208915" cy="2783205"/>
                        </a:xfrm>
                      </wpg:grpSpPr>
                      <wps:wsp>
                        <wps:cNvPr id="338" name="Graphic 338"/>
                        <wps:cNvSpPr/>
                        <wps:spPr>
                          <a:xfrm>
                            <a:off x="0" y="96393"/>
                            <a:ext cx="208915" cy="2687320"/>
                          </a:xfrm>
                          <a:custGeom>
                            <a:avLst/>
                            <a:gdLst/>
                            <a:ahLst/>
                            <a:cxnLst/>
                            <a:rect l="l" t="t" r="r" b="b"/>
                            <a:pathLst>
                              <a:path w="208915" h="2687320">
                                <a:moveTo>
                                  <a:pt x="208787" y="0"/>
                                </a:moveTo>
                                <a:lnTo>
                                  <a:pt x="0" y="0"/>
                                </a:lnTo>
                                <a:lnTo>
                                  <a:pt x="0" y="2686812"/>
                                </a:lnTo>
                                <a:lnTo>
                                  <a:pt x="208787" y="2686812"/>
                                </a:lnTo>
                                <a:lnTo>
                                  <a:pt x="208787" y="0"/>
                                </a:lnTo>
                                <a:close/>
                              </a:path>
                            </a:pathLst>
                          </a:custGeom>
                          <a:solidFill>
                            <a:srgbClr val="EC7C30"/>
                          </a:solidFill>
                        </wps:spPr>
                        <wps:bodyPr wrap="square" lIns="0" tIns="0" rIns="0" bIns="0" rtlCol="0">
                          <a:prstTxWarp prst="textNoShape">
                            <a:avLst/>
                          </a:prstTxWarp>
                          <a:noAutofit/>
                        </wps:bodyPr>
                      </wps:wsp>
                      <wps:wsp>
                        <wps:cNvPr id="339" name="Graphic 339"/>
                        <wps:cNvSpPr/>
                        <wps:spPr>
                          <a:xfrm>
                            <a:off x="75818" y="6350"/>
                            <a:ext cx="57150" cy="180340"/>
                          </a:xfrm>
                          <a:custGeom>
                            <a:avLst/>
                            <a:gdLst/>
                            <a:ahLst/>
                            <a:cxnLst/>
                            <a:rect l="l" t="t" r="r" b="b"/>
                            <a:pathLst>
                              <a:path w="57150" h="180340">
                                <a:moveTo>
                                  <a:pt x="28575" y="180212"/>
                                </a:moveTo>
                                <a:lnTo>
                                  <a:pt x="28575" y="90042"/>
                                </a:lnTo>
                                <a:lnTo>
                                  <a:pt x="28575" y="0"/>
                                </a:lnTo>
                              </a:path>
                              <a:path w="57150" h="180340">
                                <a:moveTo>
                                  <a:pt x="0" y="180212"/>
                                </a:moveTo>
                                <a:lnTo>
                                  <a:pt x="57150" y="180212"/>
                                </a:lnTo>
                              </a:path>
                              <a:path w="57150" h="18034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3.640015pt;margin-top:-64.38266pt;width:16.45pt;height:219.15pt;mso-position-horizontal-relative:page;mso-position-vertical-relative:paragraph;z-index:15779840" id="docshapegroup295" coordorigin="6473,-1288" coordsize="329,4383">
                <v:rect style="position:absolute;left:6472;top:-1136;width:329;height:4232" id="docshape296" filled="true" fillcolor="#ec7c30" stroked="false">
                  <v:fill type="solid"/>
                </v:rect>
                <v:shape style="position:absolute;left:6592;top:-1278;width:90;height:284" id="docshape297" coordorigin="6592,-1278" coordsize="90,284" path="m6637,-994l6637,-1136,6637,-1278m6592,-994l6682,-994m6592,-1278l6682,-1278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80352">
                <wp:simplePos x="0" y="0"/>
                <wp:positionH relativeFrom="page">
                  <wp:posOffset>5041391</wp:posOffset>
                </wp:positionH>
                <wp:positionV relativeFrom="paragraph">
                  <wp:posOffset>-1130968</wp:posOffset>
                </wp:positionV>
                <wp:extent cx="208915" cy="3096895"/>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208915" cy="3096895"/>
                          <a:chExt cx="208915" cy="3096895"/>
                        </a:xfrm>
                      </wpg:grpSpPr>
                      <wps:wsp>
                        <wps:cNvPr id="341" name="Graphic 341"/>
                        <wps:cNvSpPr/>
                        <wps:spPr>
                          <a:xfrm>
                            <a:off x="0" y="95757"/>
                            <a:ext cx="208915" cy="3001010"/>
                          </a:xfrm>
                          <a:custGeom>
                            <a:avLst/>
                            <a:gdLst/>
                            <a:ahLst/>
                            <a:cxnLst/>
                            <a:rect l="l" t="t" r="r" b="b"/>
                            <a:pathLst>
                              <a:path w="208915" h="3001010">
                                <a:moveTo>
                                  <a:pt x="208787" y="0"/>
                                </a:moveTo>
                                <a:lnTo>
                                  <a:pt x="0" y="0"/>
                                </a:lnTo>
                                <a:lnTo>
                                  <a:pt x="0" y="3000755"/>
                                </a:lnTo>
                                <a:lnTo>
                                  <a:pt x="208787" y="3000755"/>
                                </a:lnTo>
                                <a:lnTo>
                                  <a:pt x="208787" y="0"/>
                                </a:lnTo>
                                <a:close/>
                              </a:path>
                            </a:pathLst>
                          </a:custGeom>
                          <a:solidFill>
                            <a:srgbClr val="EC7C30"/>
                          </a:solidFill>
                        </wps:spPr>
                        <wps:bodyPr wrap="square" lIns="0" tIns="0" rIns="0" bIns="0" rtlCol="0">
                          <a:prstTxWarp prst="textNoShape">
                            <a:avLst/>
                          </a:prstTxWarp>
                          <a:noAutofit/>
                        </wps:bodyPr>
                      </wps:wsp>
                      <wps:wsp>
                        <wps:cNvPr id="342" name="Graphic 342"/>
                        <wps:cNvSpPr/>
                        <wps:spPr>
                          <a:xfrm>
                            <a:off x="75818" y="6350"/>
                            <a:ext cx="57150" cy="177165"/>
                          </a:xfrm>
                          <a:custGeom>
                            <a:avLst/>
                            <a:gdLst/>
                            <a:ahLst/>
                            <a:cxnLst/>
                            <a:rect l="l" t="t" r="r" b="b"/>
                            <a:pathLst>
                              <a:path w="57150" h="177165">
                                <a:moveTo>
                                  <a:pt x="28575" y="177038"/>
                                </a:moveTo>
                                <a:lnTo>
                                  <a:pt x="28575" y="88519"/>
                                </a:lnTo>
                                <a:lnTo>
                                  <a:pt x="28575" y="0"/>
                                </a:lnTo>
                              </a:path>
                              <a:path w="57150" h="177165">
                                <a:moveTo>
                                  <a:pt x="0" y="177038"/>
                                </a:moveTo>
                                <a:lnTo>
                                  <a:pt x="57150" y="177038"/>
                                </a:lnTo>
                              </a:path>
                              <a:path w="57150" h="17716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6.959991pt;margin-top:-89.052658pt;width:16.45pt;height:243.85pt;mso-position-horizontal-relative:page;mso-position-vertical-relative:paragraph;z-index:15780352" id="docshapegroup298" coordorigin="7939,-1781" coordsize="329,4877">
                <v:rect style="position:absolute;left:7939;top:-1631;width:329;height:4726" id="docshape299" filled="true" fillcolor="#ec7c30" stroked="false">
                  <v:fill type="solid"/>
                </v:rect>
                <v:shape style="position:absolute;left:8058;top:-1772;width:90;height:279" id="docshape300" coordorigin="8059,-1771" coordsize="90,279" path="m8104,-1492l8104,-1632,8104,-1771m8059,-1492l8149,-1492m8059,-1771l8149,-1771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80864">
                <wp:simplePos x="0" y="0"/>
                <wp:positionH relativeFrom="page">
                  <wp:posOffset>5972555</wp:posOffset>
                </wp:positionH>
                <wp:positionV relativeFrom="paragraph">
                  <wp:posOffset>-1422179</wp:posOffset>
                </wp:positionV>
                <wp:extent cx="208915" cy="3387725"/>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208915" cy="3387725"/>
                          <a:chExt cx="208915" cy="3387725"/>
                        </a:xfrm>
                      </wpg:grpSpPr>
                      <wps:wsp>
                        <wps:cNvPr id="344" name="Graphic 344"/>
                        <wps:cNvSpPr/>
                        <wps:spPr>
                          <a:xfrm>
                            <a:off x="0" y="133985"/>
                            <a:ext cx="208915" cy="3253740"/>
                          </a:xfrm>
                          <a:custGeom>
                            <a:avLst/>
                            <a:gdLst/>
                            <a:ahLst/>
                            <a:cxnLst/>
                            <a:rect l="l" t="t" r="r" b="b"/>
                            <a:pathLst>
                              <a:path w="208915" h="3253740">
                                <a:moveTo>
                                  <a:pt x="208788" y="0"/>
                                </a:moveTo>
                                <a:lnTo>
                                  <a:pt x="0" y="0"/>
                                </a:lnTo>
                                <a:lnTo>
                                  <a:pt x="0" y="3253740"/>
                                </a:lnTo>
                                <a:lnTo>
                                  <a:pt x="208788" y="3253740"/>
                                </a:lnTo>
                                <a:lnTo>
                                  <a:pt x="208788" y="0"/>
                                </a:lnTo>
                                <a:close/>
                              </a:path>
                            </a:pathLst>
                          </a:custGeom>
                          <a:solidFill>
                            <a:srgbClr val="EC7C30"/>
                          </a:solidFill>
                        </wps:spPr>
                        <wps:bodyPr wrap="square" lIns="0" tIns="0" rIns="0" bIns="0" rtlCol="0">
                          <a:prstTxWarp prst="textNoShape">
                            <a:avLst/>
                          </a:prstTxWarp>
                          <a:noAutofit/>
                        </wps:bodyPr>
                      </wps:wsp>
                      <wps:wsp>
                        <wps:cNvPr id="345" name="Graphic 345"/>
                        <wps:cNvSpPr/>
                        <wps:spPr>
                          <a:xfrm>
                            <a:off x="75818" y="6350"/>
                            <a:ext cx="57150" cy="255904"/>
                          </a:xfrm>
                          <a:custGeom>
                            <a:avLst/>
                            <a:gdLst/>
                            <a:ahLst/>
                            <a:cxnLst/>
                            <a:rect l="l" t="t" r="r" b="b"/>
                            <a:pathLst>
                              <a:path w="57150" h="255904">
                                <a:moveTo>
                                  <a:pt x="28575" y="255524"/>
                                </a:moveTo>
                                <a:lnTo>
                                  <a:pt x="28575" y="127761"/>
                                </a:lnTo>
                                <a:lnTo>
                                  <a:pt x="28575" y="0"/>
                                </a:lnTo>
                              </a:path>
                              <a:path w="57150" h="255904">
                                <a:moveTo>
                                  <a:pt x="0" y="255524"/>
                                </a:moveTo>
                                <a:lnTo>
                                  <a:pt x="57150" y="255524"/>
                                </a:lnTo>
                              </a:path>
                              <a:path w="57150" h="255904">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279999pt;margin-top:-111.982658pt;width:16.45pt;height:266.75pt;mso-position-horizontal-relative:page;mso-position-vertical-relative:paragraph;z-index:15780864" id="docshapegroup301" coordorigin="9406,-2240" coordsize="329,5335">
                <v:rect style="position:absolute;left:9405;top:-2029;width:329;height:5124" id="docshape302" filled="true" fillcolor="#ec7c30" stroked="false">
                  <v:fill type="solid"/>
                </v:rect>
                <v:shape style="position:absolute;left:9525;top:-2230;width:90;height:403" id="docshape303" coordorigin="9525,-2230" coordsize="90,403" path="m9570,-1827l9570,-2028,9570,-2230m9525,-1827l9615,-1827m9525,-2230l9615,-2230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81376">
                <wp:simplePos x="0" y="0"/>
                <wp:positionH relativeFrom="page">
                  <wp:posOffset>1086332</wp:posOffset>
                </wp:positionH>
                <wp:positionV relativeFrom="paragraph">
                  <wp:posOffset>-702587</wp:posOffset>
                </wp:positionV>
                <wp:extent cx="152400" cy="1560195"/>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152400" cy="1560195"/>
                        </a:xfrm>
                        <a:prstGeom prst="rect">
                          <a:avLst/>
                        </a:prstGeom>
                      </wps:spPr>
                      <wps:txbx>
                        <w:txbxContent>
                          <w:p>
                            <w:pPr>
                              <w:spacing w:line="223" w:lineRule="exact" w:before="0"/>
                              <w:ind w:left="20" w:right="0" w:firstLine="0"/>
                              <w:jc w:val="left"/>
                              <w:rPr>
                                <w:sz w:val="20"/>
                              </w:rPr>
                            </w:pPr>
                            <w:r>
                              <w:rPr>
                                <w:color w:val="585858"/>
                                <w:sz w:val="20"/>
                              </w:rPr>
                              <w:t>Mean</w:t>
                            </w:r>
                            <w:r>
                              <w:rPr>
                                <w:color w:val="585858"/>
                                <w:spacing w:val="-8"/>
                                <w:sz w:val="20"/>
                              </w:rPr>
                              <w:t> </w:t>
                            </w:r>
                            <w:r>
                              <w:rPr>
                                <w:color w:val="585858"/>
                                <w:sz w:val="20"/>
                              </w:rPr>
                              <w:t>zone</w:t>
                            </w:r>
                            <w:r>
                              <w:rPr>
                                <w:color w:val="585858"/>
                                <w:spacing w:val="-7"/>
                                <w:sz w:val="20"/>
                              </w:rPr>
                              <w:t> </w:t>
                            </w:r>
                            <w:r>
                              <w:rPr>
                                <w:color w:val="585858"/>
                                <w:sz w:val="20"/>
                              </w:rPr>
                              <w:t>of</w:t>
                            </w:r>
                            <w:r>
                              <w:rPr>
                                <w:color w:val="585858"/>
                                <w:spacing w:val="-8"/>
                                <w:sz w:val="20"/>
                              </w:rPr>
                              <w:t> </w:t>
                            </w:r>
                            <w:r>
                              <w:rPr>
                                <w:color w:val="585858"/>
                                <w:sz w:val="20"/>
                              </w:rPr>
                              <w:t>inhibition</w:t>
                            </w:r>
                            <w:r>
                              <w:rPr>
                                <w:color w:val="585858"/>
                                <w:spacing w:val="-7"/>
                                <w:sz w:val="20"/>
                              </w:rPr>
                              <w:t> </w:t>
                            </w:r>
                            <w:r>
                              <w:rPr>
                                <w:color w:val="585858"/>
                                <w:spacing w:val="-4"/>
                                <w:sz w:val="20"/>
                              </w:rPr>
                              <w:t>(mm)</w:t>
                            </w:r>
                          </w:p>
                        </w:txbxContent>
                      </wps:txbx>
                      <wps:bodyPr wrap="square" lIns="0" tIns="0" rIns="0" bIns="0" rtlCol="0" vert="vert270">
                        <a:noAutofit/>
                      </wps:bodyPr>
                    </wps:wsp>
                  </a:graphicData>
                </a:graphic>
              </wp:anchor>
            </w:drawing>
          </mc:Choice>
          <mc:Fallback>
            <w:pict>
              <v:shape style="position:absolute;margin-left:85.538002pt;margin-top:-55.321815pt;width:12pt;height:122.85pt;mso-position-horizontal-relative:page;mso-position-vertical-relative:paragraph;z-index:15781376" type="#_x0000_t202" id="docshape304" filled="false" stroked="false">
                <v:textbox inset="0,0,0,0" style="layout-flow:vertical;mso-layout-flow-alt:bottom-to-top">
                  <w:txbxContent>
                    <w:p>
                      <w:pPr>
                        <w:spacing w:line="223" w:lineRule="exact" w:before="0"/>
                        <w:ind w:left="20" w:right="0" w:firstLine="0"/>
                        <w:jc w:val="left"/>
                        <w:rPr>
                          <w:sz w:val="20"/>
                        </w:rPr>
                      </w:pPr>
                      <w:r>
                        <w:rPr>
                          <w:color w:val="585858"/>
                          <w:sz w:val="20"/>
                        </w:rPr>
                        <w:t>Mean</w:t>
                      </w:r>
                      <w:r>
                        <w:rPr>
                          <w:color w:val="585858"/>
                          <w:spacing w:val="-8"/>
                          <w:sz w:val="20"/>
                        </w:rPr>
                        <w:t> </w:t>
                      </w:r>
                      <w:r>
                        <w:rPr>
                          <w:color w:val="585858"/>
                          <w:sz w:val="20"/>
                        </w:rPr>
                        <w:t>zone</w:t>
                      </w:r>
                      <w:r>
                        <w:rPr>
                          <w:color w:val="585858"/>
                          <w:spacing w:val="-7"/>
                          <w:sz w:val="20"/>
                        </w:rPr>
                        <w:t> </w:t>
                      </w:r>
                      <w:r>
                        <w:rPr>
                          <w:color w:val="585858"/>
                          <w:sz w:val="20"/>
                        </w:rPr>
                        <w:t>of</w:t>
                      </w:r>
                      <w:r>
                        <w:rPr>
                          <w:color w:val="585858"/>
                          <w:spacing w:val="-8"/>
                          <w:sz w:val="20"/>
                        </w:rPr>
                        <w:t> </w:t>
                      </w:r>
                      <w:r>
                        <w:rPr>
                          <w:color w:val="585858"/>
                          <w:sz w:val="20"/>
                        </w:rPr>
                        <w:t>inhibition</w:t>
                      </w:r>
                      <w:r>
                        <w:rPr>
                          <w:color w:val="585858"/>
                          <w:spacing w:val="-7"/>
                          <w:sz w:val="20"/>
                        </w:rPr>
                        <w:t> </w:t>
                      </w:r>
                      <w:r>
                        <w:rPr>
                          <w:color w:val="585858"/>
                          <w:spacing w:val="-4"/>
                          <w:sz w:val="20"/>
                        </w:rPr>
                        <w:t>(mm)</w:t>
                      </w:r>
                    </w:p>
                  </w:txbxContent>
                </v:textbox>
                <w10:wrap type="none"/>
              </v:shape>
            </w:pict>
          </mc:Fallback>
        </mc:AlternateContent>
      </w:r>
      <w:r>
        <w:rPr/>
        <mc:AlternateContent>
          <mc:Choice Requires="wps">
            <w:drawing>
              <wp:anchor distT="0" distB="0" distL="0" distR="0" allowOverlap="1" layoutInCell="1" locked="0" behindDoc="0" simplePos="0" relativeHeight="15781888">
                <wp:simplePos x="0" y="0"/>
                <wp:positionH relativeFrom="page">
                  <wp:posOffset>1716023</wp:posOffset>
                </wp:positionH>
                <wp:positionV relativeFrom="paragraph">
                  <wp:posOffset>-453042</wp:posOffset>
                </wp:positionV>
                <wp:extent cx="4732020" cy="2418715"/>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4732020" cy="2418715"/>
                        </a:xfrm>
                        <a:prstGeom prst="rect">
                          <a:avLst/>
                        </a:prstGeom>
                      </wps:spPr>
                      <wps:txbx>
                        <w:txbxContent>
                          <w:tbl>
                            <w:tblPr>
                              <w:tblW w:w="0" w:type="auto"/>
                              <w:jc w:val="left"/>
                              <w:tblCellSpacing w:w="44" w:type="dxa"/>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3"/>
                              <w:gridCol w:w="1466"/>
                              <w:gridCol w:w="1466"/>
                              <w:gridCol w:w="1466"/>
                              <w:gridCol w:w="1466"/>
                              <w:gridCol w:w="733"/>
                            </w:tblGrid>
                            <w:tr>
                              <w:trPr>
                                <w:trHeight w:val="3794" w:hRule="atLeast"/>
                              </w:trPr>
                              <w:tc>
                                <w:tcPr>
                                  <w:tcW w:w="689" w:type="dxa"/>
                                  <w:tcBorders>
                                    <w:top w:val="nil"/>
                                    <w:left w:val="nil"/>
                                    <w:bottom w:val="single" w:sz="6" w:space="0" w:color="D9D9D9"/>
                                  </w:tcBorders>
                                </w:tcPr>
                                <w:p>
                                  <w:pPr>
                                    <w:pStyle w:val="TableParagraph"/>
                                    <w:rPr>
                                      <w:rFonts w:ascii="Times New Roman"/>
                                      <w:sz w:val="20"/>
                                    </w:rPr>
                                  </w:pPr>
                                </w:p>
                              </w:tc>
                              <w:tc>
                                <w:tcPr>
                                  <w:tcW w:w="1377" w:type="dxa"/>
                                  <w:tcBorders>
                                    <w:top w:val="nil"/>
                                    <w:bottom w:val="single" w:sz="6" w:space="0" w:color="D9D9D9"/>
                                  </w:tcBorders>
                                </w:tcPr>
                                <w:p>
                                  <w:pPr>
                                    <w:pStyle w:val="TableParagraph"/>
                                    <w:rPr>
                                      <w:rFonts w:ascii="Times New Roman"/>
                                      <w:sz w:val="20"/>
                                    </w:rPr>
                                  </w:pPr>
                                </w:p>
                              </w:tc>
                              <w:tc>
                                <w:tcPr>
                                  <w:tcW w:w="1377" w:type="dxa"/>
                                  <w:tcBorders>
                                    <w:top w:val="nil"/>
                                    <w:bottom w:val="single" w:sz="6" w:space="0" w:color="D9D9D9"/>
                                  </w:tcBorders>
                                </w:tcPr>
                                <w:p>
                                  <w:pPr>
                                    <w:pStyle w:val="TableParagraph"/>
                                    <w:rPr>
                                      <w:rFonts w:ascii="Times New Roman"/>
                                      <w:sz w:val="20"/>
                                    </w:rPr>
                                  </w:pPr>
                                </w:p>
                              </w:tc>
                              <w:tc>
                                <w:tcPr>
                                  <w:tcW w:w="1377" w:type="dxa"/>
                                  <w:tcBorders>
                                    <w:top w:val="nil"/>
                                    <w:bottom w:val="single" w:sz="6" w:space="0" w:color="D9D9D9"/>
                                  </w:tcBorders>
                                </w:tcPr>
                                <w:p>
                                  <w:pPr>
                                    <w:pStyle w:val="TableParagraph"/>
                                    <w:rPr>
                                      <w:rFonts w:ascii="Times New Roman"/>
                                      <w:sz w:val="20"/>
                                    </w:rPr>
                                  </w:pPr>
                                </w:p>
                              </w:tc>
                              <w:tc>
                                <w:tcPr>
                                  <w:tcW w:w="1377" w:type="dxa"/>
                                  <w:tcBorders>
                                    <w:top w:val="nil"/>
                                    <w:bottom w:val="single" w:sz="6" w:space="0" w:color="D9D9D9"/>
                                  </w:tcBorders>
                                </w:tcPr>
                                <w:p>
                                  <w:pPr>
                                    <w:pStyle w:val="TableParagraph"/>
                                    <w:rPr>
                                      <w:rFonts w:ascii="Times New Roman"/>
                                      <w:sz w:val="20"/>
                                    </w:rPr>
                                  </w:pPr>
                                </w:p>
                              </w:tc>
                              <w:tc>
                                <w:tcPr>
                                  <w:tcW w:w="689" w:type="dxa"/>
                                  <w:tcBorders>
                                    <w:top w:val="nil"/>
                                    <w:bottom w:val="single" w:sz="6" w:space="0" w:color="D9D9D9"/>
                                    <w:right w:val="nil"/>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135.119995pt;margin-top:-35.672657pt;width:372.6pt;height:190.45pt;mso-position-horizontal-relative:page;mso-position-vertical-relative:paragraph;z-index:15781888" type="#_x0000_t202" id="docshape305" filled="false" stroked="false">
                <v:textbox inset="0,0,0,0">
                  <w:txbxContent>
                    <w:tbl>
                      <w:tblPr>
                        <w:tblW w:w="0" w:type="auto"/>
                        <w:jc w:val="left"/>
                        <w:tblCellSpacing w:w="44" w:type="dxa"/>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3"/>
                        <w:gridCol w:w="1466"/>
                        <w:gridCol w:w="1466"/>
                        <w:gridCol w:w="1466"/>
                        <w:gridCol w:w="1466"/>
                        <w:gridCol w:w="733"/>
                      </w:tblGrid>
                      <w:tr>
                        <w:trPr>
                          <w:trHeight w:val="3794" w:hRule="atLeast"/>
                        </w:trPr>
                        <w:tc>
                          <w:tcPr>
                            <w:tcW w:w="689" w:type="dxa"/>
                            <w:tcBorders>
                              <w:top w:val="nil"/>
                              <w:left w:val="nil"/>
                              <w:bottom w:val="single" w:sz="6" w:space="0" w:color="D9D9D9"/>
                            </w:tcBorders>
                          </w:tcPr>
                          <w:p>
                            <w:pPr>
                              <w:pStyle w:val="TableParagraph"/>
                              <w:rPr>
                                <w:rFonts w:ascii="Times New Roman"/>
                                <w:sz w:val="20"/>
                              </w:rPr>
                            </w:pPr>
                          </w:p>
                        </w:tc>
                        <w:tc>
                          <w:tcPr>
                            <w:tcW w:w="1377" w:type="dxa"/>
                            <w:tcBorders>
                              <w:top w:val="nil"/>
                              <w:bottom w:val="single" w:sz="6" w:space="0" w:color="D9D9D9"/>
                            </w:tcBorders>
                          </w:tcPr>
                          <w:p>
                            <w:pPr>
                              <w:pStyle w:val="TableParagraph"/>
                              <w:rPr>
                                <w:rFonts w:ascii="Times New Roman"/>
                                <w:sz w:val="20"/>
                              </w:rPr>
                            </w:pPr>
                          </w:p>
                        </w:tc>
                        <w:tc>
                          <w:tcPr>
                            <w:tcW w:w="1377" w:type="dxa"/>
                            <w:tcBorders>
                              <w:top w:val="nil"/>
                              <w:bottom w:val="single" w:sz="6" w:space="0" w:color="D9D9D9"/>
                            </w:tcBorders>
                          </w:tcPr>
                          <w:p>
                            <w:pPr>
                              <w:pStyle w:val="TableParagraph"/>
                              <w:rPr>
                                <w:rFonts w:ascii="Times New Roman"/>
                                <w:sz w:val="20"/>
                              </w:rPr>
                            </w:pPr>
                          </w:p>
                        </w:tc>
                        <w:tc>
                          <w:tcPr>
                            <w:tcW w:w="1377" w:type="dxa"/>
                            <w:tcBorders>
                              <w:top w:val="nil"/>
                              <w:bottom w:val="single" w:sz="6" w:space="0" w:color="D9D9D9"/>
                            </w:tcBorders>
                          </w:tcPr>
                          <w:p>
                            <w:pPr>
                              <w:pStyle w:val="TableParagraph"/>
                              <w:rPr>
                                <w:rFonts w:ascii="Times New Roman"/>
                                <w:sz w:val="20"/>
                              </w:rPr>
                            </w:pPr>
                          </w:p>
                        </w:tc>
                        <w:tc>
                          <w:tcPr>
                            <w:tcW w:w="1377" w:type="dxa"/>
                            <w:tcBorders>
                              <w:top w:val="nil"/>
                              <w:bottom w:val="single" w:sz="6" w:space="0" w:color="D9D9D9"/>
                            </w:tcBorders>
                          </w:tcPr>
                          <w:p>
                            <w:pPr>
                              <w:pStyle w:val="TableParagraph"/>
                              <w:rPr>
                                <w:rFonts w:ascii="Times New Roman"/>
                                <w:sz w:val="20"/>
                              </w:rPr>
                            </w:pPr>
                          </w:p>
                        </w:tc>
                        <w:tc>
                          <w:tcPr>
                            <w:tcW w:w="689" w:type="dxa"/>
                            <w:tcBorders>
                              <w:top w:val="nil"/>
                              <w:bottom w:val="single" w:sz="6" w:space="0" w:color="D9D9D9"/>
                              <w:right w:val="nil"/>
                            </w:tcBorders>
                          </w:tcPr>
                          <w:p>
                            <w:pPr>
                              <w:pStyle w:val="TableParagraph"/>
                              <w:rPr>
                                <w:rFonts w:ascii="Times New Roman"/>
                                <w:sz w:val="20"/>
                              </w:rPr>
                            </w:pPr>
                          </w:p>
                        </w:tc>
                      </w:tr>
                    </w:tbl>
                    <w:p>
                      <w:pPr>
                        <w:pStyle w:val="BodyText"/>
                      </w:pPr>
                    </w:p>
                  </w:txbxContent>
                </v:textbox>
                <w10:wrap type="none"/>
              </v:shape>
            </w:pict>
          </mc:Fallback>
        </mc:AlternateContent>
      </w:r>
      <w:r>
        <w:rPr>
          <w:color w:val="585858"/>
          <w:spacing w:val="-2"/>
          <w:sz w:val="18"/>
        </w:rPr>
        <w:t>15.000</w:t>
      </w:r>
    </w:p>
    <w:p>
      <w:pPr>
        <w:pStyle w:val="BodyText"/>
        <w:rPr>
          <w:sz w:val="18"/>
        </w:rPr>
      </w:pPr>
    </w:p>
    <w:p>
      <w:pPr>
        <w:pStyle w:val="BodyText"/>
        <w:rPr>
          <w:sz w:val="18"/>
        </w:rPr>
      </w:pPr>
    </w:p>
    <w:p>
      <w:pPr>
        <w:pStyle w:val="BodyText"/>
        <w:spacing w:before="113"/>
        <w:rPr>
          <w:sz w:val="18"/>
        </w:rPr>
      </w:pPr>
    </w:p>
    <w:p>
      <w:pPr>
        <w:spacing w:before="0"/>
        <w:ind w:left="1023" w:right="0" w:firstLine="0"/>
        <w:jc w:val="left"/>
        <w:rPr>
          <w:sz w:val="18"/>
        </w:rPr>
      </w:pPr>
      <w:r>
        <w:rPr>
          <w:color w:val="585858"/>
          <w:spacing w:val="-2"/>
          <w:sz w:val="18"/>
        </w:rPr>
        <w:t>10.000</w:t>
      </w:r>
    </w:p>
    <w:p>
      <w:pPr>
        <w:pStyle w:val="BodyText"/>
        <w:rPr>
          <w:sz w:val="18"/>
        </w:rPr>
      </w:pPr>
    </w:p>
    <w:p>
      <w:pPr>
        <w:pStyle w:val="BodyText"/>
        <w:rPr>
          <w:sz w:val="18"/>
        </w:rPr>
      </w:pPr>
    </w:p>
    <w:p>
      <w:pPr>
        <w:pStyle w:val="BodyText"/>
        <w:spacing w:before="113"/>
        <w:rPr>
          <w:sz w:val="18"/>
        </w:rPr>
      </w:pPr>
    </w:p>
    <w:p>
      <w:pPr>
        <w:spacing w:before="0"/>
        <w:ind w:left="1114" w:right="0" w:firstLine="0"/>
        <w:jc w:val="left"/>
        <w:rPr>
          <w:sz w:val="18"/>
        </w:rPr>
      </w:pPr>
      <w:r>
        <w:rPr>
          <w:color w:val="585858"/>
          <w:spacing w:val="-2"/>
          <w:sz w:val="18"/>
        </w:rPr>
        <w:t>5.000</w:t>
      </w:r>
    </w:p>
    <w:p>
      <w:pPr>
        <w:pStyle w:val="BodyText"/>
        <w:rPr>
          <w:sz w:val="18"/>
        </w:rPr>
      </w:pPr>
    </w:p>
    <w:p>
      <w:pPr>
        <w:pStyle w:val="BodyText"/>
        <w:rPr>
          <w:sz w:val="18"/>
        </w:rPr>
      </w:pPr>
    </w:p>
    <w:p>
      <w:pPr>
        <w:pStyle w:val="BodyText"/>
        <w:spacing w:before="113"/>
        <w:rPr>
          <w:sz w:val="18"/>
        </w:rPr>
      </w:pPr>
    </w:p>
    <w:p>
      <w:pPr>
        <w:spacing w:before="0"/>
        <w:ind w:left="1114" w:right="0" w:firstLine="0"/>
        <w:jc w:val="left"/>
        <w:rPr>
          <w:sz w:val="18"/>
        </w:rPr>
      </w:pPr>
      <w:r>
        <w:rPr>
          <w:color w:val="585858"/>
          <w:spacing w:val="-2"/>
          <w:sz w:val="18"/>
        </w:rPr>
        <w:t>0.000</w:t>
      </w:r>
    </w:p>
    <w:p>
      <w:pPr>
        <w:tabs>
          <w:tab w:pos="1806" w:val="left" w:leader="none"/>
          <w:tab w:pos="3293" w:val="left" w:leader="none"/>
          <w:tab w:pos="4748" w:val="left" w:leader="none"/>
          <w:tab w:pos="6214" w:val="left" w:leader="none"/>
        </w:tabs>
        <w:spacing w:before="78"/>
        <w:ind w:left="340" w:right="0" w:firstLine="0"/>
        <w:jc w:val="center"/>
        <w:rPr>
          <w:sz w:val="18"/>
        </w:rPr>
      </w:pPr>
      <w:r>
        <w:rPr>
          <w:color w:val="585858"/>
          <w:spacing w:val="-2"/>
          <w:sz w:val="18"/>
        </w:rPr>
        <w:t>100%H/10:50H:L</w:t>
      </w:r>
      <w:r>
        <w:rPr>
          <w:color w:val="585858"/>
          <w:sz w:val="18"/>
        </w:rPr>
        <w:tab/>
      </w:r>
      <w:r>
        <w:rPr>
          <w:color w:val="585858"/>
          <w:spacing w:val="-2"/>
          <w:sz w:val="18"/>
        </w:rPr>
        <w:t>100%H/20:50H:L</w:t>
      </w:r>
      <w:r>
        <w:rPr>
          <w:color w:val="585858"/>
          <w:sz w:val="18"/>
        </w:rPr>
        <w:tab/>
      </w:r>
      <w:r>
        <w:rPr>
          <w:color w:val="585858"/>
          <w:spacing w:val="-2"/>
          <w:sz w:val="18"/>
        </w:rPr>
        <w:t>100%H/30:50H:L</w:t>
      </w:r>
      <w:r>
        <w:rPr>
          <w:color w:val="585858"/>
          <w:sz w:val="18"/>
        </w:rPr>
        <w:tab/>
      </w:r>
      <w:r>
        <w:rPr>
          <w:color w:val="585858"/>
          <w:spacing w:val="-2"/>
          <w:sz w:val="18"/>
        </w:rPr>
        <w:t>100%H/40:50H/L</w:t>
      </w:r>
      <w:r>
        <w:rPr>
          <w:color w:val="585858"/>
          <w:sz w:val="18"/>
        </w:rPr>
        <w:tab/>
      </w:r>
      <w:r>
        <w:rPr>
          <w:color w:val="585858"/>
          <w:spacing w:val="-2"/>
          <w:sz w:val="18"/>
        </w:rPr>
        <w:t>100%H/50:50H/L</w:t>
      </w:r>
    </w:p>
    <w:p>
      <w:pPr>
        <w:spacing w:before="150"/>
        <w:ind w:left="346" w:right="0" w:firstLine="0"/>
        <w:jc w:val="center"/>
        <w:rPr>
          <w:sz w:val="20"/>
        </w:rPr>
      </w:pPr>
      <w:r>
        <w:rPr>
          <w:color w:val="585858"/>
          <w:sz w:val="20"/>
        </w:rPr>
        <w:t>Honey/mixture</w:t>
      </w:r>
      <w:r>
        <w:rPr>
          <w:color w:val="585858"/>
          <w:spacing w:val="-8"/>
          <w:sz w:val="20"/>
        </w:rPr>
        <w:t> </w:t>
      </w:r>
      <w:r>
        <w:rPr>
          <w:color w:val="585858"/>
          <w:sz w:val="20"/>
        </w:rPr>
        <w:t>of</w:t>
      </w:r>
      <w:r>
        <w:rPr>
          <w:color w:val="585858"/>
          <w:spacing w:val="-9"/>
          <w:sz w:val="20"/>
        </w:rPr>
        <w:t> </w:t>
      </w:r>
      <w:r>
        <w:rPr>
          <w:color w:val="585858"/>
          <w:sz w:val="20"/>
        </w:rPr>
        <w:t>Honey</w:t>
      </w:r>
      <w:r>
        <w:rPr>
          <w:color w:val="585858"/>
          <w:spacing w:val="-6"/>
          <w:sz w:val="20"/>
        </w:rPr>
        <w:t> </w:t>
      </w:r>
      <w:r>
        <w:rPr>
          <w:color w:val="585858"/>
          <w:sz w:val="20"/>
        </w:rPr>
        <w:t>and</w:t>
      </w:r>
      <w:r>
        <w:rPr>
          <w:color w:val="585858"/>
          <w:spacing w:val="-9"/>
          <w:sz w:val="20"/>
        </w:rPr>
        <w:t> </w:t>
      </w:r>
      <w:r>
        <w:rPr>
          <w:color w:val="585858"/>
          <w:spacing w:val="-2"/>
          <w:sz w:val="20"/>
        </w:rPr>
        <w:t>Lemon</w:t>
      </w:r>
    </w:p>
    <w:p>
      <w:pPr>
        <w:pStyle w:val="BodyText"/>
        <w:spacing w:before="164"/>
      </w:pPr>
    </w:p>
    <w:p>
      <w:pPr>
        <w:pStyle w:val="BodyText"/>
        <w:spacing w:line="259" w:lineRule="auto"/>
        <w:ind w:left="380" w:right="975"/>
      </w:pPr>
      <w:r>
        <w:rPr/>
        <w:t>Figure</w:t>
      </w:r>
      <w:r>
        <w:rPr>
          <w:spacing w:val="-1"/>
        </w:rPr>
        <w:t> </w:t>
      </w:r>
      <w:r>
        <w:rPr/>
        <w:t>4.15:</w:t>
      </w:r>
      <w:r>
        <w:rPr>
          <w:spacing w:val="-3"/>
        </w:rPr>
        <w:t> </w:t>
      </w:r>
      <w:r>
        <w:rPr/>
        <w:t>Comparing</w:t>
      </w:r>
      <w:r>
        <w:rPr>
          <w:spacing w:val="-2"/>
        </w:rPr>
        <w:t> </w:t>
      </w:r>
      <w:r>
        <w:rPr/>
        <w:t>the</w:t>
      </w:r>
      <w:r>
        <w:rPr>
          <w:spacing w:val="-3"/>
        </w:rPr>
        <w:t> </w:t>
      </w:r>
      <w:r>
        <w:rPr/>
        <w:t>mean</w:t>
      </w:r>
      <w:r>
        <w:rPr>
          <w:spacing w:val="-2"/>
        </w:rPr>
        <w:t> </w:t>
      </w:r>
      <w:r>
        <w:rPr/>
        <w:t>zones</w:t>
      </w:r>
      <w:r>
        <w:rPr>
          <w:spacing w:val="-3"/>
        </w:rPr>
        <w:t> </w:t>
      </w:r>
      <w:r>
        <w:rPr/>
        <w:t>of</w:t>
      </w:r>
      <w:r>
        <w:rPr>
          <w:spacing w:val="-4"/>
        </w:rPr>
        <w:t> </w:t>
      </w:r>
      <w:r>
        <w:rPr/>
        <w:t>inhibition</w:t>
      </w:r>
      <w:r>
        <w:rPr>
          <w:spacing w:val="-4"/>
        </w:rPr>
        <w:t> </w:t>
      </w:r>
      <w:r>
        <w:rPr/>
        <w:t>of</w:t>
      </w:r>
      <w:r>
        <w:rPr>
          <w:spacing w:val="-1"/>
        </w:rPr>
        <w:t> </w:t>
      </w:r>
      <w:r>
        <w:rPr/>
        <w:t>Honey</w:t>
      </w:r>
      <w:r>
        <w:rPr>
          <w:spacing w:val="-1"/>
        </w:rPr>
        <w:t> </w:t>
      </w:r>
      <w:r>
        <w:rPr/>
        <w:t>and</w:t>
      </w:r>
      <w:r>
        <w:rPr>
          <w:spacing w:val="-3"/>
        </w:rPr>
        <w:t> </w:t>
      </w:r>
      <w:r>
        <w:rPr/>
        <w:t>the</w:t>
      </w:r>
      <w:r>
        <w:rPr>
          <w:spacing w:val="-3"/>
        </w:rPr>
        <w:t> </w:t>
      </w:r>
      <w:r>
        <w:rPr/>
        <w:t>mixture</w:t>
      </w:r>
      <w:r>
        <w:rPr>
          <w:spacing w:val="-3"/>
        </w:rPr>
        <w:t> </w:t>
      </w:r>
      <w:r>
        <w:rPr/>
        <w:t>of</w:t>
      </w:r>
      <w:r>
        <w:rPr>
          <w:spacing w:val="-4"/>
        </w:rPr>
        <w:t> </w:t>
      </w:r>
      <w:r>
        <w:rPr/>
        <w:t>Honey</w:t>
      </w:r>
      <w:r>
        <w:rPr>
          <w:spacing w:val="-1"/>
        </w:rPr>
        <w:t> </w:t>
      </w:r>
      <w:r>
        <w:rPr/>
        <w:t>and</w:t>
      </w:r>
      <w:r>
        <w:rPr>
          <w:spacing w:val="-3"/>
        </w:rPr>
        <w:t> </w:t>
      </w:r>
      <w:r>
        <w:rPr/>
        <w:t>Lemon juice against </w:t>
      </w:r>
      <w:r>
        <w:rPr>
          <w:i/>
        </w:rPr>
        <w:t>Streptococcus pyogenes</w:t>
      </w:r>
      <w:r>
        <w:rPr/>
        <w:t>.</w:t>
      </w:r>
    </w:p>
    <w:p>
      <w:pPr>
        <w:pStyle w:val="BodyText"/>
      </w:pPr>
    </w:p>
    <w:p>
      <w:pPr>
        <w:pStyle w:val="BodyText"/>
        <w:spacing w:before="71"/>
      </w:pPr>
    </w:p>
    <w:p>
      <w:pPr>
        <w:pStyle w:val="BodyText"/>
        <w:ind w:left="380"/>
      </w:pPr>
      <w:r>
        <w:rPr/>
        <w:t>Key:</w:t>
      </w:r>
      <w:r>
        <w:rPr>
          <w:spacing w:val="-6"/>
        </w:rPr>
        <w:t> </w:t>
      </w:r>
      <w:r>
        <w:rPr/>
        <w:t>*=Significant</w:t>
      </w:r>
      <w:r>
        <w:rPr>
          <w:spacing w:val="-6"/>
        </w:rPr>
        <w:t> </w:t>
      </w:r>
      <w:r>
        <w:rPr/>
        <w:t>difference,</w:t>
      </w:r>
      <w:r>
        <w:rPr>
          <w:spacing w:val="-6"/>
        </w:rPr>
        <w:t> </w:t>
      </w:r>
      <w:r>
        <w:rPr/>
        <w:t>H=Honey,</w:t>
      </w:r>
      <w:r>
        <w:rPr>
          <w:spacing w:val="-8"/>
        </w:rPr>
        <w:t> </w:t>
      </w:r>
      <w:r>
        <w:rPr/>
        <w:t>L=Lemon</w:t>
      </w:r>
      <w:r>
        <w:rPr>
          <w:spacing w:val="-6"/>
        </w:rPr>
        <w:t> </w:t>
      </w:r>
      <w:r>
        <w:rPr>
          <w:spacing w:val="-2"/>
        </w:rPr>
        <w:t>juice.</w:t>
      </w:r>
    </w:p>
    <w:p>
      <w:pPr>
        <w:spacing w:after="0"/>
        <w:sectPr>
          <w:pgSz w:w="11910" w:h="16840"/>
          <w:pgMar w:header="0" w:footer="1055" w:top="1480" w:bottom="1240" w:left="1060" w:right="460"/>
        </w:sectPr>
      </w:pPr>
    </w:p>
    <w:p>
      <w:pPr>
        <w:spacing w:before="41"/>
        <w:ind w:left="0" w:right="0" w:firstLine="0"/>
        <w:jc w:val="right"/>
        <w:rPr>
          <w:sz w:val="18"/>
        </w:rPr>
      </w:pPr>
      <w:r>
        <w:rPr>
          <w:color w:val="585858"/>
          <w:spacing w:val="-2"/>
          <w:sz w:val="18"/>
        </w:rPr>
        <w:t>30.000</w:t>
      </w:r>
    </w:p>
    <w:p>
      <w:pPr>
        <w:pStyle w:val="BodyText"/>
        <w:rPr>
          <w:sz w:val="18"/>
        </w:rPr>
      </w:pPr>
    </w:p>
    <w:p>
      <w:pPr>
        <w:pStyle w:val="BodyText"/>
        <w:rPr>
          <w:sz w:val="18"/>
        </w:rPr>
      </w:pPr>
    </w:p>
    <w:p>
      <w:pPr>
        <w:pStyle w:val="BodyText"/>
        <w:spacing w:before="126"/>
        <w:rPr>
          <w:sz w:val="18"/>
        </w:rPr>
      </w:pPr>
    </w:p>
    <w:p>
      <w:pPr>
        <w:spacing w:before="0"/>
        <w:ind w:left="0" w:right="0" w:firstLine="0"/>
        <w:jc w:val="right"/>
        <w:rPr>
          <w:sz w:val="18"/>
        </w:rPr>
      </w:pPr>
      <w:r>
        <w:rPr>
          <w:color w:val="585858"/>
          <w:spacing w:val="-2"/>
          <w:sz w:val="18"/>
        </w:rPr>
        <w:t>25.000</w:t>
      </w:r>
    </w:p>
    <w:p>
      <w:pPr>
        <w:pStyle w:val="BodyText"/>
        <w:rPr>
          <w:sz w:val="18"/>
        </w:rPr>
      </w:pPr>
    </w:p>
    <w:p>
      <w:pPr>
        <w:pStyle w:val="BodyText"/>
        <w:rPr>
          <w:sz w:val="18"/>
        </w:rPr>
      </w:pPr>
    </w:p>
    <w:p>
      <w:pPr>
        <w:pStyle w:val="BodyText"/>
        <w:spacing w:before="126"/>
        <w:rPr>
          <w:sz w:val="18"/>
        </w:rPr>
      </w:pPr>
    </w:p>
    <w:p>
      <w:pPr>
        <w:spacing w:before="1"/>
        <w:ind w:left="0" w:right="0" w:firstLine="0"/>
        <w:jc w:val="right"/>
        <w:rPr>
          <w:sz w:val="18"/>
        </w:rPr>
      </w:pPr>
      <w:r>
        <w:rPr/>
        <mc:AlternateContent>
          <mc:Choice Requires="wps">
            <w:drawing>
              <wp:anchor distT="0" distB="0" distL="0" distR="0" allowOverlap="1" layoutInCell="1" locked="0" behindDoc="0" simplePos="0" relativeHeight="15791104">
                <wp:simplePos x="0" y="0"/>
                <wp:positionH relativeFrom="page">
                  <wp:posOffset>1086332</wp:posOffset>
                </wp:positionH>
                <wp:positionV relativeFrom="paragraph">
                  <wp:posOffset>-62989</wp:posOffset>
                </wp:positionV>
                <wp:extent cx="152400" cy="156019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152400" cy="1560195"/>
                        </a:xfrm>
                        <a:prstGeom prst="rect">
                          <a:avLst/>
                        </a:prstGeom>
                      </wps:spPr>
                      <wps:txbx>
                        <w:txbxContent>
                          <w:p>
                            <w:pPr>
                              <w:spacing w:line="223" w:lineRule="exact" w:before="0"/>
                              <w:ind w:left="20" w:right="0" w:firstLine="0"/>
                              <w:jc w:val="left"/>
                              <w:rPr>
                                <w:sz w:val="20"/>
                              </w:rPr>
                            </w:pPr>
                            <w:r>
                              <w:rPr>
                                <w:color w:val="585858"/>
                                <w:sz w:val="20"/>
                              </w:rPr>
                              <w:t>Mean</w:t>
                            </w:r>
                            <w:r>
                              <w:rPr>
                                <w:color w:val="585858"/>
                                <w:spacing w:val="-8"/>
                                <w:sz w:val="20"/>
                              </w:rPr>
                              <w:t> </w:t>
                            </w:r>
                            <w:r>
                              <w:rPr>
                                <w:color w:val="585858"/>
                                <w:sz w:val="20"/>
                              </w:rPr>
                              <w:t>zone</w:t>
                            </w:r>
                            <w:r>
                              <w:rPr>
                                <w:color w:val="585858"/>
                                <w:spacing w:val="-7"/>
                                <w:sz w:val="20"/>
                              </w:rPr>
                              <w:t> </w:t>
                            </w:r>
                            <w:r>
                              <w:rPr>
                                <w:color w:val="585858"/>
                                <w:sz w:val="20"/>
                              </w:rPr>
                              <w:t>of</w:t>
                            </w:r>
                            <w:r>
                              <w:rPr>
                                <w:color w:val="585858"/>
                                <w:spacing w:val="-8"/>
                                <w:sz w:val="20"/>
                              </w:rPr>
                              <w:t> </w:t>
                            </w:r>
                            <w:r>
                              <w:rPr>
                                <w:color w:val="585858"/>
                                <w:sz w:val="20"/>
                              </w:rPr>
                              <w:t>inhibition</w:t>
                            </w:r>
                            <w:r>
                              <w:rPr>
                                <w:color w:val="585858"/>
                                <w:spacing w:val="-7"/>
                                <w:sz w:val="20"/>
                              </w:rPr>
                              <w:t> </w:t>
                            </w:r>
                            <w:r>
                              <w:rPr>
                                <w:color w:val="585858"/>
                                <w:spacing w:val="-4"/>
                                <w:sz w:val="20"/>
                              </w:rPr>
                              <w:t>(mm)</w:t>
                            </w:r>
                          </w:p>
                        </w:txbxContent>
                      </wps:txbx>
                      <wps:bodyPr wrap="square" lIns="0" tIns="0" rIns="0" bIns="0" rtlCol="0" vert="vert270">
                        <a:noAutofit/>
                      </wps:bodyPr>
                    </wps:wsp>
                  </a:graphicData>
                </a:graphic>
              </wp:anchor>
            </w:drawing>
          </mc:Choice>
          <mc:Fallback>
            <w:pict>
              <v:shape style="position:absolute;margin-left:85.538002pt;margin-top:-4.959785pt;width:12pt;height:122.85pt;mso-position-horizontal-relative:page;mso-position-vertical-relative:paragraph;z-index:15791104" type="#_x0000_t202" id="docshape306" filled="false" stroked="false">
                <v:textbox inset="0,0,0,0" style="layout-flow:vertical;mso-layout-flow-alt:bottom-to-top">
                  <w:txbxContent>
                    <w:p>
                      <w:pPr>
                        <w:spacing w:line="223" w:lineRule="exact" w:before="0"/>
                        <w:ind w:left="20" w:right="0" w:firstLine="0"/>
                        <w:jc w:val="left"/>
                        <w:rPr>
                          <w:sz w:val="20"/>
                        </w:rPr>
                      </w:pPr>
                      <w:r>
                        <w:rPr>
                          <w:color w:val="585858"/>
                          <w:sz w:val="20"/>
                        </w:rPr>
                        <w:t>Mean</w:t>
                      </w:r>
                      <w:r>
                        <w:rPr>
                          <w:color w:val="585858"/>
                          <w:spacing w:val="-8"/>
                          <w:sz w:val="20"/>
                        </w:rPr>
                        <w:t> </w:t>
                      </w:r>
                      <w:r>
                        <w:rPr>
                          <w:color w:val="585858"/>
                          <w:sz w:val="20"/>
                        </w:rPr>
                        <w:t>zone</w:t>
                      </w:r>
                      <w:r>
                        <w:rPr>
                          <w:color w:val="585858"/>
                          <w:spacing w:val="-7"/>
                          <w:sz w:val="20"/>
                        </w:rPr>
                        <w:t> </w:t>
                      </w:r>
                      <w:r>
                        <w:rPr>
                          <w:color w:val="585858"/>
                          <w:sz w:val="20"/>
                        </w:rPr>
                        <w:t>of</w:t>
                      </w:r>
                      <w:r>
                        <w:rPr>
                          <w:color w:val="585858"/>
                          <w:spacing w:val="-8"/>
                          <w:sz w:val="20"/>
                        </w:rPr>
                        <w:t> </w:t>
                      </w:r>
                      <w:r>
                        <w:rPr>
                          <w:color w:val="585858"/>
                          <w:sz w:val="20"/>
                        </w:rPr>
                        <w:t>inhibition</w:t>
                      </w:r>
                      <w:r>
                        <w:rPr>
                          <w:color w:val="585858"/>
                          <w:spacing w:val="-7"/>
                          <w:sz w:val="20"/>
                        </w:rPr>
                        <w:t> </w:t>
                      </w:r>
                      <w:r>
                        <w:rPr>
                          <w:color w:val="585858"/>
                          <w:spacing w:val="-4"/>
                          <w:sz w:val="20"/>
                        </w:rPr>
                        <w:t>(mm)</w:t>
                      </w:r>
                    </w:p>
                  </w:txbxContent>
                </v:textbox>
                <w10:wrap type="none"/>
              </v:shape>
            </w:pict>
          </mc:Fallback>
        </mc:AlternateContent>
      </w:r>
      <w:r>
        <w:rPr>
          <w:color w:val="585858"/>
          <w:spacing w:val="-2"/>
          <w:sz w:val="18"/>
        </w:rPr>
        <w:t>20.000</w:t>
      </w:r>
    </w:p>
    <w:p>
      <w:pPr>
        <w:pStyle w:val="BodyText"/>
        <w:rPr>
          <w:sz w:val="18"/>
        </w:rPr>
      </w:pPr>
    </w:p>
    <w:p>
      <w:pPr>
        <w:pStyle w:val="BodyText"/>
        <w:rPr>
          <w:sz w:val="18"/>
        </w:rPr>
      </w:pPr>
    </w:p>
    <w:p>
      <w:pPr>
        <w:pStyle w:val="BodyText"/>
        <w:spacing w:before="126"/>
        <w:rPr>
          <w:sz w:val="18"/>
        </w:rPr>
      </w:pPr>
    </w:p>
    <w:p>
      <w:pPr>
        <w:spacing w:before="0"/>
        <w:ind w:left="0" w:right="0" w:firstLine="0"/>
        <w:jc w:val="right"/>
        <w:rPr>
          <w:sz w:val="18"/>
        </w:rPr>
      </w:pPr>
      <w:r>
        <w:rPr>
          <w:color w:val="585858"/>
          <w:spacing w:val="-2"/>
          <w:sz w:val="18"/>
        </w:rPr>
        <w:t>15.000</w:t>
      </w:r>
    </w:p>
    <w:p>
      <w:pPr>
        <w:pStyle w:val="BodyText"/>
        <w:rPr>
          <w:sz w:val="18"/>
        </w:rPr>
      </w:pPr>
    </w:p>
    <w:p>
      <w:pPr>
        <w:pStyle w:val="BodyText"/>
        <w:rPr>
          <w:sz w:val="18"/>
        </w:rPr>
      </w:pPr>
    </w:p>
    <w:p>
      <w:pPr>
        <w:pStyle w:val="BodyText"/>
        <w:spacing w:before="126"/>
        <w:rPr>
          <w:sz w:val="18"/>
        </w:rPr>
      </w:pPr>
    </w:p>
    <w:p>
      <w:pPr>
        <w:spacing w:before="0"/>
        <w:ind w:left="0" w:right="0" w:firstLine="0"/>
        <w:jc w:val="right"/>
        <w:rPr>
          <w:sz w:val="18"/>
        </w:rPr>
      </w:pPr>
      <w:r>
        <w:rPr>
          <w:color w:val="585858"/>
          <w:spacing w:val="-2"/>
          <w:sz w:val="18"/>
        </w:rPr>
        <w:t>10.000</w:t>
      </w:r>
    </w:p>
    <w:p>
      <w:pPr>
        <w:pStyle w:val="BodyText"/>
        <w:rPr>
          <w:sz w:val="18"/>
        </w:rPr>
      </w:pPr>
    </w:p>
    <w:p>
      <w:pPr>
        <w:pStyle w:val="BodyText"/>
        <w:rPr>
          <w:sz w:val="18"/>
        </w:rPr>
      </w:pPr>
    </w:p>
    <w:p>
      <w:pPr>
        <w:pStyle w:val="BodyText"/>
        <w:spacing w:before="127"/>
        <w:rPr>
          <w:sz w:val="18"/>
        </w:rPr>
      </w:pPr>
    </w:p>
    <w:p>
      <w:pPr>
        <w:spacing w:before="0"/>
        <w:ind w:left="0" w:right="0" w:firstLine="0"/>
        <w:jc w:val="right"/>
        <w:rPr>
          <w:sz w:val="18"/>
        </w:rPr>
      </w:pPr>
      <w:r>
        <w:rPr>
          <w:color w:val="585858"/>
          <w:spacing w:val="-2"/>
          <w:sz w:val="18"/>
        </w:rPr>
        <w:t>5.000</w:t>
      </w:r>
    </w:p>
    <w:p>
      <w:pPr>
        <w:pStyle w:val="BodyText"/>
        <w:rPr>
          <w:sz w:val="18"/>
        </w:rPr>
      </w:pPr>
    </w:p>
    <w:p>
      <w:pPr>
        <w:pStyle w:val="BodyText"/>
        <w:rPr>
          <w:sz w:val="18"/>
        </w:rPr>
      </w:pPr>
    </w:p>
    <w:p>
      <w:pPr>
        <w:pStyle w:val="BodyText"/>
        <w:spacing w:before="126"/>
        <w:rPr>
          <w:sz w:val="18"/>
        </w:rPr>
      </w:pPr>
    </w:p>
    <w:p>
      <w:pPr>
        <w:spacing w:before="0"/>
        <w:ind w:left="0" w:right="0" w:firstLine="0"/>
        <w:jc w:val="right"/>
        <w:rPr>
          <w:sz w:val="18"/>
        </w:rPr>
      </w:pPr>
      <w:r>
        <w:rPr>
          <w:color w:val="585858"/>
          <w:spacing w:val="-2"/>
          <w:sz w:val="18"/>
        </w:rPr>
        <w:t>0.000</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8" w:after="1"/>
        <w:rPr>
          <w:sz w:val="20"/>
        </w:rPr>
      </w:pPr>
    </w:p>
    <w:tbl>
      <w:tblPr>
        <w:tblW w:w="0" w:type="auto"/>
        <w:jc w:val="left"/>
        <w:tblCellSpacing w:w="44" w:type="dxa"/>
        <w:tblInd w:w="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4"/>
        <w:gridCol w:w="1449"/>
        <w:gridCol w:w="1449"/>
        <w:gridCol w:w="1449"/>
        <w:gridCol w:w="1449"/>
        <w:gridCol w:w="724"/>
      </w:tblGrid>
      <w:tr>
        <w:trPr>
          <w:trHeight w:val="4026" w:hRule="atLeast"/>
        </w:trPr>
        <w:tc>
          <w:tcPr>
            <w:tcW w:w="680" w:type="dxa"/>
            <w:tcBorders>
              <w:top w:val="nil"/>
              <w:left w:val="nil"/>
              <w:bottom w:val="single" w:sz="6" w:space="0" w:color="D9D9D9"/>
            </w:tcBorders>
          </w:tcPr>
          <w:p>
            <w:pPr>
              <w:pStyle w:val="TableParagraph"/>
              <w:spacing w:before="10"/>
              <w:rPr>
                <w:sz w:val="13"/>
              </w:rPr>
            </w:pPr>
          </w:p>
          <w:p>
            <w:pPr>
              <w:pStyle w:val="TableParagraph"/>
              <w:spacing w:line="20" w:lineRule="exact"/>
              <w:ind w:left="473"/>
              <w:rPr>
                <w:sz w:val="2"/>
              </w:rPr>
            </w:pPr>
            <w:r>
              <w:rPr>
                <w:sz w:val="2"/>
              </w:rPr>
              <mc:AlternateContent>
                <mc:Choice Requires="wps">
                  <w:drawing>
                    <wp:inline distT="0" distB="0" distL="0" distR="0">
                      <wp:extent cx="57150" cy="12700"/>
                      <wp:effectExtent l="9525" t="0" r="0" b="6350"/>
                      <wp:docPr id="349" name="Group 349"/>
                      <wp:cNvGraphicFramePr>
                        <a:graphicFrameLocks/>
                      </wp:cNvGraphicFramePr>
                      <a:graphic>
                        <a:graphicData uri="http://schemas.microsoft.com/office/word/2010/wordprocessingGroup">
                          <wpg:wgp>
                            <wpg:cNvPr id="349" name="Group 349"/>
                            <wpg:cNvGrpSpPr/>
                            <wpg:grpSpPr>
                              <a:xfrm>
                                <a:off x="0" y="0"/>
                                <a:ext cx="57150" cy="12700"/>
                                <a:chExt cx="57150" cy="12700"/>
                              </a:xfrm>
                            </wpg:grpSpPr>
                            <wps:wsp>
                              <wps:cNvPr id="350" name="Graphic 350"/>
                              <wps:cNvSpPr/>
                              <wps:spPr>
                                <a:xfrm>
                                  <a:off x="0" y="635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inline>
                  </w:drawing>
                </mc:Choice>
                <mc:Fallback>
                  <w:pict>
                    <v:group style="width:4.5pt;height:1pt;mso-position-horizontal-relative:char;mso-position-vertical-relative:line" id="docshapegroup307" coordorigin="0,0" coordsize="90,20">
                      <v:line style="position:absolute" from="0,10" to="90,10" stroked="true" strokeweight="1pt" strokecolor="#585858">
                        <v:stroke dashstyle="solid"/>
                      </v:line>
                    </v:group>
                  </w:pict>
                </mc:Fallback>
              </mc:AlternateContent>
            </w:r>
            <w:r>
              <w:rPr>
                <w:sz w:val="2"/>
              </w:rPr>
            </w:r>
          </w:p>
        </w:tc>
        <w:tc>
          <w:tcPr>
            <w:tcW w:w="1361" w:type="dxa"/>
            <w:tcBorders>
              <w:top w:val="nil"/>
              <w:bottom w:val="single" w:sz="6" w:space="0" w:color="D9D9D9"/>
            </w:tcBorders>
          </w:tcPr>
          <w:p>
            <w:pPr>
              <w:pStyle w:val="TableParagraph"/>
              <w:spacing w:before="10"/>
              <w:rPr>
                <w:sz w:val="13"/>
              </w:rPr>
            </w:pPr>
          </w:p>
          <w:p>
            <w:pPr>
              <w:pStyle w:val="TableParagraph"/>
              <w:spacing w:line="20" w:lineRule="exact"/>
              <w:ind w:left="1152"/>
              <w:rPr>
                <w:sz w:val="2"/>
              </w:rPr>
            </w:pPr>
            <w:r>
              <w:rPr>
                <w:sz w:val="2"/>
              </w:rPr>
              <mc:AlternateContent>
                <mc:Choice Requires="wps">
                  <w:drawing>
                    <wp:inline distT="0" distB="0" distL="0" distR="0">
                      <wp:extent cx="57150" cy="12700"/>
                      <wp:effectExtent l="9525" t="0" r="0" b="6350"/>
                      <wp:docPr id="351" name="Group 351"/>
                      <wp:cNvGraphicFramePr>
                        <a:graphicFrameLocks/>
                      </wp:cNvGraphicFramePr>
                      <a:graphic>
                        <a:graphicData uri="http://schemas.microsoft.com/office/word/2010/wordprocessingGroup">
                          <wpg:wgp>
                            <wpg:cNvPr id="351" name="Group 351"/>
                            <wpg:cNvGrpSpPr/>
                            <wpg:grpSpPr>
                              <a:xfrm>
                                <a:off x="0" y="0"/>
                                <a:ext cx="57150" cy="12700"/>
                                <a:chExt cx="57150" cy="12700"/>
                              </a:xfrm>
                            </wpg:grpSpPr>
                            <wps:wsp>
                              <wps:cNvPr id="352" name="Graphic 352"/>
                              <wps:cNvSpPr/>
                              <wps:spPr>
                                <a:xfrm>
                                  <a:off x="0" y="635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inline>
                  </w:drawing>
                </mc:Choice>
                <mc:Fallback>
                  <w:pict>
                    <v:group style="width:4.5pt;height:1pt;mso-position-horizontal-relative:char;mso-position-vertical-relative:line" id="docshapegroup308" coordorigin="0,0" coordsize="90,20">
                      <v:line style="position:absolute" from="0,10" to="90,10" stroked="true" strokeweight="1pt" strokecolor="#585858">
                        <v:stroke dashstyle="solid"/>
                      </v:line>
                    </v:group>
                  </w:pict>
                </mc:Fallback>
              </mc:AlternateContent>
            </w:r>
            <w:r>
              <w:rPr>
                <w:sz w:val="2"/>
              </w:rPr>
            </w:r>
          </w:p>
        </w:tc>
        <w:tc>
          <w:tcPr>
            <w:tcW w:w="1361" w:type="dxa"/>
            <w:tcBorders>
              <w:top w:val="nil"/>
              <w:bottom w:val="single" w:sz="6" w:space="0" w:color="D9D9D9"/>
            </w:tcBorders>
          </w:tcPr>
          <w:p>
            <w:pPr>
              <w:pStyle w:val="TableParagraph"/>
              <w:spacing w:before="10"/>
              <w:rPr>
                <w:sz w:val="13"/>
              </w:rPr>
            </w:pPr>
          </w:p>
          <w:p>
            <w:pPr>
              <w:pStyle w:val="TableParagraph"/>
              <w:spacing w:line="20" w:lineRule="exact"/>
              <w:ind w:left="1151"/>
              <w:rPr>
                <w:sz w:val="2"/>
              </w:rPr>
            </w:pPr>
            <w:r>
              <w:rPr>
                <w:sz w:val="2"/>
              </w:rPr>
              <mc:AlternateContent>
                <mc:Choice Requires="wps">
                  <w:drawing>
                    <wp:inline distT="0" distB="0" distL="0" distR="0">
                      <wp:extent cx="57150" cy="12700"/>
                      <wp:effectExtent l="9525" t="0" r="0" b="6350"/>
                      <wp:docPr id="353" name="Group 353"/>
                      <wp:cNvGraphicFramePr>
                        <a:graphicFrameLocks/>
                      </wp:cNvGraphicFramePr>
                      <a:graphic>
                        <a:graphicData uri="http://schemas.microsoft.com/office/word/2010/wordprocessingGroup">
                          <wpg:wgp>
                            <wpg:cNvPr id="353" name="Group 353"/>
                            <wpg:cNvGrpSpPr/>
                            <wpg:grpSpPr>
                              <a:xfrm>
                                <a:off x="0" y="0"/>
                                <a:ext cx="57150" cy="12700"/>
                                <a:chExt cx="57150" cy="12700"/>
                              </a:xfrm>
                            </wpg:grpSpPr>
                            <wps:wsp>
                              <wps:cNvPr id="354" name="Graphic 354"/>
                              <wps:cNvSpPr/>
                              <wps:spPr>
                                <a:xfrm>
                                  <a:off x="0" y="635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inline>
                  </w:drawing>
                </mc:Choice>
                <mc:Fallback>
                  <w:pict>
                    <v:group style="width:4.5pt;height:1pt;mso-position-horizontal-relative:char;mso-position-vertical-relative:line" id="docshapegroup309" coordorigin="0,0" coordsize="90,20">
                      <v:line style="position:absolute" from="0,10" to="90,10" stroked="true" strokeweight="1pt" strokecolor="#585858">
                        <v:stroke dashstyle="solid"/>
                      </v:line>
                    </v:group>
                  </w:pict>
                </mc:Fallback>
              </mc:AlternateContent>
            </w:r>
            <w:r>
              <w:rPr>
                <w:sz w:val="2"/>
              </w:rPr>
            </w:r>
          </w:p>
        </w:tc>
        <w:tc>
          <w:tcPr>
            <w:tcW w:w="1361" w:type="dxa"/>
            <w:tcBorders>
              <w:top w:val="nil"/>
              <w:bottom w:val="single" w:sz="6" w:space="0" w:color="D9D9D9"/>
            </w:tcBorders>
          </w:tcPr>
          <w:p>
            <w:pPr>
              <w:pStyle w:val="TableParagraph"/>
              <w:spacing w:before="10"/>
              <w:rPr>
                <w:sz w:val="13"/>
              </w:rPr>
            </w:pPr>
          </w:p>
          <w:p>
            <w:pPr>
              <w:pStyle w:val="TableParagraph"/>
              <w:spacing w:line="20" w:lineRule="exact"/>
              <w:ind w:left="1150"/>
              <w:rPr>
                <w:sz w:val="2"/>
              </w:rPr>
            </w:pPr>
            <w:r>
              <w:rPr>
                <w:sz w:val="2"/>
              </w:rPr>
              <mc:AlternateContent>
                <mc:Choice Requires="wps">
                  <w:drawing>
                    <wp:inline distT="0" distB="0" distL="0" distR="0">
                      <wp:extent cx="57150" cy="12700"/>
                      <wp:effectExtent l="9525" t="0" r="0" b="6350"/>
                      <wp:docPr id="355" name="Group 355"/>
                      <wp:cNvGraphicFramePr>
                        <a:graphicFrameLocks/>
                      </wp:cNvGraphicFramePr>
                      <a:graphic>
                        <a:graphicData uri="http://schemas.microsoft.com/office/word/2010/wordprocessingGroup">
                          <wpg:wgp>
                            <wpg:cNvPr id="355" name="Group 355"/>
                            <wpg:cNvGrpSpPr/>
                            <wpg:grpSpPr>
                              <a:xfrm>
                                <a:off x="0" y="0"/>
                                <a:ext cx="57150" cy="12700"/>
                                <a:chExt cx="57150" cy="12700"/>
                              </a:xfrm>
                            </wpg:grpSpPr>
                            <wps:wsp>
                              <wps:cNvPr id="356" name="Graphic 356"/>
                              <wps:cNvSpPr/>
                              <wps:spPr>
                                <a:xfrm>
                                  <a:off x="0" y="635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inline>
                  </w:drawing>
                </mc:Choice>
                <mc:Fallback>
                  <w:pict>
                    <v:group style="width:4.5pt;height:1pt;mso-position-horizontal-relative:char;mso-position-vertical-relative:line" id="docshapegroup310" coordorigin="0,0" coordsize="90,20">
                      <v:line style="position:absolute" from="0,10" to="90,10" stroked="true" strokeweight="1pt" strokecolor="#585858">
                        <v:stroke dashstyle="solid"/>
                      </v:line>
                    </v:group>
                  </w:pict>
                </mc:Fallback>
              </mc:AlternateContent>
            </w:r>
            <w:r>
              <w:rPr>
                <w:sz w:val="2"/>
              </w:rPr>
            </w:r>
          </w:p>
        </w:tc>
        <w:tc>
          <w:tcPr>
            <w:tcW w:w="1361" w:type="dxa"/>
            <w:tcBorders>
              <w:top w:val="nil"/>
              <w:bottom w:val="single" w:sz="6" w:space="0" w:color="D9D9D9"/>
            </w:tcBorders>
          </w:tcPr>
          <w:p>
            <w:pPr>
              <w:pStyle w:val="TableParagraph"/>
              <w:spacing w:before="10"/>
              <w:rPr>
                <w:sz w:val="13"/>
              </w:rPr>
            </w:pPr>
          </w:p>
          <w:p>
            <w:pPr>
              <w:pStyle w:val="TableParagraph"/>
              <w:spacing w:line="20" w:lineRule="exact"/>
              <w:ind w:left="1149"/>
              <w:rPr>
                <w:sz w:val="2"/>
              </w:rPr>
            </w:pPr>
            <w:r>
              <w:rPr>
                <w:sz w:val="2"/>
              </w:rPr>
              <mc:AlternateContent>
                <mc:Choice Requires="wps">
                  <w:drawing>
                    <wp:inline distT="0" distB="0" distL="0" distR="0">
                      <wp:extent cx="57150" cy="12700"/>
                      <wp:effectExtent l="9525" t="0" r="0" b="6350"/>
                      <wp:docPr id="357" name="Group 357"/>
                      <wp:cNvGraphicFramePr>
                        <a:graphicFrameLocks/>
                      </wp:cNvGraphicFramePr>
                      <a:graphic>
                        <a:graphicData uri="http://schemas.microsoft.com/office/word/2010/wordprocessingGroup">
                          <wpg:wgp>
                            <wpg:cNvPr id="357" name="Group 357"/>
                            <wpg:cNvGrpSpPr/>
                            <wpg:grpSpPr>
                              <a:xfrm>
                                <a:off x="0" y="0"/>
                                <a:ext cx="57150" cy="12700"/>
                                <a:chExt cx="57150" cy="12700"/>
                              </a:xfrm>
                            </wpg:grpSpPr>
                            <wps:wsp>
                              <wps:cNvPr id="358" name="Graphic 358"/>
                              <wps:cNvSpPr/>
                              <wps:spPr>
                                <a:xfrm>
                                  <a:off x="0" y="635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inline>
                  </w:drawing>
                </mc:Choice>
                <mc:Fallback>
                  <w:pict>
                    <v:group style="width:4.5pt;height:1pt;mso-position-horizontal-relative:char;mso-position-vertical-relative:line" id="docshapegroup311" coordorigin="0,0" coordsize="90,20">
                      <v:line style="position:absolute" from="0,10" to="90,10" stroked="true" strokeweight="1pt" strokecolor="#585858">
                        <v:stroke dashstyle="solid"/>
                      </v:line>
                    </v:group>
                  </w:pict>
                </mc:Fallback>
              </mc:AlternateContent>
            </w:r>
            <w:r>
              <w:rPr>
                <w:sz w:val="2"/>
              </w:rPr>
            </w:r>
          </w:p>
        </w:tc>
        <w:tc>
          <w:tcPr>
            <w:tcW w:w="680" w:type="dxa"/>
            <w:tcBorders>
              <w:top w:val="nil"/>
              <w:bottom w:val="single" w:sz="6" w:space="0" w:color="D9D9D9"/>
              <w:right w:val="nil"/>
            </w:tcBorders>
          </w:tcPr>
          <w:p>
            <w:pPr>
              <w:pStyle w:val="TableParagraph"/>
              <w:rPr>
                <w:rFonts w:ascii="Times New Roman"/>
                <w:sz w:val="20"/>
              </w:rPr>
            </w:pPr>
          </w:p>
        </w:tc>
      </w:tr>
    </w:tbl>
    <w:p>
      <w:pPr>
        <w:tabs>
          <w:tab w:pos="1448" w:val="left" w:leader="none"/>
          <w:tab w:pos="2916" w:val="left" w:leader="none"/>
          <w:tab w:pos="4355" w:val="left" w:leader="none"/>
          <w:tab w:pos="5804" w:val="left" w:leader="none"/>
        </w:tabs>
        <w:spacing w:before="177"/>
        <w:ind w:left="0" w:right="1315" w:firstLine="0"/>
        <w:jc w:val="center"/>
        <w:rPr>
          <w:sz w:val="18"/>
        </w:rPr>
      </w:pPr>
      <w:r>
        <w:rPr/>
        <mc:AlternateContent>
          <mc:Choice Requires="wps">
            <w:drawing>
              <wp:anchor distT="0" distB="0" distL="0" distR="0" allowOverlap="1" layoutInCell="1" locked="0" behindDoc="1" simplePos="0" relativeHeight="472760832">
                <wp:simplePos x="0" y="0"/>
                <wp:positionH relativeFrom="page">
                  <wp:posOffset>1979676</wp:posOffset>
                </wp:positionH>
                <wp:positionV relativeFrom="paragraph">
                  <wp:posOffset>-2676905</wp:posOffset>
                </wp:positionV>
                <wp:extent cx="205740" cy="2677795"/>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205740" cy="2677795"/>
                          <a:chExt cx="205740" cy="2677795"/>
                        </a:xfrm>
                      </wpg:grpSpPr>
                      <wps:wsp>
                        <wps:cNvPr id="360" name="Graphic 360"/>
                        <wps:cNvSpPr/>
                        <wps:spPr>
                          <a:xfrm>
                            <a:off x="0" y="115443"/>
                            <a:ext cx="205740" cy="2562225"/>
                          </a:xfrm>
                          <a:custGeom>
                            <a:avLst/>
                            <a:gdLst/>
                            <a:ahLst/>
                            <a:cxnLst/>
                            <a:rect l="l" t="t" r="r" b="b"/>
                            <a:pathLst>
                              <a:path w="205740" h="2562225">
                                <a:moveTo>
                                  <a:pt x="205740" y="0"/>
                                </a:moveTo>
                                <a:lnTo>
                                  <a:pt x="0" y="0"/>
                                </a:lnTo>
                                <a:lnTo>
                                  <a:pt x="0" y="2561843"/>
                                </a:lnTo>
                                <a:lnTo>
                                  <a:pt x="205740" y="2561843"/>
                                </a:lnTo>
                                <a:lnTo>
                                  <a:pt x="205740" y="0"/>
                                </a:lnTo>
                                <a:close/>
                              </a:path>
                            </a:pathLst>
                          </a:custGeom>
                          <a:solidFill>
                            <a:srgbClr val="5B9BD4"/>
                          </a:solidFill>
                        </wps:spPr>
                        <wps:bodyPr wrap="square" lIns="0" tIns="0" rIns="0" bIns="0" rtlCol="0">
                          <a:prstTxWarp prst="textNoShape">
                            <a:avLst/>
                          </a:prstTxWarp>
                          <a:noAutofit/>
                        </wps:bodyPr>
                      </wps:wsp>
                      <wps:wsp>
                        <wps:cNvPr id="361" name="Graphic 361"/>
                        <wps:cNvSpPr/>
                        <wps:spPr>
                          <a:xfrm>
                            <a:off x="74802" y="6350"/>
                            <a:ext cx="57150" cy="216535"/>
                          </a:xfrm>
                          <a:custGeom>
                            <a:avLst/>
                            <a:gdLst/>
                            <a:ahLst/>
                            <a:cxnLst/>
                            <a:rect l="l" t="t" r="r" b="b"/>
                            <a:pathLst>
                              <a:path w="57150" h="216535">
                                <a:moveTo>
                                  <a:pt x="28575" y="216407"/>
                                </a:moveTo>
                                <a:lnTo>
                                  <a:pt x="28575" y="108203"/>
                                </a:lnTo>
                                <a:lnTo>
                                  <a:pt x="28575" y="0"/>
                                </a:lnTo>
                              </a:path>
                              <a:path w="57150" h="21653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5.880005pt;margin-top:-210.779999pt;width:16.2pt;height:210.85pt;mso-position-horizontal-relative:page;mso-position-vertical-relative:paragraph;z-index:-30555648" id="docshapegroup312" coordorigin="3118,-4216" coordsize="324,4217">
                <v:rect style="position:absolute;left:3117;top:-4034;width:324;height:4035" id="docshape313" filled="true" fillcolor="#5b9bd4" stroked="false">
                  <v:fill type="solid"/>
                </v:rect>
                <v:shape style="position:absolute;left:3235;top:-4206;width:90;height:341" id="docshape314" coordorigin="3235,-4206" coordsize="90,341" path="m3280,-3865l3280,-4035,3280,-4206m3235,-4206l3325,-4206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61344">
                <wp:simplePos x="0" y="0"/>
                <wp:positionH relativeFrom="page">
                  <wp:posOffset>2900172</wp:posOffset>
                </wp:positionH>
                <wp:positionV relativeFrom="paragraph">
                  <wp:posOffset>-2676905</wp:posOffset>
                </wp:positionV>
                <wp:extent cx="205740" cy="2677795"/>
                <wp:effectExtent l="0" t="0" r="0" b="0"/>
                <wp:wrapNone/>
                <wp:docPr id="362" name="Group 362"/>
                <wp:cNvGraphicFramePr>
                  <a:graphicFrameLocks/>
                </wp:cNvGraphicFramePr>
                <a:graphic>
                  <a:graphicData uri="http://schemas.microsoft.com/office/word/2010/wordprocessingGroup">
                    <wpg:wgp>
                      <wpg:cNvPr id="362" name="Group 362"/>
                      <wpg:cNvGrpSpPr/>
                      <wpg:grpSpPr>
                        <a:xfrm>
                          <a:off x="0" y="0"/>
                          <a:ext cx="205740" cy="2677795"/>
                          <a:chExt cx="205740" cy="2677795"/>
                        </a:xfrm>
                      </wpg:grpSpPr>
                      <wps:wsp>
                        <wps:cNvPr id="363" name="Graphic 363"/>
                        <wps:cNvSpPr/>
                        <wps:spPr>
                          <a:xfrm>
                            <a:off x="0" y="115443"/>
                            <a:ext cx="205740" cy="2562225"/>
                          </a:xfrm>
                          <a:custGeom>
                            <a:avLst/>
                            <a:gdLst/>
                            <a:ahLst/>
                            <a:cxnLst/>
                            <a:rect l="l" t="t" r="r" b="b"/>
                            <a:pathLst>
                              <a:path w="205740" h="2562225">
                                <a:moveTo>
                                  <a:pt x="205739" y="0"/>
                                </a:moveTo>
                                <a:lnTo>
                                  <a:pt x="0" y="0"/>
                                </a:lnTo>
                                <a:lnTo>
                                  <a:pt x="0" y="2561843"/>
                                </a:lnTo>
                                <a:lnTo>
                                  <a:pt x="205739" y="2561843"/>
                                </a:lnTo>
                                <a:lnTo>
                                  <a:pt x="205739" y="0"/>
                                </a:lnTo>
                                <a:close/>
                              </a:path>
                            </a:pathLst>
                          </a:custGeom>
                          <a:solidFill>
                            <a:srgbClr val="5B9BD4"/>
                          </a:solidFill>
                        </wps:spPr>
                        <wps:bodyPr wrap="square" lIns="0" tIns="0" rIns="0" bIns="0" rtlCol="0">
                          <a:prstTxWarp prst="textNoShape">
                            <a:avLst/>
                          </a:prstTxWarp>
                          <a:noAutofit/>
                        </wps:bodyPr>
                      </wps:wsp>
                      <wps:wsp>
                        <wps:cNvPr id="364" name="Graphic 364"/>
                        <wps:cNvSpPr/>
                        <wps:spPr>
                          <a:xfrm>
                            <a:off x="73786" y="6350"/>
                            <a:ext cx="57150" cy="216535"/>
                          </a:xfrm>
                          <a:custGeom>
                            <a:avLst/>
                            <a:gdLst/>
                            <a:ahLst/>
                            <a:cxnLst/>
                            <a:rect l="l" t="t" r="r" b="b"/>
                            <a:pathLst>
                              <a:path w="57150" h="216535">
                                <a:moveTo>
                                  <a:pt x="28575" y="216407"/>
                                </a:moveTo>
                                <a:lnTo>
                                  <a:pt x="28575" y="108203"/>
                                </a:lnTo>
                                <a:lnTo>
                                  <a:pt x="28575" y="0"/>
                                </a:lnTo>
                              </a:path>
                              <a:path w="57150" h="21653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360001pt;margin-top:-210.779999pt;width:16.2pt;height:210.85pt;mso-position-horizontal-relative:page;mso-position-vertical-relative:paragraph;z-index:-30555136" id="docshapegroup315" coordorigin="4567,-4216" coordsize="324,4217">
                <v:rect style="position:absolute;left:4567;top:-4034;width:324;height:4035" id="docshape316" filled="true" fillcolor="#5b9bd4" stroked="false">
                  <v:fill type="solid"/>
                </v:rect>
                <v:shape style="position:absolute;left:4683;top:-4206;width:90;height:341" id="docshape317" coordorigin="4683,-4206" coordsize="90,341" path="m4728,-3865l4728,-4035,4728,-4206m4683,-4206l4773,-4206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61856">
                <wp:simplePos x="0" y="0"/>
                <wp:positionH relativeFrom="page">
                  <wp:posOffset>3819144</wp:posOffset>
                </wp:positionH>
                <wp:positionV relativeFrom="paragraph">
                  <wp:posOffset>-2676905</wp:posOffset>
                </wp:positionV>
                <wp:extent cx="205740" cy="2677795"/>
                <wp:effectExtent l="0" t="0" r="0" b="0"/>
                <wp:wrapNone/>
                <wp:docPr id="365" name="Group 365"/>
                <wp:cNvGraphicFramePr>
                  <a:graphicFrameLocks/>
                </wp:cNvGraphicFramePr>
                <a:graphic>
                  <a:graphicData uri="http://schemas.microsoft.com/office/word/2010/wordprocessingGroup">
                    <wpg:wgp>
                      <wpg:cNvPr id="365" name="Group 365"/>
                      <wpg:cNvGrpSpPr/>
                      <wpg:grpSpPr>
                        <a:xfrm>
                          <a:off x="0" y="0"/>
                          <a:ext cx="205740" cy="2677795"/>
                          <a:chExt cx="205740" cy="2677795"/>
                        </a:xfrm>
                      </wpg:grpSpPr>
                      <wps:wsp>
                        <wps:cNvPr id="366" name="Graphic 366"/>
                        <wps:cNvSpPr/>
                        <wps:spPr>
                          <a:xfrm>
                            <a:off x="0" y="115443"/>
                            <a:ext cx="205740" cy="2562225"/>
                          </a:xfrm>
                          <a:custGeom>
                            <a:avLst/>
                            <a:gdLst/>
                            <a:ahLst/>
                            <a:cxnLst/>
                            <a:rect l="l" t="t" r="r" b="b"/>
                            <a:pathLst>
                              <a:path w="205740" h="2562225">
                                <a:moveTo>
                                  <a:pt x="205739" y="0"/>
                                </a:moveTo>
                                <a:lnTo>
                                  <a:pt x="0" y="0"/>
                                </a:lnTo>
                                <a:lnTo>
                                  <a:pt x="0" y="2561843"/>
                                </a:lnTo>
                                <a:lnTo>
                                  <a:pt x="205739" y="2561843"/>
                                </a:lnTo>
                                <a:lnTo>
                                  <a:pt x="205739" y="0"/>
                                </a:lnTo>
                                <a:close/>
                              </a:path>
                            </a:pathLst>
                          </a:custGeom>
                          <a:solidFill>
                            <a:srgbClr val="5B9BD4"/>
                          </a:solidFill>
                        </wps:spPr>
                        <wps:bodyPr wrap="square" lIns="0" tIns="0" rIns="0" bIns="0" rtlCol="0">
                          <a:prstTxWarp prst="textNoShape">
                            <a:avLst/>
                          </a:prstTxWarp>
                          <a:noAutofit/>
                        </wps:bodyPr>
                      </wps:wsp>
                      <wps:wsp>
                        <wps:cNvPr id="367" name="Graphic 367"/>
                        <wps:cNvSpPr/>
                        <wps:spPr>
                          <a:xfrm>
                            <a:off x="74294" y="6350"/>
                            <a:ext cx="57150" cy="216535"/>
                          </a:xfrm>
                          <a:custGeom>
                            <a:avLst/>
                            <a:gdLst/>
                            <a:ahLst/>
                            <a:cxnLst/>
                            <a:rect l="l" t="t" r="r" b="b"/>
                            <a:pathLst>
                              <a:path w="57150" h="216535">
                                <a:moveTo>
                                  <a:pt x="28575" y="216407"/>
                                </a:moveTo>
                                <a:lnTo>
                                  <a:pt x="28575" y="108203"/>
                                </a:lnTo>
                                <a:lnTo>
                                  <a:pt x="28575" y="0"/>
                                </a:lnTo>
                              </a:path>
                              <a:path w="57150" h="21653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0.720001pt;margin-top:-210.779999pt;width:16.2pt;height:210.85pt;mso-position-horizontal-relative:page;mso-position-vertical-relative:paragraph;z-index:-30554624" id="docshapegroup318" coordorigin="6014,-4216" coordsize="324,4217">
                <v:rect style="position:absolute;left:6014;top:-4034;width:324;height:4035" id="docshape319" filled="true" fillcolor="#5b9bd4" stroked="false">
                  <v:fill type="solid"/>
                </v:rect>
                <v:shape style="position:absolute;left:6131;top:-4206;width:90;height:341" id="docshape320" coordorigin="6131,-4206" coordsize="90,341" path="m6176,-3865l6176,-4035,6176,-4206m6131,-4206l6221,-4206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62368">
                <wp:simplePos x="0" y="0"/>
                <wp:positionH relativeFrom="page">
                  <wp:posOffset>4738115</wp:posOffset>
                </wp:positionH>
                <wp:positionV relativeFrom="paragraph">
                  <wp:posOffset>-2676905</wp:posOffset>
                </wp:positionV>
                <wp:extent cx="207645" cy="2677795"/>
                <wp:effectExtent l="0" t="0" r="0" b="0"/>
                <wp:wrapNone/>
                <wp:docPr id="368" name="Group 368"/>
                <wp:cNvGraphicFramePr>
                  <a:graphicFrameLocks/>
                </wp:cNvGraphicFramePr>
                <a:graphic>
                  <a:graphicData uri="http://schemas.microsoft.com/office/word/2010/wordprocessingGroup">
                    <wpg:wgp>
                      <wpg:cNvPr id="368" name="Group 368"/>
                      <wpg:cNvGrpSpPr/>
                      <wpg:grpSpPr>
                        <a:xfrm>
                          <a:off x="0" y="0"/>
                          <a:ext cx="207645" cy="2677795"/>
                          <a:chExt cx="207645" cy="2677795"/>
                        </a:xfrm>
                      </wpg:grpSpPr>
                      <wps:wsp>
                        <wps:cNvPr id="369" name="Graphic 369"/>
                        <wps:cNvSpPr/>
                        <wps:spPr>
                          <a:xfrm>
                            <a:off x="0" y="115443"/>
                            <a:ext cx="207645" cy="2562225"/>
                          </a:xfrm>
                          <a:custGeom>
                            <a:avLst/>
                            <a:gdLst/>
                            <a:ahLst/>
                            <a:cxnLst/>
                            <a:rect l="l" t="t" r="r" b="b"/>
                            <a:pathLst>
                              <a:path w="207645" h="2562225">
                                <a:moveTo>
                                  <a:pt x="207263" y="0"/>
                                </a:moveTo>
                                <a:lnTo>
                                  <a:pt x="0" y="0"/>
                                </a:lnTo>
                                <a:lnTo>
                                  <a:pt x="0" y="2561843"/>
                                </a:lnTo>
                                <a:lnTo>
                                  <a:pt x="207263" y="2561843"/>
                                </a:lnTo>
                                <a:lnTo>
                                  <a:pt x="207263" y="0"/>
                                </a:lnTo>
                                <a:close/>
                              </a:path>
                            </a:pathLst>
                          </a:custGeom>
                          <a:solidFill>
                            <a:srgbClr val="5B9BD4"/>
                          </a:solidFill>
                        </wps:spPr>
                        <wps:bodyPr wrap="square" lIns="0" tIns="0" rIns="0" bIns="0" rtlCol="0">
                          <a:prstTxWarp prst="textNoShape">
                            <a:avLst/>
                          </a:prstTxWarp>
                          <a:noAutofit/>
                        </wps:bodyPr>
                      </wps:wsp>
                      <wps:wsp>
                        <wps:cNvPr id="370" name="Graphic 370"/>
                        <wps:cNvSpPr/>
                        <wps:spPr>
                          <a:xfrm>
                            <a:off x="74802" y="6350"/>
                            <a:ext cx="57150" cy="216535"/>
                          </a:xfrm>
                          <a:custGeom>
                            <a:avLst/>
                            <a:gdLst/>
                            <a:ahLst/>
                            <a:cxnLst/>
                            <a:rect l="l" t="t" r="r" b="b"/>
                            <a:pathLst>
                              <a:path w="57150" h="216535">
                                <a:moveTo>
                                  <a:pt x="28575" y="216407"/>
                                </a:moveTo>
                                <a:lnTo>
                                  <a:pt x="28575" y="108203"/>
                                </a:lnTo>
                                <a:lnTo>
                                  <a:pt x="28575" y="0"/>
                                </a:lnTo>
                              </a:path>
                              <a:path w="57150" h="21653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3.079987pt;margin-top:-210.779999pt;width:16.3500pt;height:210.85pt;mso-position-horizontal-relative:page;mso-position-vertical-relative:paragraph;z-index:-30554112" id="docshapegroup321" coordorigin="7462,-4216" coordsize="327,4217">
                <v:rect style="position:absolute;left:7461;top:-4034;width:327;height:4035" id="docshape322" filled="true" fillcolor="#5b9bd4" stroked="false">
                  <v:fill type="solid"/>
                </v:rect>
                <v:shape style="position:absolute;left:7579;top:-4206;width:90;height:341" id="docshape323" coordorigin="7579,-4206" coordsize="90,341" path="m7624,-3865l7624,-4035,7624,-4206m7579,-4206l7669,-4206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62880">
                <wp:simplePos x="0" y="0"/>
                <wp:positionH relativeFrom="page">
                  <wp:posOffset>5658611</wp:posOffset>
                </wp:positionH>
                <wp:positionV relativeFrom="paragraph">
                  <wp:posOffset>-2676905</wp:posOffset>
                </wp:positionV>
                <wp:extent cx="205740" cy="2677795"/>
                <wp:effectExtent l="0" t="0" r="0" b="0"/>
                <wp:wrapNone/>
                <wp:docPr id="371" name="Group 371"/>
                <wp:cNvGraphicFramePr>
                  <a:graphicFrameLocks/>
                </wp:cNvGraphicFramePr>
                <a:graphic>
                  <a:graphicData uri="http://schemas.microsoft.com/office/word/2010/wordprocessingGroup">
                    <wpg:wgp>
                      <wpg:cNvPr id="371" name="Group 371"/>
                      <wpg:cNvGrpSpPr/>
                      <wpg:grpSpPr>
                        <a:xfrm>
                          <a:off x="0" y="0"/>
                          <a:ext cx="205740" cy="2677795"/>
                          <a:chExt cx="205740" cy="2677795"/>
                        </a:xfrm>
                      </wpg:grpSpPr>
                      <wps:wsp>
                        <wps:cNvPr id="372" name="Graphic 372"/>
                        <wps:cNvSpPr/>
                        <wps:spPr>
                          <a:xfrm>
                            <a:off x="0" y="115443"/>
                            <a:ext cx="205740" cy="2562225"/>
                          </a:xfrm>
                          <a:custGeom>
                            <a:avLst/>
                            <a:gdLst/>
                            <a:ahLst/>
                            <a:cxnLst/>
                            <a:rect l="l" t="t" r="r" b="b"/>
                            <a:pathLst>
                              <a:path w="205740" h="2562225">
                                <a:moveTo>
                                  <a:pt x="205739" y="0"/>
                                </a:moveTo>
                                <a:lnTo>
                                  <a:pt x="0" y="0"/>
                                </a:lnTo>
                                <a:lnTo>
                                  <a:pt x="0" y="2561843"/>
                                </a:lnTo>
                                <a:lnTo>
                                  <a:pt x="205739" y="2561843"/>
                                </a:lnTo>
                                <a:lnTo>
                                  <a:pt x="205739" y="0"/>
                                </a:lnTo>
                                <a:close/>
                              </a:path>
                            </a:pathLst>
                          </a:custGeom>
                          <a:solidFill>
                            <a:srgbClr val="5B9BD4"/>
                          </a:solidFill>
                        </wps:spPr>
                        <wps:bodyPr wrap="square" lIns="0" tIns="0" rIns="0" bIns="0" rtlCol="0">
                          <a:prstTxWarp prst="textNoShape">
                            <a:avLst/>
                          </a:prstTxWarp>
                          <a:noAutofit/>
                        </wps:bodyPr>
                      </wps:wsp>
                      <wps:wsp>
                        <wps:cNvPr id="373" name="Graphic 373"/>
                        <wps:cNvSpPr/>
                        <wps:spPr>
                          <a:xfrm>
                            <a:off x="73786" y="6350"/>
                            <a:ext cx="57150" cy="216535"/>
                          </a:xfrm>
                          <a:custGeom>
                            <a:avLst/>
                            <a:gdLst/>
                            <a:ahLst/>
                            <a:cxnLst/>
                            <a:rect l="l" t="t" r="r" b="b"/>
                            <a:pathLst>
                              <a:path w="57150" h="216535">
                                <a:moveTo>
                                  <a:pt x="28575" y="216407"/>
                                </a:moveTo>
                                <a:lnTo>
                                  <a:pt x="28575" y="108203"/>
                                </a:lnTo>
                                <a:lnTo>
                                  <a:pt x="28575" y="0"/>
                                </a:lnTo>
                              </a:path>
                              <a:path w="57150" h="21653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5.559998pt;margin-top:-210.779999pt;width:16.2pt;height:210.85pt;mso-position-horizontal-relative:page;mso-position-vertical-relative:paragraph;z-index:-30553600" id="docshapegroup324" coordorigin="8911,-4216" coordsize="324,4217">
                <v:rect style="position:absolute;left:8911;top:-4034;width:324;height:4035" id="docshape325" filled="true" fillcolor="#5b9bd4" stroked="false">
                  <v:fill type="solid"/>
                </v:rect>
                <v:shape style="position:absolute;left:9027;top:-4206;width:90;height:341" id="docshape326" coordorigin="9027,-4206" coordsize="90,341" path="m9072,-3865l9072,-4035,9072,-4206m9027,-4206l9117,-4206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63392">
                <wp:simplePos x="0" y="0"/>
                <wp:positionH relativeFrom="page">
                  <wp:posOffset>2241804</wp:posOffset>
                </wp:positionH>
                <wp:positionV relativeFrom="paragraph">
                  <wp:posOffset>-2891535</wp:posOffset>
                </wp:positionV>
                <wp:extent cx="205740" cy="2892425"/>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205740" cy="2892425"/>
                          <a:chExt cx="205740" cy="2892425"/>
                        </a:xfrm>
                      </wpg:grpSpPr>
                      <wps:wsp>
                        <wps:cNvPr id="375" name="Graphic 375"/>
                        <wps:cNvSpPr/>
                        <wps:spPr>
                          <a:xfrm>
                            <a:off x="0" y="74040"/>
                            <a:ext cx="205740" cy="2818130"/>
                          </a:xfrm>
                          <a:custGeom>
                            <a:avLst/>
                            <a:gdLst/>
                            <a:ahLst/>
                            <a:cxnLst/>
                            <a:rect l="l" t="t" r="r" b="b"/>
                            <a:pathLst>
                              <a:path w="205740" h="2818130">
                                <a:moveTo>
                                  <a:pt x="205739" y="0"/>
                                </a:moveTo>
                                <a:lnTo>
                                  <a:pt x="0" y="0"/>
                                </a:lnTo>
                                <a:lnTo>
                                  <a:pt x="0" y="2817876"/>
                                </a:lnTo>
                                <a:lnTo>
                                  <a:pt x="205739" y="2817876"/>
                                </a:lnTo>
                                <a:lnTo>
                                  <a:pt x="205739" y="0"/>
                                </a:lnTo>
                                <a:close/>
                              </a:path>
                            </a:pathLst>
                          </a:custGeom>
                          <a:solidFill>
                            <a:srgbClr val="EC7C30"/>
                          </a:solidFill>
                        </wps:spPr>
                        <wps:bodyPr wrap="square" lIns="0" tIns="0" rIns="0" bIns="0" rtlCol="0">
                          <a:prstTxWarp prst="textNoShape">
                            <a:avLst/>
                          </a:prstTxWarp>
                          <a:noAutofit/>
                        </wps:bodyPr>
                      </wps:wsp>
                      <wps:wsp>
                        <wps:cNvPr id="376" name="Graphic 376"/>
                        <wps:cNvSpPr/>
                        <wps:spPr>
                          <a:xfrm>
                            <a:off x="74548" y="6350"/>
                            <a:ext cx="57150" cy="135255"/>
                          </a:xfrm>
                          <a:custGeom>
                            <a:avLst/>
                            <a:gdLst/>
                            <a:ahLst/>
                            <a:cxnLst/>
                            <a:rect l="l" t="t" r="r" b="b"/>
                            <a:pathLst>
                              <a:path w="57150" h="135255">
                                <a:moveTo>
                                  <a:pt x="28575" y="135000"/>
                                </a:moveTo>
                                <a:lnTo>
                                  <a:pt x="28575" y="67436"/>
                                </a:lnTo>
                                <a:lnTo>
                                  <a:pt x="28575" y="0"/>
                                </a:lnTo>
                              </a:path>
                              <a:path w="57150" h="135255">
                                <a:moveTo>
                                  <a:pt x="0" y="135000"/>
                                </a:moveTo>
                                <a:lnTo>
                                  <a:pt x="57150" y="135000"/>
                                </a:lnTo>
                              </a:path>
                              <a:path w="57150" h="13525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6.520004pt;margin-top:-227.679993pt;width:16.2pt;height:227.75pt;mso-position-horizontal-relative:page;mso-position-vertical-relative:paragraph;z-index:-30553088" id="docshapegroup327" coordorigin="3530,-4554" coordsize="324,4555">
                <v:rect style="position:absolute;left:3530;top:-4437;width:324;height:4438" id="docshape328" filled="true" fillcolor="#ec7c30" stroked="false">
                  <v:fill type="solid"/>
                </v:rect>
                <v:shape style="position:absolute;left:3647;top:-4544;width:90;height:213" id="docshape329" coordorigin="3648,-4544" coordsize="90,213" path="m3693,-4331l3693,-4437,3693,-4544m3648,-4331l3738,-4331m3648,-4544l3738,-4544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63904">
                <wp:simplePos x="0" y="0"/>
                <wp:positionH relativeFrom="page">
                  <wp:posOffset>3160776</wp:posOffset>
                </wp:positionH>
                <wp:positionV relativeFrom="paragraph">
                  <wp:posOffset>-2897251</wp:posOffset>
                </wp:positionV>
                <wp:extent cx="207645" cy="2898140"/>
                <wp:effectExtent l="0" t="0" r="0" b="0"/>
                <wp:wrapNone/>
                <wp:docPr id="377" name="Group 377"/>
                <wp:cNvGraphicFramePr>
                  <a:graphicFrameLocks/>
                </wp:cNvGraphicFramePr>
                <a:graphic>
                  <a:graphicData uri="http://schemas.microsoft.com/office/word/2010/wordprocessingGroup">
                    <wpg:wgp>
                      <wpg:cNvPr id="377" name="Group 377"/>
                      <wpg:cNvGrpSpPr/>
                      <wpg:grpSpPr>
                        <a:xfrm>
                          <a:off x="0" y="0"/>
                          <a:ext cx="207645" cy="2898140"/>
                          <a:chExt cx="207645" cy="2898140"/>
                        </a:xfrm>
                      </wpg:grpSpPr>
                      <wps:wsp>
                        <wps:cNvPr id="378" name="Graphic 378"/>
                        <wps:cNvSpPr/>
                        <wps:spPr>
                          <a:xfrm>
                            <a:off x="0" y="70611"/>
                            <a:ext cx="207645" cy="2827020"/>
                          </a:xfrm>
                          <a:custGeom>
                            <a:avLst/>
                            <a:gdLst/>
                            <a:ahLst/>
                            <a:cxnLst/>
                            <a:rect l="l" t="t" r="r" b="b"/>
                            <a:pathLst>
                              <a:path w="207645" h="2827020">
                                <a:moveTo>
                                  <a:pt x="207263" y="0"/>
                                </a:moveTo>
                                <a:lnTo>
                                  <a:pt x="0" y="0"/>
                                </a:lnTo>
                                <a:lnTo>
                                  <a:pt x="0" y="2827019"/>
                                </a:lnTo>
                                <a:lnTo>
                                  <a:pt x="207263" y="2827019"/>
                                </a:lnTo>
                                <a:lnTo>
                                  <a:pt x="207263" y="0"/>
                                </a:lnTo>
                                <a:close/>
                              </a:path>
                            </a:pathLst>
                          </a:custGeom>
                          <a:solidFill>
                            <a:srgbClr val="EC7C30"/>
                          </a:solidFill>
                        </wps:spPr>
                        <wps:bodyPr wrap="square" lIns="0" tIns="0" rIns="0" bIns="0" rtlCol="0">
                          <a:prstTxWarp prst="textNoShape">
                            <a:avLst/>
                          </a:prstTxWarp>
                          <a:noAutofit/>
                        </wps:bodyPr>
                      </wps:wsp>
                      <wps:wsp>
                        <wps:cNvPr id="379" name="Graphic 379"/>
                        <wps:cNvSpPr/>
                        <wps:spPr>
                          <a:xfrm>
                            <a:off x="75056" y="6350"/>
                            <a:ext cx="57150" cy="128270"/>
                          </a:xfrm>
                          <a:custGeom>
                            <a:avLst/>
                            <a:gdLst/>
                            <a:ahLst/>
                            <a:cxnLst/>
                            <a:rect l="l" t="t" r="r" b="b"/>
                            <a:pathLst>
                              <a:path w="57150" h="128270">
                                <a:moveTo>
                                  <a:pt x="28575" y="128016"/>
                                </a:moveTo>
                                <a:lnTo>
                                  <a:pt x="28575" y="64007"/>
                                </a:lnTo>
                                <a:lnTo>
                                  <a:pt x="28575" y="0"/>
                                </a:lnTo>
                              </a:path>
                              <a:path w="57150" h="128270">
                                <a:moveTo>
                                  <a:pt x="0" y="128016"/>
                                </a:moveTo>
                                <a:lnTo>
                                  <a:pt x="57150" y="128016"/>
                                </a:lnTo>
                              </a:path>
                              <a:path w="57150" h="12827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8.880005pt;margin-top:-228.130005pt;width:16.3500pt;height:228.2pt;mso-position-horizontal-relative:page;mso-position-vertical-relative:paragraph;z-index:-30552576" id="docshapegroup330" coordorigin="4978,-4563" coordsize="327,4564">
                <v:rect style="position:absolute;left:4977;top:-4452;width:327;height:4452" id="docshape331" filled="true" fillcolor="#ec7c30" stroked="false">
                  <v:fill type="solid"/>
                </v:rect>
                <v:shape style="position:absolute;left:5095;top:-4553;width:90;height:202" id="docshape332" coordorigin="5096,-4553" coordsize="90,202" path="m5141,-4351l5141,-4452,5141,-4553m5096,-4351l5186,-4351m5096,-4553l5186,-4553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64416">
                <wp:simplePos x="0" y="0"/>
                <wp:positionH relativeFrom="page">
                  <wp:posOffset>4081271</wp:posOffset>
                </wp:positionH>
                <wp:positionV relativeFrom="paragraph">
                  <wp:posOffset>-3003042</wp:posOffset>
                </wp:positionV>
                <wp:extent cx="205740" cy="3003550"/>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205740" cy="3003550"/>
                          <a:chExt cx="205740" cy="3003550"/>
                        </a:xfrm>
                      </wpg:grpSpPr>
                      <wps:wsp>
                        <wps:cNvPr id="381" name="Graphic 381"/>
                        <wps:cNvSpPr/>
                        <wps:spPr>
                          <a:xfrm>
                            <a:off x="0" y="112395"/>
                            <a:ext cx="205740" cy="2891155"/>
                          </a:xfrm>
                          <a:custGeom>
                            <a:avLst/>
                            <a:gdLst/>
                            <a:ahLst/>
                            <a:cxnLst/>
                            <a:rect l="l" t="t" r="r" b="b"/>
                            <a:pathLst>
                              <a:path w="205740" h="2891155">
                                <a:moveTo>
                                  <a:pt x="205739" y="0"/>
                                </a:moveTo>
                                <a:lnTo>
                                  <a:pt x="0" y="0"/>
                                </a:lnTo>
                                <a:lnTo>
                                  <a:pt x="0" y="2891028"/>
                                </a:lnTo>
                                <a:lnTo>
                                  <a:pt x="205739" y="2891028"/>
                                </a:lnTo>
                                <a:lnTo>
                                  <a:pt x="205739" y="0"/>
                                </a:lnTo>
                                <a:close/>
                              </a:path>
                            </a:pathLst>
                          </a:custGeom>
                          <a:solidFill>
                            <a:srgbClr val="EC7C30"/>
                          </a:solidFill>
                        </wps:spPr>
                        <wps:bodyPr wrap="square" lIns="0" tIns="0" rIns="0" bIns="0" rtlCol="0">
                          <a:prstTxWarp prst="textNoShape">
                            <a:avLst/>
                          </a:prstTxWarp>
                          <a:noAutofit/>
                        </wps:bodyPr>
                      </wps:wsp>
                      <wps:wsp>
                        <wps:cNvPr id="382" name="Graphic 382"/>
                        <wps:cNvSpPr/>
                        <wps:spPr>
                          <a:xfrm>
                            <a:off x="74040" y="6350"/>
                            <a:ext cx="57150" cy="212090"/>
                          </a:xfrm>
                          <a:custGeom>
                            <a:avLst/>
                            <a:gdLst/>
                            <a:ahLst/>
                            <a:cxnLst/>
                            <a:rect l="l" t="t" r="r" b="b"/>
                            <a:pathLst>
                              <a:path w="57150" h="212090">
                                <a:moveTo>
                                  <a:pt x="28575" y="211962"/>
                                </a:moveTo>
                                <a:lnTo>
                                  <a:pt x="28575" y="105917"/>
                                </a:lnTo>
                                <a:lnTo>
                                  <a:pt x="28575" y="0"/>
                                </a:lnTo>
                              </a:path>
                              <a:path w="57150" h="212090">
                                <a:moveTo>
                                  <a:pt x="0" y="211962"/>
                                </a:moveTo>
                                <a:lnTo>
                                  <a:pt x="57150" y="211962"/>
                                </a:lnTo>
                              </a:path>
                              <a:path w="57150" h="21209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1.359985pt;margin-top:-236.460007pt;width:16.2pt;height:236.5pt;mso-position-horizontal-relative:page;mso-position-vertical-relative:paragraph;z-index:-30552064" id="docshapegroup333" coordorigin="6427,-4729" coordsize="324,4730">
                <v:rect style="position:absolute;left:6427;top:-4553;width:324;height:4553" id="docshape334" filled="true" fillcolor="#ec7c30" stroked="false">
                  <v:fill type="solid"/>
                </v:rect>
                <v:shape style="position:absolute;left:6543;top:-4720;width:90;height:334" id="docshape335" coordorigin="6544,-4719" coordsize="90,334" path="m6589,-4385l6589,-4552,6589,-4719m6544,-4385l6634,-4385m6544,-4719l6634,-4719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64928">
                <wp:simplePos x="0" y="0"/>
                <wp:positionH relativeFrom="page">
                  <wp:posOffset>5000244</wp:posOffset>
                </wp:positionH>
                <wp:positionV relativeFrom="paragraph">
                  <wp:posOffset>-2934970</wp:posOffset>
                </wp:positionV>
                <wp:extent cx="205740" cy="2935605"/>
                <wp:effectExtent l="0" t="0" r="0" b="0"/>
                <wp:wrapNone/>
                <wp:docPr id="383" name="Group 383"/>
                <wp:cNvGraphicFramePr>
                  <a:graphicFrameLocks/>
                </wp:cNvGraphicFramePr>
                <a:graphic>
                  <a:graphicData uri="http://schemas.microsoft.com/office/word/2010/wordprocessingGroup">
                    <wpg:wgp>
                      <wpg:cNvPr id="383" name="Group 383"/>
                      <wpg:cNvGrpSpPr/>
                      <wpg:grpSpPr>
                        <a:xfrm>
                          <a:off x="0" y="0"/>
                          <a:ext cx="205740" cy="2935605"/>
                          <a:chExt cx="205740" cy="2935605"/>
                        </a:xfrm>
                      </wpg:grpSpPr>
                      <wps:wsp>
                        <wps:cNvPr id="384" name="Graphic 384"/>
                        <wps:cNvSpPr/>
                        <wps:spPr>
                          <a:xfrm>
                            <a:off x="0" y="71755"/>
                            <a:ext cx="205740" cy="2863850"/>
                          </a:xfrm>
                          <a:custGeom>
                            <a:avLst/>
                            <a:gdLst/>
                            <a:ahLst/>
                            <a:cxnLst/>
                            <a:rect l="l" t="t" r="r" b="b"/>
                            <a:pathLst>
                              <a:path w="205740" h="2863850">
                                <a:moveTo>
                                  <a:pt x="205739" y="0"/>
                                </a:moveTo>
                                <a:lnTo>
                                  <a:pt x="0" y="0"/>
                                </a:lnTo>
                                <a:lnTo>
                                  <a:pt x="0" y="2863595"/>
                                </a:lnTo>
                                <a:lnTo>
                                  <a:pt x="205739" y="2863595"/>
                                </a:lnTo>
                                <a:lnTo>
                                  <a:pt x="205739" y="0"/>
                                </a:lnTo>
                                <a:close/>
                              </a:path>
                            </a:pathLst>
                          </a:custGeom>
                          <a:solidFill>
                            <a:srgbClr val="EC7C30"/>
                          </a:solidFill>
                        </wps:spPr>
                        <wps:bodyPr wrap="square" lIns="0" tIns="0" rIns="0" bIns="0" rtlCol="0">
                          <a:prstTxWarp prst="textNoShape">
                            <a:avLst/>
                          </a:prstTxWarp>
                          <a:noAutofit/>
                        </wps:bodyPr>
                      </wps:wsp>
                      <wps:wsp>
                        <wps:cNvPr id="385" name="Graphic 385"/>
                        <wps:cNvSpPr/>
                        <wps:spPr>
                          <a:xfrm>
                            <a:off x="74422" y="6350"/>
                            <a:ext cx="57150" cy="130810"/>
                          </a:xfrm>
                          <a:custGeom>
                            <a:avLst/>
                            <a:gdLst/>
                            <a:ahLst/>
                            <a:cxnLst/>
                            <a:rect l="l" t="t" r="r" b="b"/>
                            <a:pathLst>
                              <a:path w="57150" h="130810">
                                <a:moveTo>
                                  <a:pt x="28575" y="130429"/>
                                </a:moveTo>
                                <a:lnTo>
                                  <a:pt x="28575" y="65278"/>
                                </a:lnTo>
                                <a:lnTo>
                                  <a:pt x="28575" y="0"/>
                                </a:lnTo>
                              </a:path>
                              <a:path w="57150" h="130810">
                                <a:moveTo>
                                  <a:pt x="0" y="130429"/>
                                </a:moveTo>
                                <a:lnTo>
                                  <a:pt x="57150" y="130429"/>
                                </a:lnTo>
                              </a:path>
                              <a:path w="57150" h="13081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720001pt;margin-top:-231.100006pt;width:16.2pt;height:231.15pt;mso-position-horizontal-relative:page;mso-position-vertical-relative:paragraph;z-index:-30551552" id="docshapegroup336" coordorigin="7874,-4622" coordsize="324,4623">
                <v:rect style="position:absolute;left:7874;top:-4509;width:324;height:4510" id="docshape337" filled="true" fillcolor="#ec7c30" stroked="false">
                  <v:fill type="solid"/>
                </v:rect>
                <v:shape style="position:absolute;left:7991;top:-4612;width:90;height:206" id="docshape338" coordorigin="7992,-4612" coordsize="90,206" path="m8037,-4407l8037,-4509,8037,-4612m7992,-4407l8082,-4407m7992,-4612l8082,-4612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65440">
                <wp:simplePos x="0" y="0"/>
                <wp:positionH relativeFrom="page">
                  <wp:posOffset>5920740</wp:posOffset>
                </wp:positionH>
                <wp:positionV relativeFrom="paragraph">
                  <wp:posOffset>-3196589</wp:posOffset>
                </wp:positionV>
                <wp:extent cx="205740" cy="3197225"/>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205740" cy="3197225"/>
                          <a:chExt cx="205740" cy="3197225"/>
                        </a:xfrm>
                      </wpg:grpSpPr>
                      <wps:wsp>
                        <wps:cNvPr id="387" name="Graphic 387"/>
                        <wps:cNvSpPr/>
                        <wps:spPr>
                          <a:xfrm>
                            <a:off x="0" y="69722"/>
                            <a:ext cx="205740" cy="3127375"/>
                          </a:xfrm>
                          <a:custGeom>
                            <a:avLst/>
                            <a:gdLst/>
                            <a:ahLst/>
                            <a:cxnLst/>
                            <a:rect l="l" t="t" r="r" b="b"/>
                            <a:pathLst>
                              <a:path w="205740" h="3127375">
                                <a:moveTo>
                                  <a:pt x="205739" y="0"/>
                                </a:moveTo>
                                <a:lnTo>
                                  <a:pt x="0" y="0"/>
                                </a:lnTo>
                                <a:lnTo>
                                  <a:pt x="0" y="3127247"/>
                                </a:lnTo>
                                <a:lnTo>
                                  <a:pt x="205739" y="3127247"/>
                                </a:lnTo>
                                <a:lnTo>
                                  <a:pt x="205739" y="0"/>
                                </a:lnTo>
                                <a:close/>
                              </a:path>
                            </a:pathLst>
                          </a:custGeom>
                          <a:solidFill>
                            <a:srgbClr val="EC7C30"/>
                          </a:solidFill>
                        </wps:spPr>
                        <wps:bodyPr wrap="square" lIns="0" tIns="0" rIns="0" bIns="0" rtlCol="0">
                          <a:prstTxWarp prst="textNoShape">
                            <a:avLst/>
                          </a:prstTxWarp>
                          <a:noAutofit/>
                        </wps:bodyPr>
                      </wps:wsp>
                      <wps:wsp>
                        <wps:cNvPr id="388" name="Graphic 388"/>
                        <wps:cNvSpPr/>
                        <wps:spPr>
                          <a:xfrm>
                            <a:off x="73406" y="6350"/>
                            <a:ext cx="57150" cy="125095"/>
                          </a:xfrm>
                          <a:custGeom>
                            <a:avLst/>
                            <a:gdLst/>
                            <a:ahLst/>
                            <a:cxnLst/>
                            <a:rect l="l" t="t" r="r" b="b"/>
                            <a:pathLst>
                              <a:path w="57150" h="125095">
                                <a:moveTo>
                                  <a:pt x="28575" y="124840"/>
                                </a:moveTo>
                                <a:lnTo>
                                  <a:pt x="28575" y="62483"/>
                                </a:lnTo>
                                <a:lnTo>
                                  <a:pt x="28575" y="0"/>
                                </a:lnTo>
                              </a:path>
                              <a:path w="57150" h="125095">
                                <a:moveTo>
                                  <a:pt x="0" y="124840"/>
                                </a:moveTo>
                                <a:lnTo>
                                  <a:pt x="57150" y="124840"/>
                                </a:lnTo>
                              </a:path>
                              <a:path w="57150" h="12509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6.200012pt;margin-top:-251.699997pt;width:16.2pt;height:251.75pt;mso-position-horizontal-relative:page;mso-position-vertical-relative:paragraph;z-index:-30551040" id="docshapegroup339" coordorigin="9324,-5034" coordsize="324,5035">
                <v:rect style="position:absolute;left:9324;top:-4925;width:324;height:4925" id="docshape340" filled="true" fillcolor="#ec7c30" stroked="false">
                  <v:fill type="solid"/>
                </v:rect>
                <v:shape style="position:absolute;left:9439;top:-5024;width:90;height:197" id="docshape341" coordorigin="9440,-5024" coordsize="90,197" path="m9485,-4827l9485,-4926,9485,-5024m9440,-4827l9530,-4827m9440,-5024l9530,-5024e" filled="false" stroked="true" strokeweight="1pt" strokecolor="#585858">
                  <v:path arrowok="t"/>
                  <v:stroke dashstyle="solid"/>
                </v:shape>
                <w10:wrap type="none"/>
              </v:group>
            </w:pict>
          </mc:Fallback>
        </mc:AlternateContent>
      </w:r>
      <w:r>
        <w:rPr/>
        <w:drawing>
          <wp:anchor distT="0" distB="0" distL="0" distR="0" allowOverlap="1" layoutInCell="1" locked="0" behindDoc="0" simplePos="0" relativeHeight="15791616">
            <wp:simplePos x="0" y="0"/>
            <wp:positionH relativeFrom="page">
              <wp:posOffset>4962652</wp:posOffset>
            </wp:positionH>
            <wp:positionV relativeFrom="paragraph">
              <wp:posOffset>-3788283</wp:posOffset>
            </wp:positionV>
            <wp:extent cx="1527810" cy="1704848"/>
            <wp:effectExtent l="0" t="0" r="0" b="0"/>
            <wp:wrapNone/>
            <wp:docPr id="389" name="Image 389"/>
            <wp:cNvGraphicFramePr>
              <a:graphicFrameLocks/>
            </wp:cNvGraphicFramePr>
            <a:graphic>
              <a:graphicData uri="http://schemas.openxmlformats.org/drawingml/2006/picture">
                <pic:pic>
                  <pic:nvPicPr>
                    <pic:cNvPr id="389" name="Image 389"/>
                    <pic:cNvPicPr/>
                  </pic:nvPicPr>
                  <pic:blipFill>
                    <a:blip r:embed="rId297" cstate="print"/>
                    <a:stretch>
                      <a:fillRect/>
                    </a:stretch>
                  </pic:blipFill>
                  <pic:spPr>
                    <a:xfrm>
                      <a:off x="0" y="0"/>
                      <a:ext cx="1527810" cy="1704848"/>
                    </a:xfrm>
                    <a:prstGeom prst="rect">
                      <a:avLst/>
                    </a:prstGeom>
                  </pic:spPr>
                </pic:pic>
              </a:graphicData>
            </a:graphic>
          </wp:anchor>
        </w:drawing>
      </w:r>
      <w:r>
        <w:rPr>
          <w:color w:val="585858"/>
          <w:spacing w:val="-2"/>
          <w:sz w:val="18"/>
        </w:rPr>
        <w:t>100%L/10:50H:L</w:t>
      </w:r>
      <w:r>
        <w:rPr>
          <w:color w:val="585858"/>
          <w:sz w:val="18"/>
        </w:rPr>
        <w:tab/>
      </w:r>
      <w:r>
        <w:rPr>
          <w:color w:val="585858"/>
          <w:spacing w:val="-2"/>
          <w:sz w:val="18"/>
        </w:rPr>
        <w:t>100%L/20:50H:L</w:t>
      </w:r>
      <w:r>
        <w:rPr>
          <w:color w:val="585858"/>
          <w:sz w:val="18"/>
        </w:rPr>
        <w:tab/>
      </w:r>
      <w:r>
        <w:rPr>
          <w:color w:val="585858"/>
          <w:spacing w:val="-2"/>
          <w:sz w:val="18"/>
        </w:rPr>
        <w:t>100%L/30:50H:L</w:t>
      </w:r>
      <w:r>
        <w:rPr>
          <w:color w:val="585858"/>
          <w:sz w:val="18"/>
        </w:rPr>
        <w:tab/>
      </w:r>
      <w:r>
        <w:rPr>
          <w:color w:val="585858"/>
          <w:spacing w:val="-2"/>
          <w:sz w:val="18"/>
        </w:rPr>
        <w:t>100%L/40:50H/L</w:t>
      </w:r>
      <w:r>
        <w:rPr>
          <w:color w:val="585858"/>
          <w:sz w:val="18"/>
        </w:rPr>
        <w:tab/>
      </w:r>
      <w:r>
        <w:rPr>
          <w:color w:val="585858"/>
          <w:spacing w:val="-2"/>
          <w:sz w:val="18"/>
        </w:rPr>
        <w:t>100%L/50:50H/L</w:t>
      </w:r>
    </w:p>
    <w:p>
      <w:pPr>
        <w:spacing w:before="150"/>
        <w:ind w:left="0" w:right="1307" w:firstLine="0"/>
        <w:jc w:val="center"/>
        <w:rPr>
          <w:sz w:val="20"/>
        </w:rPr>
      </w:pPr>
      <w:r>
        <w:rPr>
          <w:color w:val="585858"/>
          <w:sz w:val="20"/>
        </w:rPr>
        <w:t>Lemon/mixture</w:t>
      </w:r>
      <w:r>
        <w:rPr>
          <w:color w:val="585858"/>
          <w:spacing w:val="-7"/>
          <w:sz w:val="20"/>
        </w:rPr>
        <w:t> </w:t>
      </w:r>
      <w:r>
        <w:rPr>
          <w:color w:val="585858"/>
          <w:sz w:val="20"/>
        </w:rPr>
        <w:t>of</w:t>
      </w:r>
      <w:r>
        <w:rPr>
          <w:color w:val="585858"/>
          <w:spacing w:val="-8"/>
          <w:sz w:val="20"/>
        </w:rPr>
        <w:t> </w:t>
      </w:r>
      <w:r>
        <w:rPr>
          <w:color w:val="585858"/>
          <w:sz w:val="20"/>
        </w:rPr>
        <w:t>Honey</w:t>
      </w:r>
      <w:r>
        <w:rPr>
          <w:color w:val="585858"/>
          <w:spacing w:val="-7"/>
          <w:sz w:val="20"/>
        </w:rPr>
        <w:t> </w:t>
      </w:r>
      <w:r>
        <w:rPr>
          <w:color w:val="585858"/>
          <w:sz w:val="20"/>
        </w:rPr>
        <w:t>and</w:t>
      </w:r>
      <w:r>
        <w:rPr>
          <w:color w:val="585858"/>
          <w:spacing w:val="-9"/>
          <w:sz w:val="20"/>
        </w:rPr>
        <w:t> </w:t>
      </w:r>
      <w:r>
        <w:rPr>
          <w:color w:val="585858"/>
          <w:spacing w:val="-4"/>
          <w:sz w:val="20"/>
        </w:rPr>
        <w:t>Lemon</w:t>
      </w:r>
    </w:p>
    <w:p>
      <w:pPr>
        <w:spacing w:after="0"/>
        <w:jc w:val="center"/>
        <w:rPr>
          <w:sz w:val="20"/>
        </w:rPr>
        <w:sectPr>
          <w:pgSz w:w="11910" w:h="16840"/>
          <w:pgMar w:header="0" w:footer="1055" w:top="1480" w:bottom="1240" w:left="1060" w:right="460"/>
          <w:cols w:num="2" w:equalWidth="0">
            <w:col w:w="1526" w:space="40"/>
            <w:col w:w="8824"/>
          </w:cols>
        </w:sectPr>
      </w:pPr>
    </w:p>
    <w:p>
      <w:pPr>
        <w:pStyle w:val="BodyText"/>
        <w:spacing w:before="173"/>
      </w:pPr>
    </w:p>
    <w:p>
      <w:pPr>
        <w:pStyle w:val="BodyText"/>
        <w:spacing w:line="259" w:lineRule="auto"/>
        <w:ind w:left="380" w:right="975"/>
      </w:pPr>
      <w:r>
        <w:rPr/>
        <w:t>Figure</w:t>
      </w:r>
      <w:r>
        <w:rPr>
          <w:spacing w:val="-2"/>
        </w:rPr>
        <w:t> </w:t>
      </w:r>
      <w:r>
        <w:rPr/>
        <w:t>4.16:</w:t>
      </w:r>
      <w:r>
        <w:rPr>
          <w:spacing w:val="-4"/>
        </w:rPr>
        <w:t> </w:t>
      </w:r>
      <w:r>
        <w:rPr/>
        <w:t>Comparing</w:t>
      </w:r>
      <w:r>
        <w:rPr>
          <w:spacing w:val="-3"/>
        </w:rPr>
        <w:t> </w:t>
      </w:r>
      <w:r>
        <w:rPr/>
        <w:t>the</w:t>
      </w:r>
      <w:r>
        <w:rPr>
          <w:spacing w:val="-4"/>
        </w:rPr>
        <w:t> </w:t>
      </w:r>
      <w:r>
        <w:rPr/>
        <w:t>mean</w:t>
      </w:r>
      <w:r>
        <w:rPr>
          <w:spacing w:val="-3"/>
        </w:rPr>
        <w:t> </w:t>
      </w:r>
      <w:r>
        <w:rPr/>
        <w:t>zones</w:t>
      </w:r>
      <w:r>
        <w:rPr>
          <w:spacing w:val="-4"/>
        </w:rPr>
        <w:t> </w:t>
      </w:r>
      <w:r>
        <w:rPr/>
        <w:t>of</w:t>
      </w:r>
      <w:r>
        <w:rPr>
          <w:spacing w:val="-4"/>
        </w:rPr>
        <w:t> </w:t>
      </w:r>
      <w:r>
        <w:rPr/>
        <w:t>inhibition</w:t>
      </w:r>
      <w:r>
        <w:rPr>
          <w:spacing w:val="-4"/>
        </w:rPr>
        <w:t> </w:t>
      </w:r>
      <w:r>
        <w:rPr/>
        <w:t>of</w:t>
      </w:r>
      <w:r>
        <w:rPr>
          <w:spacing w:val="-2"/>
        </w:rPr>
        <w:t> </w:t>
      </w:r>
      <w:r>
        <w:rPr/>
        <w:t>Lemon juice</w:t>
      </w:r>
      <w:r>
        <w:rPr>
          <w:spacing w:val="-4"/>
        </w:rPr>
        <w:t> </w:t>
      </w:r>
      <w:r>
        <w:rPr/>
        <w:t>and</w:t>
      </w:r>
      <w:r>
        <w:rPr>
          <w:spacing w:val="-3"/>
        </w:rPr>
        <w:t> </w:t>
      </w:r>
      <w:r>
        <w:rPr/>
        <w:t>the</w:t>
      </w:r>
      <w:r>
        <w:rPr>
          <w:spacing w:val="-4"/>
        </w:rPr>
        <w:t> </w:t>
      </w:r>
      <w:r>
        <w:rPr/>
        <w:t>mixture</w:t>
      </w:r>
      <w:r>
        <w:rPr>
          <w:spacing w:val="-2"/>
        </w:rPr>
        <w:t> </w:t>
      </w:r>
      <w:r>
        <w:rPr/>
        <w:t>of</w:t>
      </w:r>
      <w:r>
        <w:rPr>
          <w:spacing w:val="-2"/>
        </w:rPr>
        <w:t> </w:t>
      </w:r>
      <w:r>
        <w:rPr/>
        <w:t>Honey</w:t>
      </w:r>
      <w:r>
        <w:rPr>
          <w:spacing w:val="-2"/>
        </w:rPr>
        <w:t> </w:t>
      </w:r>
      <w:r>
        <w:rPr/>
        <w:t>and Lemon juice against </w:t>
      </w:r>
      <w:r>
        <w:rPr>
          <w:i/>
        </w:rPr>
        <w:t>Staphylococcus aureus</w:t>
      </w:r>
      <w:r>
        <w:rPr/>
        <w:t>.</w:t>
      </w:r>
    </w:p>
    <w:p>
      <w:pPr>
        <w:pStyle w:val="BodyText"/>
      </w:pPr>
    </w:p>
    <w:p>
      <w:pPr>
        <w:pStyle w:val="BodyText"/>
        <w:spacing w:before="73"/>
      </w:pPr>
    </w:p>
    <w:p>
      <w:pPr>
        <w:pStyle w:val="BodyText"/>
        <w:ind w:left="380"/>
      </w:pPr>
      <w:r>
        <w:rPr/>
        <w:t>Key:</w:t>
      </w:r>
      <w:r>
        <w:rPr>
          <w:spacing w:val="-6"/>
        </w:rPr>
        <w:t> </w:t>
      </w:r>
      <w:r>
        <w:rPr/>
        <w:t>*=Significant</w:t>
      </w:r>
      <w:r>
        <w:rPr>
          <w:spacing w:val="-6"/>
        </w:rPr>
        <w:t> </w:t>
      </w:r>
      <w:r>
        <w:rPr/>
        <w:t>difference,</w:t>
      </w:r>
      <w:r>
        <w:rPr>
          <w:spacing w:val="-6"/>
        </w:rPr>
        <w:t> </w:t>
      </w:r>
      <w:r>
        <w:rPr/>
        <w:t>H=Honey,</w:t>
      </w:r>
      <w:r>
        <w:rPr>
          <w:spacing w:val="-8"/>
        </w:rPr>
        <w:t> </w:t>
      </w:r>
      <w:r>
        <w:rPr/>
        <w:t>L=Lemon</w:t>
      </w:r>
      <w:r>
        <w:rPr>
          <w:spacing w:val="-6"/>
        </w:rPr>
        <w:t> </w:t>
      </w:r>
      <w:r>
        <w:rPr>
          <w:spacing w:val="-2"/>
        </w:rPr>
        <w:t>juice.</w:t>
      </w:r>
    </w:p>
    <w:p>
      <w:pPr>
        <w:spacing w:after="0"/>
        <w:sectPr>
          <w:type w:val="continuous"/>
          <w:pgSz w:w="11910" w:h="16840"/>
          <w:pgMar w:header="0" w:footer="1055" w:top="1360" w:bottom="1240" w:left="1060" w:right="460"/>
        </w:sectPr>
      </w:pPr>
    </w:p>
    <w:p>
      <w:pPr>
        <w:spacing w:before="41"/>
        <w:ind w:left="1024" w:right="0" w:firstLine="0"/>
        <w:jc w:val="left"/>
        <w:rPr>
          <w:sz w:val="18"/>
        </w:rPr>
      </w:pPr>
      <w:r>
        <w:rPr>
          <w:color w:val="585858"/>
          <w:spacing w:val="-2"/>
          <w:sz w:val="18"/>
        </w:rPr>
        <w:t>30.000</w:t>
      </w:r>
    </w:p>
    <w:p>
      <w:pPr>
        <w:pStyle w:val="BodyText"/>
        <w:rPr>
          <w:sz w:val="20"/>
        </w:rPr>
      </w:pPr>
    </w:p>
    <w:p>
      <w:pPr>
        <w:pStyle w:val="BodyText"/>
        <w:rPr>
          <w:sz w:val="20"/>
        </w:rPr>
      </w:pPr>
    </w:p>
    <w:p>
      <w:pPr>
        <w:pStyle w:val="BodyText"/>
        <w:spacing w:before="153"/>
        <w:rPr>
          <w:sz w:val="20"/>
        </w:rPr>
      </w:pPr>
      <w:r>
        <w:rPr/>
        <mc:AlternateContent>
          <mc:Choice Requires="wps">
            <w:drawing>
              <wp:anchor distT="0" distB="0" distL="0" distR="0" allowOverlap="1" layoutInCell="1" locked="0" behindDoc="1" simplePos="0" relativeHeight="487651328">
                <wp:simplePos x="0" y="0"/>
                <wp:positionH relativeFrom="page">
                  <wp:posOffset>1323466</wp:posOffset>
                </wp:positionH>
                <wp:positionV relativeFrom="paragraph">
                  <wp:posOffset>267457</wp:posOffset>
                </wp:positionV>
                <wp:extent cx="331470" cy="808355"/>
                <wp:effectExtent l="0" t="0" r="0" b="0"/>
                <wp:wrapTopAndBottom/>
                <wp:docPr id="390" name="Group 390"/>
                <wp:cNvGraphicFramePr>
                  <a:graphicFrameLocks/>
                </wp:cNvGraphicFramePr>
                <a:graphic>
                  <a:graphicData uri="http://schemas.microsoft.com/office/word/2010/wordprocessingGroup">
                    <wpg:wgp>
                      <wpg:cNvPr id="390" name="Group 390"/>
                      <wpg:cNvGrpSpPr/>
                      <wpg:grpSpPr>
                        <a:xfrm>
                          <a:off x="0" y="0"/>
                          <a:ext cx="331470" cy="808355"/>
                          <a:chExt cx="331470" cy="808355"/>
                        </a:xfrm>
                      </wpg:grpSpPr>
                      <wps:wsp>
                        <wps:cNvPr id="391" name="Textbox 391"/>
                        <wps:cNvSpPr txBox="1"/>
                        <wps:spPr>
                          <a:xfrm>
                            <a:off x="0" y="0"/>
                            <a:ext cx="331470" cy="114300"/>
                          </a:xfrm>
                          <a:prstGeom prst="rect">
                            <a:avLst/>
                          </a:prstGeom>
                        </wps:spPr>
                        <wps:txbx>
                          <w:txbxContent>
                            <w:p>
                              <w:pPr>
                                <w:spacing w:line="180" w:lineRule="exact" w:before="0"/>
                                <w:ind w:left="0" w:right="0" w:firstLine="0"/>
                                <w:jc w:val="left"/>
                                <w:rPr>
                                  <w:sz w:val="18"/>
                                </w:rPr>
                              </w:pPr>
                              <w:r>
                                <w:rPr>
                                  <w:color w:val="585858"/>
                                  <w:spacing w:val="-2"/>
                                  <w:sz w:val="18"/>
                                </w:rPr>
                                <w:t>25.000</w:t>
                              </w:r>
                            </w:p>
                          </w:txbxContent>
                        </wps:txbx>
                        <wps:bodyPr wrap="square" lIns="0" tIns="0" rIns="0" bIns="0" rtlCol="0">
                          <a:noAutofit/>
                        </wps:bodyPr>
                      </wps:wsp>
                      <wps:wsp>
                        <wps:cNvPr id="392" name="Textbox 392"/>
                        <wps:cNvSpPr txBox="1"/>
                        <wps:spPr>
                          <a:xfrm>
                            <a:off x="0" y="693801"/>
                            <a:ext cx="331470" cy="114300"/>
                          </a:xfrm>
                          <a:prstGeom prst="rect">
                            <a:avLst/>
                          </a:prstGeom>
                        </wps:spPr>
                        <wps:txbx>
                          <w:txbxContent>
                            <w:p>
                              <w:pPr>
                                <w:spacing w:line="180" w:lineRule="exact" w:before="0"/>
                                <w:ind w:left="0" w:right="0" w:firstLine="0"/>
                                <w:jc w:val="left"/>
                                <w:rPr>
                                  <w:sz w:val="18"/>
                                </w:rPr>
                              </w:pPr>
                              <w:r>
                                <w:rPr>
                                  <w:color w:val="585858"/>
                                  <w:spacing w:val="-2"/>
                                  <w:sz w:val="18"/>
                                </w:rPr>
                                <w:t>20.000</w:t>
                              </w:r>
                            </w:p>
                          </w:txbxContent>
                        </wps:txbx>
                        <wps:bodyPr wrap="square" lIns="0" tIns="0" rIns="0" bIns="0" rtlCol="0">
                          <a:noAutofit/>
                        </wps:bodyPr>
                      </wps:wsp>
                    </wpg:wgp>
                  </a:graphicData>
                </a:graphic>
              </wp:anchor>
            </w:drawing>
          </mc:Choice>
          <mc:Fallback>
            <w:pict>
              <v:group style="position:absolute;margin-left:104.209999pt;margin-top:21.059608pt;width:26.1pt;height:63.65pt;mso-position-horizontal-relative:page;mso-position-vertical-relative:paragraph;z-index:-15665152;mso-wrap-distance-left:0;mso-wrap-distance-right:0" id="docshapegroup342" coordorigin="2084,421" coordsize="522,1273">
                <v:shape style="position:absolute;left:2084;top:421;width:522;height:180" type="#_x0000_t202" id="docshape343" filled="false" stroked="false">
                  <v:textbox inset="0,0,0,0">
                    <w:txbxContent>
                      <w:p>
                        <w:pPr>
                          <w:spacing w:line="180" w:lineRule="exact" w:before="0"/>
                          <w:ind w:left="0" w:right="0" w:firstLine="0"/>
                          <w:jc w:val="left"/>
                          <w:rPr>
                            <w:sz w:val="18"/>
                          </w:rPr>
                        </w:pPr>
                        <w:r>
                          <w:rPr>
                            <w:color w:val="585858"/>
                            <w:spacing w:val="-2"/>
                            <w:sz w:val="18"/>
                          </w:rPr>
                          <w:t>25.000</w:t>
                        </w:r>
                      </w:p>
                    </w:txbxContent>
                  </v:textbox>
                  <w10:wrap type="none"/>
                </v:shape>
                <v:shape style="position:absolute;left:2084;top:1513;width:522;height:180" type="#_x0000_t202" id="docshape344" filled="false" stroked="false">
                  <v:textbox inset="0,0,0,0">
                    <w:txbxContent>
                      <w:p>
                        <w:pPr>
                          <w:spacing w:line="180" w:lineRule="exact" w:before="0"/>
                          <w:ind w:left="0" w:right="0" w:firstLine="0"/>
                          <w:jc w:val="left"/>
                          <w:rPr>
                            <w:sz w:val="18"/>
                          </w:rPr>
                        </w:pPr>
                        <w:r>
                          <w:rPr>
                            <w:color w:val="585858"/>
                            <w:spacing w:val="-2"/>
                            <w:sz w:val="18"/>
                          </w:rPr>
                          <w:t>20.000</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51840">
                <wp:simplePos x="0" y="0"/>
                <wp:positionH relativeFrom="page">
                  <wp:posOffset>2062352</wp:posOffset>
                </wp:positionH>
                <wp:positionV relativeFrom="paragraph">
                  <wp:posOffset>1264153</wp:posOffset>
                </wp:positionV>
                <wp:extent cx="57150" cy="1270"/>
                <wp:effectExtent l="0" t="0" r="0" b="0"/>
                <wp:wrapTopAndBottom/>
                <wp:docPr id="393" name="Graphic 393"/>
                <wp:cNvGraphicFramePr>
                  <a:graphicFrameLocks/>
                </wp:cNvGraphicFramePr>
                <a:graphic>
                  <a:graphicData uri="http://schemas.microsoft.com/office/word/2010/wordprocessingShape">
                    <wps:wsp>
                      <wps:cNvPr id="393" name="Graphic 393"/>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162.389999pt;margin-top:99.539612pt;width:4.5pt;height:.1pt;mso-position-horizontal-relative:page;mso-position-vertical-relative:paragraph;z-index:-15664640;mso-wrap-distance-left:0;mso-wrap-distance-right:0" id="docshape345" coordorigin="3248,1991" coordsize="90,0" path="m3248,1991l3338,1991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52352">
                <wp:simplePos x="0" y="0"/>
                <wp:positionH relativeFrom="page">
                  <wp:posOffset>3003676</wp:posOffset>
                </wp:positionH>
                <wp:positionV relativeFrom="paragraph">
                  <wp:posOffset>1264153</wp:posOffset>
                </wp:positionV>
                <wp:extent cx="57150" cy="1270"/>
                <wp:effectExtent l="0" t="0" r="0" b="0"/>
                <wp:wrapTopAndBottom/>
                <wp:docPr id="394" name="Graphic 394"/>
                <wp:cNvGraphicFramePr>
                  <a:graphicFrameLocks/>
                </wp:cNvGraphicFramePr>
                <a:graphic>
                  <a:graphicData uri="http://schemas.microsoft.com/office/word/2010/wordprocessingShape">
                    <wps:wsp>
                      <wps:cNvPr id="394" name="Graphic 394"/>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236.509995pt;margin-top:99.539612pt;width:4.5pt;height:.1pt;mso-position-horizontal-relative:page;mso-position-vertical-relative:paragraph;z-index:-15664128;mso-wrap-distance-left:0;mso-wrap-distance-right:0" id="docshape346" coordorigin="4730,1991" coordsize="90,0" path="m4730,1991l4820,1991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52864">
                <wp:simplePos x="0" y="0"/>
                <wp:positionH relativeFrom="page">
                  <wp:posOffset>3945128</wp:posOffset>
                </wp:positionH>
                <wp:positionV relativeFrom="paragraph">
                  <wp:posOffset>1264153</wp:posOffset>
                </wp:positionV>
                <wp:extent cx="57150" cy="1270"/>
                <wp:effectExtent l="0" t="0" r="0" b="0"/>
                <wp:wrapTopAndBottom/>
                <wp:docPr id="395" name="Graphic 395"/>
                <wp:cNvGraphicFramePr>
                  <a:graphicFrameLocks/>
                </wp:cNvGraphicFramePr>
                <a:graphic>
                  <a:graphicData uri="http://schemas.microsoft.com/office/word/2010/wordprocessingShape">
                    <wps:wsp>
                      <wps:cNvPr id="395" name="Graphic 395"/>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310.640015pt;margin-top:99.539612pt;width:4.5pt;height:.1pt;mso-position-horizontal-relative:page;mso-position-vertical-relative:paragraph;z-index:-15663616;mso-wrap-distance-left:0;mso-wrap-distance-right:0" id="docshape347" coordorigin="6213,1991" coordsize="90,0" path="m6213,1991l6303,1991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53376">
                <wp:simplePos x="0" y="0"/>
                <wp:positionH relativeFrom="page">
                  <wp:posOffset>4886452</wp:posOffset>
                </wp:positionH>
                <wp:positionV relativeFrom="paragraph">
                  <wp:posOffset>1264153</wp:posOffset>
                </wp:positionV>
                <wp:extent cx="57150" cy="1270"/>
                <wp:effectExtent l="0" t="0" r="0" b="0"/>
                <wp:wrapTopAndBottom/>
                <wp:docPr id="396" name="Graphic 396"/>
                <wp:cNvGraphicFramePr>
                  <a:graphicFrameLocks/>
                </wp:cNvGraphicFramePr>
                <a:graphic>
                  <a:graphicData uri="http://schemas.microsoft.com/office/word/2010/wordprocessingShape">
                    <wps:wsp>
                      <wps:cNvPr id="396" name="Graphic 396"/>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384.76001pt;margin-top:99.539612pt;width:4.5pt;height:.1pt;mso-position-horizontal-relative:page;mso-position-vertical-relative:paragraph;z-index:-15663104;mso-wrap-distance-left:0;mso-wrap-distance-right:0" id="docshape348" coordorigin="7695,1991" coordsize="90,0" path="m7695,1991l7785,1991e" filled="false" stroked="true" strokeweight="1pt" strokecolor="#58585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53888">
                <wp:simplePos x="0" y="0"/>
                <wp:positionH relativeFrom="page">
                  <wp:posOffset>5827776</wp:posOffset>
                </wp:positionH>
                <wp:positionV relativeFrom="paragraph">
                  <wp:posOffset>1264153</wp:posOffset>
                </wp:positionV>
                <wp:extent cx="57150" cy="1270"/>
                <wp:effectExtent l="0" t="0" r="0" b="0"/>
                <wp:wrapTopAndBottom/>
                <wp:docPr id="397" name="Graphic 397"/>
                <wp:cNvGraphicFramePr>
                  <a:graphicFrameLocks/>
                </wp:cNvGraphicFramePr>
                <a:graphic>
                  <a:graphicData uri="http://schemas.microsoft.com/office/word/2010/wordprocessingShape">
                    <wps:wsp>
                      <wps:cNvPr id="397" name="Graphic 397"/>
                      <wps:cNvSpPr/>
                      <wps:spPr>
                        <a:xfrm>
                          <a:off x="0" y="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a:graphicData>
                </a:graphic>
              </wp:anchor>
            </w:drawing>
          </mc:Choice>
          <mc:Fallback>
            <w:pict>
              <v:shape style="position:absolute;margin-left:458.880005pt;margin-top:99.539612pt;width:4.5pt;height:.1pt;mso-position-horizontal-relative:page;mso-position-vertical-relative:paragraph;z-index:-15662592;mso-wrap-distance-left:0;mso-wrap-distance-right:0" id="docshape349" coordorigin="9178,1991" coordsize="90,0" path="m9178,1991l9268,1991e" filled="false" stroked="true" strokeweight="1pt" strokecolor="#585858">
                <v:path arrowok="t"/>
                <v:stroke dashstyle="solid"/>
                <w10:wrap type="topAndBottom"/>
              </v:shape>
            </w:pict>
          </mc:Fallback>
        </mc:AlternateContent>
      </w:r>
    </w:p>
    <w:p>
      <w:pPr>
        <w:pStyle w:val="BodyText"/>
        <w:spacing w:before="28"/>
        <w:rPr>
          <w:sz w:val="20"/>
        </w:rPr>
      </w:pPr>
    </w:p>
    <w:p>
      <w:pPr>
        <w:pStyle w:val="BodyText"/>
        <w:rPr>
          <w:sz w:val="18"/>
        </w:rPr>
      </w:pPr>
    </w:p>
    <w:p>
      <w:pPr>
        <w:pStyle w:val="BodyText"/>
        <w:spacing w:before="130"/>
        <w:rPr>
          <w:sz w:val="18"/>
        </w:rPr>
      </w:pPr>
    </w:p>
    <w:p>
      <w:pPr>
        <w:spacing w:before="0"/>
        <w:ind w:left="1024" w:right="0" w:firstLine="0"/>
        <w:jc w:val="left"/>
        <w:rPr>
          <w:sz w:val="18"/>
        </w:rPr>
      </w:pPr>
      <w:r>
        <w:rPr/>
        <mc:AlternateContent>
          <mc:Choice Requires="wps">
            <w:drawing>
              <wp:anchor distT="0" distB="0" distL="0" distR="0" allowOverlap="1" layoutInCell="1" locked="0" behindDoc="1" simplePos="0" relativeHeight="472770048">
                <wp:simplePos x="0" y="0"/>
                <wp:positionH relativeFrom="page">
                  <wp:posOffset>1985772</wp:posOffset>
                </wp:positionH>
                <wp:positionV relativeFrom="paragraph">
                  <wp:posOffset>-503588</wp:posOffset>
                </wp:positionV>
                <wp:extent cx="210820" cy="2661285"/>
                <wp:effectExtent l="0" t="0" r="0" b="0"/>
                <wp:wrapNone/>
                <wp:docPr id="398" name="Group 398"/>
                <wp:cNvGraphicFramePr>
                  <a:graphicFrameLocks/>
                </wp:cNvGraphicFramePr>
                <a:graphic>
                  <a:graphicData uri="http://schemas.microsoft.com/office/word/2010/wordprocessingGroup">
                    <wpg:wgp>
                      <wpg:cNvPr id="398" name="Group 398"/>
                      <wpg:cNvGrpSpPr/>
                      <wpg:grpSpPr>
                        <a:xfrm>
                          <a:off x="0" y="0"/>
                          <a:ext cx="210820" cy="2661285"/>
                          <a:chExt cx="210820" cy="2661285"/>
                        </a:xfrm>
                      </wpg:grpSpPr>
                      <wps:wsp>
                        <wps:cNvPr id="399" name="Graphic 399"/>
                        <wps:cNvSpPr/>
                        <wps:spPr>
                          <a:xfrm>
                            <a:off x="0" y="71755"/>
                            <a:ext cx="210820" cy="2589530"/>
                          </a:xfrm>
                          <a:custGeom>
                            <a:avLst/>
                            <a:gdLst/>
                            <a:ahLst/>
                            <a:cxnLst/>
                            <a:rect l="l" t="t" r="r" b="b"/>
                            <a:pathLst>
                              <a:path w="210820" h="2589530">
                                <a:moveTo>
                                  <a:pt x="210311" y="0"/>
                                </a:moveTo>
                                <a:lnTo>
                                  <a:pt x="0" y="0"/>
                                </a:lnTo>
                                <a:lnTo>
                                  <a:pt x="0" y="2589275"/>
                                </a:lnTo>
                                <a:lnTo>
                                  <a:pt x="210311" y="2589275"/>
                                </a:lnTo>
                                <a:lnTo>
                                  <a:pt x="210311" y="0"/>
                                </a:lnTo>
                                <a:close/>
                              </a:path>
                            </a:pathLst>
                          </a:custGeom>
                          <a:solidFill>
                            <a:srgbClr val="5B9BD4"/>
                          </a:solidFill>
                        </wps:spPr>
                        <wps:bodyPr wrap="square" lIns="0" tIns="0" rIns="0" bIns="0" rtlCol="0">
                          <a:prstTxWarp prst="textNoShape">
                            <a:avLst/>
                          </a:prstTxWarp>
                          <a:noAutofit/>
                        </wps:bodyPr>
                      </wps:wsp>
                      <wps:wsp>
                        <wps:cNvPr id="400" name="Graphic 400"/>
                        <wps:cNvSpPr/>
                        <wps:spPr>
                          <a:xfrm>
                            <a:off x="76581" y="6350"/>
                            <a:ext cx="57150" cy="129539"/>
                          </a:xfrm>
                          <a:custGeom>
                            <a:avLst/>
                            <a:gdLst/>
                            <a:ahLst/>
                            <a:cxnLst/>
                            <a:rect l="l" t="t" r="r" b="b"/>
                            <a:pathLst>
                              <a:path w="57150" h="129539">
                                <a:moveTo>
                                  <a:pt x="28575" y="129286"/>
                                </a:moveTo>
                                <a:lnTo>
                                  <a:pt x="28575" y="64643"/>
                                </a:lnTo>
                                <a:lnTo>
                                  <a:pt x="28575" y="0"/>
                                </a:lnTo>
                              </a:path>
                              <a:path w="57150" h="129539">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6.360001pt;margin-top:-39.652657pt;width:16.6pt;height:209.55pt;mso-position-horizontal-relative:page;mso-position-vertical-relative:paragraph;z-index:-30546432" id="docshapegroup350" coordorigin="3127,-793" coordsize="332,4191">
                <v:rect style="position:absolute;left:3127;top:-681;width:332;height:4078" id="docshape351" filled="true" fillcolor="#5b9bd4" stroked="false">
                  <v:fill type="solid"/>
                </v:rect>
                <v:shape style="position:absolute;left:3247;top:-784;width:90;height:204" id="docshape352" coordorigin="3248,-783" coordsize="90,204" path="m3293,-579l3293,-681,3293,-783m3248,-783l3338,-783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70560">
                <wp:simplePos x="0" y="0"/>
                <wp:positionH relativeFrom="page">
                  <wp:posOffset>2926079</wp:posOffset>
                </wp:positionH>
                <wp:positionV relativeFrom="paragraph">
                  <wp:posOffset>-503588</wp:posOffset>
                </wp:positionV>
                <wp:extent cx="212090" cy="2661285"/>
                <wp:effectExtent l="0" t="0" r="0" b="0"/>
                <wp:wrapNone/>
                <wp:docPr id="401" name="Group 401"/>
                <wp:cNvGraphicFramePr>
                  <a:graphicFrameLocks/>
                </wp:cNvGraphicFramePr>
                <a:graphic>
                  <a:graphicData uri="http://schemas.microsoft.com/office/word/2010/wordprocessingGroup">
                    <wpg:wgp>
                      <wpg:cNvPr id="401" name="Group 401"/>
                      <wpg:cNvGrpSpPr/>
                      <wpg:grpSpPr>
                        <a:xfrm>
                          <a:off x="0" y="0"/>
                          <a:ext cx="212090" cy="2661285"/>
                          <a:chExt cx="212090" cy="2661285"/>
                        </a:xfrm>
                      </wpg:grpSpPr>
                      <wps:wsp>
                        <wps:cNvPr id="402" name="Graphic 402"/>
                        <wps:cNvSpPr/>
                        <wps:spPr>
                          <a:xfrm>
                            <a:off x="0" y="71755"/>
                            <a:ext cx="212090" cy="2589530"/>
                          </a:xfrm>
                          <a:custGeom>
                            <a:avLst/>
                            <a:gdLst/>
                            <a:ahLst/>
                            <a:cxnLst/>
                            <a:rect l="l" t="t" r="r" b="b"/>
                            <a:pathLst>
                              <a:path w="212090" h="2589530">
                                <a:moveTo>
                                  <a:pt x="211836" y="0"/>
                                </a:moveTo>
                                <a:lnTo>
                                  <a:pt x="0" y="0"/>
                                </a:lnTo>
                                <a:lnTo>
                                  <a:pt x="0" y="2589275"/>
                                </a:lnTo>
                                <a:lnTo>
                                  <a:pt x="211836" y="2589275"/>
                                </a:lnTo>
                                <a:lnTo>
                                  <a:pt x="211836" y="0"/>
                                </a:lnTo>
                                <a:close/>
                              </a:path>
                            </a:pathLst>
                          </a:custGeom>
                          <a:solidFill>
                            <a:srgbClr val="5B9BD4"/>
                          </a:solidFill>
                        </wps:spPr>
                        <wps:bodyPr wrap="square" lIns="0" tIns="0" rIns="0" bIns="0" rtlCol="0">
                          <a:prstTxWarp prst="textNoShape">
                            <a:avLst/>
                          </a:prstTxWarp>
                          <a:noAutofit/>
                        </wps:bodyPr>
                      </wps:wsp>
                      <wps:wsp>
                        <wps:cNvPr id="403" name="Graphic 403"/>
                        <wps:cNvSpPr/>
                        <wps:spPr>
                          <a:xfrm>
                            <a:off x="77597" y="6350"/>
                            <a:ext cx="57150" cy="129539"/>
                          </a:xfrm>
                          <a:custGeom>
                            <a:avLst/>
                            <a:gdLst/>
                            <a:ahLst/>
                            <a:cxnLst/>
                            <a:rect l="l" t="t" r="r" b="b"/>
                            <a:pathLst>
                              <a:path w="57150" h="129539">
                                <a:moveTo>
                                  <a:pt x="28575" y="129286"/>
                                </a:moveTo>
                                <a:lnTo>
                                  <a:pt x="28575" y="64643"/>
                                </a:lnTo>
                                <a:lnTo>
                                  <a:pt x="28575" y="0"/>
                                </a:lnTo>
                              </a:path>
                              <a:path w="57150" h="129539">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0.399994pt;margin-top:-39.652657pt;width:16.7pt;height:209.55pt;mso-position-horizontal-relative:page;mso-position-vertical-relative:paragraph;z-index:-30545920" id="docshapegroup353" coordorigin="4608,-793" coordsize="334,4191">
                <v:rect style="position:absolute;left:4608;top:-681;width:334;height:4078" id="docshape354" filled="true" fillcolor="#5b9bd4" stroked="false">
                  <v:fill type="solid"/>
                </v:rect>
                <v:shape style="position:absolute;left:4730;top:-784;width:90;height:204" id="docshape355" coordorigin="4730,-783" coordsize="90,204" path="m4775,-579l4775,-681,4775,-783m4730,-783l4820,-783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71072">
                <wp:simplePos x="0" y="0"/>
                <wp:positionH relativeFrom="page">
                  <wp:posOffset>3867911</wp:posOffset>
                </wp:positionH>
                <wp:positionV relativeFrom="paragraph">
                  <wp:posOffset>-503588</wp:posOffset>
                </wp:positionV>
                <wp:extent cx="212090" cy="2661285"/>
                <wp:effectExtent l="0" t="0" r="0" b="0"/>
                <wp:wrapNone/>
                <wp:docPr id="404" name="Group 404"/>
                <wp:cNvGraphicFramePr>
                  <a:graphicFrameLocks/>
                </wp:cNvGraphicFramePr>
                <a:graphic>
                  <a:graphicData uri="http://schemas.microsoft.com/office/word/2010/wordprocessingGroup">
                    <wpg:wgp>
                      <wpg:cNvPr id="404" name="Group 404"/>
                      <wpg:cNvGrpSpPr/>
                      <wpg:grpSpPr>
                        <a:xfrm>
                          <a:off x="0" y="0"/>
                          <a:ext cx="212090" cy="2661285"/>
                          <a:chExt cx="212090" cy="2661285"/>
                        </a:xfrm>
                      </wpg:grpSpPr>
                      <wps:wsp>
                        <wps:cNvPr id="405" name="Graphic 405"/>
                        <wps:cNvSpPr/>
                        <wps:spPr>
                          <a:xfrm>
                            <a:off x="0" y="71755"/>
                            <a:ext cx="212090" cy="2589530"/>
                          </a:xfrm>
                          <a:custGeom>
                            <a:avLst/>
                            <a:gdLst/>
                            <a:ahLst/>
                            <a:cxnLst/>
                            <a:rect l="l" t="t" r="r" b="b"/>
                            <a:pathLst>
                              <a:path w="212090" h="2589530">
                                <a:moveTo>
                                  <a:pt x="211836" y="0"/>
                                </a:moveTo>
                                <a:lnTo>
                                  <a:pt x="0" y="0"/>
                                </a:lnTo>
                                <a:lnTo>
                                  <a:pt x="0" y="2589275"/>
                                </a:lnTo>
                                <a:lnTo>
                                  <a:pt x="211836" y="2589275"/>
                                </a:lnTo>
                                <a:lnTo>
                                  <a:pt x="211836" y="0"/>
                                </a:lnTo>
                                <a:close/>
                              </a:path>
                            </a:pathLst>
                          </a:custGeom>
                          <a:solidFill>
                            <a:srgbClr val="5B9BD4"/>
                          </a:solidFill>
                        </wps:spPr>
                        <wps:bodyPr wrap="square" lIns="0" tIns="0" rIns="0" bIns="0" rtlCol="0">
                          <a:prstTxWarp prst="textNoShape">
                            <a:avLst/>
                          </a:prstTxWarp>
                          <a:noAutofit/>
                        </wps:bodyPr>
                      </wps:wsp>
                      <wps:wsp>
                        <wps:cNvPr id="406" name="Graphic 406"/>
                        <wps:cNvSpPr/>
                        <wps:spPr>
                          <a:xfrm>
                            <a:off x="77215" y="6350"/>
                            <a:ext cx="57150" cy="129539"/>
                          </a:xfrm>
                          <a:custGeom>
                            <a:avLst/>
                            <a:gdLst/>
                            <a:ahLst/>
                            <a:cxnLst/>
                            <a:rect l="l" t="t" r="r" b="b"/>
                            <a:pathLst>
                              <a:path w="57150" h="129539">
                                <a:moveTo>
                                  <a:pt x="28575" y="129286"/>
                                </a:moveTo>
                                <a:lnTo>
                                  <a:pt x="28575" y="64643"/>
                                </a:lnTo>
                                <a:lnTo>
                                  <a:pt x="28575" y="0"/>
                                </a:lnTo>
                              </a:path>
                              <a:path w="57150" h="129539">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559998pt;margin-top:-39.652657pt;width:16.7pt;height:209.55pt;mso-position-horizontal-relative:page;mso-position-vertical-relative:paragraph;z-index:-30545408" id="docshapegroup356" coordorigin="6091,-793" coordsize="334,4191">
                <v:rect style="position:absolute;left:6091;top:-681;width:334;height:4078" id="docshape357" filled="true" fillcolor="#5b9bd4" stroked="false">
                  <v:fill type="solid"/>
                </v:rect>
                <v:shape style="position:absolute;left:6212;top:-784;width:90;height:204" id="docshape358" coordorigin="6213,-783" coordsize="90,204" path="m6258,-579l6258,-681,6258,-783m6213,-783l6303,-783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71584">
                <wp:simplePos x="0" y="0"/>
                <wp:positionH relativeFrom="page">
                  <wp:posOffset>4809744</wp:posOffset>
                </wp:positionH>
                <wp:positionV relativeFrom="paragraph">
                  <wp:posOffset>-503588</wp:posOffset>
                </wp:positionV>
                <wp:extent cx="212090" cy="2661285"/>
                <wp:effectExtent l="0" t="0" r="0" b="0"/>
                <wp:wrapNone/>
                <wp:docPr id="407" name="Group 407"/>
                <wp:cNvGraphicFramePr>
                  <a:graphicFrameLocks/>
                </wp:cNvGraphicFramePr>
                <a:graphic>
                  <a:graphicData uri="http://schemas.microsoft.com/office/word/2010/wordprocessingGroup">
                    <wpg:wgp>
                      <wpg:cNvPr id="407" name="Group 407"/>
                      <wpg:cNvGrpSpPr/>
                      <wpg:grpSpPr>
                        <a:xfrm>
                          <a:off x="0" y="0"/>
                          <a:ext cx="212090" cy="2661285"/>
                          <a:chExt cx="212090" cy="2661285"/>
                        </a:xfrm>
                      </wpg:grpSpPr>
                      <wps:wsp>
                        <wps:cNvPr id="408" name="Graphic 408"/>
                        <wps:cNvSpPr/>
                        <wps:spPr>
                          <a:xfrm>
                            <a:off x="0" y="71755"/>
                            <a:ext cx="212090" cy="2589530"/>
                          </a:xfrm>
                          <a:custGeom>
                            <a:avLst/>
                            <a:gdLst/>
                            <a:ahLst/>
                            <a:cxnLst/>
                            <a:rect l="l" t="t" r="r" b="b"/>
                            <a:pathLst>
                              <a:path w="212090" h="2589530">
                                <a:moveTo>
                                  <a:pt x="211835" y="0"/>
                                </a:moveTo>
                                <a:lnTo>
                                  <a:pt x="0" y="0"/>
                                </a:lnTo>
                                <a:lnTo>
                                  <a:pt x="0" y="2589275"/>
                                </a:lnTo>
                                <a:lnTo>
                                  <a:pt x="211835" y="2589275"/>
                                </a:lnTo>
                                <a:lnTo>
                                  <a:pt x="211835" y="0"/>
                                </a:lnTo>
                                <a:close/>
                              </a:path>
                            </a:pathLst>
                          </a:custGeom>
                          <a:solidFill>
                            <a:srgbClr val="5B9BD4"/>
                          </a:solidFill>
                        </wps:spPr>
                        <wps:bodyPr wrap="square" lIns="0" tIns="0" rIns="0" bIns="0" rtlCol="0">
                          <a:prstTxWarp prst="textNoShape">
                            <a:avLst/>
                          </a:prstTxWarp>
                          <a:noAutofit/>
                        </wps:bodyPr>
                      </wps:wsp>
                      <wps:wsp>
                        <wps:cNvPr id="409" name="Graphic 409"/>
                        <wps:cNvSpPr/>
                        <wps:spPr>
                          <a:xfrm>
                            <a:off x="76707" y="6350"/>
                            <a:ext cx="57150" cy="129539"/>
                          </a:xfrm>
                          <a:custGeom>
                            <a:avLst/>
                            <a:gdLst/>
                            <a:ahLst/>
                            <a:cxnLst/>
                            <a:rect l="l" t="t" r="r" b="b"/>
                            <a:pathLst>
                              <a:path w="57150" h="129539">
                                <a:moveTo>
                                  <a:pt x="28575" y="129286"/>
                                </a:moveTo>
                                <a:lnTo>
                                  <a:pt x="28575" y="64643"/>
                                </a:lnTo>
                                <a:lnTo>
                                  <a:pt x="28575" y="0"/>
                                </a:lnTo>
                              </a:path>
                              <a:path w="57150" h="129539">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8.720001pt;margin-top:-39.652657pt;width:16.7pt;height:209.55pt;mso-position-horizontal-relative:page;mso-position-vertical-relative:paragraph;z-index:-30544896" id="docshapegroup359" coordorigin="7574,-793" coordsize="334,4191">
                <v:rect style="position:absolute;left:7574;top:-681;width:334;height:4078" id="docshape360" filled="true" fillcolor="#5b9bd4" stroked="false">
                  <v:fill type="solid"/>
                </v:rect>
                <v:shape style="position:absolute;left:7695;top:-784;width:90;height:204" id="docshape361" coordorigin="7695,-783" coordsize="90,204" path="m7740,-579l7740,-681,7740,-783m7695,-783l7785,-783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72096">
                <wp:simplePos x="0" y="0"/>
                <wp:positionH relativeFrom="page">
                  <wp:posOffset>5751576</wp:posOffset>
                </wp:positionH>
                <wp:positionV relativeFrom="paragraph">
                  <wp:posOffset>-503588</wp:posOffset>
                </wp:positionV>
                <wp:extent cx="210820" cy="2661285"/>
                <wp:effectExtent l="0" t="0" r="0" b="0"/>
                <wp:wrapNone/>
                <wp:docPr id="410" name="Group 410"/>
                <wp:cNvGraphicFramePr>
                  <a:graphicFrameLocks/>
                </wp:cNvGraphicFramePr>
                <a:graphic>
                  <a:graphicData uri="http://schemas.microsoft.com/office/word/2010/wordprocessingGroup">
                    <wpg:wgp>
                      <wpg:cNvPr id="410" name="Group 410"/>
                      <wpg:cNvGrpSpPr/>
                      <wpg:grpSpPr>
                        <a:xfrm>
                          <a:off x="0" y="0"/>
                          <a:ext cx="210820" cy="2661285"/>
                          <a:chExt cx="210820" cy="2661285"/>
                        </a:xfrm>
                      </wpg:grpSpPr>
                      <wps:wsp>
                        <wps:cNvPr id="411" name="Graphic 411"/>
                        <wps:cNvSpPr/>
                        <wps:spPr>
                          <a:xfrm>
                            <a:off x="0" y="71755"/>
                            <a:ext cx="210820" cy="2589530"/>
                          </a:xfrm>
                          <a:custGeom>
                            <a:avLst/>
                            <a:gdLst/>
                            <a:ahLst/>
                            <a:cxnLst/>
                            <a:rect l="l" t="t" r="r" b="b"/>
                            <a:pathLst>
                              <a:path w="210820" h="2589530">
                                <a:moveTo>
                                  <a:pt x="210312" y="0"/>
                                </a:moveTo>
                                <a:lnTo>
                                  <a:pt x="0" y="0"/>
                                </a:lnTo>
                                <a:lnTo>
                                  <a:pt x="0" y="2589275"/>
                                </a:lnTo>
                                <a:lnTo>
                                  <a:pt x="210312" y="2589275"/>
                                </a:lnTo>
                                <a:lnTo>
                                  <a:pt x="210312" y="0"/>
                                </a:lnTo>
                                <a:close/>
                              </a:path>
                            </a:pathLst>
                          </a:custGeom>
                          <a:solidFill>
                            <a:srgbClr val="5B9BD4"/>
                          </a:solidFill>
                        </wps:spPr>
                        <wps:bodyPr wrap="square" lIns="0" tIns="0" rIns="0" bIns="0" rtlCol="0">
                          <a:prstTxWarp prst="textNoShape">
                            <a:avLst/>
                          </a:prstTxWarp>
                          <a:noAutofit/>
                        </wps:bodyPr>
                      </wps:wsp>
                      <wps:wsp>
                        <wps:cNvPr id="412" name="Graphic 412"/>
                        <wps:cNvSpPr/>
                        <wps:spPr>
                          <a:xfrm>
                            <a:off x="76200" y="6350"/>
                            <a:ext cx="57150" cy="129539"/>
                          </a:xfrm>
                          <a:custGeom>
                            <a:avLst/>
                            <a:gdLst/>
                            <a:ahLst/>
                            <a:cxnLst/>
                            <a:rect l="l" t="t" r="r" b="b"/>
                            <a:pathLst>
                              <a:path w="57150" h="129539">
                                <a:moveTo>
                                  <a:pt x="28575" y="129286"/>
                                </a:moveTo>
                                <a:lnTo>
                                  <a:pt x="28575" y="64643"/>
                                </a:lnTo>
                                <a:lnTo>
                                  <a:pt x="28575" y="0"/>
                                </a:lnTo>
                              </a:path>
                              <a:path w="57150" h="129539">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2.880005pt;margin-top:-39.652657pt;width:16.6pt;height:209.55pt;mso-position-horizontal-relative:page;mso-position-vertical-relative:paragraph;z-index:-30544384" id="docshapegroup362" coordorigin="9058,-793" coordsize="332,4191">
                <v:rect style="position:absolute;left:9057;top:-681;width:332;height:4078" id="docshape363" filled="true" fillcolor="#5b9bd4" stroked="false">
                  <v:fill type="solid"/>
                </v:rect>
                <v:shape style="position:absolute;left:9177;top:-784;width:90;height:204" id="docshape364" coordorigin="9178,-783" coordsize="90,204" path="m9223,-579l9223,-681,9223,-783m9178,-783l9268,-783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97760">
                <wp:simplePos x="0" y="0"/>
                <wp:positionH relativeFrom="page">
                  <wp:posOffset>2253995</wp:posOffset>
                </wp:positionH>
                <wp:positionV relativeFrom="paragraph">
                  <wp:posOffset>-736887</wp:posOffset>
                </wp:positionV>
                <wp:extent cx="210820" cy="2894330"/>
                <wp:effectExtent l="0" t="0" r="0" b="0"/>
                <wp:wrapNone/>
                <wp:docPr id="413" name="Group 413"/>
                <wp:cNvGraphicFramePr>
                  <a:graphicFrameLocks/>
                </wp:cNvGraphicFramePr>
                <a:graphic>
                  <a:graphicData uri="http://schemas.microsoft.com/office/word/2010/wordprocessingGroup">
                    <wpg:wgp>
                      <wpg:cNvPr id="413" name="Group 413"/>
                      <wpg:cNvGrpSpPr/>
                      <wpg:grpSpPr>
                        <a:xfrm>
                          <a:off x="0" y="0"/>
                          <a:ext cx="210820" cy="2894330"/>
                          <a:chExt cx="210820" cy="2894330"/>
                        </a:xfrm>
                      </wpg:grpSpPr>
                      <wps:wsp>
                        <wps:cNvPr id="414" name="Graphic 414"/>
                        <wps:cNvSpPr/>
                        <wps:spPr>
                          <a:xfrm>
                            <a:off x="0" y="50546"/>
                            <a:ext cx="210820" cy="2844165"/>
                          </a:xfrm>
                          <a:custGeom>
                            <a:avLst/>
                            <a:gdLst/>
                            <a:ahLst/>
                            <a:cxnLst/>
                            <a:rect l="l" t="t" r="r" b="b"/>
                            <a:pathLst>
                              <a:path w="210820" h="2844165">
                                <a:moveTo>
                                  <a:pt x="210312" y="0"/>
                                </a:moveTo>
                                <a:lnTo>
                                  <a:pt x="0" y="0"/>
                                </a:lnTo>
                                <a:lnTo>
                                  <a:pt x="0" y="2843784"/>
                                </a:lnTo>
                                <a:lnTo>
                                  <a:pt x="210312" y="2843784"/>
                                </a:lnTo>
                                <a:lnTo>
                                  <a:pt x="210312" y="0"/>
                                </a:lnTo>
                                <a:close/>
                              </a:path>
                            </a:pathLst>
                          </a:custGeom>
                          <a:solidFill>
                            <a:srgbClr val="EC7C30"/>
                          </a:solidFill>
                        </wps:spPr>
                        <wps:bodyPr wrap="square" lIns="0" tIns="0" rIns="0" bIns="0" rtlCol="0">
                          <a:prstTxWarp prst="textNoShape">
                            <a:avLst/>
                          </a:prstTxWarp>
                          <a:noAutofit/>
                        </wps:bodyPr>
                      </wps:wsp>
                      <wps:wsp>
                        <wps:cNvPr id="415" name="Graphic 415"/>
                        <wps:cNvSpPr/>
                        <wps:spPr>
                          <a:xfrm>
                            <a:off x="76453" y="6350"/>
                            <a:ext cx="57150" cy="87630"/>
                          </a:xfrm>
                          <a:custGeom>
                            <a:avLst/>
                            <a:gdLst/>
                            <a:ahLst/>
                            <a:cxnLst/>
                            <a:rect l="l" t="t" r="r" b="b"/>
                            <a:pathLst>
                              <a:path w="57150" h="87630">
                                <a:moveTo>
                                  <a:pt x="28575" y="87248"/>
                                </a:moveTo>
                                <a:lnTo>
                                  <a:pt x="28575" y="43687"/>
                                </a:lnTo>
                                <a:lnTo>
                                  <a:pt x="28575" y="0"/>
                                </a:lnTo>
                              </a:path>
                              <a:path w="57150" h="87630">
                                <a:moveTo>
                                  <a:pt x="0" y="87248"/>
                                </a:moveTo>
                                <a:lnTo>
                                  <a:pt x="57150" y="87248"/>
                                </a:lnTo>
                              </a:path>
                              <a:path w="57150" h="8763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479996pt;margin-top:-58.022655pt;width:16.6pt;height:227.9pt;mso-position-horizontal-relative:page;mso-position-vertical-relative:paragraph;z-index:15797760" id="docshapegroup365" coordorigin="3550,-1160" coordsize="332,4558">
                <v:rect style="position:absolute;left:3549;top:-1081;width:332;height:4479" id="docshape366" filled="true" fillcolor="#ec7c30" stroked="false">
                  <v:fill type="solid"/>
                </v:rect>
                <v:shape style="position:absolute;left:3670;top:-1151;width:90;height:138" id="docshape367" coordorigin="3670,-1150" coordsize="90,138" path="m3715,-1013l3715,-1082,3715,-1150m3670,-1013l3760,-1013m3670,-1150l3760,-1150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98272">
                <wp:simplePos x="0" y="0"/>
                <wp:positionH relativeFrom="page">
                  <wp:posOffset>3194304</wp:posOffset>
                </wp:positionH>
                <wp:positionV relativeFrom="paragraph">
                  <wp:posOffset>-912401</wp:posOffset>
                </wp:positionV>
                <wp:extent cx="212090" cy="3070225"/>
                <wp:effectExtent l="0" t="0" r="0" b="0"/>
                <wp:wrapNone/>
                <wp:docPr id="416" name="Group 416"/>
                <wp:cNvGraphicFramePr>
                  <a:graphicFrameLocks/>
                </wp:cNvGraphicFramePr>
                <a:graphic>
                  <a:graphicData uri="http://schemas.microsoft.com/office/word/2010/wordprocessingGroup">
                    <wpg:wgp>
                      <wpg:cNvPr id="416" name="Group 416"/>
                      <wpg:cNvGrpSpPr/>
                      <wpg:grpSpPr>
                        <a:xfrm>
                          <a:off x="0" y="0"/>
                          <a:ext cx="212090" cy="3070225"/>
                          <a:chExt cx="212090" cy="3070225"/>
                        </a:xfrm>
                      </wpg:grpSpPr>
                      <wps:wsp>
                        <wps:cNvPr id="417" name="Graphic 417"/>
                        <wps:cNvSpPr/>
                        <wps:spPr>
                          <a:xfrm>
                            <a:off x="0" y="52323"/>
                            <a:ext cx="212090" cy="3017520"/>
                          </a:xfrm>
                          <a:custGeom>
                            <a:avLst/>
                            <a:gdLst/>
                            <a:ahLst/>
                            <a:cxnLst/>
                            <a:rect l="l" t="t" r="r" b="b"/>
                            <a:pathLst>
                              <a:path w="212090" h="3017520">
                                <a:moveTo>
                                  <a:pt x="211835" y="0"/>
                                </a:moveTo>
                                <a:lnTo>
                                  <a:pt x="0" y="0"/>
                                </a:lnTo>
                                <a:lnTo>
                                  <a:pt x="0" y="3017519"/>
                                </a:lnTo>
                                <a:lnTo>
                                  <a:pt x="211835" y="3017519"/>
                                </a:lnTo>
                                <a:lnTo>
                                  <a:pt x="211835" y="0"/>
                                </a:lnTo>
                                <a:close/>
                              </a:path>
                            </a:pathLst>
                          </a:custGeom>
                          <a:solidFill>
                            <a:srgbClr val="EC7C30"/>
                          </a:solidFill>
                        </wps:spPr>
                        <wps:bodyPr wrap="square" lIns="0" tIns="0" rIns="0" bIns="0" rtlCol="0">
                          <a:prstTxWarp prst="textNoShape">
                            <a:avLst/>
                          </a:prstTxWarp>
                          <a:noAutofit/>
                        </wps:bodyPr>
                      </wps:wsp>
                      <wps:wsp>
                        <wps:cNvPr id="418" name="Graphic 418"/>
                        <wps:cNvSpPr/>
                        <wps:spPr>
                          <a:xfrm>
                            <a:off x="77469" y="6350"/>
                            <a:ext cx="57150" cy="91440"/>
                          </a:xfrm>
                          <a:custGeom>
                            <a:avLst/>
                            <a:gdLst/>
                            <a:ahLst/>
                            <a:cxnLst/>
                            <a:rect l="l" t="t" r="r" b="b"/>
                            <a:pathLst>
                              <a:path w="57150" h="91440">
                                <a:moveTo>
                                  <a:pt x="28575" y="91312"/>
                                </a:moveTo>
                                <a:lnTo>
                                  <a:pt x="28575" y="45720"/>
                                </a:lnTo>
                                <a:lnTo>
                                  <a:pt x="28575" y="0"/>
                                </a:lnTo>
                              </a:path>
                              <a:path w="57150" h="91440">
                                <a:moveTo>
                                  <a:pt x="0" y="91312"/>
                                </a:moveTo>
                                <a:lnTo>
                                  <a:pt x="57150" y="91312"/>
                                </a:lnTo>
                              </a:path>
                              <a:path w="57150" h="9144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1.520004pt;margin-top:-71.842659pt;width:16.7pt;height:241.75pt;mso-position-horizontal-relative:page;mso-position-vertical-relative:paragraph;z-index:15798272" id="docshapegroup368" coordorigin="5030,-1437" coordsize="334,4835">
                <v:rect style="position:absolute;left:5030;top:-1355;width:334;height:4752" id="docshape369" filled="true" fillcolor="#ec7c30" stroked="false">
                  <v:fill type="solid"/>
                </v:rect>
                <v:shape style="position:absolute;left:5152;top:-1427;width:90;height:144" id="docshape370" coordorigin="5152,-1427" coordsize="90,144" path="m5197,-1283l5197,-1355,5197,-1427m5152,-1283l5242,-1283m5152,-1427l5242,-1427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98784">
                <wp:simplePos x="0" y="0"/>
                <wp:positionH relativeFrom="page">
                  <wp:posOffset>4136135</wp:posOffset>
                </wp:positionH>
                <wp:positionV relativeFrom="paragraph">
                  <wp:posOffset>-906686</wp:posOffset>
                </wp:positionV>
                <wp:extent cx="212090" cy="3064510"/>
                <wp:effectExtent l="0" t="0" r="0" b="0"/>
                <wp:wrapNone/>
                <wp:docPr id="419" name="Group 419"/>
                <wp:cNvGraphicFramePr>
                  <a:graphicFrameLocks/>
                </wp:cNvGraphicFramePr>
                <a:graphic>
                  <a:graphicData uri="http://schemas.microsoft.com/office/word/2010/wordprocessingGroup">
                    <wpg:wgp>
                      <wpg:cNvPr id="419" name="Group 419"/>
                      <wpg:cNvGrpSpPr/>
                      <wpg:grpSpPr>
                        <a:xfrm>
                          <a:off x="0" y="0"/>
                          <a:ext cx="212090" cy="3064510"/>
                          <a:chExt cx="212090" cy="3064510"/>
                        </a:xfrm>
                      </wpg:grpSpPr>
                      <wps:wsp>
                        <wps:cNvPr id="420" name="Graphic 420"/>
                        <wps:cNvSpPr/>
                        <wps:spPr>
                          <a:xfrm>
                            <a:off x="0" y="92328"/>
                            <a:ext cx="212090" cy="2971800"/>
                          </a:xfrm>
                          <a:custGeom>
                            <a:avLst/>
                            <a:gdLst/>
                            <a:ahLst/>
                            <a:cxnLst/>
                            <a:rect l="l" t="t" r="r" b="b"/>
                            <a:pathLst>
                              <a:path w="212090" h="2971800">
                                <a:moveTo>
                                  <a:pt x="211836" y="0"/>
                                </a:moveTo>
                                <a:lnTo>
                                  <a:pt x="0" y="0"/>
                                </a:lnTo>
                                <a:lnTo>
                                  <a:pt x="0" y="2971799"/>
                                </a:lnTo>
                                <a:lnTo>
                                  <a:pt x="211836" y="2971799"/>
                                </a:lnTo>
                                <a:lnTo>
                                  <a:pt x="211836" y="0"/>
                                </a:lnTo>
                                <a:close/>
                              </a:path>
                            </a:pathLst>
                          </a:custGeom>
                          <a:solidFill>
                            <a:srgbClr val="EC7C30"/>
                          </a:solidFill>
                        </wps:spPr>
                        <wps:bodyPr wrap="square" lIns="0" tIns="0" rIns="0" bIns="0" rtlCol="0">
                          <a:prstTxWarp prst="textNoShape">
                            <a:avLst/>
                          </a:prstTxWarp>
                          <a:noAutofit/>
                        </wps:bodyPr>
                      </wps:wsp>
                      <wps:wsp>
                        <wps:cNvPr id="421" name="Graphic 421"/>
                        <wps:cNvSpPr/>
                        <wps:spPr>
                          <a:xfrm>
                            <a:off x="76961" y="6350"/>
                            <a:ext cx="57150" cy="172720"/>
                          </a:xfrm>
                          <a:custGeom>
                            <a:avLst/>
                            <a:gdLst/>
                            <a:ahLst/>
                            <a:cxnLst/>
                            <a:rect l="l" t="t" r="r" b="b"/>
                            <a:pathLst>
                              <a:path w="57150" h="172720">
                                <a:moveTo>
                                  <a:pt x="28575" y="172338"/>
                                </a:moveTo>
                                <a:lnTo>
                                  <a:pt x="28575" y="86232"/>
                                </a:lnTo>
                                <a:lnTo>
                                  <a:pt x="28575" y="0"/>
                                </a:lnTo>
                              </a:path>
                              <a:path w="57150" h="172720">
                                <a:moveTo>
                                  <a:pt x="0" y="172338"/>
                                </a:moveTo>
                                <a:lnTo>
                                  <a:pt x="57150" y="172338"/>
                                </a:lnTo>
                              </a:path>
                              <a:path w="57150" h="17272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5.679993pt;margin-top:-71.392654pt;width:16.7pt;height:241.3pt;mso-position-horizontal-relative:page;mso-position-vertical-relative:paragraph;z-index:15798784" id="docshapegroup371" coordorigin="6514,-1428" coordsize="334,4826">
                <v:rect style="position:absolute;left:6513;top:-1283;width:334;height:4680" id="docshape372" filled="true" fillcolor="#ec7c30" stroked="false">
                  <v:fill type="solid"/>
                </v:rect>
                <v:shape style="position:absolute;left:6634;top:-1418;width:90;height:272" id="docshape373" coordorigin="6635,-1418" coordsize="90,272" path="m6680,-1146l6680,-1282,6680,-1418m6635,-1146l6725,-1146m6635,-1418l6725,-1418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99296">
                <wp:simplePos x="0" y="0"/>
                <wp:positionH relativeFrom="page">
                  <wp:posOffset>5077967</wp:posOffset>
                </wp:positionH>
                <wp:positionV relativeFrom="paragraph">
                  <wp:posOffset>-929038</wp:posOffset>
                </wp:positionV>
                <wp:extent cx="212090" cy="3086735"/>
                <wp:effectExtent l="0" t="0" r="0" b="0"/>
                <wp:wrapNone/>
                <wp:docPr id="422" name="Group 422"/>
                <wp:cNvGraphicFramePr>
                  <a:graphicFrameLocks/>
                </wp:cNvGraphicFramePr>
                <a:graphic>
                  <a:graphicData uri="http://schemas.microsoft.com/office/word/2010/wordprocessingGroup">
                    <wpg:wgp>
                      <wpg:cNvPr id="422" name="Group 422"/>
                      <wpg:cNvGrpSpPr/>
                      <wpg:grpSpPr>
                        <a:xfrm>
                          <a:off x="0" y="0"/>
                          <a:ext cx="212090" cy="3086735"/>
                          <a:chExt cx="212090" cy="3086735"/>
                        </a:xfrm>
                      </wpg:grpSpPr>
                      <wps:wsp>
                        <wps:cNvPr id="423" name="Graphic 423"/>
                        <wps:cNvSpPr/>
                        <wps:spPr>
                          <a:xfrm>
                            <a:off x="0" y="56768"/>
                            <a:ext cx="212090" cy="3030220"/>
                          </a:xfrm>
                          <a:custGeom>
                            <a:avLst/>
                            <a:gdLst/>
                            <a:ahLst/>
                            <a:cxnLst/>
                            <a:rect l="l" t="t" r="r" b="b"/>
                            <a:pathLst>
                              <a:path w="212090" h="3030220">
                                <a:moveTo>
                                  <a:pt x="211836" y="0"/>
                                </a:moveTo>
                                <a:lnTo>
                                  <a:pt x="0" y="0"/>
                                </a:lnTo>
                                <a:lnTo>
                                  <a:pt x="0" y="3029712"/>
                                </a:lnTo>
                                <a:lnTo>
                                  <a:pt x="211836" y="3029712"/>
                                </a:lnTo>
                                <a:lnTo>
                                  <a:pt x="211836" y="0"/>
                                </a:lnTo>
                                <a:close/>
                              </a:path>
                            </a:pathLst>
                          </a:custGeom>
                          <a:solidFill>
                            <a:srgbClr val="EC7C30"/>
                          </a:solidFill>
                        </wps:spPr>
                        <wps:bodyPr wrap="square" lIns="0" tIns="0" rIns="0" bIns="0" rtlCol="0">
                          <a:prstTxWarp prst="textNoShape">
                            <a:avLst/>
                          </a:prstTxWarp>
                          <a:noAutofit/>
                        </wps:bodyPr>
                      </wps:wsp>
                      <wps:wsp>
                        <wps:cNvPr id="424" name="Graphic 424"/>
                        <wps:cNvSpPr/>
                        <wps:spPr>
                          <a:xfrm>
                            <a:off x="76581" y="6350"/>
                            <a:ext cx="57150" cy="101600"/>
                          </a:xfrm>
                          <a:custGeom>
                            <a:avLst/>
                            <a:gdLst/>
                            <a:ahLst/>
                            <a:cxnLst/>
                            <a:rect l="l" t="t" r="r" b="b"/>
                            <a:pathLst>
                              <a:path w="57150" h="101600">
                                <a:moveTo>
                                  <a:pt x="28575" y="101600"/>
                                </a:moveTo>
                                <a:lnTo>
                                  <a:pt x="28575" y="50800"/>
                                </a:lnTo>
                                <a:lnTo>
                                  <a:pt x="28575" y="0"/>
                                </a:lnTo>
                              </a:path>
                              <a:path w="57150" h="101600">
                                <a:moveTo>
                                  <a:pt x="0" y="101600"/>
                                </a:moveTo>
                                <a:lnTo>
                                  <a:pt x="57150" y="101600"/>
                                </a:lnTo>
                              </a:path>
                              <a:path w="57150" h="10160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9.839996pt;margin-top:-73.152657pt;width:16.7pt;height:243.05pt;mso-position-horizontal-relative:page;mso-position-vertical-relative:paragraph;z-index:15799296" id="docshapegroup374" coordorigin="7997,-1463" coordsize="334,4861">
                <v:rect style="position:absolute;left:7996;top:-1374;width:334;height:4772" id="docshape375" filled="true" fillcolor="#ec7c30" stroked="false">
                  <v:fill type="solid"/>
                </v:rect>
                <v:shape style="position:absolute;left:8117;top:-1454;width:90;height:160" id="docshape376" coordorigin="8117,-1453" coordsize="90,160" path="m8162,-1293l8162,-1373,8162,-1453m8117,-1293l8207,-1293m8117,-1453l8207,-1453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799808">
                <wp:simplePos x="0" y="0"/>
                <wp:positionH relativeFrom="page">
                  <wp:posOffset>6019800</wp:posOffset>
                </wp:positionH>
                <wp:positionV relativeFrom="paragraph">
                  <wp:posOffset>-1184943</wp:posOffset>
                </wp:positionV>
                <wp:extent cx="210820" cy="3342640"/>
                <wp:effectExtent l="0" t="0" r="0" b="0"/>
                <wp:wrapNone/>
                <wp:docPr id="425" name="Group 425"/>
                <wp:cNvGraphicFramePr>
                  <a:graphicFrameLocks/>
                </wp:cNvGraphicFramePr>
                <a:graphic>
                  <a:graphicData uri="http://schemas.microsoft.com/office/word/2010/wordprocessingGroup">
                    <wpg:wgp>
                      <wpg:cNvPr id="425" name="Group 425"/>
                      <wpg:cNvGrpSpPr/>
                      <wpg:grpSpPr>
                        <a:xfrm>
                          <a:off x="0" y="0"/>
                          <a:ext cx="210820" cy="3342640"/>
                          <a:chExt cx="210820" cy="3342640"/>
                        </a:xfrm>
                      </wpg:grpSpPr>
                      <wps:wsp>
                        <wps:cNvPr id="426" name="Graphic 426"/>
                        <wps:cNvSpPr/>
                        <wps:spPr>
                          <a:xfrm>
                            <a:off x="0" y="59689"/>
                            <a:ext cx="210820" cy="3282950"/>
                          </a:xfrm>
                          <a:custGeom>
                            <a:avLst/>
                            <a:gdLst/>
                            <a:ahLst/>
                            <a:cxnLst/>
                            <a:rect l="l" t="t" r="r" b="b"/>
                            <a:pathLst>
                              <a:path w="210820" h="3282950">
                                <a:moveTo>
                                  <a:pt x="210312" y="0"/>
                                </a:moveTo>
                                <a:lnTo>
                                  <a:pt x="0" y="0"/>
                                </a:lnTo>
                                <a:lnTo>
                                  <a:pt x="0" y="3282695"/>
                                </a:lnTo>
                                <a:lnTo>
                                  <a:pt x="210312" y="3282695"/>
                                </a:lnTo>
                                <a:lnTo>
                                  <a:pt x="210312" y="0"/>
                                </a:lnTo>
                                <a:close/>
                              </a:path>
                            </a:pathLst>
                          </a:custGeom>
                          <a:solidFill>
                            <a:srgbClr val="EC7C30"/>
                          </a:solidFill>
                        </wps:spPr>
                        <wps:bodyPr wrap="square" lIns="0" tIns="0" rIns="0" bIns="0" rtlCol="0">
                          <a:prstTxWarp prst="textNoShape">
                            <a:avLst/>
                          </a:prstTxWarp>
                          <a:noAutofit/>
                        </wps:bodyPr>
                      </wps:wsp>
                      <wps:wsp>
                        <wps:cNvPr id="427" name="Graphic 427"/>
                        <wps:cNvSpPr/>
                        <wps:spPr>
                          <a:xfrm>
                            <a:off x="76072" y="6350"/>
                            <a:ext cx="57150" cy="104775"/>
                          </a:xfrm>
                          <a:custGeom>
                            <a:avLst/>
                            <a:gdLst/>
                            <a:ahLst/>
                            <a:cxnLst/>
                            <a:rect l="l" t="t" r="r" b="b"/>
                            <a:pathLst>
                              <a:path w="57150" h="104775">
                                <a:moveTo>
                                  <a:pt x="28575" y="104394"/>
                                </a:moveTo>
                                <a:lnTo>
                                  <a:pt x="28575" y="52197"/>
                                </a:lnTo>
                                <a:lnTo>
                                  <a:pt x="28575" y="0"/>
                                </a:lnTo>
                              </a:path>
                              <a:path w="57150" h="104775">
                                <a:moveTo>
                                  <a:pt x="0" y="104394"/>
                                </a:moveTo>
                                <a:lnTo>
                                  <a:pt x="57150" y="104394"/>
                                </a:lnTo>
                              </a:path>
                              <a:path w="57150" h="10477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4pt;margin-top:-93.302658pt;width:16.6pt;height:263.2pt;mso-position-horizontal-relative:page;mso-position-vertical-relative:paragraph;z-index:15799808" id="docshapegroup377" coordorigin="9480,-1866" coordsize="332,5264">
                <v:rect style="position:absolute;left:9480;top:-1773;width:332;height:5170" id="docshape378" filled="true" fillcolor="#ec7c30" stroked="false">
                  <v:fill type="solid"/>
                </v:rect>
                <v:shape style="position:absolute;left:9599;top:-1857;width:90;height:165" id="docshape379" coordorigin="9600,-1856" coordsize="90,165" path="m9645,-1692l9645,-1774,9645,-1856m9600,-1692l9690,-1692m9600,-1856l9690,-1856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0" simplePos="0" relativeHeight="15800320">
                <wp:simplePos x="0" y="0"/>
                <wp:positionH relativeFrom="page">
                  <wp:posOffset>1086332</wp:posOffset>
                </wp:positionH>
                <wp:positionV relativeFrom="paragraph">
                  <wp:posOffset>-701444</wp:posOffset>
                </wp:positionV>
                <wp:extent cx="152400" cy="1560195"/>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152400" cy="1560195"/>
                        </a:xfrm>
                        <a:prstGeom prst="rect">
                          <a:avLst/>
                        </a:prstGeom>
                      </wps:spPr>
                      <wps:txbx>
                        <w:txbxContent>
                          <w:p>
                            <w:pPr>
                              <w:spacing w:line="223" w:lineRule="exact" w:before="0"/>
                              <w:ind w:left="20" w:right="0" w:firstLine="0"/>
                              <w:jc w:val="left"/>
                              <w:rPr>
                                <w:sz w:val="20"/>
                              </w:rPr>
                            </w:pPr>
                            <w:r>
                              <w:rPr>
                                <w:color w:val="585858"/>
                                <w:sz w:val="20"/>
                              </w:rPr>
                              <w:t>Mean</w:t>
                            </w:r>
                            <w:r>
                              <w:rPr>
                                <w:color w:val="585858"/>
                                <w:spacing w:val="-8"/>
                                <w:sz w:val="20"/>
                              </w:rPr>
                              <w:t> </w:t>
                            </w:r>
                            <w:r>
                              <w:rPr>
                                <w:color w:val="585858"/>
                                <w:sz w:val="20"/>
                              </w:rPr>
                              <w:t>zone</w:t>
                            </w:r>
                            <w:r>
                              <w:rPr>
                                <w:color w:val="585858"/>
                                <w:spacing w:val="-7"/>
                                <w:sz w:val="20"/>
                              </w:rPr>
                              <w:t> </w:t>
                            </w:r>
                            <w:r>
                              <w:rPr>
                                <w:color w:val="585858"/>
                                <w:sz w:val="20"/>
                              </w:rPr>
                              <w:t>of</w:t>
                            </w:r>
                            <w:r>
                              <w:rPr>
                                <w:color w:val="585858"/>
                                <w:spacing w:val="-8"/>
                                <w:sz w:val="20"/>
                              </w:rPr>
                              <w:t> </w:t>
                            </w:r>
                            <w:r>
                              <w:rPr>
                                <w:color w:val="585858"/>
                                <w:sz w:val="20"/>
                              </w:rPr>
                              <w:t>inhibition</w:t>
                            </w:r>
                            <w:r>
                              <w:rPr>
                                <w:color w:val="585858"/>
                                <w:spacing w:val="-7"/>
                                <w:sz w:val="20"/>
                              </w:rPr>
                              <w:t> </w:t>
                            </w:r>
                            <w:r>
                              <w:rPr>
                                <w:color w:val="585858"/>
                                <w:spacing w:val="-4"/>
                                <w:sz w:val="20"/>
                              </w:rPr>
                              <w:t>(mm)</w:t>
                            </w:r>
                          </w:p>
                        </w:txbxContent>
                      </wps:txbx>
                      <wps:bodyPr wrap="square" lIns="0" tIns="0" rIns="0" bIns="0" rtlCol="0" vert="vert270">
                        <a:noAutofit/>
                      </wps:bodyPr>
                    </wps:wsp>
                  </a:graphicData>
                </a:graphic>
              </wp:anchor>
            </w:drawing>
          </mc:Choice>
          <mc:Fallback>
            <w:pict>
              <v:shape style="position:absolute;margin-left:85.538002pt;margin-top:-55.231815pt;width:12pt;height:122.85pt;mso-position-horizontal-relative:page;mso-position-vertical-relative:paragraph;z-index:15800320" type="#_x0000_t202" id="docshape380" filled="false" stroked="false">
                <v:textbox inset="0,0,0,0" style="layout-flow:vertical;mso-layout-flow-alt:bottom-to-top">
                  <w:txbxContent>
                    <w:p>
                      <w:pPr>
                        <w:spacing w:line="223" w:lineRule="exact" w:before="0"/>
                        <w:ind w:left="20" w:right="0" w:firstLine="0"/>
                        <w:jc w:val="left"/>
                        <w:rPr>
                          <w:sz w:val="20"/>
                        </w:rPr>
                      </w:pPr>
                      <w:r>
                        <w:rPr>
                          <w:color w:val="585858"/>
                          <w:sz w:val="20"/>
                        </w:rPr>
                        <w:t>Mean</w:t>
                      </w:r>
                      <w:r>
                        <w:rPr>
                          <w:color w:val="585858"/>
                          <w:spacing w:val="-8"/>
                          <w:sz w:val="20"/>
                        </w:rPr>
                        <w:t> </w:t>
                      </w:r>
                      <w:r>
                        <w:rPr>
                          <w:color w:val="585858"/>
                          <w:sz w:val="20"/>
                        </w:rPr>
                        <w:t>zone</w:t>
                      </w:r>
                      <w:r>
                        <w:rPr>
                          <w:color w:val="585858"/>
                          <w:spacing w:val="-7"/>
                          <w:sz w:val="20"/>
                        </w:rPr>
                        <w:t> </w:t>
                      </w:r>
                      <w:r>
                        <w:rPr>
                          <w:color w:val="585858"/>
                          <w:sz w:val="20"/>
                        </w:rPr>
                        <w:t>of</w:t>
                      </w:r>
                      <w:r>
                        <w:rPr>
                          <w:color w:val="585858"/>
                          <w:spacing w:val="-8"/>
                          <w:sz w:val="20"/>
                        </w:rPr>
                        <w:t> </w:t>
                      </w:r>
                      <w:r>
                        <w:rPr>
                          <w:color w:val="585858"/>
                          <w:sz w:val="20"/>
                        </w:rPr>
                        <w:t>inhibition</w:t>
                      </w:r>
                      <w:r>
                        <w:rPr>
                          <w:color w:val="585858"/>
                          <w:spacing w:val="-7"/>
                          <w:sz w:val="20"/>
                        </w:rPr>
                        <w:t> </w:t>
                      </w:r>
                      <w:r>
                        <w:rPr>
                          <w:color w:val="585858"/>
                          <w:spacing w:val="-4"/>
                          <w:sz w:val="20"/>
                        </w:rPr>
                        <w:t>(mm)</w:t>
                      </w:r>
                    </w:p>
                  </w:txbxContent>
                </v:textbox>
                <w10:wrap type="none"/>
              </v:shape>
            </w:pict>
          </mc:Fallback>
        </mc:AlternateContent>
      </w:r>
      <w:r>
        <w:rPr/>
        <mc:AlternateContent>
          <mc:Choice Requires="wps">
            <w:drawing>
              <wp:anchor distT="0" distB="0" distL="0" distR="0" allowOverlap="1" layoutInCell="1" locked="0" behindDoc="0" simplePos="0" relativeHeight="15800832">
                <wp:simplePos x="0" y="0"/>
                <wp:positionH relativeFrom="page">
                  <wp:posOffset>1716023</wp:posOffset>
                </wp:positionH>
                <wp:positionV relativeFrom="paragraph">
                  <wp:posOffset>-436405</wp:posOffset>
                </wp:positionV>
                <wp:extent cx="4784090" cy="2593975"/>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4784090" cy="2593975"/>
                        </a:xfrm>
                        <a:prstGeom prst="rect">
                          <a:avLst/>
                        </a:prstGeom>
                      </wps:spPr>
                      <wps:txbx>
                        <w:txbxContent>
                          <w:tbl>
                            <w:tblPr>
                              <w:tblW w:w="0" w:type="auto"/>
                              <w:jc w:val="left"/>
                              <w:tblCellSpacing w:w="45"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2"/>
                              <w:gridCol w:w="1482"/>
                              <w:gridCol w:w="1483"/>
                              <w:gridCol w:w="1483"/>
                              <w:gridCol w:w="1482"/>
                              <w:gridCol w:w="742"/>
                            </w:tblGrid>
                            <w:tr>
                              <w:trPr>
                                <w:trHeight w:val="4070" w:hRule="atLeast"/>
                              </w:trPr>
                              <w:tc>
                                <w:tcPr>
                                  <w:tcW w:w="697" w:type="dxa"/>
                                  <w:tcBorders>
                                    <w:bottom w:val="single" w:sz="6" w:space="0" w:color="D9D9D9"/>
                                    <w:right w:val="nil"/>
                                  </w:tcBorders>
                                </w:tcPr>
                                <w:p>
                                  <w:pPr>
                                    <w:pStyle w:val="TableParagraph"/>
                                    <w:rPr>
                                      <w:rFonts w:ascii="Times New Roman"/>
                                      <w:sz w:val="20"/>
                                    </w:rPr>
                                  </w:pPr>
                                </w:p>
                              </w:tc>
                              <w:tc>
                                <w:tcPr>
                                  <w:tcW w:w="1391" w:type="dxa"/>
                                  <w:tcBorders>
                                    <w:left w:val="nil"/>
                                    <w:bottom w:val="single" w:sz="6" w:space="0" w:color="D9D9D9"/>
                                    <w:right w:val="nil"/>
                                  </w:tcBorders>
                                </w:tcPr>
                                <w:p>
                                  <w:pPr>
                                    <w:pStyle w:val="TableParagraph"/>
                                    <w:rPr>
                                      <w:rFonts w:ascii="Times New Roman"/>
                                      <w:sz w:val="20"/>
                                    </w:rPr>
                                  </w:pPr>
                                </w:p>
                              </w:tc>
                              <w:tc>
                                <w:tcPr>
                                  <w:tcW w:w="1392" w:type="dxa"/>
                                  <w:tcBorders>
                                    <w:left w:val="nil"/>
                                    <w:bottom w:val="single" w:sz="6" w:space="0" w:color="D9D9D9"/>
                                    <w:right w:val="nil"/>
                                  </w:tcBorders>
                                </w:tcPr>
                                <w:p>
                                  <w:pPr>
                                    <w:pStyle w:val="TableParagraph"/>
                                    <w:rPr>
                                      <w:rFonts w:ascii="Times New Roman"/>
                                      <w:sz w:val="20"/>
                                    </w:rPr>
                                  </w:pPr>
                                </w:p>
                              </w:tc>
                              <w:tc>
                                <w:tcPr>
                                  <w:tcW w:w="1392" w:type="dxa"/>
                                  <w:tcBorders>
                                    <w:left w:val="nil"/>
                                    <w:bottom w:val="single" w:sz="6" w:space="0" w:color="D9D9D9"/>
                                    <w:right w:val="nil"/>
                                  </w:tcBorders>
                                </w:tcPr>
                                <w:p>
                                  <w:pPr>
                                    <w:pStyle w:val="TableParagraph"/>
                                    <w:rPr>
                                      <w:rFonts w:ascii="Times New Roman"/>
                                      <w:sz w:val="20"/>
                                    </w:rPr>
                                  </w:pPr>
                                </w:p>
                              </w:tc>
                              <w:tc>
                                <w:tcPr>
                                  <w:tcW w:w="1391" w:type="dxa"/>
                                  <w:tcBorders>
                                    <w:left w:val="nil"/>
                                    <w:bottom w:val="single" w:sz="6" w:space="0" w:color="D9D9D9"/>
                                    <w:right w:val="nil"/>
                                  </w:tcBorders>
                                </w:tcPr>
                                <w:p>
                                  <w:pPr>
                                    <w:pStyle w:val="TableParagraph"/>
                                    <w:rPr>
                                      <w:rFonts w:ascii="Times New Roman"/>
                                      <w:sz w:val="20"/>
                                    </w:rPr>
                                  </w:pPr>
                                </w:p>
                              </w:tc>
                              <w:tc>
                                <w:tcPr>
                                  <w:tcW w:w="697" w:type="dxa"/>
                                  <w:tcBorders>
                                    <w:left w:val="nil"/>
                                    <w:bottom w:val="single" w:sz="6" w:space="0" w:color="D9D9D9"/>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135.119995pt;margin-top:-34.362656pt;width:376.7pt;height:204.25pt;mso-position-horizontal-relative:page;mso-position-vertical-relative:paragraph;z-index:15800832" type="#_x0000_t202" id="docshape381" filled="false" stroked="false">
                <v:textbox inset="0,0,0,0">
                  <w:txbxContent>
                    <w:tbl>
                      <w:tblPr>
                        <w:tblW w:w="0" w:type="auto"/>
                        <w:jc w:val="left"/>
                        <w:tblCellSpacing w:w="45"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2"/>
                        <w:gridCol w:w="1482"/>
                        <w:gridCol w:w="1483"/>
                        <w:gridCol w:w="1483"/>
                        <w:gridCol w:w="1482"/>
                        <w:gridCol w:w="742"/>
                      </w:tblGrid>
                      <w:tr>
                        <w:trPr>
                          <w:trHeight w:val="4070" w:hRule="atLeast"/>
                        </w:trPr>
                        <w:tc>
                          <w:tcPr>
                            <w:tcW w:w="697" w:type="dxa"/>
                            <w:tcBorders>
                              <w:bottom w:val="single" w:sz="6" w:space="0" w:color="D9D9D9"/>
                              <w:right w:val="nil"/>
                            </w:tcBorders>
                          </w:tcPr>
                          <w:p>
                            <w:pPr>
                              <w:pStyle w:val="TableParagraph"/>
                              <w:rPr>
                                <w:rFonts w:ascii="Times New Roman"/>
                                <w:sz w:val="20"/>
                              </w:rPr>
                            </w:pPr>
                          </w:p>
                        </w:tc>
                        <w:tc>
                          <w:tcPr>
                            <w:tcW w:w="1391" w:type="dxa"/>
                            <w:tcBorders>
                              <w:left w:val="nil"/>
                              <w:bottom w:val="single" w:sz="6" w:space="0" w:color="D9D9D9"/>
                              <w:right w:val="nil"/>
                            </w:tcBorders>
                          </w:tcPr>
                          <w:p>
                            <w:pPr>
                              <w:pStyle w:val="TableParagraph"/>
                              <w:rPr>
                                <w:rFonts w:ascii="Times New Roman"/>
                                <w:sz w:val="20"/>
                              </w:rPr>
                            </w:pPr>
                          </w:p>
                        </w:tc>
                        <w:tc>
                          <w:tcPr>
                            <w:tcW w:w="1392" w:type="dxa"/>
                            <w:tcBorders>
                              <w:left w:val="nil"/>
                              <w:bottom w:val="single" w:sz="6" w:space="0" w:color="D9D9D9"/>
                              <w:right w:val="nil"/>
                            </w:tcBorders>
                          </w:tcPr>
                          <w:p>
                            <w:pPr>
                              <w:pStyle w:val="TableParagraph"/>
                              <w:rPr>
                                <w:rFonts w:ascii="Times New Roman"/>
                                <w:sz w:val="20"/>
                              </w:rPr>
                            </w:pPr>
                          </w:p>
                        </w:tc>
                        <w:tc>
                          <w:tcPr>
                            <w:tcW w:w="1392" w:type="dxa"/>
                            <w:tcBorders>
                              <w:left w:val="nil"/>
                              <w:bottom w:val="single" w:sz="6" w:space="0" w:color="D9D9D9"/>
                              <w:right w:val="nil"/>
                            </w:tcBorders>
                          </w:tcPr>
                          <w:p>
                            <w:pPr>
                              <w:pStyle w:val="TableParagraph"/>
                              <w:rPr>
                                <w:rFonts w:ascii="Times New Roman"/>
                                <w:sz w:val="20"/>
                              </w:rPr>
                            </w:pPr>
                          </w:p>
                        </w:tc>
                        <w:tc>
                          <w:tcPr>
                            <w:tcW w:w="1391" w:type="dxa"/>
                            <w:tcBorders>
                              <w:left w:val="nil"/>
                              <w:bottom w:val="single" w:sz="6" w:space="0" w:color="D9D9D9"/>
                              <w:right w:val="nil"/>
                            </w:tcBorders>
                          </w:tcPr>
                          <w:p>
                            <w:pPr>
                              <w:pStyle w:val="TableParagraph"/>
                              <w:rPr>
                                <w:rFonts w:ascii="Times New Roman"/>
                                <w:sz w:val="20"/>
                              </w:rPr>
                            </w:pPr>
                          </w:p>
                        </w:tc>
                        <w:tc>
                          <w:tcPr>
                            <w:tcW w:w="697" w:type="dxa"/>
                            <w:tcBorders>
                              <w:left w:val="nil"/>
                              <w:bottom w:val="single" w:sz="6" w:space="0" w:color="D9D9D9"/>
                            </w:tcBorders>
                          </w:tcPr>
                          <w:p>
                            <w:pPr>
                              <w:pStyle w:val="TableParagraph"/>
                              <w:rPr>
                                <w:rFonts w:ascii="Times New Roman"/>
                                <w:sz w:val="20"/>
                              </w:rPr>
                            </w:pP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801344">
                <wp:simplePos x="0" y="0"/>
                <wp:positionH relativeFrom="page">
                  <wp:posOffset>1457325</wp:posOffset>
                </wp:positionH>
                <wp:positionV relativeFrom="paragraph">
                  <wp:posOffset>-1753395</wp:posOffset>
                </wp:positionV>
                <wp:extent cx="5143500" cy="1765300"/>
                <wp:effectExtent l="0" t="0" r="0" b="0"/>
                <wp:wrapNone/>
                <wp:docPr id="430" name="Group 430"/>
                <wp:cNvGraphicFramePr>
                  <a:graphicFrameLocks/>
                </wp:cNvGraphicFramePr>
                <a:graphic>
                  <a:graphicData uri="http://schemas.microsoft.com/office/word/2010/wordprocessingGroup">
                    <wpg:wgp>
                      <wpg:cNvPr id="430" name="Group 430"/>
                      <wpg:cNvGrpSpPr/>
                      <wpg:grpSpPr>
                        <a:xfrm>
                          <a:off x="0" y="0"/>
                          <a:ext cx="5143500" cy="1765300"/>
                          <a:chExt cx="5143500" cy="1765300"/>
                        </a:xfrm>
                      </wpg:grpSpPr>
                      <pic:pic>
                        <pic:nvPicPr>
                          <pic:cNvPr id="431" name="Image 431"/>
                          <pic:cNvPicPr/>
                        </pic:nvPicPr>
                        <pic:blipFill>
                          <a:blip r:embed="rId297" cstate="print"/>
                          <a:stretch>
                            <a:fillRect/>
                          </a:stretch>
                        </pic:blipFill>
                        <pic:spPr>
                          <a:xfrm>
                            <a:off x="0" y="145414"/>
                            <a:ext cx="1573276" cy="1619884"/>
                          </a:xfrm>
                          <a:prstGeom prst="rect">
                            <a:avLst/>
                          </a:prstGeom>
                        </pic:spPr>
                      </pic:pic>
                      <pic:pic>
                        <pic:nvPicPr>
                          <pic:cNvPr id="432" name="Image 432"/>
                          <pic:cNvPicPr/>
                        </pic:nvPicPr>
                        <pic:blipFill>
                          <a:blip r:embed="rId297" cstate="print"/>
                          <a:stretch>
                            <a:fillRect/>
                          </a:stretch>
                        </pic:blipFill>
                        <pic:spPr>
                          <a:xfrm>
                            <a:off x="902208" y="111252"/>
                            <a:ext cx="1573275" cy="1619884"/>
                          </a:xfrm>
                          <a:prstGeom prst="rect">
                            <a:avLst/>
                          </a:prstGeom>
                        </pic:spPr>
                      </pic:pic>
                      <pic:pic>
                        <pic:nvPicPr>
                          <pic:cNvPr id="433" name="Image 433"/>
                          <pic:cNvPicPr/>
                        </pic:nvPicPr>
                        <pic:blipFill>
                          <a:blip r:embed="rId297" cstate="print"/>
                          <a:stretch>
                            <a:fillRect/>
                          </a:stretch>
                        </pic:blipFill>
                        <pic:spPr>
                          <a:xfrm>
                            <a:off x="1796923" y="96773"/>
                            <a:ext cx="1573276" cy="1619884"/>
                          </a:xfrm>
                          <a:prstGeom prst="rect">
                            <a:avLst/>
                          </a:prstGeom>
                        </pic:spPr>
                      </pic:pic>
                      <pic:pic>
                        <pic:nvPicPr>
                          <pic:cNvPr id="434" name="Image 434"/>
                          <pic:cNvPicPr/>
                        </pic:nvPicPr>
                        <pic:blipFill>
                          <a:blip r:embed="rId297" cstate="print"/>
                          <a:stretch>
                            <a:fillRect/>
                          </a:stretch>
                        </pic:blipFill>
                        <pic:spPr>
                          <a:xfrm>
                            <a:off x="2686811" y="125221"/>
                            <a:ext cx="1573276" cy="1619884"/>
                          </a:xfrm>
                          <a:prstGeom prst="rect">
                            <a:avLst/>
                          </a:prstGeom>
                        </pic:spPr>
                      </pic:pic>
                      <pic:pic>
                        <pic:nvPicPr>
                          <pic:cNvPr id="435" name="Image 435"/>
                          <pic:cNvPicPr/>
                        </pic:nvPicPr>
                        <pic:blipFill>
                          <a:blip r:embed="rId297" cstate="print"/>
                          <a:stretch>
                            <a:fillRect/>
                          </a:stretch>
                        </pic:blipFill>
                        <pic:spPr>
                          <a:xfrm>
                            <a:off x="3570223" y="0"/>
                            <a:ext cx="1573276" cy="1619884"/>
                          </a:xfrm>
                          <a:prstGeom prst="rect">
                            <a:avLst/>
                          </a:prstGeom>
                        </pic:spPr>
                      </pic:pic>
                    </wpg:wgp>
                  </a:graphicData>
                </a:graphic>
              </wp:anchor>
            </w:drawing>
          </mc:Choice>
          <mc:Fallback>
            <w:pict>
              <v:group style="position:absolute;margin-left:114.75pt;margin-top:-138.062653pt;width:405pt;height:139pt;mso-position-horizontal-relative:page;mso-position-vertical-relative:paragraph;z-index:15801344" id="docshapegroup382" coordorigin="2295,-2761" coordsize="8100,2780">
                <v:shape style="position:absolute;left:2295;top:-2533;width:2478;height:2551" type="#_x0000_t75" id="docshape383" stroked="false">
                  <v:imagedata r:id="rId297" o:title=""/>
                </v:shape>
                <v:shape style="position:absolute;left:3715;top:-2587;width:2478;height:2551" type="#_x0000_t75" id="docshape384" stroked="false">
                  <v:imagedata r:id="rId297" o:title=""/>
                </v:shape>
                <v:shape style="position:absolute;left:5124;top:-2609;width:2478;height:2551" type="#_x0000_t75" id="docshape385" stroked="false">
                  <v:imagedata r:id="rId297" o:title=""/>
                </v:shape>
                <v:shape style="position:absolute;left:6526;top:-2565;width:2478;height:2551" type="#_x0000_t75" id="docshape386" stroked="false">
                  <v:imagedata r:id="rId297" o:title=""/>
                </v:shape>
                <v:shape style="position:absolute;left:7917;top:-2762;width:2478;height:2551" type="#_x0000_t75" id="docshape387" stroked="false">
                  <v:imagedata r:id="rId297" o:title=""/>
                </v:shape>
                <w10:wrap type="none"/>
              </v:group>
            </w:pict>
          </mc:Fallback>
        </mc:AlternateContent>
      </w:r>
      <w:r>
        <w:rPr>
          <w:color w:val="585858"/>
          <w:spacing w:val="-2"/>
          <w:sz w:val="18"/>
        </w:rPr>
        <w:t>15.000</w:t>
      </w:r>
    </w:p>
    <w:p>
      <w:pPr>
        <w:pStyle w:val="BodyText"/>
        <w:rPr>
          <w:sz w:val="18"/>
        </w:rPr>
      </w:pPr>
    </w:p>
    <w:p>
      <w:pPr>
        <w:pStyle w:val="BodyText"/>
        <w:rPr>
          <w:sz w:val="18"/>
        </w:rPr>
      </w:pPr>
    </w:p>
    <w:p>
      <w:pPr>
        <w:pStyle w:val="BodyText"/>
        <w:spacing w:before="213"/>
        <w:rPr>
          <w:sz w:val="18"/>
        </w:rPr>
      </w:pPr>
    </w:p>
    <w:p>
      <w:pPr>
        <w:spacing w:before="0"/>
        <w:ind w:left="1024" w:right="0" w:firstLine="0"/>
        <w:jc w:val="left"/>
        <w:rPr>
          <w:sz w:val="18"/>
        </w:rPr>
      </w:pPr>
      <w:r>
        <w:rPr>
          <w:color w:val="585858"/>
          <w:spacing w:val="-2"/>
          <w:sz w:val="18"/>
        </w:rPr>
        <w:t>10.000</w:t>
      </w:r>
    </w:p>
    <w:p>
      <w:pPr>
        <w:pStyle w:val="BodyText"/>
        <w:rPr>
          <w:sz w:val="18"/>
        </w:rPr>
      </w:pPr>
    </w:p>
    <w:p>
      <w:pPr>
        <w:pStyle w:val="BodyText"/>
        <w:rPr>
          <w:sz w:val="18"/>
        </w:rPr>
      </w:pPr>
    </w:p>
    <w:p>
      <w:pPr>
        <w:pStyle w:val="BodyText"/>
        <w:spacing w:before="214"/>
        <w:rPr>
          <w:sz w:val="18"/>
        </w:rPr>
      </w:pPr>
    </w:p>
    <w:p>
      <w:pPr>
        <w:spacing w:before="0"/>
        <w:ind w:left="1115" w:right="0" w:firstLine="0"/>
        <w:jc w:val="left"/>
        <w:rPr>
          <w:sz w:val="18"/>
        </w:rPr>
      </w:pPr>
      <w:r>
        <w:rPr>
          <w:color w:val="585858"/>
          <w:spacing w:val="-2"/>
          <w:sz w:val="18"/>
        </w:rPr>
        <w:t>5.000</w:t>
      </w:r>
    </w:p>
    <w:p>
      <w:pPr>
        <w:pStyle w:val="BodyText"/>
        <w:rPr>
          <w:sz w:val="18"/>
        </w:rPr>
      </w:pPr>
    </w:p>
    <w:p>
      <w:pPr>
        <w:pStyle w:val="BodyText"/>
        <w:rPr>
          <w:sz w:val="18"/>
        </w:rPr>
      </w:pPr>
    </w:p>
    <w:p>
      <w:pPr>
        <w:pStyle w:val="BodyText"/>
        <w:spacing w:before="214"/>
        <w:rPr>
          <w:sz w:val="18"/>
        </w:rPr>
      </w:pPr>
    </w:p>
    <w:p>
      <w:pPr>
        <w:spacing w:before="1"/>
        <w:ind w:left="1115" w:right="0" w:firstLine="0"/>
        <w:jc w:val="left"/>
        <w:rPr>
          <w:sz w:val="18"/>
        </w:rPr>
      </w:pPr>
      <w:r>
        <w:rPr>
          <w:color w:val="585858"/>
          <w:spacing w:val="-2"/>
          <w:sz w:val="18"/>
        </w:rPr>
        <w:t>0.000</w:t>
      </w:r>
    </w:p>
    <w:p>
      <w:pPr>
        <w:tabs>
          <w:tab w:pos="1904" w:val="left" w:leader="none"/>
          <w:tab w:pos="3407" w:val="left" w:leader="none"/>
          <w:tab w:pos="4878" w:val="left" w:leader="none"/>
          <w:tab w:pos="6361" w:val="left" w:leader="none"/>
        </w:tabs>
        <w:spacing w:before="76"/>
        <w:ind w:left="421" w:right="0" w:firstLine="0"/>
        <w:jc w:val="center"/>
        <w:rPr>
          <w:sz w:val="18"/>
        </w:rPr>
      </w:pPr>
      <w:r>
        <w:rPr>
          <w:color w:val="585858"/>
          <w:spacing w:val="-2"/>
          <w:sz w:val="18"/>
        </w:rPr>
        <w:t>100%L/10:50H:L</w:t>
      </w:r>
      <w:r>
        <w:rPr>
          <w:color w:val="585858"/>
          <w:sz w:val="18"/>
        </w:rPr>
        <w:tab/>
      </w:r>
      <w:r>
        <w:rPr>
          <w:color w:val="585858"/>
          <w:spacing w:val="-2"/>
          <w:sz w:val="18"/>
        </w:rPr>
        <w:t>100%L/20:50H:L</w:t>
      </w:r>
      <w:r>
        <w:rPr>
          <w:color w:val="585858"/>
          <w:sz w:val="18"/>
        </w:rPr>
        <w:tab/>
      </w:r>
      <w:r>
        <w:rPr>
          <w:color w:val="585858"/>
          <w:spacing w:val="-2"/>
          <w:sz w:val="18"/>
        </w:rPr>
        <w:t>100%L/30:50H:L</w:t>
      </w:r>
      <w:r>
        <w:rPr>
          <w:color w:val="585858"/>
          <w:sz w:val="18"/>
        </w:rPr>
        <w:tab/>
      </w:r>
      <w:r>
        <w:rPr>
          <w:color w:val="585858"/>
          <w:spacing w:val="-2"/>
          <w:sz w:val="18"/>
        </w:rPr>
        <w:t>100%L/40:50H/L</w:t>
      </w:r>
      <w:r>
        <w:rPr>
          <w:color w:val="585858"/>
          <w:sz w:val="18"/>
        </w:rPr>
        <w:tab/>
      </w:r>
      <w:r>
        <w:rPr>
          <w:color w:val="585858"/>
          <w:spacing w:val="-2"/>
          <w:sz w:val="18"/>
        </w:rPr>
        <w:t>100%L/50:50H/L</w:t>
      </w:r>
    </w:p>
    <w:p>
      <w:pPr>
        <w:spacing w:before="150"/>
        <w:ind w:left="430" w:right="0" w:firstLine="0"/>
        <w:jc w:val="center"/>
        <w:rPr>
          <w:sz w:val="20"/>
        </w:rPr>
      </w:pPr>
      <w:r>
        <w:rPr>
          <w:color w:val="585858"/>
          <w:sz w:val="20"/>
        </w:rPr>
        <w:t>Lemon/mixture</w:t>
      </w:r>
      <w:r>
        <w:rPr>
          <w:color w:val="585858"/>
          <w:spacing w:val="-7"/>
          <w:sz w:val="20"/>
        </w:rPr>
        <w:t> </w:t>
      </w:r>
      <w:r>
        <w:rPr>
          <w:color w:val="585858"/>
          <w:sz w:val="20"/>
        </w:rPr>
        <w:t>of</w:t>
      </w:r>
      <w:r>
        <w:rPr>
          <w:color w:val="585858"/>
          <w:spacing w:val="-8"/>
          <w:sz w:val="20"/>
        </w:rPr>
        <w:t> </w:t>
      </w:r>
      <w:r>
        <w:rPr>
          <w:color w:val="585858"/>
          <w:sz w:val="20"/>
        </w:rPr>
        <w:t>Honey</w:t>
      </w:r>
      <w:r>
        <w:rPr>
          <w:color w:val="585858"/>
          <w:spacing w:val="-7"/>
          <w:sz w:val="20"/>
        </w:rPr>
        <w:t> </w:t>
      </w:r>
      <w:r>
        <w:rPr>
          <w:color w:val="585858"/>
          <w:sz w:val="20"/>
        </w:rPr>
        <w:t>and</w:t>
      </w:r>
      <w:r>
        <w:rPr>
          <w:color w:val="585858"/>
          <w:spacing w:val="-9"/>
          <w:sz w:val="20"/>
        </w:rPr>
        <w:t> </w:t>
      </w:r>
      <w:r>
        <w:rPr>
          <w:color w:val="585858"/>
          <w:spacing w:val="-4"/>
          <w:sz w:val="20"/>
        </w:rPr>
        <w:t>Lemon</w:t>
      </w:r>
    </w:p>
    <w:p>
      <w:pPr>
        <w:pStyle w:val="BodyText"/>
        <w:spacing w:before="175"/>
      </w:pPr>
    </w:p>
    <w:p>
      <w:pPr>
        <w:pStyle w:val="BodyText"/>
        <w:spacing w:line="259" w:lineRule="auto"/>
        <w:ind w:left="380" w:right="975"/>
      </w:pPr>
      <w:r>
        <w:rPr/>
        <w:t>Figure</w:t>
      </w:r>
      <w:r>
        <w:rPr>
          <w:spacing w:val="-1"/>
        </w:rPr>
        <w:t> </w:t>
      </w:r>
      <w:r>
        <w:rPr/>
        <w:t>4.17:</w:t>
      </w:r>
      <w:r>
        <w:rPr>
          <w:spacing w:val="-3"/>
        </w:rPr>
        <w:t> </w:t>
      </w:r>
      <w:r>
        <w:rPr/>
        <w:t>Comparing</w:t>
      </w:r>
      <w:r>
        <w:rPr>
          <w:spacing w:val="-2"/>
        </w:rPr>
        <w:t> </w:t>
      </w:r>
      <w:r>
        <w:rPr/>
        <w:t>the</w:t>
      </w:r>
      <w:r>
        <w:rPr>
          <w:spacing w:val="-3"/>
        </w:rPr>
        <w:t> </w:t>
      </w:r>
      <w:r>
        <w:rPr/>
        <w:t>mean</w:t>
      </w:r>
      <w:r>
        <w:rPr>
          <w:spacing w:val="-2"/>
        </w:rPr>
        <w:t> </w:t>
      </w:r>
      <w:r>
        <w:rPr/>
        <w:t>zones</w:t>
      </w:r>
      <w:r>
        <w:rPr>
          <w:spacing w:val="-3"/>
        </w:rPr>
        <w:t> </w:t>
      </w:r>
      <w:r>
        <w:rPr/>
        <w:t>of</w:t>
      </w:r>
      <w:r>
        <w:rPr>
          <w:spacing w:val="-4"/>
        </w:rPr>
        <w:t> </w:t>
      </w:r>
      <w:r>
        <w:rPr/>
        <w:t>inhibition</w:t>
      </w:r>
      <w:r>
        <w:rPr>
          <w:spacing w:val="-4"/>
        </w:rPr>
        <w:t> </w:t>
      </w:r>
      <w:r>
        <w:rPr/>
        <w:t>of</w:t>
      </w:r>
      <w:r>
        <w:rPr>
          <w:spacing w:val="-1"/>
        </w:rPr>
        <w:t> </w:t>
      </w:r>
      <w:r>
        <w:rPr/>
        <w:t>Lemon juice</w:t>
      </w:r>
      <w:r>
        <w:rPr>
          <w:spacing w:val="-3"/>
        </w:rPr>
        <w:t> </w:t>
      </w:r>
      <w:r>
        <w:rPr/>
        <w:t>and</w:t>
      </w:r>
      <w:r>
        <w:rPr>
          <w:spacing w:val="-2"/>
        </w:rPr>
        <w:t> </w:t>
      </w:r>
      <w:r>
        <w:rPr/>
        <w:t>the</w:t>
      </w:r>
      <w:r>
        <w:rPr>
          <w:spacing w:val="-3"/>
        </w:rPr>
        <w:t> </w:t>
      </w:r>
      <w:r>
        <w:rPr/>
        <w:t>mixture</w:t>
      </w:r>
      <w:r>
        <w:rPr>
          <w:spacing w:val="-1"/>
        </w:rPr>
        <w:t> </w:t>
      </w:r>
      <w:r>
        <w:rPr/>
        <w:t>of</w:t>
      </w:r>
      <w:r>
        <w:rPr>
          <w:spacing w:val="-1"/>
        </w:rPr>
        <w:t> </w:t>
      </w:r>
      <w:r>
        <w:rPr/>
        <w:t>Honey</w:t>
      </w:r>
      <w:r>
        <w:rPr>
          <w:spacing w:val="-1"/>
        </w:rPr>
        <w:t> </w:t>
      </w:r>
      <w:r>
        <w:rPr/>
        <w:t>and Lemon juice against </w:t>
      </w:r>
      <w:r>
        <w:rPr>
          <w:i/>
        </w:rPr>
        <w:t>Pseudomonas aeruginosa</w:t>
      </w:r>
      <w:r>
        <w:rPr/>
        <w:t>.</w:t>
      </w:r>
    </w:p>
    <w:p>
      <w:pPr>
        <w:pStyle w:val="BodyText"/>
      </w:pPr>
    </w:p>
    <w:p>
      <w:pPr>
        <w:pStyle w:val="BodyText"/>
        <w:spacing w:before="73"/>
      </w:pPr>
    </w:p>
    <w:p>
      <w:pPr>
        <w:pStyle w:val="BodyText"/>
        <w:ind w:left="380"/>
      </w:pPr>
      <w:r>
        <w:rPr/>
        <w:t>Key:</w:t>
      </w:r>
      <w:r>
        <w:rPr>
          <w:spacing w:val="-6"/>
        </w:rPr>
        <w:t> </w:t>
      </w:r>
      <w:r>
        <w:rPr/>
        <w:t>*=Significant</w:t>
      </w:r>
      <w:r>
        <w:rPr>
          <w:spacing w:val="-6"/>
        </w:rPr>
        <w:t> </w:t>
      </w:r>
      <w:r>
        <w:rPr/>
        <w:t>difference,</w:t>
      </w:r>
      <w:r>
        <w:rPr>
          <w:spacing w:val="-6"/>
        </w:rPr>
        <w:t> </w:t>
      </w:r>
      <w:r>
        <w:rPr/>
        <w:t>H=Honey,</w:t>
      </w:r>
      <w:r>
        <w:rPr>
          <w:spacing w:val="-8"/>
        </w:rPr>
        <w:t> </w:t>
      </w:r>
      <w:r>
        <w:rPr/>
        <w:t>L=Lemon</w:t>
      </w:r>
      <w:r>
        <w:rPr>
          <w:spacing w:val="-6"/>
        </w:rPr>
        <w:t> </w:t>
      </w:r>
      <w:r>
        <w:rPr>
          <w:spacing w:val="-2"/>
        </w:rPr>
        <w:t>juice.</w:t>
      </w:r>
    </w:p>
    <w:p>
      <w:pPr>
        <w:spacing w:after="0"/>
        <w:sectPr>
          <w:pgSz w:w="11910" w:h="16840"/>
          <w:pgMar w:header="0" w:footer="1055" w:top="1480" w:bottom="1240" w:left="1060" w:right="460"/>
        </w:sectPr>
      </w:pPr>
    </w:p>
    <w:p>
      <w:pPr>
        <w:spacing w:before="41"/>
        <w:ind w:left="0" w:right="0" w:firstLine="0"/>
        <w:jc w:val="right"/>
        <w:rPr>
          <w:sz w:val="18"/>
        </w:rPr>
      </w:pPr>
      <w:r>
        <w:rPr>
          <w:color w:val="585858"/>
          <w:spacing w:val="-2"/>
          <w:sz w:val="18"/>
        </w:rPr>
        <w:t>30.000</w:t>
      </w:r>
    </w:p>
    <w:p>
      <w:pPr>
        <w:pStyle w:val="BodyText"/>
        <w:rPr>
          <w:sz w:val="18"/>
        </w:rPr>
      </w:pPr>
    </w:p>
    <w:p>
      <w:pPr>
        <w:pStyle w:val="BodyText"/>
        <w:rPr>
          <w:sz w:val="18"/>
        </w:rPr>
      </w:pPr>
    </w:p>
    <w:p>
      <w:pPr>
        <w:pStyle w:val="BodyText"/>
        <w:spacing w:before="103"/>
        <w:rPr>
          <w:sz w:val="18"/>
        </w:rPr>
      </w:pPr>
    </w:p>
    <w:p>
      <w:pPr>
        <w:spacing w:before="0"/>
        <w:ind w:left="0" w:right="0" w:firstLine="0"/>
        <w:jc w:val="right"/>
        <w:rPr>
          <w:sz w:val="18"/>
        </w:rPr>
      </w:pPr>
      <w:r>
        <w:rPr>
          <w:color w:val="585858"/>
          <w:spacing w:val="-2"/>
          <w:sz w:val="18"/>
        </w:rPr>
        <w:t>25.000</w:t>
      </w:r>
    </w:p>
    <w:p>
      <w:pPr>
        <w:pStyle w:val="BodyText"/>
        <w:rPr>
          <w:sz w:val="18"/>
        </w:rPr>
      </w:pPr>
    </w:p>
    <w:p>
      <w:pPr>
        <w:pStyle w:val="BodyText"/>
        <w:rPr>
          <w:sz w:val="18"/>
        </w:rPr>
      </w:pPr>
    </w:p>
    <w:p>
      <w:pPr>
        <w:pStyle w:val="BodyText"/>
        <w:spacing w:before="102"/>
        <w:rPr>
          <w:sz w:val="18"/>
        </w:rPr>
      </w:pPr>
    </w:p>
    <w:p>
      <w:pPr>
        <w:spacing w:before="1"/>
        <w:ind w:left="0" w:right="0" w:firstLine="0"/>
        <w:jc w:val="right"/>
        <w:rPr>
          <w:sz w:val="18"/>
        </w:rPr>
      </w:pPr>
      <w:r>
        <w:rPr/>
        <mc:AlternateContent>
          <mc:Choice Requires="wps">
            <w:drawing>
              <wp:anchor distT="0" distB="0" distL="0" distR="0" allowOverlap="1" layoutInCell="1" locked="0" behindDoc="0" simplePos="0" relativeHeight="15810048">
                <wp:simplePos x="0" y="0"/>
                <wp:positionH relativeFrom="page">
                  <wp:posOffset>1086332</wp:posOffset>
                </wp:positionH>
                <wp:positionV relativeFrom="paragraph">
                  <wp:posOffset>-77340</wp:posOffset>
                </wp:positionV>
                <wp:extent cx="152400" cy="1560195"/>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152400" cy="1560195"/>
                        </a:xfrm>
                        <a:prstGeom prst="rect">
                          <a:avLst/>
                        </a:prstGeom>
                      </wps:spPr>
                      <wps:txbx>
                        <w:txbxContent>
                          <w:p>
                            <w:pPr>
                              <w:spacing w:line="223" w:lineRule="exact" w:before="0"/>
                              <w:ind w:left="20" w:right="0" w:firstLine="0"/>
                              <w:jc w:val="left"/>
                              <w:rPr>
                                <w:sz w:val="20"/>
                              </w:rPr>
                            </w:pPr>
                            <w:r>
                              <w:rPr>
                                <w:color w:val="585858"/>
                                <w:sz w:val="20"/>
                              </w:rPr>
                              <w:t>Mean</w:t>
                            </w:r>
                            <w:r>
                              <w:rPr>
                                <w:color w:val="585858"/>
                                <w:spacing w:val="-8"/>
                                <w:sz w:val="20"/>
                              </w:rPr>
                              <w:t> </w:t>
                            </w:r>
                            <w:r>
                              <w:rPr>
                                <w:color w:val="585858"/>
                                <w:sz w:val="20"/>
                              </w:rPr>
                              <w:t>zone</w:t>
                            </w:r>
                            <w:r>
                              <w:rPr>
                                <w:color w:val="585858"/>
                                <w:spacing w:val="-7"/>
                                <w:sz w:val="20"/>
                              </w:rPr>
                              <w:t> </w:t>
                            </w:r>
                            <w:r>
                              <w:rPr>
                                <w:color w:val="585858"/>
                                <w:sz w:val="20"/>
                              </w:rPr>
                              <w:t>of</w:t>
                            </w:r>
                            <w:r>
                              <w:rPr>
                                <w:color w:val="585858"/>
                                <w:spacing w:val="-8"/>
                                <w:sz w:val="20"/>
                              </w:rPr>
                              <w:t> </w:t>
                            </w:r>
                            <w:r>
                              <w:rPr>
                                <w:color w:val="585858"/>
                                <w:sz w:val="20"/>
                              </w:rPr>
                              <w:t>inhibition</w:t>
                            </w:r>
                            <w:r>
                              <w:rPr>
                                <w:color w:val="585858"/>
                                <w:spacing w:val="-7"/>
                                <w:sz w:val="20"/>
                              </w:rPr>
                              <w:t> </w:t>
                            </w:r>
                            <w:r>
                              <w:rPr>
                                <w:color w:val="585858"/>
                                <w:spacing w:val="-4"/>
                                <w:sz w:val="20"/>
                              </w:rPr>
                              <w:t>(mm)</w:t>
                            </w:r>
                          </w:p>
                        </w:txbxContent>
                      </wps:txbx>
                      <wps:bodyPr wrap="square" lIns="0" tIns="0" rIns="0" bIns="0" rtlCol="0" vert="vert270">
                        <a:noAutofit/>
                      </wps:bodyPr>
                    </wps:wsp>
                  </a:graphicData>
                </a:graphic>
              </wp:anchor>
            </w:drawing>
          </mc:Choice>
          <mc:Fallback>
            <w:pict>
              <v:shape style="position:absolute;margin-left:85.538002pt;margin-top:-6.089786pt;width:12pt;height:122.85pt;mso-position-horizontal-relative:page;mso-position-vertical-relative:paragraph;z-index:15810048" type="#_x0000_t202" id="docshape388" filled="false" stroked="false">
                <v:textbox inset="0,0,0,0" style="layout-flow:vertical;mso-layout-flow-alt:bottom-to-top">
                  <w:txbxContent>
                    <w:p>
                      <w:pPr>
                        <w:spacing w:line="223" w:lineRule="exact" w:before="0"/>
                        <w:ind w:left="20" w:right="0" w:firstLine="0"/>
                        <w:jc w:val="left"/>
                        <w:rPr>
                          <w:sz w:val="20"/>
                        </w:rPr>
                      </w:pPr>
                      <w:r>
                        <w:rPr>
                          <w:color w:val="585858"/>
                          <w:sz w:val="20"/>
                        </w:rPr>
                        <w:t>Mean</w:t>
                      </w:r>
                      <w:r>
                        <w:rPr>
                          <w:color w:val="585858"/>
                          <w:spacing w:val="-8"/>
                          <w:sz w:val="20"/>
                        </w:rPr>
                        <w:t> </w:t>
                      </w:r>
                      <w:r>
                        <w:rPr>
                          <w:color w:val="585858"/>
                          <w:sz w:val="20"/>
                        </w:rPr>
                        <w:t>zone</w:t>
                      </w:r>
                      <w:r>
                        <w:rPr>
                          <w:color w:val="585858"/>
                          <w:spacing w:val="-7"/>
                          <w:sz w:val="20"/>
                        </w:rPr>
                        <w:t> </w:t>
                      </w:r>
                      <w:r>
                        <w:rPr>
                          <w:color w:val="585858"/>
                          <w:sz w:val="20"/>
                        </w:rPr>
                        <w:t>of</w:t>
                      </w:r>
                      <w:r>
                        <w:rPr>
                          <w:color w:val="585858"/>
                          <w:spacing w:val="-8"/>
                          <w:sz w:val="20"/>
                        </w:rPr>
                        <w:t> </w:t>
                      </w:r>
                      <w:r>
                        <w:rPr>
                          <w:color w:val="585858"/>
                          <w:sz w:val="20"/>
                        </w:rPr>
                        <w:t>inhibition</w:t>
                      </w:r>
                      <w:r>
                        <w:rPr>
                          <w:color w:val="585858"/>
                          <w:spacing w:val="-7"/>
                          <w:sz w:val="20"/>
                        </w:rPr>
                        <w:t> </w:t>
                      </w:r>
                      <w:r>
                        <w:rPr>
                          <w:color w:val="585858"/>
                          <w:spacing w:val="-4"/>
                          <w:sz w:val="20"/>
                        </w:rPr>
                        <w:t>(mm)</w:t>
                      </w:r>
                    </w:p>
                  </w:txbxContent>
                </v:textbox>
                <w10:wrap type="none"/>
              </v:shape>
            </w:pict>
          </mc:Fallback>
        </mc:AlternateContent>
      </w:r>
      <w:r>
        <w:rPr>
          <w:color w:val="585858"/>
          <w:spacing w:val="-2"/>
          <w:sz w:val="18"/>
        </w:rPr>
        <w:t>20.000</w:t>
      </w:r>
    </w:p>
    <w:p>
      <w:pPr>
        <w:pStyle w:val="BodyText"/>
        <w:rPr>
          <w:sz w:val="18"/>
        </w:rPr>
      </w:pPr>
    </w:p>
    <w:p>
      <w:pPr>
        <w:pStyle w:val="BodyText"/>
        <w:rPr>
          <w:sz w:val="18"/>
        </w:rPr>
      </w:pPr>
    </w:p>
    <w:p>
      <w:pPr>
        <w:pStyle w:val="BodyText"/>
        <w:spacing w:before="102"/>
        <w:rPr>
          <w:sz w:val="18"/>
        </w:rPr>
      </w:pPr>
    </w:p>
    <w:p>
      <w:pPr>
        <w:spacing w:before="1"/>
        <w:ind w:left="0" w:right="0" w:firstLine="0"/>
        <w:jc w:val="right"/>
        <w:rPr>
          <w:sz w:val="18"/>
        </w:rPr>
      </w:pPr>
      <w:r>
        <w:rPr>
          <w:color w:val="585858"/>
          <w:spacing w:val="-2"/>
          <w:sz w:val="18"/>
        </w:rPr>
        <w:t>15.000</w:t>
      </w:r>
    </w:p>
    <w:p>
      <w:pPr>
        <w:pStyle w:val="BodyText"/>
        <w:rPr>
          <w:sz w:val="18"/>
        </w:rPr>
      </w:pPr>
    </w:p>
    <w:p>
      <w:pPr>
        <w:pStyle w:val="BodyText"/>
        <w:rPr>
          <w:sz w:val="18"/>
        </w:rPr>
      </w:pPr>
    </w:p>
    <w:p>
      <w:pPr>
        <w:pStyle w:val="BodyText"/>
        <w:spacing w:before="102"/>
        <w:rPr>
          <w:sz w:val="18"/>
        </w:rPr>
      </w:pPr>
    </w:p>
    <w:p>
      <w:pPr>
        <w:spacing w:before="0"/>
        <w:ind w:left="0" w:right="0" w:firstLine="0"/>
        <w:jc w:val="right"/>
        <w:rPr>
          <w:sz w:val="18"/>
        </w:rPr>
      </w:pPr>
      <w:r>
        <w:rPr>
          <w:color w:val="585858"/>
          <w:spacing w:val="-2"/>
          <w:sz w:val="18"/>
        </w:rPr>
        <w:t>10.000</w:t>
      </w:r>
    </w:p>
    <w:p>
      <w:pPr>
        <w:pStyle w:val="BodyText"/>
        <w:rPr>
          <w:sz w:val="18"/>
        </w:rPr>
      </w:pPr>
    </w:p>
    <w:p>
      <w:pPr>
        <w:pStyle w:val="BodyText"/>
        <w:rPr>
          <w:sz w:val="18"/>
        </w:rPr>
      </w:pPr>
    </w:p>
    <w:p>
      <w:pPr>
        <w:pStyle w:val="BodyText"/>
        <w:spacing w:before="103"/>
        <w:rPr>
          <w:sz w:val="18"/>
        </w:rPr>
      </w:pPr>
    </w:p>
    <w:p>
      <w:pPr>
        <w:spacing w:before="0"/>
        <w:ind w:left="0" w:right="0" w:firstLine="0"/>
        <w:jc w:val="right"/>
        <w:rPr>
          <w:sz w:val="18"/>
        </w:rPr>
      </w:pPr>
      <w:r>
        <w:rPr>
          <w:color w:val="585858"/>
          <w:spacing w:val="-2"/>
          <w:sz w:val="18"/>
        </w:rPr>
        <w:t>5.000</w:t>
      </w:r>
    </w:p>
    <w:p>
      <w:pPr>
        <w:pStyle w:val="BodyText"/>
        <w:rPr>
          <w:sz w:val="18"/>
        </w:rPr>
      </w:pPr>
    </w:p>
    <w:p>
      <w:pPr>
        <w:pStyle w:val="BodyText"/>
        <w:rPr>
          <w:sz w:val="18"/>
        </w:rPr>
      </w:pPr>
    </w:p>
    <w:p>
      <w:pPr>
        <w:pStyle w:val="BodyText"/>
        <w:spacing w:before="103"/>
        <w:rPr>
          <w:sz w:val="18"/>
        </w:rPr>
      </w:pPr>
    </w:p>
    <w:p>
      <w:pPr>
        <w:spacing w:before="0"/>
        <w:ind w:left="0" w:right="0" w:firstLine="0"/>
        <w:jc w:val="right"/>
        <w:rPr>
          <w:sz w:val="18"/>
        </w:rPr>
      </w:pPr>
      <w:r>
        <w:rPr>
          <w:color w:val="585858"/>
          <w:spacing w:val="-2"/>
          <w:sz w:val="18"/>
        </w:rPr>
        <w:t>0.000</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3"/>
        <w:rPr>
          <w:sz w:val="20"/>
        </w:rPr>
      </w:pPr>
    </w:p>
    <w:tbl>
      <w:tblPr>
        <w:tblW w:w="0" w:type="auto"/>
        <w:jc w:val="left"/>
        <w:tblCellSpacing w:w="43" w:type="dxa"/>
        <w:tblInd w:w="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5"/>
        <w:gridCol w:w="1428"/>
        <w:gridCol w:w="1430"/>
        <w:gridCol w:w="1430"/>
        <w:gridCol w:w="1428"/>
        <w:gridCol w:w="715"/>
      </w:tblGrid>
      <w:tr>
        <w:trPr>
          <w:trHeight w:val="4050" w:hRule="atLeast"/>
        </w:trPr>
        <w:tc>
          <w:tcPr>
            <w:tcW w:w="672" w:type="dxa"/>
            <w:tcBorders>
              <w:top w:val="nil"/>
              <w:left w:val="nil"/>
              <w:bottom w:val="single" w:sz="6" w:space="0" w:color="D9D9D9"/>
            </w:tcBorders>
          </w:tcPr>
          <w:p>
            <w:pPr>
              <w:pStyle w:val="TableParagraph"/>
              <w:rPr>
                <w:sz w:val="9"/>
              </w:rPr>
            </w:pPr>
          </w:p>
          <w:p>
            <w:pPr>
              <w:pStyle w:val="TableParagraph"/>
              <w:spacing w:line="20" w:lineRule="exact"/>
              <w:ind w:left="466"/>
              <w:rPr>
                <w:sz w:val="2"/>
              </w:rPr>
            </w:pPr>
            <w:r>
              <w:rPr>
                <w:sz w:val="2"/>
              </w:rPr>
              <mc:AlternateContent>
                <mc:Choice Requires="wps">
                  <w:drawing>
                    <wp:inline distT="0" distB="0" distL="0" distR="0">
                      <wp:extent cx="57150" cy="12700"/>
                      <wp:effectExtent l="9525" t="0" r="0" b="6350"/>
                      <wp:docPr id="437" name="Group 437"/>
                      <wp:cNvGraphicFramePr>
                        <a:graphicFrameLocks/>
                      </wp:cNvGraphicFramePr>
                      <a:graphic>
                        <a:graphicData uri="http://schemas.microsoft.com/office/word/2010/wordprocessingGroup">
                          <wpg:wgp>
                            <wpg:cNvPr id="437" name="Group 437"/>
                            <wpg:cNvGrpSpPr/>
                            <wpg:grpSpPr>
                              <a:xfrm>
                                <a:off x="0" y="0"/>
                                <a:ext cx="57150" cy="12700"/>
                                <a:chExt cx="57150" cy="12700"/>
                              </a:xfrm>
                            </wpg:grpSpPr>
                            <wps:wsp>
                              <wps:cNvPr id="438" name="Graphic 438"/>
                              <wps:cNvSpPr/>
                              <wps:spPr>
                                <a:xfrm>
                                  <a:off x="0" y="635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inline>
                  </w:drawing>
                </mc:Choice>
                <mc:Fallback>
                  <w:pict>
                    <v:group style="width:4.5pt;height:1pt;mso-position-horizontal-relative:char;mso-position-vertical-relative:line" id="docshapegroup389" coordorigin="0,0" coordsize="90,20">
                      <v:line style="position:absolute" from="0,10" to="90,10" stroked="true" strokeweight="1pt" strokecolor="#585858">
                        <v:stroke dashstyle="solid"/>
                      </v:line>
                    </v:group>
                  </w:pict>
                </mc:Fallback>
              </mc:AlternateContent>
            </w:r>
            <w:r>
              <w:rPr>
                <w:sz w:val="2"/>
              </w:rPr>
            </w:r>
          </w:p>
        </w:tc>
        <w:tc>
          <w:tcPr>
            <w:tcW w:w="1342" w:type="dxa"/>
            <w:tcBorders>
              <w:top w:val="nil"/>
              <w:bottom w:val="single" w:sz="6" w:space="0" w:color="D9D9D9"/>
            </w:tcBorders>
          </w:tcPr>
          <w:p>
            <w:pPr>
              <w:pStyle w:val="TableParagraph"/>
              <w:rPr>
                <w:sz w:val="9"/>
              </w:rPr>
            </w:pPr>
          </w:p>
          <w:p>
            <w:pPr>
              <w:pStyle w:val="TableParagraph"/>
              <w:spacing w:line="20" w:lineRule="exact"/>
              <w:ind w:left="1137"/>
              <w:rPr>
                <w:sz w:val="2"/>
              </w:rPr>
            </w:pPr>
            <w:r>
              <w:rPr>
                <w:sz w:val="2"/>
              </w:rPr>
              <mc:AlternateContent>
                <mc:Choice Requires="wps">
                  <w:drawing>
                    <wp:inline distT="0" distB="0" distL="0" distR="0">
                      <wp:extent cx="57150" cy="12700"/>
                      <wp:effectExtent l="9525" t="0" r="0" b="6350"/>
                      <wp:docPr id="439" name="Group 439"/>
                      <wp:cNvGraphicFramePr>
                        <a:graphicFrameLocks/>
                      </wp:cNvGraphicFramePr>
                      <a:graphic>
                        <a:graphicData uri="http://schemas.microsoft.com/office/word/2010/wordprocessingGroup">
                          <wpg:wgp>
                            <wpg:cNvPr id="439" name="Group 439"/>
                            <wpg:cNvGrpSpPr/>
                            <wpg:grpSpPr>
                              <a:xfrm>
                                <a:off x="0" y="0"/>
                                <a:ext cx="57150" cy="12700"/>
                                <a:chExt cx="57150" cy="12700"/>
                              </a:xfrm>
                            </wpg:grpSpPr>
                            <wps:wsp>
                              <wps:cNvPr id="440" name="Graphic 440"/>
                              <wps:cNvSpPr/>
                              <wps:spPr>
                                <a:xfrm>
                                  <a:off x="0" y="635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inline>
                  </w:drawing>
                </mc:Choice>
                <mc:Fallback>
                  <w:pict>
                    <v:group style="width:4.5pt;height:1pt;mso-position-horizontal-relative:char;mso-position-vertical-relative:line" id="docshapegroup390" coordorigin="0,0" coordsize="90,20">
                      <v:line style="position:absolute" from="0,10" to="90,10" stroked="true" strokeweight="1pt" strokecolor="#585858">
                        <v:stroke dashstyle="solid"/>
                      </v:line>
                    </v:group>
                  </w:pict>
                </mc:Fallback>
              </mc:AlternateContent>
            </w:r>
            <w:r>
              <w:rPr>
                <w:sz w:val="2"/>
              </w:rPr>
            </w:r>
          </w:p>
        </w:tc>
        <w:tc>
          <w:tcPr>
            <w:tcW w:w="1344" w:type="dxa"/>
            <w:tcBorders>
              <w:top w:val="nil"/>
              <w:bottom w:val="single" w:sz="6" w:space="0" w:color="D9D9D9"/>
            </w:tcBorders>
          </w:tcPr>
          <w:p>
            <w:pPr>
              <w:pStyle w:val="TableParagraph"/>
              <w:rPr>
                <w:sz w:val="9"/>
              </w:rPr>
            </w:pPr>
          </w:p>
          <w:p>
            <w:pPr>
              <w:pStyle w:val="TableParagraph"/>
              <w:spacing w:line="20" w:lineRule="exact"/>
              <w:ind w:left="1138"/>
              <w:rPr>
                <w:sz w:val="2"/>
              </w:rPr>
            </w:pPr>
            <w:r>
              <w:rPr>
                <w:sz w:val="2"/>
              </w:rPr>
              <mc:AlternateContent>
                <mc:Choice Requires="wps">
                  <w:drawing>
                    <wp:inline distT="0" distB="0" distL="0" distR="0">
                      <wp:extent cx="57150" cy="12700"/>
                      <wp:effectExtent l="9525" t="0" r="0" b="6350"/>
                      <wp:docPr id="441" name="Group 441"/>
                      <wp:cNvGraphicFramePr>
                        <a:graphicFrameLocks/>
                      </wp:cNvGraphicFramePr>
                      <a:graphic>
                        <a:graphicData uri="http://schemas.microsoft.com/office/word/2010/wordprocessingGroup">
                          <wpg:wgp>
                            <wpg:cNvPr id="441" name="Group 441"/>
                            <wpg:cNvGrpSpPr/>
                            <wpg:grpSpPr>
                              <a:xfrm>
                                <a:off x="0" y="0"/>
                                <a:ext cx="57150" cy="12700"/>
                                <a:chExt cx="57150" cy="12700"/>
                              </a:xfrm>
                            </wpg:grpSpPr>
                            <wps:wsp>
                              <wps:cNvPr id="442" name="Graphic 442"/>
                              <wps:cNvSpPr/>
                              <wps:spPr>
                                <a:xfrm>
                                  <a:off x="0" y="635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inline>
                  </w:drawing>
                </mc:Choice>
                <mc:Fallback>
                  <w:pict>
                    <v:group style="width:4.5pt;height:1pt;mso-position-horizontal-relative:char;mso-position-vertical-relative:line" id="docshapegroup391" coordorigin="0,0" coordsize="90,20">
                      <v:line style="position:absolute" from="0,10" to="90,10" stroked="true" strokeweight="1pt" strokecolor="#585858">
                        <v:stroke dashstyle="solid"/>
                      </v:line>
                    </v:group>
                  </w:pict>
                </mc:Fallback>
              </mc:AlternateContent>
            </w:r>
            <w:r>
              <w:rPr>
                <w:sz w:val="2"/>
              </w:rPr>
            </w:r>
          </w:p>
        </w:tc>
        <w:tc>
          <w:tcPr>
            <w:tcW w:w="1344" w:type="dxa"/>
            <w:tcBorders>
              <w:top w:val="nil"/>
              <w:bottom w:val="single" w:sz="6" w:space="0" w:color="D9D9D9"/>
            </w:tcBorders>
          </w:tcPr>
          <w:p>
            <w:pPr>
              <w:pStyle w:val="TableParagraph"/>
              <w:spacing w:line="20" w:lineRule="exact"/>
              <w:ind w:left="115"/>
              <w:rPr>
                <w:sz w:val="2"/>
              </w:rPr>
            </w:pPr>
            <w:r>
              <w:rPr>
                <w:sz w:val="2"/>
              </w:rPr>
              <mc:AlternateContent>
                <mc:Choice Requires="wps">
                  <w:drawing>
                    <wp:inline distT="0" distB="0" distL="0" distR="0">
                      <wp:extent cx="57150" cy="12700"/>
                      <wp:effectExtent l="9525" t="0" r="0" b="6350"/>
                      <wp:docPr id="443" name="Group 443"/>
                      <wp:cNvGraphicFramePr>
                        <a:graphicFrameLocks/>
                      </wp:cNvGraphicFramePr>
                      <a:graphic>
                        <a:graphicData uri="http://schemas.microsoft.com/office/word/2010/wordprocessingGroup">
                          <wpg:wgp>
                            <wpg:cNvPr id="443" name="Group 443"/>
                            <wpg:cNvGrpSpPr/>
                            <wpg:grpSpPr>
                              <a:xfrm>
                                <a:off x="0" y="0"/>
                                <a:ext cx="57150" cy="12700"/>
                                <a:chExt cx="57150" cy="12700"/>
                              </a:xfrm>
                            </wpg:grpSpPr>
                            <wps:wsp>
                              <wps:cNvPr id="444" name="Graphic 444"/>
                              <wps:cNvSpPr/>
                              <wps:spPr>
                                <a:xfrm>
                                  <a:off x="0" y="635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inline>
                  </w:drawing>
                </mc:Choice>
                <mc:Fallback>
                  <w:pict>
                    <v:group style="width:4.5pt;height:1pt;mso-position-horizontal-relative:char;mso-position-vertical-relative:line" id="docshapegroup392" coordorigin="0,0" coordsize="90,20">
                      <v:line style="position:absolute" from="0,10" to="90,10" stroked="true" strokeweight="1pt" strokecolor="#585858">
                        <v:stroke dashstyle="solid"/>
                      </v:line>
                    </v:group>
                  </w:pict>
                </mc:Fallback>
              </mc:AlternateContent>
            </w:r>
            <w:r>
              <w:rPr>
                <w:sz w:val="2"/>
              </w:rPr>
            </w:r>
          </w:p>
          <w:p>
            <w:pPr>
              <w:pStyle w:val="TableParagraph"/>
              <w:spacing w:before="4"/>
              <w:rPr>
                <w:sz w:val="7"/>
              </w:rPr>
            </w:pPr>
          </w:p>
          <w:p>
            <w:pPr>
              <w:pStyle w:val="TableParagraph"/>
              <w:spacing w:line="20" w:lineRule="exact"/>
              <w:ind w:left="1138"/>
              <w:rPr>
                <w:sz w:val="2"/>
              </w:rPr>
            </w:pPr>
            <w:r>
              <w:rPr>
                <w:sz w:val="2"/>
              </w:rPr>
              <mc:AlternateContent>
                <mc:Choice Requires="wps">
                  <w:drawing>
                    <wp:inline distT="0" distB="0" distL="0" distR="0">
                      <wp:extent cx="57150" cy="12700"/>
                      <wp:effectExtent l="9525" t="0" r="0" b="6350"/>
                      <wp:docPr id="445" name="Group 445"/>
                      <wp:cNvGraphicFramePr>
                        <a:graphicFrameLocks/>
                      </wp:cNvGraphicFramePr>
                      <a:graphic>
                        <a:graphicData uri="http://schemas.microsoft.com/office/word/2010/wordprocessingGroup">
                          <wpg:wgp>
                            <wpg:cNvPr id="445" name="Group 445"/>
                            <wpg:cNvGrpSpPr/>
                            <wpg:grpSpPr>
                              <a:xfrm>
                                <a:off x="0" y="0"/>
                                <a:ext cx="57150" cy="12700"/>
                                <a:chExt cx="57150" cy="12700"/>
                              </a:xfrm>
                            </wpg:grpSpPr>
                            <wps:wsp>
                              <wps:cNvPr id="446" name="Graphic 446"/>
                              <wps:cNvSpPr/>
                              <wps:spPr>
                                <a:xfrm>
                                  <a:off x="0" y="635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inline>
                  </w:drawing>
                </mc:Choice>
                <mc:Fallback>
                  <w:pict>
                    <v:group style="width:4.5pt;height:1pt;mso-position-horizontal-relative:char;mso-position-vertical-relative:line" id="docshapegroup393" coordorigin="0,0" coordsize="90,20">
                      <v:line style="position:absolute" from="0,10" to="90,10" stroked="true" strokeweight="1pt" strokecolor="#585858">
                        <v:stroke dashstyle="solid"/>
                      </v:line>
                    </v:group>
                  </w:pict>
                </mc:Fallback>
              </mc:AlternateContent>
            </w:r>
            <w:r>
              <w:rPr>
                <w:sz w:val="2"/>
              </w:rPr>
            </w:r>
          </w:p>
        </w:tc>
        <w:tc>
          <w:tcPr>
            <w:tcW w:w="1342" w:type="dxa"/>
            <w:tcBorders>
              <w:top w:val="nil"/>
              <w:bottom w:val="single" w:sz="6" w:space="0" w:color="D9D9D9"/>
            </w:tcBorders>
          </w:tcPr>
          <w:p>
            <w:pPr>
              <w:pStyle w:val="TableParagraph"/>
              <w:rPr>
                <w:sz w:val="9"/>
              </w:rPr>
            </w:pPr>
          </w:p>
          <w:p>
            <w:pPr>
              <w:pStyle w:val="TableParagraph"/>
              <w:spacing w:line="20" w:lineRule="exact"/>
              <w:ind w:left="1137"/>
              <w:rPr>
                <w:sz w:val="2"/>
              </w:rPr>
            </w:pPr>
            <w:r>
              <w:rPr>
                <w:sz w:val="2"/>
              </w:rPr>
              <mc:AlternateContent>
                <mc:Choice Requires="wps">
                  <w:drawing>
                    <wp:inline distT="0" distB="0" distL="0" distR="0">
                      <wp:extent cx="57150" cy="12700"/>
                      <wp:effectExtent l="9525" t="0" r="0" b="6350"/>
                      <wp:docPr id="447" name="Group 447"/>
                      <wp:cNvGraphicFramePr>
                        <a:graphicFrameLocks/>
                      </wp:cNvGraphicFramePr>
                      <a:graphic>
                        <a:graphicData uri="http://schemas.microsoft.com/office/word/2010/wordprocessingGroup">
                          <wpg:wgp>
                            <wpg:cNvPr id="447" name="Group 447"/>
                            <wpg:cNvGrpSpPr/>
                            <wpg:grpSpPr>
                              <a:xfrm>
                                <a:off x="0" y="0"/>
                                <a:ext cx="57150" cy="12700"/>
                                <a:chExt cx="57150" cy="12700"/>
                              </a:xfrm>
                            </wpg:grpSpPr>
                            <wps:wsp>
                              <wps:cNvPr id="448" name="Graphic 448"/>
                              <wps:cNvSpPr/>
                              <wps:spPr>
                                <a:xfrm>
                                  <a:off x="0" y="6350"/>
                                  <a:ext cx="57150" cy="1270"/>
                                </a:xfrm>
                                <a:custGeom>
                                  <a:avLst/>
                                  <a:gdLst/>
                                  <a:ahLst/>
                                  <a:cxnLst/>
                                  <a:rect l="l" t="t" r="r" b="b"/>
                                  <a:pathLst>
                                    <a:path w="57150" h="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inline>
                  </w:drawing>
                </mc:Choice>
                <mc:Fallback>
                  <w:pict>
                    <v:group style="width:4.5pt;height:1pt;mso-position-horizontal-relative:char;mso-position-vertical-relative:line" id="docshapegroup394" coordorigin="0,0" coordsize="90,20">
                      <v:line style="position:absolute" from="0,10" to="90,10" stroked="true" strokeweight="1pt" strokecolor="#585858">
                        <v:stroke dashstyle="solid"/>
                      </v:line>
                    </v:group>
                  </w:pict>
                </mc:Fallback>
              </mc:AlternateContent>
            </w:r>
            <w:r>
              <w:rPr>
                <w:sz w:val="2"/>
              </w:rPr>
            </w:r>
          </w:p>
        </w:tc>
        <w:tc>
          <w:tcPr>
            <w:tcW w:w="672" w:type="dxa"/>
            <w:tcBorders>
              <w:top w:val="nil"/>
              <w:bottom w:val="single" w:sz="6" w:space="0" w:color="D9D9D9"/>
              <w:right w:val="nil"/>
            </w:tcBorders>
          </w:tcPr>
          <w:p>
            <w:pPr>
              <w:pStyle w:val="TableParagraph"/>
              <w:rPr>
                <w:rFonts w:ascii="Times New Roman"/>
                <w:sz w:val="20"/>
              </w:rPr>
            </w:pPr>
          </w:p>
        </w:tc>
      </w:tr>
    </w:tbl>
    <w:p>
      <w:pPr>
        <w:tabs>
          <w:tab w:pos="1429" w:val="left" w:leader="none"/>
          <w:tab w:pos="2879" w:val="left" w:leader="none"/>
          <w:tab w:pos="4299" w:val="left" w:leader="none"/>
          <w:tab w:pos="5729" w:val="left" w:leader="none"/>
        </w:tabs>
        <w:spacing w:before="177"/>
        <w:ind w:left="0" w:right="1408" w:firstLine="0"/>
        <w:jc w:val="center"/>
        <w:rPr>
          <w:sz w:val="18"/>
        </w:rPr>
      </w:pPr>
      <w:r>
        <w:rPr/>
        <mc:AlternateContent>
          <mc:Choice Requires="wps">
            <w:drawing>
              <wp:anchor distT="0" distB="0" distL="0" distR="0" allowOverlap="1" layoutInCell="1" locked="0" behindDoc="1" simplePos="0" relativeHeight="472782336">
                <wp:simplePos x="0" y="0"/>
                <wp:positionH relativeFrom="page">
                  <wp:posOffset>2235707</wp:posOffset>
                </wp:positionH>
                <wp:positionV relativeFrom="paragraph">
                  <wp:posOffset>-3034283</wp:posOffset>
                </wp:positionV>
                <wp:extent cx="203200" cy="3034665"/>
                <wp:effectExtent l="0" t="0" r="0" b="0"/>
                <wp:wrapNone/>
                <wp:docPr id="449" name="Group 449"/>
                <wp:cNvGraphicFramePr>
                  <a:graphicFrameLocks/>
                </wp:cNvGraphicFramePr>
                <a:graphic>
                  <a:graphicData uri="http://schemas.microsoft.com/office/word/2010/wordprocessingGroup">
                    <wpg:wgp>
                      <wpg:cNvPr id="449" name="Group 449"/>
                      <wpg:cNvGrpSpPr/>
                      <wpg:grpSpPr>
                        <a:xfrm>
                          <a:off x="0" y="0"/>
                          <a:ext cx="203200" cy="3034665"/>
                          <a:chExt cx="203200" cy="3034665"/>
                        </a:xfrm>
                      </wpg:grpSpPr>
                      <wps:wsp>
                        <wps:cNvPr id="450" name="Graphic 450"/>
                        <wps:cNvSpPr/>
                        <wps:spPr>
                          <a:xfrm>
                            <a:off x="0" y="125348"/>
                            <a:ext cx="203200" cy="2909570"/>
                          </a:xfrm>
                          <a:custGeom>
                            <a:avLst/>
                            <a:gdLst/>
                            <a:ahLst/>
                            <a:cxnLst/>
                            <a:rect l="l" t="t" r="r" b="b"/>
                            <a:pathLst>
                              <a:path w="203200" h="2909570">
                                <a:moveTo>
                                  <a:pt x="202692" y="0"/>
                                </a:moveTo>
                                <a:lnTo>
                                  <a:pt x="0" y="0"/>
                                </a:lnTo>
                                <a:lnTo>
                                  <a:pt x="0" y="2909316"/>
                                </a:lnTo>
                                <a:lnTo>
                                  <a:pt x="202692" y="2909316"/>
                                </a:lnTo>
                                <a:lnTo>
                                  <a:pt x="202692" y="0"/>
                                </a:lnTo>
                                <a:close/>
                              </a:path>
                            </a:pathLst>
                          </a:custGeom>
                          <a:solidFill>
                            <a:srgbClr val="EC7C30"/>
                          </a:solidFill>
                        </wps:spPr>
                        <wps:bodyPr wrap="square" lIns="0" tIns="0" rIns="0" bIns="0" rtlCol="0">
                          <a:prstTxWarp prst="textNoShape">
                            <a:avLst/>
                          </a:prstTxWarp>
                          <a:noAutofit/>
                        </wps:bodyPr>
                      </wps:wsp>
                      <wps:wsp>
                        <wps:cNvPr id="451" name="Graphic 451"/>
                        <wps:cNvSpPr/>
                        <wps:spPr>
                          <a:xfrm>
                            <a:off x="73025" y="6350"/>
                            <a:ext cx="57150" cy="238125"/>
                          </a:xfrm>
                          <a:custGeom>
                            <a:avLst/>
                            <a:gdLst/>
                            <a:ahLst/>
                            <a:cxnLst/>
                            <a:rect l="l" t="t" r="r" b="b"/>
                            <a:pathLst>
                              <a:path w="57150" h="238125">
                                <a:moveTo>
                                  <a:pt x="28575" y="238125"/>
                                </a:moveTo>
                                <a:lnTo>
                                  <a:pt x="28575" y="119125"/>
                                </a:lnTo>
                                <a:lnTo>
                                  <a:pt x="28575" y="0"/>
                                </a:lnTo>
                              </a:path>
                              <a:path w="57150" h="238125">
                                <a:moveTo>
                                  <a:pt x="0" y="238125"/>
                                </a:moveTo>
                                <a:lnTo>
                                  <a:pt x="57150" y="238125"/>
                                </a:lnTo>
                              </a:path>
                              <a:path w="57150" h="23812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6.039993pt;margin-top:-238.919998pt;width:16pt;height:238.95pt;mso-position-horizontal-relative:page;mso-position-vertical-relative:paragraph;z-index:-30534144" id="docshapegroup395" coordorigin="3521,-4778" coordsize="320,4779">
                <v:rect style="position:absolute;left:3520;top:-4581;width:320;height:4582" id="docshape396" filled="true" fillcolor="#ec7c30" stroked="false">
                  <v:fill type="solid"/>
                </v:rect>
                <v:shape style="position:absolute;left:3635;top:-4769;width:90;height:375" id="docshape397" coordorigin="3636,-4768" coordsize="90,375" path="m3681,-4393l3681,-4581,3681,-4768m3636,-4393l3726,-4393m3636,-4768l3726,-4768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82848">
                <wp:simplePos x="0" y="0"/>
                <wp:positionH relativeFrom="page">
                  <wp:posOffset>3142488</wp:posOffset>
                </wp:positionH>
                <wp:positionV relativeFrom="paragraph">
                  <wp:posOffset>-3086226</wp:posOffset>
                </wp:positionV>
                <wp:extent cx="204470" cy="3086735"/>
                <wp:effectExtent l="0" t="0" r="0" b="0"/>
                <wp:wrapNone/>
                <wp:docPr id="452" name="Group 452"/>
                <wp:cNvGraphicFramePr>
                  <a:graphicFrameLocks/>
                </wp:cNvGraphicFramePr>
                <a:graphic>
                  <a:graphicData uri="http://schemas.microsoft.com/office/word/2010/wordprocessingGroup">
                    <wpg:wgp>
                      <wpg:cNvPr id="452" name="Group 452"/>
                      <wpg:cNvGrpSpPr/>
                      <wpg:grpSpPr>
                        <a:xfrm>
                          <a:off x="0" y="0"/>
                          <a:ext cx="204470" cy="3086735"/>
                          <a:chExt cx="204470" cy="3086735"/>
                        </a:xfrm>
                      </wpg:grpSpPr>
                      <wps:wsp>
                        <wps:cNvPr id="453" name="Graphic 453"/>
                        <wps:cNvSpPr/>
                        <wps:spPr>
                          <a:xfrm>
                            <a:off x="0" y="114807"/>
                            <a:ext cx="204470" cy="2971800"/>
                          </a:xfrm>
                          <a:custGeom>
                            <a:avLst/>
                            <a:gdLst/>
                            <a:ahLst/>
                            <a:cxnLst/>
                            <a:rect l="l" t="t" r="r" b="b"/>
                            <a:pathLst>
                              <a:path w="204470" h="2971800">
                                <a:moveTo>
                                  <a:pt x="204215" y="0"/>
                                </a:moveTo>
                                <a:lnTo>
                                  <a:pt x="0" y="0"/>
                                </a:lnTo>
                                <a:lnTo>
                                  <a:pt x="0" y="2971800"/>
                                </a:lnTo>
                                <a:lnTo>
                                  <a:pt x="204215" y="2971800"/>
                                </a:lnTo>
                                <a:lnTo>
                                  <a:pt x="204215" y="0"/>
                                </a:lnTo>
                                <a:close/>
                              </a:path>
                            </a:pathLst>
                          </a:custGeom>
                          <a:solidFill>
                            <a:srgbClr val="EC7C30"/>
                          </a:solidFill>
                        </wps:spPr>
                        <wps:bodyPr wrap="square" lIns="0" tIns="0" rIns="0" bIns="0" rtlCol="0">
                          <a:prstTxWarp prst="textNoShape">
                            <a:avLst/>
                          </a:prstTxWarp>
                          <a:noAutofit/>
                        </wps:bodyPr>
                      </wps:wsp>
                      <wps:wsp>
                        <wps:cNvPr id="454" name="Graphic 454"/>
                        <wps:cNvSpPr/>
                        <wps:spPr>
                          <a:xfrm>
                            <a:off x="73786" y="6350"/>
                            <a:ext cx="57150" cy="217804"/>
                          </a:xfrm>
                          <a:custGeom>
                            <a:avLst/>
                            <a:gdLst/>
                            <a:ahLst/>
                            <a:cxnLst/>
                            <a:rect l="l" t="t" r="r" b="b"/>
                            <a:pathLst>
                              <a:path w="57150" h="217804">
                                <a:moveTo>
                                  <a:pt x="28575" y="217424"/>
                                </a:moveTo>
                                <a:lnTo>
                                  <a:pt x="28575" y="108712"/>
                                </a:lnTo>
                                <a:lnTo>
                                  <a:pt x="28575" y="0"/>
                                </a:lnTo>
                              </a:path>
                              <a:path w="57150" h="217804">
                                <a:moveTo>
                                  <a:pt x="0" y="217424"/>
                                </a:moveTo>
                                <a:lnTo>
                                  <a:pt x="57150" y="217424"/>
                                </a:lnTo>
                              </a:path>
                              <a:path w="57150" h="217804">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7.440002pt;margin-top:-243.009995pt;width:16.1pt;height:243.05pt;mso-position-horizontal-relative:page;mso-position-vertical-relative:paragraph;z-index:-30533632" id="docshapegroup398" coordorigin="4949,-4860" coordsize="322,4861">
                <v:rect style="position:absolute;left:4948;top:-4680;width:322;height:4680" id="docshape399" filled="true" fillcolor="#ec7c30" stroked="false">
                  <v:fill type="solid"/>
                </v:rect>
                <v:shape style="position:absolute;left:5065;top:-4851;width:90;height:343" id="docshape400" coordorigin="5065,-4850" coordsize="90,343" path="m5110,-4508l5110,-4679,5110,-4850m5065,-4508l5155,-4508m5065,-4850l5155,-4850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83360">
                <wp:simplePos x="0" y="0"/>
                <wp:positionH relativeFrom="page">
                  <wp:posOffset>4050791</wp:posOffset>
                </wp:positionH>
                <wp:positionV relativeFrom="paragraph">
                  <wp:posOffset>-2755010</wp:posOffset>
                </wp:positionV>
                <wp:extent cx="204470" cy="2755900"/>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204470" cy="2755900"/>
                          <a:chExt cx="204470" cy="2755900"/>
                        </a:xfrm>
                      </wpg:grpSpPr>
                      <wps:wsp>
                        <wps:cNvPr id="456" name="Graphic 456"/>
                        <wps:cNvSpPr/>
                        <wps:spPr>
                          <a:xfrm>
                            <a:off x="0" y="96011"/>
                            <a:ext cx="204470" cy="2659380"/>
                          </a:xfrm>
                          <a:custGeom>
                            <a:avLst/>
                            <a:gdLst/>
                            <a:ahLst/>
                            <a:cxnLst/>
                            <a:rect l="l" t="t" r="r" b="b"/>
                            <a:pathLst>
                              <a:path w="204470" h="2659380">
                                <a:moveTo>
                                  <a:pt x="204216" y="0"/>
                                </a:moveTo>
                                <a:lnTo>
                                  <a:pt x="0" y="0"/>
                                </a:lnTo>
                                <a:lnTo>
                                  <a:pt x="0" y="2659379"/>
                                </a:lnTo>
                                <a:lnTo>
                                  <a:pt x="204216" y="2659379"/>
                                </a:lnTo>
                                <a:lnTo>
                                  <a:pt x="204216" y="0"/>
                                </a:lnTo>
                                <a:close/>
                              </a:path>
                            </a:pathLst>
                          </a:custGeom>
                          <a:solidFill>
                            <a:srgbClr val="EC7C30"/>
                          </a:solidFill>
                        </wps:spPr>
                        <wps:bodyPr wrap="square" lIns="0" tIns="0" rIns="0" bIns="0" rtlCol="0">
                          <a:prstTxWarp prst="textNoShape">
                            <a:avLst/>
                          </a:prstTxWarp>
                          <a:noAutofit/>
                        </wps:bodyPr>
                      </wps:wsp>
                      <wps:wsp>
                        <wps:cNvPr id="457" name="Graphic 457"/>
                        <wps:cNvSpPr/>
                        <wps:spPr>
                          <a:xfrm>
                            <a:off x="73152" y="6350"/>
                            <a:ext cx="57150" cy="178435"/>
                          </a:xfrm>
                          <a:custGeom>
                            <a:avLst/>
                            <a:gdLst/>
                            <a:ahLst/>
                            <a:cxnLst/>
                            <a:rect l="l" t="t" r="r" b="b"/>
                            <a:pathLst>
                              <a:path w="57150" h="178435">
                                <a:moveTo>
                                  <a:pt x="28575" y="178307"/>
                                </a:moveTo>
                                <a:lnTo>
                                  <a:pt x="28575" y="89153"/>
                                </a:lnTo>
                                <a:lnTo>
                                  <a:pt x="28575" y="0"/>
                                </a:lnTo>
                              </a:path>
                              <a:path w="57150" h="17843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8.959991pt;margin-top:-216.929993pt;width:16.1pt;height:217pt;mso-position-horizontal-relative:page;mso-position-vertical-relative:paragraph;z-index:-30533120" id="docshapegroup401" coordorigin="6379,-4339" coordsize="322,4340">
                <v:rect style="position:absolute;left:6379;top:-4188;width:322;height:4188" id="docshape402" filled="true" fillcolor="#ec7c30" stroked="false">
                  <v:fill type="solid"/>
                </v:rect>
                <v:shape style="position:absolute;left:6494;top:-4329;width:90;height:281" id="docshape403" coordorigin="6494,-4329" coordsize="90,281" path="m6539,-4048l6539,-4188,6539,-4329m6494,-4329l6584,-4329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83872">
                <wp:simplePos x="0" y="0"/>
                <wp:positionH relativeFrom="page">
                  <wp:posOffset>4959096</wp:posOffset>
                </wp:positionH>
                <wp:positionV relativeFrom="paragraph">
                  <wp:posOffset>-3065145</wp:posOffset>
                </wp:positionV>
                <wp:extent cx="203200" cy="3065780"/>
                <wp:effectExtent l="0" t="0" r="0" b="0"/>
                <wp:wrapNone/>
                <wp:docPr id="458" name="Group 458"/>
                <wp:cNvGraphicFramePr>
                  <a:graphicFrameLocks/>
                </wp:cNvGraphicFramePr>
                <a:graphic>
                  <a:graphicData uri="http://schemas.microsoft.com/office/word/2010/wordprocessingGroup">
                    <wpg:wgp>
                      <wpg:cNvPr id="458" name="Group 458"/>
                      <wpg:cNvGrpSpPr/>
                      <wpg:grpSpPr>
                        <a:xfrm>
                          <a:off x="0" y="0"/>
                          <a:ext cx="203200" cy="3065780"/>
                          <a:chExt cx="203200" cy="3065780"/>
                        </a:xfrm>
                      </wpg:grpSpPr>
                      <wps:wsp>
                        <wps:cNvPr id="459" name="Graphic 459"/>
                        <wps:cNvSpPr/>
                        <wps:spPr>
                          <a:xfrm>
                            <a:off x="0" y="93726"/>
                            <a:ext cx="203200" cy="2971800"/>
                          </a:xfrm>
                          <a:custGeom>
                            <a:avLst/>
                            <a:gdLst/>
                            <a:ahLst/>
                            <a:cxnLst/>
                            <a:rect l="l" t="t" r="r" b="b"/>
                            <a:pathLst>
                              <a:path w="203200" h="2971800">
                                <a:moveTo>
                                  <a:pt x="202691" y="0"/>
                                </a:moveTo>
                                <a:lnTo>
                                  <a:pt x="0" y="0"/>
                                </a:lnTo>
                                <a:lnTo>
                                  <a:pt x="0" y="2971800"/>
                                </a:lnTo>
                                <a:lnTo>
                                  <a:pt x="202691" y="2971800"/>
                                </a:lnTo>
                                <a:lnTo>
                                  <a:pt x="202691" y="0"/>
                                </a:lnTo>
                                <a:close/>
                              </a:path>
                            </a:pathLst>
                          </a:custGeom>
                          <a:solidFill>
                            <a:srgbClr val="EC7C30"/>
                          </a:solidFill>
                        </wps:spPr>
                        <wps:bodyPr wrap="square" lIns="0" tIns="0" rIns="0" bIns="0" rtlCol="0">
                          <a:prstTxWarp prst="textNoShape">
                            <a:avLst/>
                          </a:prstTxWarp>
                          <a:noAutofit/>
                        </wps:bodyPr>
                      </wps:wsp>
                      <wps:wsp>
                        <wps:cNvPr id="460" name="Graphic 460"/>
                        <wps:cNvSpPr/>
                        <wps:spPr>
                          <a:xfrm>
                            <a:off x="72389" y="6350"/>
                            <a:ext cx="57150" cy="175260"/>
                          </a:xfrm>
                          <a:custGeom>
                            <a:avLst/>
                            <a:gdLst/>
                            <a:ahLst/>
                            <a:cxnLst/>
                            <a:rect l="l" t="t" r="r" b="b"/>
                            <a:pathLst>
                              <a:path w="57150" h="175260">
                                <a:moveTo>
                                  <a:pt x="28575" y="175259"/>
                                </a:moveTo>
                                <a:lnTo>
                                  <a:pt x="28575" y="87629"/>
                                </a:lnTo>
                                <a:lnTo>
                                  <a:pt x="28575" y="0"/>
                                </a:lnTo>
                              </a:path>
                              <a:path w="57150" h="175260">
                                <a:moveTo>
                                  <a:pt x="0" y="175259"/>
                                </a:moveTo>
                                <a:lnTo>
                                  <a:pt x="57150" y="175259"/>
                                </a:lnTo>
                              </a:path>
                              <a:path w="57150" h="17526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480011pt;margin-top:-241.350006pt;width:16pt;height:241.4pt;mso-position-horizontal-relative:page;mso-position-vertical-relative:paragraph;z-index:-30532608" id="docshapegroup404" coordorigin="7810,-4827" coordsize="320,4828">
                <v:rect style="position:absolute;left:7809;top:-4680;width:320;height:4680" id="docshape405" filled="true" fillcolor="#ec7c30" stroked="false">
                  <v:fill type="solid"/>
                </v:rect>
                <v:shape style="position:absolute;left:7923;top:-4817;width:90;height:276" id="docshape406" coordorigin="7924,-4817" coordsize="90,276" path="m7969,-4541l7969,-4679,7969,-4817m7924,-4541l8014,-4541m7924,-4817l8014,-4817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84384">
                <wp:simplePos x="0" y="0"/>
                <wp:positionH relativeFrom="page">
                  <wp:posOffset>5865876</wp:posOffset>
                </wp:positionH>
                <wp:positionV relativeFrom="paragraph">
                  <wp:posOffset>-3353308</wp:posOffset>
                </wp:positionV>
                <wp:extent cx="204470" cy="3354070"/>
                <wp:effectExtent l="0" t="0" r="0" b="0"/>
                <wp:wrapNone/>
                <wp:docPr id="461" name="Group 461"/>
                <wp:cNvGraphicFramePr>
                  <a:graphicFrameLocks/>
                </wp:cNvGraphicFramePr>
                <a:graphic>
                  <a:graphicData uri="http://schemas.microsoft.com/office/word/2010/wordprocessingGroup">
                    <wpg:wgp>
                      <wpg:cNvPr id="461" name="Group 461"/>
                      <wpg:cNvGrpSpPr/>
                      <wpg:grpSpPr>
                        <a:xfrm>
                          <a:off x="0" y="0"/>
                          <a:ext cx="204470" cy="3354070"/>
                          <a:chExt cx="204470" cy="3354070"/>
                        </a:xfrm>
                      </wpg:grpSpPr>
                      <wps:wsp>
                        <wps:cNvPr id="462" name="Graphic 462"/>
                        <wps:cNvSpPr/>
                        <wps:spPr>
                          <a:xfrm>
                            <a:off x="0" y="133477"/>
                            <a:ext cx="204470" cy="3220720"/>
                          </a:xfrm>
                          <a:custGeom>
                            <a:avLst/>
                            <a:gdLst/>
                            <a:ahLst/>
                            <a:cxnLst/>
                            <a:rect l="l" t="t" r="r" b="b"/>
                            <a:pathLst>
                              <a:path w="204470" h="3220720">
                                <a:moveTo>
                                  <a:pt x="204215" y="0"/>
                                </a:moveTo>
                                <a:lnTo>
                                  <a:pt x="0" y="0"/>
                                </a:lnTo>
                                <a:lnTo>
                                  <a:pt x="0" y="3220212"/>
                                </a:lnTo>
                                <a:lnTo>
                                  <a:pt x="204215" y="3220212"/>
                                </a:lnTo>
                                <a:lnTo>
                                  <a:pt x="204215" y="0"/>
                                </a:lnTo>
                                <a:close/>
                              </a:path>
                            </a:pathLst>
                          </a:custGeom>
                          <a:solidFill>
                            <a:srgbClr val="EC7C30"/>
                          </a:solidFill>
                        </wps:spPr>
                        <wps:bodyPr wrap="square" lIns="0" tIns="0" rIns="0" bIns="0" rtlCol="0">
                          <a:prstTxWarp prst="textNoShape">
                            <a:avLst/>
                          </a:prstTxWarp>
                          <a:noAutofit/>
                        </wps:bodyPr>
                      </wps:wsp>
                      <wps:wsp>
                        <wps:cNvPr id="463" name="Graphic 463"/>
                        <wps:cNvSpPr/>
                        <wps:spPr>
                          <a:xfrm>
                            <a:off x="73278" y="6350"/>
                            <a:ext cx="57150" cy="253365"/>
                          </a:xfrm>
                          <a:custGeom>
                            <a:avLst/>
                            <a:gdLst/>
                            <a:ahLst/>
                            <a:cxnLst/>
                            <a:rect l="l" t="t" r="r" b="b"/>
                            <a:pathLst>
                              <a:path w="57150" h="253365">
                                <a:moveTo>
                                  <a:pt x="28575" y="252857"/>
                                </a:moveTo>
                                <a:lnTo>
                                  <a:pt x="28575" y="126492"/>
                                </a:lnTo>
                                <a:lnTo>
                                  <a:pt x="28575" y="0"/>
                                </a:lnTo>
                              </a:path>
                              <a:path w="57150" h="253365">
                                <a:moveTo>
                                  <a:pt x="0" y="252857"/>
                                </a:moveTo>
                                <a:lnTo>
                                  <a:pt x="57150" y="252857"/>
                                </a:lnTo>
                              </a:path>
                              <a:path w="57150" h="253365">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1.880005pt;margin-top:-264.040009pt;width:16.1pt;height:264.1pt;mso-position-horizontal-relative:page;mso-position-vertical-relative:paragraph;z-index:-30532096" id="docshapegroup407" coordorigin="9238,-5281" coordsize="322,5282">
                <v:rect style="position:absolute;left:9237;top:-5071;width:322;height:5072" id="docshape408" filled="true" fillcolor="#ec7c30" stroked="false">
                  <v:fill type="solid"/>
                </v:rect>
                <v:shape style="position:absolute;left:9353;top:-5271;width:90;height:399" id="docshape409" coordorigin="9353,-5271" coordsize="90,399" path="m9398,-4873l9398,-5072,9398,-5271m9353,-4873l9443,-4873m9353,-5271l9443,-5271e" filled="false" stroked="true" strokeweight="1pt" strokecolor="#585858">
                  <v:path arrowok="t"/>
                  <v:stroke dashstyle="solid"/>
                </v:shape>
                <w10:wrap type="none"/>
              </v:group>
            </w:pict>
          </mc:Fallback>
        </mc:AlternateContent>
      </w:r>
      <w:r>
        <w:rPr/>
        <w:drawing>
          <wp:anchor distT="0" distB="0" distL="0" distR="0" allowOverlap="1" layoutInCell="1" locked="0" behindDoc="0" simplePos="0" relativeHeight="15810560">
            <wp:simplePos x="0" y="0"/>
            <wp:positionH relativeFrom="page">
              <wp:posOffset>4901184</wp:posOffset>
            </wp:positionH>
            <wp:positionV relativeFrom="paragraph">
              <wp:posOffset>-3847972</wp:posOffset>
            </wp:positionV>
            <wp:extent cx="1530858" cy="1636776"/>
            <wp:effectExtent l="0" t="0" r="0" b="0"/>
            <wp:wrapNone/>
            <wp:docPr id="464" name="Image 464"/>
            <wp:cNvGraphicFramePr>
              <a:graphicFrameLocks/>
            </wp:cNvGraphicFramePr>
            <a:graphic>
              <a:graphicData uri="http://schemas.openxmlformats.org/drawingml/2006/picture">
                <pic:pic>
                  <pic:nvPicPr>
                    <pic:cNvPr id="464" name="Image 464"/>
                    <pic:cNvPicPr/>
                  </pic:nvPicPr>
                  <pic:blipFill>
                    <a:blip r:embed="rId297" cstate="print"/>
                    <a:stretch>
                      <a:fillRect/>
                    </a:stretch>
                  </pic:blipFill>
                  <pic:spPr>
                    <a:xfrm>
                      <a:off x="0" y="0"/>
                      <a:ext cx="1530858" cy="1636776"/>
                    </a:xfrm>
                    <a:prstGeom prst="rect">
                      <a:avLst/>
                    </a:prstGeom>
                  </pic:spPr>
                </pic:pic>
              </a:graphicData>
            </a:graphic>
          </wp:anchor>
        </w:drawing>
      </w:r>
      <w:r>
        <w:rPr>
          <w:color w:val="585858"/>
          <w:spacing w:val="-2"/>
          <w:sz w:val="18"/>
        </w:rPr>
        <w:t>100%L/10:50H:L</w:t>
      </w:r>
      <w:r>
        <w:rPr>
          <w:color w:val="585858"/>
          <w:sz w:val="18"/>
        </w:rPr>
        <w:tab/>
      </w:r>
      <w:r>
        <w:rPr>
          <w:color w:val="585858"/>
          <w:spacing w:val="-2"/>
          <w:sz w:val="18"/>
        </w:rPr>
        <w:t>100%L/20:50H:L</w:t>
      </w:r>
      <w:r>
        <w:rPr>
          <w:color w:val="585858"/>
          <w:sz w:val="18"/>
        </w:rPr>
        <w:tab/>
      </w:r>
      <w:r>
        <w:rPr>
          <w:color w:val="585858"/>
          <w:spacing w:val="-2"/>
          <w:sz w:val="18"/>
        </w:rPr>
        <w:t>100%L/30:50H:L</w:t>
      </w:r>
      <w:r>
        <w:rPr>
          <w:color w:val="585858"/>
          <w:sz w:val="18"/>
        </w:rPr>
        <w:tab/>
      </w:r>
      <w:r>
        <w:rPr>
          <w:color w:val="585858"/>
          <w:spacing w:val="-2"/>
          <w:sz w:val="18"/>
        </w:rPr>
        <w:t>100%L/40:50H/L</w:t>
      </w:r>
      <w:r>
        <w:rPr>
          <w:color w:val="585858"/>
          <w:sz w:val="18"/>
        </w:rPr>
        <w:tab/>
      </w:r>
      <w:r>
        <w:rPr>
          <w:color w:val="585858"/>
          <w:spacing w:val="-2"/>
          <w:sz w:val="18"/>
        </w:rPr>
        <w:t>100%L/50:50H/L</w:t>
      </w:r>
    </w:p>
    <w:p>
      <w:pPr>
        <w:spacing w:before="150"/>
        <w:ind w:left="0" w:right="1402" w:firstLine="0"/>
        <w:jc w:val="center"/>
        <w:rPr>
          <w:sz w:val="20"/>
        </w:rPr>
      </w:pPr>
      <w:r>
        <w:rPr>
          <w:color w:val="585858"/>
          <w:sz w:val="20"/>
        </w:rPr>
        <w:t>Lemon/mixture</w:t>
      </w:r>
      <w:r>
        <w:rPr>
          <w:color w:val="585858"/>
          <w:spacing w:val="-7"/>
          <w:sz w:val="20"/>
        </w:rPr>
        <w:t> </w:t>
      </w:r>
      <w:r>
        <w:rPr>
          <w:color w:val="585858"/>
          <w:sz w:val="20"/>
        </w:rPr>
        <w:t>of</w:t>
      </w:r>
      <w:r>
        <w:rPr>
          <w:color w:val="585858"/>
          <w:spacing w:val="-8"/>
          <w:sz w:val="20"/>
        </w:rPr>
        <w:t> </w:t>
      </w:r>
      <w:r>
        <w:rPr>
          <w:color w:val="585858"/>
          <w:sz w:val="20"/>
        </w:rPr>
        <w:t>Honey</w:t>
      </w:r>
      <w:r>
        <w:rPr>
          <w:color w:val="585858"/>
          <w:spacing w:val="-7"/>
          <w:sz w:val="20"/>
        </w:rPr>
        <w:t> </w:t>
      </w:r>
      <w:r>
        <w:rPr>
          <w:color w:val="585858"/>
          <w:sz w:val="20"/>
        </w:rPr>
        <w:t>and</w:t>
      </w:r>
      <w:r>
        <w:rPr>
          <w:color w:val="585858"/>
          <w:spacing w:val="-9"/>
          <w:sz w:val="20"/>
        </w:rPr>
        <w:t> </w:t>
      </w:r>
      <w:r>
        <w:rPr>
          <w:color w:val="585858"/>
          <w:spacing w:val="-4"/>
          <w:sz w:val="20"/>
        </w:rPr>
        <w:t>Lemon</w:t>
      </w:r>
    </w:p>
    <w:p>
      <w:pPr>
        <w:spacing w:after="0"/>
        <w:jc w:val="center"/>
        <w:rPr>
          <w:sz w:val="20"/>
        </w:rPr>
        <w:sectPr>
          <w:pgSz w:w="11910" w:h="16840"/>
          <w:pgMar w:header="0" w:footer="1055" w:top="1480" w:bottom="1240" w:left="1060" w:right="460"/>
          <w:cols w:num="2" w:equalWidth="0">
            <w:col w:w="1525" w:space="40"/>
            <w:col w:w="8825"/>
          </w:cols>
        </w:sectPr>
      </w:pPr>
    </w:p>
    <w:p>
      <w:pPr>
        <w:pStyle w:val="BodyText"/>
        <w:spacing w:before="165"/>
      </w:pPr>
      <w:r>
        <w:rPr/>
        <mc:AlternateContent>
          <mc:Choice Requires="wps">
            <w:drawing>
              <wp:anchor distT="0" distB="0" distL="0" distR="0" allowOverlap="1" layoutInCell="1" locked="0" behindDoc="1" simplePos="0" relativeHeight="472779776">
                <wp:simplePos x="0" y="0"/>
                <wp:positionH relativeFrom="page">
                  <wp:posOffset>1976627</wp:posOffset>
                </wp:positionH>
                <wp:positionV relativeFrom="page">
                  <wp:posOffset>2141727</wp:posOffset>
                </wp:positionV>
                <wp:extent cx="204470" cy="2653030"/>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204470" cy="2653030"/>
                          <a:chExt cx="204470" cy="2653030"/>
                        </a:xfrm>
                      </wpg:grpSpPr>
                      <wps:wsp>
                        <wps:cNvPr id="466" name="Graphic 466"/>
                        <wps:cNvSpPr/>
                        <wps:spPr>
                          <a:xfrm>
                            <a:off x="0" y="75692"/>
                            <a:ext cx="204470" cy="2577465"/>
                          </a:xfrm>
                          <a:custGeom>
                            <a:avLst/>
                            <a:gdLst/>
                            <a:ahLst/>
                            <a:cxnLst/>
                            <a:rect l="l" t="t" r="r" b="b"/>
                            <a:pathLst>
                              <a:path w="204470" h="2577465">
                                <a:moveTo>
                                  <a:pt x="204216" y="0"/>
                                </a:moveTo>
                                <a:lnTo>
                                  <a:pt x="0" y="0"/>
                                </a:lnTo>
                                <a:lnTo>
                                  <a:pt x="0" y="2577084"/>
                                </a:lnTo>
                                <a:lnTo>
                                  <a:pt x="204216" y="2577084"/>
                                </a:lnTo>
                                <a:lnTo>
                                  <a:pt x="204216" y="0"/>
                                </a:lnTo>
                                <a:close/>
                              </a:path>
                            </a:pathLst>
                          </a:custGeom>
                          <a:solidFill>
                            <a:srgbClr val="5B9BD4"/>
                          </a:solidFill>
                        </wps:spPr>
                        <wps:bodyPr wrap="square" lIns="0" tIns="0" rIns="0" bIns="0" rtlCol="0">
                          <a:prstTxWarp prst="textNoShape">
                            <a:avLst/>
                          </a:prstTxWarp>
                          <a:noAutofit/>
                        </wps:bodyPr>
                      </wps:wsp>
                      <wps:wsp>
                        <wps:cNvPr id="467" name="Graphic 467"/>
                        <wps:cNvSpPr/>
                        <wps:spPr>
                          <a:xfrm>
                            <a:off x="73660" y="6350"/>
                            <a:ext cx="57150" cy="139700"/>
                          </a:xfrm>
                          <a:custGeom>
                            <a:avLst/>
                            <a:gdLst/>
                            <a:ahLst/>
                            <a:cxnLst/>
                            <a:rect l="l" t="t" r="r" b="b"/>
                            <a:pathLst>
                              <a:path w="57150" h="139700">
                                <a:moveTo>
                                  <a:pt x="28575" y="139191"/>
                                </a:moveTo>
                                <a:lnTo>
                                  <a:pt x="28575" y="69596"/>
                                </a:lnTo>
                                <a:lnTo>
                                  <a:pt x="28575" y="0"/>
                                </a:lnTo>
                              </a:path>
                              <a:path w="57150" h="13970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5.639999pt;margin-top:168.639984pt;width:16.1pt;height:208.9pt;mso-position-horizontal-relative:page;mso-position-vertical-relative:page;z-index:-30536704" id="docshapegroup410" coordorigin="3113,3373" coordsize="322,4178">
                <v:rect style="position:absolute;left:3112;top:3492;width:322;height:4059" id="docshape411" filled="true" fillcolor="#5b9bd4" stroked="false">
                  <v:fill type="solid"/>
                </v:rect>
                <v:shape style="position:absolute;left:3228;top:3382;width:90;height:220" id="docshape412" coordorigin="3229,3383" coordsize="90,220" path="m3274,3602l3274,3492,3274,3383m3229,3383l3319,3383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80288">
                <wp:simplePos x="0" y="0"/>
                <wp:positionH relativeFrom="page">
                  <wp:posOffset>2884932</wp:posOffset>
                </wp:positionH>
                <wp:positionV relativeFrom="page">
                  <wp:posOffset>2141727</wp:posOffset>
                </wp:positionV>
                <wp:extent cx="203200" cy="2653030"/>
                <wp:effectExtent l="0" t="0" r="0" b="0"/>
                <wp:wrapNone/>
                <wp:docPr id="468" name="Group 468"/>
                <wp:cNvGraphicFramePr>
                  <a:graphicFrameLocks/>
                </wp:cNvGraphicFramePr>
                <a:graphic>
                  <a:graphicData uri="http://schemas.microsoft.com/office/word/2010/wordprocessingGroup">
                    <wpg:wgp>
                      <wpg:cNvPr id="468" name="Group 468"/>
                      <wpg:cNvGrpSpPr/>
                      <wpg:grpSpPr>
                        <a:xfrm>
                          <a:off x="0" y="0"/>
                          <a:ext cx="203200" cy="2653030"/>
                          <a:chExt cx="203200" cy="2653030"/>
                        </a:xfrm>
                      </wpg:grpSpPr>
                      <wps:wsp>
                        <wps:cNvPr id="469" name="Graphic 469"/>
                        <wps:cNvSpPr/>
                        <wps:spPr>
                          <a:xfrm>
                            <a:off x="0" y="75692"/>
                            <a:ext cx="203200" cy="2577465"/>
                          </a:xfrm>
                          <a:custGeom>
                            <a:avLst/>
                            <a:gdLst/>
                            <a:ahLst/>
                            <a:cxnLst/>
                            <a:rect l="l" t="t" r="r" b="b"/>
                            <a:pathLst>
                              <a:path w="203200" h="2577465">
                                <a:moveTo>
                                  <a:pt x="202692" y="0"/>
                                </a:moveTo>
                                <a:lnTo>
                                  <a:pt x="0" y="0"/>
                                </a:lnTo>
                                <a:lnTo>
                                  <a:pt x="0" y="2577084"/>
                                </a:lnTo>
                                <a:lnTo>
                                  <a:pt x="202692" y="2577084"/>
                                </a:lnTo>
                                <a:lnTo>
                                  <a:pt x="202692" y="0"/>
                                </a:lnTo>
                                <a:close/>
                              </a:path>
                            </a:pathLst>
                          </a:custGeom>
                          <a:solidFill>
                            <a:srgbClr val="5B9BD4"/>
                          </a:solidFill>
                        </wps:spPr>
                        <wps:bodyPr wrap="square" lIns="0" tIns="0" rIns="0" bIns="0" rtlCol="0">
                          <a:prstTxWarp prst="textNoShape">
                            <a:avLst/>
                          </a:prstTxWarp>
                          <a:noAutofit/>
                        </wps:bodyPr>
                      </wps:wsp>
                      <wps:wsp>
                        <wps:cNvPr id="470" name="Graphic 470"/>
                        <wps:cNvSpPr/>
                        <wps:spPr>
                          <a:xfrm>
                            <a:off x="72897" y="6350"/>
                            <a:ext cx="57150" cy="139700"/>
                          </a:xfrm>
                          <a:custGeom>
                            <a:avLst/>
                            <a:gdLst/>
                            <a:ahLst/>
                            <a:cxnLst/>
                            <a:rect l="l" t="t" r="r" b="b"/>
                            <a:pathLst>
                              <a:path w="57150" h="139700">
                                <a:moveTo>
                                  <a:pt x="28575" y="139191"/>
                                </a:moveTo>
                                <a:lnTo>
                                  <a:pt x="28575" y="69596"/>
                                </a:lnTo>
                                <a:lnTo>
                                  <a:pt x="28575" y="0"/>
                                </a:lnTo>
                              </a:path>
                              <a:path w="57150" h="13970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160004pt;margin-top:168.639984pt;width:16pt;height:208.9pt;mso-position-horizontal-relative:page;mso-position-vertical-relative:page;z-index:-30536192" id="docshapegroup413" coordorigin="4543,3373" coordsize="320,4178">
                <v:rect style="position:absolute;left:4543;top:3492;width:320;height:4059" id="docshape414" filled="true" fillcolor="#5b9bd4" stroked="false">
                  <v:fill type="solid"/>
                </v:rect>
                <v:shape style="position:absolute;left:4658;top:3382;width:90;height:220" id="docshape415" coordorigin="4658,3383" coordsize="90,220" path="m4703,3602l4703,3492,4703,3383m4658,3383l4748,3383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80800">
                <wp:simplePos x="0" y="0"/>
                <wp:positionH relativeFrom="page">
                  <wp:posOffset>3791711</wp:posOffset>
                </wp:positionH>
                <wp:positionV relativeFrom="page">
                  <wp:posOffset>2141727</wp:posOffset>
                </wp:positionV>
                <wp:extent cx="204470" cy="2653030"/>
                <wp:effectExtent l="0" t="0" r="0" b="0"/>
                <wp:wrapNone/>
                <wp:docPr id="471" name="Group 471"/>
                <wp:cNvGraphicFramePr>
                  <a:graphicFrameLocks/>
                </wp:cNvGraphicFramePr>
                <a:graphic>
                  <a:graphicData uri="http://schemas.microsoft.com/office/word/2010/wordprocessingGroup">
                    <wpg:wgp>
                      <wpg:cNvPr id="471" name="Group 471"/>
                      <wpg:cNvGrpSpPr/>
                      <wpg:grpSpPr>
                        <a:xfrm>
                          <a:off x="0" y="0"/>
                          <a:ext cx="204470" cy="2653030"/>
                          <a:chExt cx="204470" cy="2653030"/>
                        </a:xfrm>
                      </wpg:grpSpPr>
                      <wps:wsp>
                        <wps:cNvPr id="472" name="Graphic 472"/>
                        <wps:cNvSpPr/>
                        <wps:spPr>
                          <a:xfrm>
                            <a:off x="0" y="75692"/>
                            <a:ext cx="204470" cy="2577465"/>
                          </a:xfrm>
                          <a:custGeom>
                            <a:avLst/>
                            <a:gdLst/>
                            <a:ahLst/>
                            <a:cxnLst/>
                            <a:rect l="l" t="t" r="r" b="b"/>
                            <a:pathLst>
                              <a:path w="204470" h="2577465">
                                <a:moveTo>
                                  <a:pt x="204215" y="0"/>
                                </a:moveTo>
                                <a:lnTo>
                                  <a:pt x="0" y="0"/>
                                </a:lnTo>
                                <a:lnTo>
                                  <a:pt x="0" y="2577084"/>
                                </a:lnTo>
                                <a:lnTo>
                                  <a:pt x="204215" y="2577084"/>
                                </a:lnTo>
                                <a:lnTo>
                                  <a:pt x="204215" y="0"/>
                                </a:lnTo>
                                <a:close/>
                              </a:path>
                            </a:pathLst>
                          </a:custGeom>
                          <a:solidFill>
                            <a:srgbClr val="5B9BD4"/>
                          </a:solidFill>
                        </wps:spPr>
                        <wps:bodyPr wrap="square" lIns="0" tIns="0" rIns="0" bIns="0" rtlCol="0">
                          <a:prstTxWarp prst="textNoShape">
                            <a:avLst/>
                          </a:prstTxWarp>
                          <a:noAutofit/>
                        </wps:bodyPr>
                      </wps:wsp>
                      <wps:wsp>
                        <wps:cNvPr id="473" name="Graphic 473"/>
                        <wps:cNvSpPr/>
                        <wps:spPr>
                          <a:xfrm>
                            <a:off x="73786" y="6350"/>
                            <a:ext cx="57150" cy="139700"/>
                          </a:xfrm>
                          <a:custGeom>
                            <a:avLst/>
                            <a:gdLst/>
                            <a:ahLst/>
                            <a:cxnLst/>
                            <a:rect l="l" t="t" r="r" b="b"/>
                            <a:pathLst>
                              <a:path w="57150" h="139700">
                                <a:moveTo>
                                  <a:pt x="28575" y="139191"/>
                                </a:moveTo>
                                <a:lnTo>
                                  <a:pt x="28575" y="69596"/>
                                </a:lnTo>
                                <a:lnTo>
                                  <a:pt x="28575" y="0"/>
                                </a:lnTo>
                              </a:path>
                              <a:path w="57150" h="13970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8.559998pt;margin-top:168.639984pt;width:16.1pt;height:208.9pt;mso-position-horizontal-relative:page;mso-position-vertical-relative:page;z-index:-30535680" id="docshapegroup416" coordorigin="5971,3373" coordsize="322,4178">
                <v:rect style="position:absolute;left:5971;top:3492;width:322;height:4059" id="docshape417" filled="true" fillcolor="#5b9bd4" stroked="false">
                  <v:fill type="solid"/>
                </v:rect>
                <v:shape style="position:absolute;left:6087;top:3382;width:90;height:220" id="docshape418" coordorigin="6087,3383" coordsize="90,220" path="m6132,3602l6132,3492,6132,3383m6087,3383l6177,3383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81312">
                <wp:simplePos x="0" y="0"/>
                <wp:positionH relativeFrom="page">
                  <wp:posOffset>4700015</wp:posOffset>
                </wp:positionH>
                <wp:positionV relativeFrom="page">
                  <wp:posOffset>2141727</wp:posOffset>
                </wp:positionV>
                <wp:extent cx="204470" cy="2653030"/>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204470" cy="2653030"/>
                          <a:chExt cx="204470" cy="2653030"/>
                        </a:xfrm>
                      </wpg:grpSpPr>
                      <wps:wsp>
                        <wps:cNvPr id="475" name="Graphic 475"/>
                        <wps:cNvSpPr/>
                        <wps:spPr>
                          <a:xfrm>
                            <a:off x="0" y="75692"/>
                            <a:ext cx="204470" cy="2577465"/>
                          </a:xfrm>
                          <a:custGeom>
                            <a:avLst/>
                            <a:gdLst/>
                            <a:ahLst/>
                            <a:cxnLst/>
                            <a:rect l="l" t="t" r="r" b="b"/>
                            <a:pathLst>
                              <a:path w="204470" h="2577465">
                                <a:moveTo>
                                  <a:pt x="204216" y="0"/>
                                </a:moveTo>
                                <a:lnTo>
                                  <a:pt x="0" y="0"/>
                                </a:lnTo>
                                <a:lnTo>
                                  <a:pt x="0" y="2577084"/>
                                </a:lnTo>
                                <a:lnTo>
                                  <a:pt x="204216" y="2577084"/>
                                </a:lnTo>
                                <a:lnTo>
                                  <a:pt x="204216" y="0"/>
                                </a:lnTo>
                                <a:close/>
                              </a:path>
                            </a:pathLst>
                          </a:custGeom>
                          <a:solidFill>
                            <a:srgbClr val="5B9BD4"/>
                          </a:solidFill>
                        </wps:spPr>
                        <wps:bodyPr wrap="square" lIns="0" tIns="0" rIns="0" bIns="0" rtlCol="0">
                          <a:prstTxWarp prst="textNoShape">
                            <a:avLst/>
                          </a:prstTxWarp>
                          <a:noAutofit/>
                        </wps:bodyPr>
                      </wps:wsp>
                      <wps:wsp>
                        <wps:cNvPr id="476" name="Graphic 476"/>
                        <wps:cNvSpPr/>
                        <wps:spPr>
                          <a:xfrm>
                            <a:off x="73025" y="6350"/>
                            <a:ext cx="57150" cy="139700"/>
                          </a:xfrm>
                          <a:custGeom>
                            <a:avLst/>
                            <a:gdLst/>
                            <a:ahLst/>
                            <a:cxnLst/>
                            <a:rect l="l" t="t" r="r" b="b"/>
                            <a:pathLst>
                              <a:path w="57150" h="139700">
                                <a:moveTo>
                                  <a:pt x="28575" y="139191"/>
                                </a:moveTo>
                                <a:lnTo>
                                  <a:pt x="28575" y="69596"/>
                                </a:lnTo>
                                <a:lnTo>
                                  <a:pt x="28575" y="0"/>
                                </a:lnTo>
                              </a:path>
                              <a:path w="57150" h="13970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0.079987pt;margin-top:168.639984pt;width:16.1pt;height:208.9pt;mso-position-horizontal-relative:page;mso-position-vertical-relative:page;z-index:-30535168" id="docshapegroup419" coordorigin="7402,3373" coordsize="322,4178">
                <v:rect style="position:absolute;left:7401;top:3492;width:322;height:4059" id="docshape420" filled="true" fillcolor="#5b9bd4" stroked="false">
                  <v:fill type="solid"/>
                </v:rect>
                <v:shape style="position:absolute;left:7516;top:3382;width:90;height:220" id="docshape421" coordorigin="7517,3383" coordsize="90,220" path="m7562,3602l7562,3492,7562,3383m7517,3383l7607,3383e" filled="false" stroked="true" strokeweight="1pt" strokecolor="#585858">
                  <v:path arrowok="t"/>
                  <v:stroke dashstyle="solid"/>
                </v:shape>
                <w10:wrap type="none"/>
              </v:group>
            </w:pict>
          </mc:Fallback>
        </mc:AlternateContent>
      </w:r>
      <w:r>
        <w:rPr/>
        <mc:AlternateContent>
          <mc:Choice Requires="wps">
            <w:drawing>
              <wp:anchor distT="0" distB="0" distL="0" distR="0" allowOverlap="1" layoutInCell="1" locked="0" behindDoc="1" simplePos="0" relativeHeight="472781824">
                <wp:simplePos x="0" y="0"/>
                <wp:positionH relativeFrom="page">
                  <wp:posOffset>5608320</wp:posOffset>
                </wp:positionH>
                <wp:positionV relativeFrom="page">
                  <wp:posOffset>2141727</wp:posOffset>
                </wp:positionV>
                <wp:extent cx="203200" cy="2653030"/>
                <wp:effectExtent l="0" t="0" r="0" b="0"/>
                <wp:wrapNone/>
                <wp:docPr id="477" name="Group 477"/>
                <wp:cNvGraphicFramePr>
                  <a:graphicFrameLocks/>
                </wp:cNvGraphicFramePr>
                <a:graphic>
                  <a:graphicData uri="http://schemas.microsoft.com/office/word/2010/wordprocessingGroup">
                    <wpg:wgp>
                      <wpg:cNvPr id="477" name="Group 477"/>
                      <wpg:cNvGrpSpPr/>
                      <wpg:grpSpPr>
                        <a:xfrm>
                          <a:off x="0" y="0"/>
                          <a:ext cx="203200" cy="2653030"/>
                          <a:chExt cx="203200" cy="2653030"/>
                        </a:xfrm>
                      </wpg:grpSpPr>
                      <wps:wsp>
                        <wps:cNvPr id="478" name="Graphic 478"/>
                        <wps:cNvSpPr/>
                        <wps:spPr>
                          <a:xfrm>
                            <a:off x="0" y="75692"/>
                            <a:ext cx="203200" cy="2577465"/>
                          </a:xfrm>
                          <a:custGeom>
                            <a:avLst/>
                            <a:gdLst/>
                            <a:ahLst/>
                            <a:cxnLst/>
                            <a:rect l="l" t="t" r="r" b="b"/>
                            <a:pathLst>
                              <a:path w="203200" h="2577465">
                                <a:moveTo>
                                  <a:pt x="202691" y="0"/>
                                </a:moveTo>
                                <a:lnTo>
                                  <a:pt x="0" y="0"/>
                                </a:lnTo>
                                <a:lnTo>
                                  <a:pt x="0" y="2577084"/>
                                </a:lnTo>
                                <a:lnTo>
                                  <a:pt x="202691" y="2577084"/>
                                </a:lnTo>
                                <a:lnTo>
                                  <a:pt x="202691" y="0"/>
                                </a:lnTo>
                                <a:close/>
                              </a:path>
                            </a:pathLst>
                          </a:custGeom>
                          <a:solidFill>
                            <a:srgbClr val="5B9BD4"/>
                          </a:solidFill>
                        </wps:spPr>
                        <wps:bodyPr wrap="square" lIns="0" tIns="0" rIns="0" bIns="0" rtlCol="0">
                          <a:prstTxWarp prst="textNoShape">
                            <a:avLst/>
                          </a:prstTxWarp>
                          <a:noAutofit/>
                        </wps:bodyPr>
                      </wps:wsp>
                      <wps:wsp>
                        <wps:cNvPr id="479" name="Graphic 479"/>
                        <wps:cNvSpPr/>
                        <wps:spPr>
                          <a:xfrm>
                            <a:off x="72389" y="6350"/>
                            <a:ext cx="57150" cy="139700"/>
                          </a:xfrm>
                          <a:custGeom>
                            <a:avLst/>
                            <a:gdLst/>
                            <a:ahLst/>
                            <a:cxnLst/>
                            <a:rect l="l" t="t" r="r" b="b"/>
                            <a:pathLst>
                              <a:path w="57150" h="139700">
                                <a:moveTo>
                                  <a:pt x="28575" y="139191"/>
                                </a:moveTo>
                                <a:lnTo>
                                  <a:pt x="28575" y="69596"/>
                                </a:lnTo>
                                <a:lnTo>
                                  <a:pt x="28575" y="0"/>
                                </a:lnTo>
                              </a:path>
                              <a:path w="57150" h="139700">
                                <a:moveTo>
                                  <a:pt x="0" y="0"/>
                                </a:moveTo>
                                <a:lnTo>
                                  <a:pt x="57150" y="0"/>
                                </a:lnTo>
                              </a:path>
                            </a:pathLst>
                          </a:custGeom>
                          <a:ln w="127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1.600006pt;margin-top:168.639984pt;width:16pt;height:208.9pt;mso-position-horizontal-relative:page;mso-position-vertical-relative:page;z-index:-30534656" id="docshapegroup422" coordorigin="8832,3373" coordsize="320,4178">
                <v:rect style="position:absolute;left:8832;top:3492;width:320;height:4059" id="docshape423" filled="true" fillcolor="#5b9bd4" stroked="false">
                  <v:fill type="solid"/>
                </v:rect>
                <v:shape style="position:absolute;left:8946;top:3382;width:90;height:220" id="docshape424" coordorigin="8946,3383" coordsize="90,220" path="m8991,3602l8991,3492,8991,3383m8946,3383l9036,3383e" filled="false" stroked="true" strokeweight="1pt" strokecolor="#585858">
                  <v:path arrowok="t"/>
                  <v:stroke dashstyle="solid"/>
                </v:shape>
                <w10:wrap type="none"/>
              </v:group>
            </w:pict>
          </mc:Fallback>
        </mc:AlternateContent>
      </w:r>
    </w:p>
    <w:p>
      <w:pPr>
        <w:pStyle w:val="BodyText"/>
        <w:spacing w:line="259" w:lineRule="auto" w:before="1"/>
        <w:ind w:left="380" w:right="975"/>
      </w:pPr>
      <w:r>
        <w:rPr/>
        <w:t>Figure</w:t>
      </w:r>
      <w:r>
        <w:rPr>
          <w:spacing w:val="-1"/>
        </w:rPr>
        <w:t> </w:t>
      </w:r>
      <w:r>
        <w:rPr/>
        <w:t>4.18:</w:t>
      </w:r>
      <w:r>
        <w:rPr>
          <w:spacing w:val="-3"/>
        </w:rPr>
        <w:t> </w:t>
      </w:r>
      <w:r>
        <w:rPr/>
        <w:t>Comparing</w:t>
      </w:r>
      <w:r>
        <w:rPr>
          <w:spacing w:val="-2"/>
        </w:rPr>
        <w:t> </w:t>
      </w:r>
      <w:r>
        <w:rPr/>
        <w:t>the</w:t>
      </w:r>
      <w:r>
        <w:rPr>
          <w:spacing w:val="-3"/>
        </w:rPr>
        <w:t> </w:t>
      </w:r>
      <w:r>
        <w:rPr/>
        <w:t>mean</w:t>
      </w:r>
      <w:r>
        <w:rPr>
          <w:spacing w:val="-2"/>
        </w:rPr>
        <w:t> </w:t>
      </w:r>
      <w:r>
        <w:rPr/>
        <w:t>zones</w:t>
      </w:r>
      <w:r>
        <w:rPr>
          <w:spacing w:val="-3"/>
        </w:rPr>
        <w:t> </w:t>
      </w:r>
      <w:r>
        <w:rPr/>
        <w:t>of</w:t>
      </w:r>
      <w:r>
        <w:rPr>
          <w:spacing w:val="-4"/>
        </w:rPr>
        <w:t> </w:t>
      </w:r>
      <w:r>
        <w:rPr/>
        <w:t>inhibition</w:t>
      </w:r>
      <w:r>
        <w:rPr>
          <w:spacing w:val="-4"/>
        </w:rPr>
        <w:t> </w:t>
      </w:r>
      <w:r>
        <w:rPr/>
        <w:t>of</w:t>
      </w:r>
      <w:r>
        <w:rPr>
          <w:spacing w:val="-1"/>
        </w:rPr>
        <w:t> </w:t>
      </w:r>
      <w:r>
        <w:rPr/>
        <w:t>Lemon juice</w:t>
      </w:r>
      <w:r>
        <w:rPr>
          <w:spacing w:val="-3"/>
        </w:rPr>
        <w:t> </w:t>
      </w:r>
      <w:r>
        <w:rPr/>
        <w:t>and</w:t>
      </w:r>
      <w:r>
        <w:rPr>
          <w:spacing w:val="-2"/>
        </w:rPr>
        <w:t> </w:t>
      </w:r>
      <w:r>
        <w:rPr/>
        <w:t>the</w:t>
      </w:r>
      <w:r>
        <w:rPr>
          <w:spacing w:val="-3"/>
        </w:rPr>
        <w:t> </w:t>
      </w:r>
      <w:r>
        <w:rPr/>
        <w:t>mixture</w:t>
      </w:r>
      <w:r>
        <w:rPr>
          <w:spacing w:val="-1"/>
        </w:rPr>
        <w:t> </w:t>
      </w:r>
      <w:r>
        <w:rPr/>
        <w:t>of</w:t>
      </w:r>
      <w:r>
        <w:rPr>
          <w:spacing w:val="-1"/>
        </w:rPr>
        <w:t> </w:t>
      </w:r>
      <w:r>
        <w:rPr/>
        <w:t>Honey</w:t>
      </w:r>
      <w:r>
        <w:rPr>
          <w:spacing w:val="-1"/>
        </w:rPr>
        <w:t> </w:t>
      </w:r>
      <w:r>
        <w:rPr/>
        <w:t>and Lemon juice against </w:t>
      </w:r>
      <w:r>
        <w:rPr>
          <w:i/>
        </w:rPr>
        <w:t>Streptococcus pyogenes</w:t>
      </w:r>
      <w:r>
        <w:rPr/>
        <w:t>.</w:t>
      </w:r>
    </w:p>
    <w:p>
      <w:pPr>
        <w:pStyle w:val="BodyText"/>
      </w:pPr>
    </w:p>
    <w:p>
      <w:pPr>
        <w:pStyle w:val="BodyText"/>
        <w:spacing w:before="70"/>
      </w:pPr>
    </w:p>
    <w:p>
      <w:pPr>
        <w:pStyle w:val="BodyText"/>
        <w:ind w:left="380"/>
      </w:pPr>
      <w:r>
        <w:rPr/>
        <w:t>Key:</w:t>
      </w:r>
      <w:r>
        <w:rPr>
          <w:spacing w:val="-6"/>
        </w:rPr>
        <w:t> </w:t>
      </w:r>
      <w:r>
        <w:rPr/>
        <w:t>*=Significant</w:t>
      </w:r>
      <w:r>
        <w:rPr>
          <w:spacing w:val="-6"/>
        </w:rPr>
        <w:t> </w:t>
      </w:r>
      <w:r>
        <w:rPr/>
        <w:t>difference,</w:t>
      </w:r>
      <w:r>
        <w:rPr>
          <w:spacing w:val="-6"/>
        </w:rPr>
        <w:t> </w:t>
      </w:r>
      <w:r>
        <w:rPr/>
        <w:t>H=Honey,</w:t>
      </w:r>
      <w:r>
        <w:rPr>
          <w:spacing w:val="-8"/>
        </w:rPr>
        <w:t> </w:t>
      </w:r>
      <w:r>
        <w:rPr/>
        <w:t>L=Lemon</w:t>
      </w:r>
      <w:r>
        <w:rPr>
          <w:spacing w:val="-6"/>
        </w:rPr>
        <w:t> </w:t>
      </w:r>
      <w:r>
        <w:rPr>
          <w:spacing w:val="-2"/>
        </w:rPr>
        <w:t>juice.</w:t>
      </w:r>
    </w:p>
    <w:p>
      <w:pPr>
        <w:spacing w:after="0"/>
        <w:sectPr>
          <w:type w:val="continuous"/>
          <w:pgSz w:w="11910" w:h="16840"/>
          <w:pgMar w:header="0" w:footer="1055" w:top="1360" w:bottom="1240" w:left="1060" w:right="460"/>
        </w:sectPr>
      </w:pPr>
    </w:p>
    <w:p>
      <w:pPr>
        <w:pStyle w:val="BodyText"/>
        <w:spacing w:before="3"/>
        <w:rPr>
          <w:sz w:val="12"/>
        </w:rPr>
      </w:pPr>
    </w:p>
    <w:p>
      <w:pPr>
        <w:pStyle w:val="BodyText"/>
        <w:spacing w:line="20" w:lineRule="exact"/>
        <w:ind w:left="1220"/>
        <w:rPr>
          <w:sz w:val="2"/>
        </w:rPr>
      </w:pPr>
      <w:r>
        <w:rPr>
          <w:sz w:val="2"/>
        </w:rPr>
        <mc:AlternateContent>
          <mc:Choice Requires="wps">
            <w:drawing>
              <wp:inline distT="0" distB="0" distL="0" distR="0">
                <wp:extent cx="4665980" cy="6350"/>
                <wp:effectExtent l="0" t="0" r="0" b="0"/>
                <wp:docPr id="480" name="Group 480"/>
                <wp:cNvGraphicFramePr>
                  <a:graphicFrameLocks/>
                </wp:cNvGraphicFramePr>
                <a:graphic>
                  <a:graphicData uri="http://schemas.microsoft.com/office/word/2010/wordprocessingGroup">
                    <wpg:wgp>
                      <wpg:cNvPr id="480" name="Group 480"/>
                      <wpg:cNvGrpSpPr/>
                      <wpg:grpSpPr>
                        <a:xfrm>
                          <a:off x="0" y="0"/>
                          <a:ext cx="4665980" cy="6350"/>
                          <a:chExt cx="4665980" cy="6350"/>
                        </a:xfrm>
                      </wpg:grpSpPr>
                      <wps:wsp>
                        <wps:cNvPr id="481" name="Graphic 481"/>
                        <wps:cNvSpPr/>
                        <wps:spPr>
                          <a:xfrm>
                            <a:off x="0" y="0"/>
                            <a:ext cx="4665980" cy="6350"/>
                          </a:xfrm>
                          <a:custGeom>
                            <a:avLst/>
                            <a:gdLst/>
                            <a:ahLst/>
                            <a:cxnLst/>
                            <a:rect l="l" t="t" r="r" b="b"/>
                            <a:pathLst>
                              <a:path w="4665980" h="6350">
                                <a:moveTo>
                                  <a:pt x="830884" y="0"/>
                                </a:moveTo>
                                <a:lnTo>
                                  <a:pt x="0" y="0"/>
                                </a:lnTo>
                                <a:lnTo>
                                  <a:pt x="0" y="6096"/>
                                </a:lnTo>
                                <a:lnTo>
                                  <a:pt x="830884" y="6096"/>
                                </a:lnTo>
                                <a:lnTo>
                                  <a:pt x="830884" y="0"/>
                                </a:lnTo>
                                <a:close/>
                              </a:path>
                              <a:path w="4665980" h="6350">
                                <a:moveTo>
                                  <a:pt x="3678351" y="0"/>
                                </a:moveTo>
                                <a:lnTo>
                                  <a:pt x="3678351" y="0"/>
                                </a:lnTo>
                                <a:lnTo>
                                  <a:pt x="830961" y="0"/>
                                </a:lnTo>
                                <a:lnTo>
                                  <a:pt x="830961" y="6096"/>
                                </a:lnTo>
                                <a:lnTo>
                                  <a:pt x="3678351" y="6096"/>
                                </a:lnTo>
                                <a:lnTo>
                                  <a:pt x="3678351" y="0"/>
                                </a:lnTo>
                                <a:close/>
                              </a:path>
                              <a:path w="4665980" h="6350">
                                <a:moveTo>
                                  <a:pt x="4665967" y="0"/>
                                </a:moveTo>
                                <a:lnTo>
                                  <a:pt x="3684524" y="0"/>
                                </a:lnTo>
                                <a:lnTo>
                                  <a:pt x="3678428" y="0"/>
                                </a:lnTo>
                                <a:lnTo>
                                  <a:pt x="3678428" y="6096"/>
                                </a:lnTo>
                                <a:lnTo>
                                  <a:pt x="3684524" y="6096"/>
                                </a:lnTo>
                                <a:lnTo>
                                  <a:pt x="4665967" y="6096"/>
                                </a:lnTo>
                                <a:lnTo>
                                  <a:pt x="466596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7.4pt;height:.5pt;mso-position-horizontal-relative:char;mso-position-vertical-relative:line" id="docshapegroup425" coordorigin="0,0" coordsize="7348,10">
                <v:shape style="position:absolute;left:0;top:0;width:7348;height:10" id="docshape426" coordorigin="0,0" coordsize="7348,10" path="m1308,0l0,0,0,10,1308,10,1308,0xm5793,0l4688,0,4679,0,4679,0,2986,0,2977,0,1318,0,1309,0,1309,10,1318,10,2977,10,2986,10,4679,10,4679,10,4688,10,5793,10,5793,0xm7348,0l5802,0,5793,0,5793,10,5802,10,7348,10,7348,0xe" filled="true" fillcolor="#000000" stroked="false">
                  <v:path arrowok="t"/>
                  <v:fill type="solid"/>
                </v:shape>
              </v:group>
            </w:pict>
          </mc:Fallback>
        </mc:AlternateContent>
      </w:r>
      <w:r>
        <w:rPr>
          <w:sz w:val="2"/>
        </w:rPr>
      </w:r>
    </w:p>
    <w:p>
      <w:pPr>
        <w:pStyle w:val="BodyText"/>
        <w:rPr>
          <w:sz w:val="20"/>
        </w:rPr>
      </w:pPr>
    </w:p>
    <w:p>
      <w:pPr>
        <w:pStyle w:val="BodyText"/>
        <w:spacing w:before="218" w:after="1"/>
        <w:rPr>
          <w:sz w:val="20"/>
        </w:rPr>
      </w:pPr>
    </w:p>
    <w:tbl>
      <w:tblPr>
        <w:tblW w:w="0" w:type="auto"/>
        <w:jc w:val="left"/>
        <w:tblInd w:w="1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5"/>
        <w:gridCol w:w="1611"/>
        <w:gridCol w:w="1849"/>
        <w:gridCol w:w="1361"/>
        <w:gridCol w:w="807"/>
      </w:tblGrid>
      <w:tr>
        <w:trPr>
          <w:trHeight w:val="443" w:hRule="atLeast"/>
        </w:trPr>
        <w:tc>
          <w:tcPr>
            <w:tcW w:w="1105" w:type="dxa"/>
          </w:tcPr>
          <w:p>
            <w:pPr>
              <w:pStyle w:val="TableParagraph"/>
              <w:spacing w:line="225" w:lineRule="exact"/>
              <w:ind w:left="50"/>
              <w:rPr>
                <w:sz w:val="22"/>
              </w:rPr>
            </w:pPr>
            <w:r>
              <w:rPr>
                <w:sz w:val="22"/>
              </w:rPr>
              <w:t>(I)</w:t>
            </w:r>
            <w:r>
              <w:rPr>
                <w:spacing w:val="-2"/>
                <w:sz w:val="22"/>
              </w:rPr>
              <w:t> Group</w:t>
            </w:r>
          </w:p>
        </w:tc>
        <w:tc>
          <w:tcPr>
            <w:tcW w:w="1611" w:type="dxa"/>
          </w:tcPr>
          <w:p>
            <w:pPr>
              <w:pStyle w:val="TableParagraph"/>
              <w:spacing w:line="225" w:lineRule="exact"/>
              <w:ind w:left="251"/>
              <w:rPr>
                <w:sz w:val="22"/>
              </w:rPr>
            </w:pPr>
            <w:r>
              <w:rPr>
                <w:sz w:val="22"/>
              </w:rPr>
              <w:t>(J)</w:t>
            </w:r>
            <w:r>
              <w:rPr>
                <w:spacing w:val="-2"/>
                <w:sz w:val="22"/>
              </w:rPr>
              <w:t> Group</w:t>
            </w:r>
          </w:p>
        </w:tc>
        <w:tc>
          <w:tcPr>
            <w:tcW w:w="1849" w:type="dxa"/>
          </w:tcPr>
          <w:p>
            <w:pPr>
              <w:pStyle w:val="TableParagraph"/>
              <w:spacing w:line="245" w:lineRule="exact" w:before="179"/>
              <w:ind w:left="541"/>
              <w:rPr>
                <w:sz w:val="22"/>
              </w:rPr>
            </w:pPr>
            <w:r>
              <w:rPr>
                <w:spacing w:val="-2"/>
                <w:sz w:val="22"/>
              </w:rPr>
              <w:t>Mean±SEM</w:t>
            </w:r>
          </w:p>
        </w:tc>
        <w:tc>
          <w:tcPr>
            <w:tcW w:w="1361" w:type="dxa"/>
          </w:tcPr>
          <w:p>
            <w:pPr>
              <w:pStyle w:val="TableParagraph"/>
              <w:spacing w:line="225" w:lineRule="exact"/>
              <w:ind w:left="281"/>
              <w:rPr>
                <w:sz w:val="22"/>
              </w:rPr>
            </w:pPr>
            <w:r>
              <w:rPr>
                <w:sz w:val="22"/>
              </w:rPr>
              <w:t>P-</w:t>
            </w:r>
            <w:r>
              <w:rPr>
                <w:spacing w:val="-2"/>
                <w:sz w:val="22"/>
              </w:rPr>
              <w:t>value</w:t>
            </w:r>
          </w:p>
        </w:tc>
        <w:tc>
          <w:tcPr>
            <w:tcW w:w="807" w:type="dxa"/>
          </w:tcPr>
          <w:p>
            <w:pPr>
              <w:pStyle w:val="TableParagraph"/>
              <w:spacing w:line="245" w:lineRule="exact" w:before="179"/>
              <w:ind w:left="415"/>
              <w:rPr>
                <w:sz w:val="22"/>
              </w:rPr>
            </w:pPr>
            <w:r>
              <w:rPr>
                <w:spacing w:val="-5"/>
                <w:sz w:val="22"/>
              </w:rPr>
              <w:t>LOS</w:t>
            </w:r>
          </w:p>
        </w:tc>
      </w:tr>
    </w:tbl>
    <w:p>
      <w:pPr>
        <w:pStyle w:val="BodyText"/>
        <w:rPr>
          <w:sz w:val="20"/>
        </w:rPr>
      </w:pPr>
    </w:p>
    <w:p>
      <w:pPr>
        <w:pStyle w:val="BodyText"/>
        <w:spacing w:before="127"/>
        <w:rPr>
          <w:sz w:val="20"/>
        </w:rPr>
      </w:pPr>
      <w:r>
        <w:rPr/>
        <mc:AlternateContent>
          <mc:Choice Requires="wps">
            <w:drawing>
              <wp:anchor distT="0" distB="0" distL="0" distR="0" allowOverlap="1" layoutInCell="1" locked="0" behindDoc="1" simplePos="0" relativeHeight="487670784">
                <wp:simplePos x="0" y="0"/>
                <wp:positionH relativeFrom="page">
                  <wp:posOffset>1448054</wp:posOffset>
                </wp:positionH>
                <wp:positionV relativeFrom="paragraph">
                  <wp:posOffset>250989</wp:posOffset>
                </wp:positionV>
                <wp:extent cx="4665980" cy="6350"/>
                <wp:effectExtent l="0" t="0" r="0" b="0"/>
                <wp:wrapTopAndBottom/>
                <wp:docPr id="482" name="Graphic 482"/>
                <wp:cNvGraphicFramePr>
                  <a:graphicFrameLocks/>
                </wp:cNvGraphicFramePr>
                <a:graphic>
                  <a:graphicData uri="http://schemas.microsoft.com/office/word/2010/wordprocessingShape">
                    <wps:wsp>
                      <wps:cNvPr id="482" name="Graphic 482"/>
                      <wps:cNvSpPr/>
                      <wps:spPr>
                        <a:xfrm>
                          <a:off x="0" y="0"/>
                          <a:ext cx="4665980" cy="6350"/>
                        </a:xfrm>
                        <a:custGeom>
                          <a:avLst/>
                          <a:gdLst/>
                          <a:ahLst/>
                          <a:cxnLst/>
                          <a:rect l="l" t="t" r="r" b="b"/>
                          <a:pathLst>
                            <a:path w="4665980" h="6350">
                              <a:moveTo>
                                <a:pt x="830884" y="0"/>
                              </a:moveTo>
                              <a:lnTo>
                                <a:pt x="0" y="0"/>
                              </a:lnTo>
                              <a:lnTo>
                                <a:pt x="0" y="6096"/>
                              </a:lnTo>
                              <a:lnTo>
                                <a:pt x="830884" y="6096"/>
                              </a:lnTo>
                              <a:lnTo>
                                <a:pt x="830884" y="0"/>
                              </a:lnTo>
                              <a:close/>
                            </a:path>
                            <a:path w="4665980" h="6350">
                              <a:moveTo>
                                <a:pt x="3678351" y="0"/>
                              </a:moveTo>
                              <a:lnTo>
                                <a:pt x="3678351" y="0"/>
                              </a:lnTo>
                              <a:lnTo>
                                <a:pt x="830961" y="0"/>
                              </a:lnTo>
                              <a:lnTo>
                                <a:pt x="830961" y="6096"/>
                              </a:lnTo>
                              <a:lnTo>
                                <a:pt x="3678351" y="6096"/>
                              </a:lnTo>
                              <a:lnTo>
                                <a:pt x="3678351" y="0"/>
                              </a:lnTo>
                              <a:close/>
                            </a:path>
                            <a:path w="4665980" h="6350">
                              <a:moveTo>
                                <a:pt x="4665967" y="0"/>
                              </a:moveTo>
                              <a:lnTo>
                                <a:pt x="3684524" y="0"/>
                              </a:lnTo>
                              <a:lnTo>
                                <a:pt x="3678428" y="0"/>
                              </a:lnTo>
                              <a:lnTo>
                                <a:pt x="3678428" y="6096"/>
                              </a:lnTo>
                              <a:lnTo>
                                <a:pt x="3684524" y="6096"/>
                              </a:lnTo>
                              <a:lnTo>
                                <a:pt x="4665967" y="6096"/>
                              </a:lnTo>
                              <a:lnTo>
                                <a:pt x="4665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4.020004pt;margin-top:19.762938pt;width:367.4pt;height:.5pt;mso-position-horizontal-relative:page;mso-position-vertical-relative:paragraph;z-index:-15645696;mso-wrap-distance-left:0;mso-wrap-distance-right:0" id="docshape427" coordorigin="2280,395" coordsize="7348,10" path="m3589,395l2280,395,2280,405,3589,405,3589,395xm8073,395l6969,395,6959,395,6959,395,5267,395,5257,395,3599,395,3589,395,3589,405,3599,405,5257,405,5267,405,6959,405,6959,405,6969,405,8073,405,8073,395xm9628,395l8083,395,8073,395,8073,405,8083,405,9628,405,9628,395xe" filled="true" fillcolor="#000000" stroked="false">
                <v:path arrowok="t"/>
                <v:fill type="solid"/>
                <w10:wrap type="topAndBottom"/>
              </v:shape>
            </w:pict>
          </mc:Fallback>
        </mc:AlternateContent>
      </w:r>
    </w:p>
    <w:p>
      <w:pPr>
        <w:pStyle w:val="Heading3"/>
        <w:tabs>
          <w:tab w:pos="8762" w:val="left" w:leader="none"/>
        </w:tabs>
        <w:spacing w:before="229"/>
        <w:ind w:left="380"/>
      </w:pPr>
      <w:r>
        <w:rPr>
          <w:spacing w:val="-4"/>
        </w:rPr>
        <w:t>Table</w:t>
      </w:r>
      <w:r>
        <w:rPr/>
        <w:tab/>
      </w:r>
      <w:r>
        <w:rPr>
          <w:spacing w:val="-2"/>
        </w:rPr>
        <w:t>4.10:</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
        <w:rPr>
          <w:b/>
        </w:rPr>
      </w:pPr>
    </w:p>
    <w:p>
      <w:pPr>
        <w:spacing w:line="259" w:lineRule="auto" w:before="1"/>
        <w:ind w:left="1820" w:right="975" w:firstLine="720"/>
        <w:jc w:val="left"/>
        <w:rPr>
          <w:b/>
          <w:i/>
          <w:sz w:val="22"/>
        </w:rPr>
      </w:pPr>
      <w:r>
        <w:rPr>
          <w:b/>
          <w:sz w:val="22"/>
        </w:rPr>
        <w:t>Comparing</w:t>
      </w:r>
      <w:r>
        <w:rPr>
          <w:b/>
          <w:spacing w:val="-5"/>
          <w:sz w:val="22"/>
        </w:rPr>
        <w:t> </w:t>
      </w:r>
      <w:r>
        <w:rPr>
          <w:b/>
          <w:sz w:val="22"/>
        </w:rPr>
        <w:t>the</w:t>
      </w:r>
      <w:r>
        <w:rPr>
          <w:b/>
          <w:spacing w:val="-4"/>
          <w:sz w:val="22"/>
        </w:rPr>
        <w:t> </w:t>
      </w:r>
      <w:r>
        <w:rPr>
          <w:b/>
          <w:sz w:val="22"/>
        </w:rPr>
        <w:t>Mean</w:t>
      </w:r>
      <w:r>
        <w:rPr>
          <w:b/>
          <w:spacing w:val="-4"/>
          <w:sz w:val="22"/>
        </w:rPr>
        <w:t> </w:t>
      </w:r>
      <w:r>
        <w:rPr>
          <w:b/>
          <w:sz w:val="22"/>
        </w:rPr>
        <w:t>zone</w:t>
      </w:r>
      <w:r>
        <w:rPr>
          <w:b/>
          <w:spacing w:val="-4"/>
          <w:sz w:val="22"/>
        </w:rPr>
        <w:t> </w:t>
      </w:r>
      <w:r>
        <w:rPr>
          <w:b/>
          <w:sz w:val="22"/>
        </w:rPr>
        <w:t>of</w:t>
      </w:r>
      <w:r>
        <w:rPr>
          <w:b/>
          <w:spacing w:val="-3"/>
          <w:sz w:val="22"/>
        </w:rPr>
        <w:t> </w:t>
      </w:r>
      <w:r>
        <w:rPr>
          <w:b/>
          <w:sz w:val="22"/>
        </w:rPr>
        <w:t>inhibition</w:t>
      </w:r>
      <w:r>
        <w:rPr>
          <w:b/>
          <w:spacing w:val="-4"/>
          <w:sz w:val="22"/>
        </w:rPr>
        <w:t> </w:t>
      </w:r>
      <w:r>
        <w:rPr>
          <w:b/>
          <w:sz w:val="22"/>
        </w:rPr>
        <w:t>of</w:t>
      </w:r>
      <w:r>
        <w:rPr>
          <w:b/>
          <w:spacing w:val="-3"/>
          <w:sz w:val="22"/>
        </w:rPr>
        <w:t> </w:t>
      </w:r>
      <w:r>
        <w:rPr>
          <w:b/>
          <w:sz w:val="22"/>
        </w:rPr>
        <w:t>Honey</w:t>
      </w:r>
      <w:r>
        <w:rPr>
          <w:b/>
          <w:spacing w:val="-3"/>
          <w:sz w:val="22"/>
        </w:rPr>
        <w:t> </w:t>
      </w:r>
      <w:r>
        <w:rPr>
          <w:b/>
          <w:sz w:val="22"/>
        </w:rPr>
        <w:t>and</w:t>
      </w:r>
      <w:r>
        <w:rPr>
          <w:b/>
          <w:spacing w:val="-4"/>
          <w:sz w:val="22"/>
        </w:rPr>
        <w:t> </w:t>
      </w:r>
      <w:r>
        <w:rPr>
          <w:b/>
          <w:sz w:val="22"/>
        </w:rPr>
        <w:t>the</w:t>
      </w:r>
      <w:r>
        <w:rPr>
          <w:b/>
          <w:spacing w:val="-4"/>
          <w:sz w:val="22"/>
        </w:rPr>
        <w:t> </w:t>
      </w:r>
      <w:r>
        <w:rPr>
          <w:b/>
          <w:sz w:val="22"/>
        </w:rPr>
        <w:t>Standard antibiotic formulations against </w:t>
      </w:r>
      <w:r>
        <w:rPr>
          <w:b/>
          <w:i/>
          <w:sz w:val="22"/>
        </w:rPr>
        <w:t>Klebsiella pneumoniae</w:t>
      </w:r>
    </w:p>
    <w:p>
      <w:pPr>
        <w:spacing w:after="0" w:line="259" w:lineRule="auto"/>
        <w:jc w:val="left"/>
        <w:rPr>
          <w:sz w:val="22"/>
        </w:rPr>
        <w:sectPr>
          <w:pgSz w:w="11910" w:h="16840"/>
          <w:pgMar w:header="0" w:footer="1055" w:top="1920" w:bottom="1240" w:left="1060" w:right="460"/>
        </w:sectPr>
      </w:pPr>
    </w:p>
    <w:tbl>
      <w:tblPr>
        <w:tblW w:w="0" w:type="auto"/>
        <w:jc w:val="left"/>
        <w:tblInd w:w="1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5"/>
        <w:gridCol w:w="1867"/>
        <w:gridCol w:w="1770"/>
        <w:gridCol w:w="1256"/>
        <w:gridCol w:w="1381"/>
      </w:tblGrid>
      <w:tr>
        <w:trPr>
          <w:trHeight w:val="376" w:hRule="atLeast"/>
        </w:trPr>
        <w:tc>
          <w:tcPr>
            <w:tcW w:w="1075" w:type="dxa"/>
            <w:tcBorders>
              <w:top w:val="single" w:sz="4" w:space="0" w:color="000000"/>
            </w:tcBorders>
          </w:tcPr>
          <w:p>
            <w:pPr>
              <w:pStyle w:val="TableParagraph"/>
              <w:rPr>
                <w:rFonts w:ascii="Times New Roman"/>
                <w:sz w:val="22"/>
              </w:rPr>
            </w:pPr>
          </w:p>
        </w:tc>
        <w:tc>
          <w:tcPr>
            <w:tcW w:w="1867" w:type="dxa"/>
            <w:tcBorders>
              <w:top w:val="single" w:sz="4" w:space="0" w:color="000000"/>
            </w:tcBorders>
          </w:tcPr>
          <w:p>
            <w:pPr>
              <w:pStyle w:val="TableParagraph"/>
              <w:spacing w:line="265" w:lineRule="exact"/>
              <w:ind w:left="339"/>
              <w:rPr>
                <w:sz w:val="22"/>
              </w:rPr>
            </w:pPr>
            <w:r>
              <w:rPr>
                <w:spacing w:val="-5"/>
                <w:sz w:val="22"/>
              </w:rPr>
              <w:t>CRO</w:t>
            </w:r>
          </w:p>
        </w:tc>
        <w:tc>
          <w:tcPr>
            <w:tcW w:w="1770" w:type="dxa"/>
            <w:tcBorders>
              <w:top w:val="single" w:sz="4" w:space="0" w:color="000000"/>
            </w:tcBorders>
          </w:tcPr>
          <w:p>
            <w:pPr>
              <w:pStyle w:val="TableParagraph"/>
              <w:spacing w:line="265" w:lineRule="exact"/>
              <w:jc w:val="center"/>
              <w:rPr>
                <w:sz w:val="22"/>
              </w:rPr>
            </w:pPr>
            <w:r>
              <w:rPr>
                <w:spacing w:val="-2"/>
                <w:sz w:val="22"/>
              </w:rPr>
              <w:t>20.667±1.511</w:t>
            </w:r>
          </w:p>
        </w:tc>
        <w:tc>
          <w:tcPr>
            <w:tcW w:w="1256" w:type="dxa"/>
            <w:tcBorders>
              <w:top w:val="single" w:sz="4" w:space="0" w:color="000000"/>
            </w:tcBorders>
          </w:tcPr>
          <w:p>
            <w:pPr>
              <w:pStyle w:val="TableParagraph"/>
              <w:spacing w:line="265" w:lineRule="exact"/>
              <w:ind w:left="271"/>
              <w:rPr>
                <w:sz w:val="22"/>
              </w:rPr>
            </w:pPr>
            <w:r>
              <w:rPr>
                <w:spacing w:val="-2"/>
                <w:sz w:val="22"/>
              </w:rPr>
              <w:t>0.991</w:t>
            </w:r>
          </w:p>
        </w:tc>
        <w:tc>
          <w:tcPr>
            <w:tcW w:w="1381" w:type="dxa"/>
            <w:tcBorders>
              <w:top w:val="single" w:sz="4" w:space="0" w:color="000000"/>
            </w:tcBorders>
          </w:tcPr>
          <w:p>
            <w:pPr>
              <w:pStyle w:val="TableParagraph"/>
              <w:spacing w:line="265" w:lineRule="exact"/>
              <w:ind w:left="480"/>
              <w:rPr>
                <w:sz w:val="22"/>
              </w:rPr>
            </w:pPr>
            <w:r>
              <w:rPr>
                <w:spacing w:val="-5"/>
                <w:sz w:val="22"/>
              </w:rPr>
              <w:t>NS</w:t>
            </w:r>
          </w:p>
        </w:tc>
      </w:tr>
      <w:tr>
        <w:trPr>
          <w:trHeight w:val="450" w:hRule="atLeast"/>
        </w:trPr>
        <w:tc>
          <w:tcPr>
            <w:tcW w:w="1075" w:type="dxa"/>
          </w:tcPr>
          <w:p>
            <w:pPr>
              <w:pStyle w:val="TableParagraph"/>
              <w:rPr>
                <w:rFonts w:ascii="Times New Roman"/>
                <w:sz w:val="22"/>
              </w:rPr>
            </w:pPr>
          </w:p>
        </w:tc>
        <w:tc>
          <w:tcPr>
            <w:tcW w:w="1867" w:type="dxa"/>
          </w:tcPr>
          <w:p>
            <w:pPr>
              <w:pStyle w:val="TableParagraph"/>
              <w:spacing w:before="71"/>
              <w:ind w:left="339"/>
              <w:rPr>
                <w:sz w:val="22"/>
              </w:rPr>
            </w:pPr>
            <w:r>
              <w:rPr>
                <w:spacing w:val="-5"/>
                <w:sz w:val="22"/>
              </w:rPr>
              <w:t>CN</w:t>
            </w:r>
          </w:p>
        </w:tc>
        <w:tc>
          <w:tcPr>
            <w:tcW w:w="1770" w:type="dxa"/>
          </w:tcPr>
          <w:p>
            <w:pPr>
              <w:pStyle w:val="TableParagraph"/>
              <w:spacing w:before="71"/>
              <w:jc w:val="center"/>
              <w:rPr>
                <w:sz w:val="22"/>
              </w:rPr>
            </w:pPr>
            <w:r>
              <w:rPr>
                <w:spacing w:val="-2"/>
                <w:sz w:val="22"/>
              </w:rPr>
              <w:t>19.267±1.523</w:t>
            </w:r>
          </w:p>
        </w:tc>
        <w:tc>
          <w:tcPr>
            <w:tcW w:w="1256" w:type="dxa"/>
          </w:tcPr>
          <w:p>
            <w:pPr>
              <w:pStyle w:val="TableParagraph"/>
              <w:spacing w:before="71"/>
              <w:ind w:left="271"/>
              <w:rPr>
                <w:sz w:val="22"/>
              </w:rPr>
            </w:pPr>
            <w:r>
              <w:rPr>
                <w:spacing w:val="-2"/>
                <w:sz w:val="22"/>
              </w:rPr>
              <w:t>1.000</w:t>
            </w:r>
          </w:p>
        </w:tc>
        <w:tc>
          <w:tcPr>
            <w:tcW w:w="1381" w:type="dxa"/>
          </w:tcPr>
          <w:p>
            <w:pPr>
              <w:pStyle w:val="TableParagraph"/>
              <w:spacing w:before="71"/>
              <w:ind w:left="480"/>
              <w:rPr>
                <w:sz w:val="22"/>
              </w:rPr>
            </w:pPr>
            <w:r>
              <w:rPr>
                <w:spacing w:val="-5"/>
                <w:sz w:val="22"/>
              </w:rPr>
              <w:t>NS</w:t>
            </w:r>
          </w:p>
        </w:tc>
      </w:tr>
      <w:tr>
        <w:trPr>
          <w:trHeight w:val="376" w:hRule="atLeast"/>
        </w:trPr>
        <w:tc>
          <w:tcPr>
            <w:tcW w:w="1075" w:type="dxa"/>
          </w:tcPr>
          <w:p>
            <w:pPr>
              <w:pStyle w:val="TableParagraph"/>
              <w:rPr>
                <w:rFonts w:ascii="Times New Roman"/>
                <w:sz w:val="22"/>
              </w:rPr>
            </w:pPr>
          </w:p>
        </w:tc>
        <w:tc>
          <w:tcPr>
            <w:tcW w:w="1867" w:type="dxa"/>
          </w:tcPr>
          <w:p>
            <w:pPr>
              <w:pStyle w:val="TableParagraph"/>
              <w:spacing w:before="70"/>
              <w:ind w:left="339"/>
              <w:rPr>
                <w:sz w:val="22"/>
              </w:rPr>
            </w:pPr>
            <w:r>
              <w:rPr>
                <w:spacing w:val="-5"/>
                <w:sz w:val="22"/>
              </w:rPr>
              <w:t>AMC</w:t>
            </w:r>
          </w:p>
        </w:tc>
        <w:tc>
          <w:tcPr>
            <w:tcW w:w="1770" w:type="dxa"/>
          </w:tcPr>
          <w:p>
            <w:pPr>
              <w:pStyle w:val="TableParagraph"/>
              <w:spacing w:before="70"/>
              <w:jc w:val="center"/>
              <w:rPr>
                <w:sz w:val="22"/>
              </w:rPr>
            </w:pPr>
            <w:r>
              <w:rPr>
                <w:spacing w:val="-2"/>
                <w:sz w:val="22"/>
              </w:rPr>
              <w:t>17.667±1.670</w:t>
            </w:r>
          </w:p>
        </w:tc>
        <w:tc>
          <w:tcPr>
            <w:tcW w:w="1256" w:type="dxa"/>
          </w:tcPr>
          <w:p>
            <w:pPr>
              <w:pStyle w:val="TableParagraph"/>
              <w:spacing w:before="70"/>
              <w:ind w:left="271"/>
              <w:rPr>
                <w:sz w:val="22"/>
              </w:rPr>
            </w:pPr>
            <w:r>
              <w:rPr>
                <w:spacing w:val="-2"/>
                <w:sz w:val="22"/>
              </w:rPr>
              <w:t>0.968</w:t>
            </w:r>
          </w:p>
        </w:tc>
        <w:tc>
          <w:tcPr>
            <w:tcW w:w="1381" w:type="dxa"/>
          </w:tcPr>
          <w:p>
            <w:pPr>
              <w:pStyle w:val="TableParagraph"/>
              <w:spacing w:before="70"/>
              <w:ind w:left="480"/>
              <w:rPr>
                <w:sz w:val="22"/>
              </w:rPr>
            </w:pPr>
            <w:r>
              <w:rPr>
                <w:spacing w:val="-5"/>
                <w:sz w:val="22"/>
              </w:rPr>
              <w:t>NS</w:t>
            </w:r>
          </w:p>
        </w:tc>
      </w:tr>
      <w:tr>
        <w:trPr>
          <w:trHeight w:val="595" w:hRule="atLeast"/>
        </w:trPr>
        <w:tc>
          <w:tcPr>
            <w:tcW w:w="1075" w:type="dxa"/>
          </w:tcPr>
          <w:p>
            <w:pPr>
              <w:pStyle w:val="TableParagraph"/>
              <w:spacing w:line="267" w:lineRule="exact"/>
              <w:ind w:left="108"/>
              <w:rPr>
                <w:sz w:val="22"/>
              </w:rPr>
            </w:pPr>
            <w:r>
              <w:rPr>
                <w:spacing w:val="-4"/>
                <w:sz w:val="22"/>
              </w:rPr>
              <w:t>Honey</w:t>
            </w:r>
          </w:p>
          <w:p>
            <w:pPr>
              <w:pStyle w:val="TableParagraph"/>
              <w:spacing w:before="22"/>
              <w:ind w:left="108"/>
              <w:rPr>
                <w:sz w:val="22"/>
              </w:rPr>
            </w:pPr>
            <w:r>
              <w:rPr>
                <w:spacing w:val="-2"/>
                <w:sz w:val="22"/>
              </w:rPr>
              <w:t>(100%)</w:t>
            </w:r>
          </w:p>
        </w:tc>
        <w:tc>
          <w:tcPr>
            <w:tcW w:w="1867" w:type="dxa"/>
          </w:tcPr>
          <w:p>
            <w:pPr>
              <w:pStyle w:val="TableParagraph"/>
              <w:spacing w:before="142"/>
              <w:ind w:left="339"/>
              <w:rPr>
                <w:sz w:val="22"/>
              </w:rPr>
            </w:pPr>
            <w:r>
              <w:rPr>
                <w:spacing w:val="-5"/>
                <w:sz w:val="22"/>
              </w:rPr>
              <w:t>LEV</w:t>
            </w:r>
          </w:p>
        </w:tc>
        <w:tc>
          <w:tcPr>
            <w:tcW w:w="1770" w:type="dxa"/>
          </w:tcPr>
          <w:p>
            <w:pPr>
              <w:pStyle w:val="TableParagraph"/>
              <w:spacing w:before="142"/>
              <w:jc w:val="center"/>
              <w:rPr>
                <w:sz w:val="22"/>
              </w:rPr>
            </w:pPr>
            <w:r>
              <w:rPr>
                <w:spacing w:val="-2"/>
                <w:sz w:val="22"/>
              </w:rPr>
              <w:t>19.867±1.171</w:t>
            </w:r>
          </w:p>
        </w:tc>
        <w:tc>
          <w:tcPr>
            <w:tcW w:w="1256" w:type="dxa"/>
          </w:tcPr>
          <w:p>
            <w:pPr>
              <w:pStyle w:val="TableParagraph"/>
              <w:spacing w:before="142"/>
              <w:ind w:left="271"/>
              <w:rPr>
                <w:sz w:val="22"/>
              </w:rPr>
            </w:pPr>
            <w:r>
              <w:rPr>
                <w:spacing w:val="-2"/>
                <w:sz w:val="22"/>
              </w:rPr>
              <w:t>1.000</w:t>
            </w:r>
          </w:p>
        </w:tc>
        <w:tc>
          <w:tcPr>
            <w:tcW w:w="1381" w:type="dxa"/>
          </w:tcPr>
          <w:p>
            <w:pPr>
              <w:pStyle w:val="TableParagraph"/>
              <w:spacing w:before="142"/>
              <w:ind w:left="480"/>
              <w:rPr>
                <w:sz w:val="22"/>
              </w:rPr>
            </w:pPr>
            <w:r>
              <w:rPr>
                <w:spacing w:val="-5"/>
                <w:sz w:val="22"/>
              </w:rPr>
              <w:t>NS</w:t>
            </w:r>
          </w:p>
        </w:tc>
      </w:tr>
      <w:tr>
        <w:trPr>
          <w:trHeight w:val="376" w:hRule="atLeast"/>
        </w:trPr>
        <w:tc>
          <w:tcPr>
            <w:tcW w:w="1075" w:type="dxa"/>
          </w:tcPr>
          <w:p>
            <w:pPr>
              <w:pStyle w:val="TableParagraph"/>
              <w:rPr>
                <w:rFonts w:ascii="Times New Roman"/>
                <w:sz w:val="22"/>
              </w:rPr>
            </w:pPr>
          </w:p>
        </w:tc>
        <w:tc>
          <w:tcPr>
            <w:tcW w:w="1867" w:type="dxa"/>
          </w:tcPr>
          <w:p>
            <w:pPr>
              <w:pStyle w:val="TableParagraph"/>
              <w:spacing w:line="267" w:lineRule="exact"/>
              <w:ind w:left="339"/>
              <w:rPr>
                <w:sz w:val="22"/>
              </w:rPr>
            </w:pPr>
            <w:r>
              <w:rPr>
                <w:spacing w:val="-5"/>
                <w:sz w:val="22"/>
              </w:rPr>
              <w:t>AZM</w:t>
            </w:r>
          </w:p>
        </w:tc>
        <w:tc>
          <w:tcPr>
            <w:tcW w:w="1770" w:type="dxa"/>
          </w:tcPr>
          <w:p>
            <w:pPr>
              <w:pStyle w:val="TableParagraph"/>
              <w:spacing w:line="267" w:lineRule="exact"/>
              <w:jc w:val="center"/>
              <w:rPr>
                <w:sz w:val="22"/>
              </w:rPr>
            </w:pPr>
            <w:r>
              <w:rPr>
                <w:spacing w:val="-2"/>
                <w:sz w:val="22"/>
              </w:rPr>
              <w:t>15.467±1.050</w:t>
            </w:r>
          </w:p>
        </w:tc>
        <w:tc>
          <w:tcPr>
            <w:tcW w:w="1256" w:type="dxa"/>
          </w:tcPr>
          <w:p>
            <w:pPr>
              <w:pStyle w:val="TableParagraph"/>
              <w:spacing w:line="267" w:lineRule="exact"/>
              <w:ind w:left="271"/>
              <w:rPr>
                <w:sz w:val="22"/>
              </w:rPr>
            </w:pPr>
            <w:r>
              <w:rPr>
                <w:spacing w:val="-2"/>
                <w:sz w:val="22"/>
              </w:rPr>
              <w:t>0.249</w:t>
            </w:r>
          </w:p>
        </w:tc>
        <w:tc>
          <w:tcPr>
            <w:tcW w:w="1381" w:type="dxa"/>
          </w:tcPr>
          <w:p>
            <w:pPr>
              <w:pStyle w:val="TableParagraph"/>
              <w:spacing w:line="267" w:lineRule="exact"/>
              <w:ind w:left="480"/>
              <w:rPr>
                <w:sz w:val="22"/>
              </w:rPr>
            </w:pPr>
            <w:r>
              <w:rPr>
                <w:spacing w:val="-5"/>
                <w:sz w:val="22"/>
              </w:rPr>
              <w:t>NS</w:t>
            </w:r>
          </w:p>
        </w:tc>
      </w:tr>
      <w:tr>
        <w:trPr>
          <w:trHeight w:val="450" w:hRule="atLeast"/>
        </w:trPr>
        <w:tc>
          <w:tcPr>
            <w:tcW w:w="1075" w:type="dxa"/>
          </w:tcPr>
          <w:p>
            <w:pPr>
              <w:pStyle w:val="TableParagraph"/>
              <w:rPr>
                <w:rFonts w:ascii="Times New Roman"/>
                <w:sz w:val="22"/>
              </w:rPr>
            </w:pPr>
          </w:p>
        </w:tc>
        <w:tc>
          <w:tcPr>
            <w:tcW w:w="1867" w:type="dxa"/>
          </w:tcPr>
          <w:p>
            <w:pPr>
              <w:pStyle w:val="TableParagraph"/>
              <w:spacing w:before="70"/>
              <w:ind w:left="339"/>
              <w:rPr>
                <w:sz w:val="22"/>
              </w:rPr>
            </w:pPr>
            <w:r>
              <w:rPr>
                <w:sz w:val="22"/>
              </w:rPr>
              <w:t>Honey</w:t>
            </w:r>
            <w:r>
              <w:rPr>
                <w:spacing w:val="-2"/>
                <w:sz w:val="22"/>
              </w:rPr>
              <w:t> (50%)</w:t>
            </w:r>
          </w:p>
        </w:tc>
        <w:tc>
          <w:tcPr>
            <w:tcW w:w="1770" w:type="dxa"/>
          </w:tcPr>
          <w:p>
            <w:pPr>
              <w:pStyle w:val="TableParagraph"/>
              <w:spacing w:before="70"/>
              <w:jc w:val="center"/>
              <w:rPr>
                <w:sz w:val="22"/>
              </w:rPr>
            </w:pPr>
            <w:r>
              <w:rPr>
                <w:spacing w:val="-2"/>
                <w:sz w:val="22"/>
              </w:rPr>
              <w:t>16.000±0.439</w:t>
            </w:r>
          </w:p>
        </w:tc>
        <w:tc>
          <w:tcPr>
            <w:tcW w:w="1256" w:type="dxa"/>
          </w:tcPr>
          <w:p>
            <w:pPr>
              <w:pStyle w:val="TableParagraph"/>
              <w:spacing w:before="70"/>
              <w:ind w:left="271"/>
              <w:rPr>
                <w:sz w:val="22"/>
              </w:rPr>
            </w:pPr>
            <w:r>
              <w:rPr>
                <w:spacing w:val="-2"/>
                <w:sz w:val="22"/>
              </w:rPr>
              <w:t>0.439</w:t>
            </w:r>
          </w:p>
        </w:tc>
        <w:tc>
          <w:tcPr>
            <w:tcW w:w="1381" w:type="dxa"/>
          </w:tcPr>
          <w:p>
            <w:pPr>
              <w:pStyle w:val="TableParagraph"/>
              <w:spacing w:before="70"/>
              <w:ind w:left="480"/>
              <w:rPr>
                <w:sz w:val="22"/>
              </w:rPr>
            </w:pPr>
            <w:r>
              <w:rPr>
                <w:spacing w:val="-5"/>
                <w:sz w:val="22"/>
              </w:rPr>
              <w:t>NS</w:t>
            </w:r>
          </w:p>
        </w:tc>
      </w:tr>
      <w:tr>
        <w:trPr>
          <w:trHeight w:val="522" w:hRule="atLeast"/>
        </w:trPr>
        <w:tc>
          <w:tcPr>
            <w:tcW w:w="1075" w:type="dxa"/>
            <w:tcBorders>
              <w:bottom w:val="single" w:sz="4" w:space="0" w:color="000000"/>
            </w:tcBorders>
          </w:tcPr>
          <w:p>
            <w:pPr>
              <w:pStyle w:val="TableParagraph"/>
              <w:rPr>
                <w:rFonts w:ascii="Times New Roman"/>
                <w:sz w:val="22"/>
              </w:rPr>
            </w:pPr>
          </w:p>
        </w:tc>
        <w:tc>
          <w:tcPr>
            <w:tcW w:w="1867" w:type="dxa"/>
            <w:tcBorders>
              <w:bottom w:val="single" w:sz="4" w:space="0" w:color="000000"/>
            </w:tcBorders>
          </w:tcPr>
          <w:p>
            <w:pPr>
              <w:pStyle w:val="TableParagraph"/>
              <w:spacing w:before="71"/>
              <w:ind w:left="339"/>
              <w:rPr>
                <w:sz w:val="22"/>
              </w:rPr>
            </w:pPr>
            <w:r>
              <w:rPr>
                <w:sz w:val="22"/>
              </w:rPr>
              <w:t>Honey</w:t>
            </w:r>
            <w:r>
              <w:rPr>
                <w:spacing w:val="-2"/>
                <w:sz w:val="22"/>
              </w:rPr>
              <w:t> (25%)</w:t>
            </w:r>
          </w:p>
        </w:tc>
        <w:tc>
          <w:tcPr>
            <w:tcW w:w="1770" w:type="dxa"/>
            <w:tcBorders>
              <w:bottom w:val="single" w:sz="4" w:space="0" w:color="000000"/>
            </w:tcBorders>
          </w:tcPr>
          <w:p>
            <w:pPr>
              <w:pStyle w:val="TableParagraph"/>
              <w:spacing w:before="71"/>
              <w:jc w:val="center"/>
              <w:rPr>
                <w:sz w:val="22"/>
              </w:rPr>
            </w:pPr>
            <w:r>
              <w:rPr>
                <w:spacing w:val="-2"/>
                <w:sz w:val="22"/>
              </w:rPr>
              <w:t>11.733±0.442</w:t>
            </w:r>
          </w:p>
        </w:tc>
        <w:tc>
          <w:tcPr>
            <w:tcW w:w="1256" w:type="dxa"/>
            <w:tcBorders>
              <w:bottom w:val="single" w:sz="4" w:space="0" w:color="000000"/>
            </w:tcBorders>
          </w:tcPr>
          <w:p>
            <w:pPr>
              <w:pStyle w:val="TableParagraph"/>
              <w:spacing w:before="71"/>
              <w:ind w:left="271"/>
              <w:rPr>
                <w:sz w:val="22"/>
              </w:rPr>
            </w:pPr>
            <w:r>
              <w:rPr>
                <w:spacing w:val="-2"/>
                <w:sz w:val="22"/>
              </w:rPr>
              <w:t>0.000</w:t>
            </w:r>
          </w:p>
        </w:tc>
        <w:tc>
          <w:tcPr>
            <w:tcW w:w="1381" w:type="dxa"/>
            <w:tcBorders>
              <w:bottom w:val="single" w:sz="4" w:space="0" w:color="000000"/>
            </w:tcBorders>
          </w:tcPr>
          <w:p>
            <w:pPr>
              <w:pStyle w:val="TableParagraph"/>
              <w:spacing w:before="71"/>
              <w:ind w:left="501"/>
              <w:rPr>
                <w:sz w:val="22"/>
              </w:rPr>
            </w:pPr>
            <w:r>
              <w:rPr>
                <w:spacing w:val="-5"/>
                <w:sz w:val="22"/>
              </w:rPr>
              <w:t>SF</w:t>
            </w:r>
          </w:p>
        </w:tc>
      </w:tr>
      <w:tr>
        <w:trPr>
          <w:trHeight w:val="376" w:hRule="atLeast"/>
        </w:trPr>
        <w:tc>
          <w:tcPr>
            <w:tcW w:w="1075" w:type="dxa"/>
            <w:tcBorders>
              <w:top w:val="single" w:sz="4" w:space="0" w:color="000000"/>
            </w:tcBorders>
          </w:tcPr>
          <w:p>
            <w:pPr>
              <w:pStyle w:val="TableParagraph"/>
              <w:rPr>
                <w:rFonts w:ascii="Times New Roman"/>
                <w:sz w:val="22"/>
              </w:rPr>
            </w:pPr>
          </w:p>
        </w:tc>
        <w:tc>
          <w:tcPr>
            <w:tcW w:w="1867" w:type="dxa"/>
            <w:tcBorders>
              <w:top w:val="single" w:sz="4" w:space="0" w:color="000000"/>
            </w:tcBorders>
          </w:tcPr>
          <w:p>
            <w:pPr>
              <w:pStyle w:val="TableParagraph"/>
              <w:spacing w:line="265" w:lineRule="exact"/>
              <w:ind w:left="339"/>
              <w:rPr>
                <w:sz w:val="22"/>
              </w:rPr>
            </w:pPr>
            <w:r>
              <w:rPr>
                <w:spacing w:val="-5"/>
                <w:sz w:val="22"/>
              </w:rPr>
              <w:t>CRO</w:t>
            </w:r>
          </w:p>
        </w:tc>
        <w:tc>
          <w:tcPr>
            <w:tcW w:w="1770" w:type="dxa"/>
            <w:tcBorders>
              <w:top w:val="single" w:sz="4" w:space="0" w:color="000000"/>
            </w:tcBorders>
          </w:tcPr>
          <w:p>
            <w:pPr>
              <w:pStyle w:val="TableParagraph"/>
              <w:spacing w:line="265" w:lineRule="exact"/>
              <w:jc w:val="center"/>
              <w:rPr>
                <w:sz w:val="22"/>
              </w:rPr>
            </w:pPr>
            <w:r>
              <w:rPr>
                <w:spacing w:val="-2"/>
                <w:sz w:val="22"/>
              </w:rPr>
              <w:t>20.667±1.511</w:t>
            </w:r>
          </w:p>
        </w:tc>
        <w:tc>
          <w:tcPr>
            <w:tcW w:w="1256" w:type="dxa"/>
            <w:tcBorders>
              <w:top w:val="single" w:sz="4" w:space="0" w:color="000000"/>
            </w:tcBorders>
          </w:tcPr>
          <w:p>
            <w:pPr>
              <w:pStyle w:val="TableParagraph"/>
              <w:spacing w:line="265" w:lineRule="exact"/>
              <w:ind w:left="271"/>
              <w:rPr>
                <w:sz w:val="22"/>
              </w:rPr>
            </w:pPr>
            <w:r>
              <w:rPr>
                <w:spacing w:val="-2"/>
                <w:sz w:val="22"/>
              </w:rPr>
              <w:t>0.082</w:t>
            </w:r>
          </w:p>
        </w:tc>
        <w:tc>
          <w:tcPr>
            <w:tcW w:w="1381" w:type="dxa"/>
            <w:tcBorders>
              <w:top w:val="single" w:sz="4" w:space="0" w:color="000000"/>
            </w:tcBorders>
          </w:tcPr>
          <w:p>
            <w:pPr>
              <w:pStyle w:val="TableParagraph"/>
              <w:spacing w:line="265" w:lineRule="exact"/>
              <w:ind w:left="480"/>
              <w:rPr>
                <w:sz w:val="22"/>
              </w:rPr>
            </w:pPr>
            <w:r>
              <w:rPr>
                <w:spacing w:val="-5"/>
                <w:sz w:val="22"/>
              </w:rPr>
              <w:t>NS</w:t>
            </w:r>
          </w:p>
        </w:tc>
      </w:tr>
      <w:tr>
        <w:trPr>
          <w:trHeight w:val="450" w:hRule="atLeast"/>
        </w:trPr>
        <w:tc>
          <w:tcPr>
            <w:tcW w:w="1075" w:type="dxa"/>
          </w:tcPr>
          <w:p>
            <w:pPr>
              <w:pStyle w:val="TableParagraph"/>
              <w:rPr>
                <w:rFonts w:ascii="Times New Roman"/>
                <w:sz w:val="22"/>
              </w:rPr>
            </w:pPr>
          </w:p>
        </w:tc>
        <w:tc>
          <w:tcPr>
            <w:tcW w:w="1867" w:type="dxa"/>
          </w:tcPr>
          <w:p>
            <w:pPr>
              <w:pStyle w:val="TableParagraph"/>
              <w:spacing w:before="71"/>
              <w:ind w:left="339"/>
              <w:rPr>
                <w:sz w:val="22"/>
              </w:rPr>
            </w:pPr>
            <w:r>
              <w:rPr>
                <w:spacing w:val="-5"/>
                <w:sz w:val="22"/>
              </w:rPr>
              <w:t>CN</w:t>
            </w:r>
          </w:p>
        </w:tc>
        <w:tc>
          <w:tcPr>
            <w:tcW w:w="1770" w:type="dxa"/>
          </w:tcPr>
          <w:p>
            <w:pPr>
              <w:pStyle w:val="TableParagraph"/>
              <w:spacing w:before="71"/>
              <w:jc w:val="center"/>
              <w:rPr>
                <w:sz w:val="22"/>
              </w:rPr>
            </w:pPr>
            <w:r>
              <w:rPr>
                <w:spacing w:val="-2"/>
                <w:sz w:val="22"/>
              </w:rPr>
              <w:t>19.267±1.523</w:t>
            </w:r>
          </w:p>
        </w:tc>
        <w:tc>
          <w:tcPr>
            <w:tcW w:w="1256" w:type="dxa"/>
          </w:tcPr>
          <w:p>
            <w:pPr>
              <w:pStyle w:val="TableParagraph"/>
              <w:spacing w:before="71"/>
              <w:ind w:left="271"/>
              <w:rPr>
                <w:sz w:val="22"/>
              </w:rPr>
            </w:pPr>
            <w:r>
              <w:rPr>
                <w:spacing w:val="-2"/>
                <w:sz w:val="22"/>
              </w:rPr>
              <w:t>0.466</w:t>
            </w:r>
          </w:p>
        </w:tc>
        <w:tc>
          <w:tcPr>
            <w:tcW w:w="1381" w:type="dxa"/>
          </w:tcPr>
          <w:p>
            <w:pPr>
              <w:pStyle w:val="TableParagraph"/>
              <w:spacing w:before="71"/>
              <w:ind w:left="480"/>
              <w:rPr>
                <w:sz w:val="22"/>
              </w:rPr>
            </w:pPr>
            <w:r>
              <w:rPr>
                <w:spacing w:val="-5"/>
                <w:sz w:val="22"/>
              </w:rPr>
              <w:t>NS</w:t>
            </w:r>
          </w:p>
        </w:tc>
      </w:tr>
      <w:tr>
        <w:trPr>
          <w:trHeight w:val="376" w:hRule="atLeast"/>
        </w:trPr>
        <w:tc>
          <w:tcPr>
            <w:tcW w:w="1075" w:type="dxa"/>
          </w:tcPr>
          <w:p>
            <w:pPr>
              <w:pStyle w:val="TableParagraph"/>
              <w:rPr>
                <w:rFonts w:ascii="Times New Roman"/>
                <w:sz w:val="22"/>
              </w:rPr>
            </w:pPr>
          </w:p>
        </w:tc>
        <w:tc>
          <w:tcPr>
            <w:tcW w:w="1867" w:type="dxa"/>
          </w:tcPr>
          <w:p>
            <w:pPr>
              <w:pStyle w:val="TableParagraph"/>
              <w:spacing w:before="70"/>
              <w:ind w:left="339"/>
              <w:rPr>
                <w:sz w:val="22"/>
              </w:rPr>
            </w:pPr>
            <w:r>
              <w:rPr>
                <w:spacing w:val="-5"/>
                <w:sz w:val="22"/>
              </w:rPr>
              <w:t>AMC</w:t>
            </w:r>
          </w:p>
        </w:tc>
        <w:tc>
          <w:tcPr>
            <w:tcW w:w="1770" w:type="dxa"/>
          </w:tcPr>
          <w:p>
            <w:pPr>
              <w:pStyle w:val="TableParagraph"/>
              <w:spacing w:before="70"/>
              <w:jc w:val="center"/>
              <w:rPr>
                <w:sz w:val="22"/>
              </w:rPr>
            </w:pPr>
            <w:r>
              <w:rPr>
                <w:spacing w:val="-2"/>
                <w:sz w:val="22"/>
              </w:rPr>
              <w:t>17.667±1.670</w:t>
            </w:r>
          </w:p>
        </w:tc>
        <w:tc>
          <w:tcPr>
            <w:tcW w:w="1256" w:type="dxa"/>
          </w:tcPr>
          <w:p>
            <w:pPr>
              <w:pStyle w:val="TableParagraph"/>
              <w:spacing w:before="70"/>
              <w:ind w:left="271"/>
              <w:rPr>
                <w:sz w:val="22"/>
              </w:rPr>
            </w:pPr>
            <w:r>
              <w:rPr>
                <w:spacing w:val="-2"/>
                <w:sz w:val="22"/>
              </w:rPr>
              <w:t>0.968</w:t>
            </w:r>
          </w:p>
        </w:tc>
        <w:tc>
          <w:tcPr>
            <w:tcW w:w="1381" w:type="dxa"/>
          </w:tcPr>
          <w:p>
            <w:pPr>
              <w:pStyle w:val="TableParagraph"/>
              <w:spacing w:before="70"/>
              <w:ind w:left="480"/>
              <w:rPr>
                <w:sz w:val="22"/>
              </w:rPr>
            </w:pPr>
            <w:r>
              <w:rPr>
                <w:spacing w:val="-5"/>
                <w:sz w:val="22"/>
              </w:rPr>
              <w:t>NS</w:t>
            </w:r>
          </w:p>
        </w:tc>
      </w:tr>
      <w:tr>
        <w:trPr>
          <w:trHeight w:val="595" w:hRule="atLeast"/>
        </w:trPr>
        <w:tc>
          <w:tcPr>
            <w:tcW w:w="1075" w:type="dxa"/>
          </w:tcPr>
          <w:p>
            <w:pPr>
              <w:pStyle w:val="TableParagraph"/>
              <w:spacing w:line="267" w:lineRule="exact"/>
              <w:ind w:left="108"/>
              <w:rPr>
                <w:sz w:val="22"/>
              </w:rPr>
            </w:pPr>
            <w:r>
              <w:rPr>
                <w:spacing w:val="-4"/>
                <w:sz w:val="22"/>
              </w:rPr>
              <w:t>Honey</w:t>
            </w:r>
          </w:p>
          <w:p>
            <w:pPr>
              <w:pStyle w:val="TableParagraph"/>
              <w:spacing w:before="22"/>
              <w:ind w:left="108"/>
              <w:rPr>
                <w:sz w:val="22"/>
              </w:rPr>
            </w:pPr>
            <w:r>
              <w:rPr>
                <w:spacing w:val="-2"/>
                <w:sz w:val="22"/>
              </w:rPr>
              <w:t>(50%)</w:t>
            </w:r>
          </w:p>
        </w:tc>
        <w:tc>
          <w:tcPr>
            <w:tcW w:w="1867" w:type="dxa"/>
          </w:tcPr>
          <w:p>
            <w:pPr>
              <w:pStyle w:val="TableParagraph"/>
              <w:spacing w:before="144"/>
              <w:ind w:left="339"/>
              <w:rPr>
                <w:sz w:val="22"/>
              </w:rPr>
            </w:pPr>
            <w:r>
              <w:rPr>
                <w:spacing w:val="-5"/>
                <w:sz w:val="22"/>
              </w:rPr>
              <w:t>LEV</w:t>
            </w:r>
          </w:p>
        </w:tc>
        <w:tc>
          <w:tcPr>
            <w:tcW w:w="1770" w:type="dxa"/>
          </w:tcPr>
          <w:p>
            <w:pPr>
              <w:pStyle w:val="TableParagraph"/>
              <w:spacing w:before="144"/>
              <w:jc w:val="center"/>
              <w:rPr>
                <w:sz w:val="22"/>
              </w:rPr>
            </w:pPr>
            <w:r>
              <w:rPr>
                <w:spacing w:val="-2"/>
                <w:sz w:val="22"/>
              </w:rPr>
              <w:t>19.867±1.171</w:t>
            </w:r>
          </w:p>
        </w:tc>
        <w:tc>
          <w:tcPr>
            <w:tcW w:w="1256" w:type="dxa"/>
          </w:tcPr>
          <w:p>
            <w:pPr>
              <w:pStyle w:val="TableParagraph"/>
              <w:spacing w:before="144"/>
              <w:ind w:left="271"/>
              <w:rPr>
                <w:sz w:val="22"/>
              </w:rPr>
            </w:pPr>
            <w:r>
              <w:rPr>
                <w:spacing w:val="-2"/>
                <w:sz w:val="22"/>
              </w:rPr>
              <w:t>0.249</w:t>
            </w:r>
          </w:p>
        </w:tc>
        <w:tc>
          <w:tcPr>
            <w:tcW w:w="1381" w:type="dxa"/>
          </w:tcPr>
          <w:p>
            <w:pPr>
              <w:pStyle w:val="TableParagraph"/>
              <w:spacing w:before="144"/>
              <w:ind w:left="480"/>
              <w:rPr>
                <w:sz w:val="22"/>
              </w:rPr>
            </w:pPr>
            <w:r>
              <w:rPr>
                <w:spacing w:val="-5"/>
                <w:sz w:val="22"/>
              </w:rPr>
              <w:t>NS</w:t>
            </w:r>
          </w:p>
        </w:tc>
      </w:tr>
      <w:tr>
        <w:trPr>
          <w:trHeight w:val="376" w:hRule="atLeast"/>
        </w:trPr>
        <w:tc>
          <w:tcPr>
            <w:tcW w:w="1075" w:type="dxa"/>
          </w:tcPr>
          <w:p>
            <w:pPr>
              <w:pStyle w:val="TableParagraph"/>
              <w:rPr>
                <w:rFonts w:ascii="Times New Roman"/>
                <w:sz w:val="22"/>
              </w:rPr>
            </w:pPr>
          </w:p>
        </w:tc>
        <w:tc>
          <w:tcPr>
            <w:tcW w:w="1867" w:type="dxa"/>
          </w:tcPr>
          <w:p>
            <w:pPr>
              <w:pStyle w:val="TableParagraph"/>
              <w:spacing w:line="267" w:lineRule="exact"/>
              <w:ind w:left="339"/>
              <w:rPr>
                <w:sz w:val="22"/>
              </w:rPr>
            </w:pPr>
            <w:r>
              <w:rPr>
                <w:spacing w:val="-5"/>
                <w:sz w:val="22"/>
              </w:rPr>
              <w:t>AZM</w:t>
            </w:r>
          </w:p>
        </w:tc>
        <w:tc>
          <w:tcPr>
            <w:tcW w:w="1770" w:type="dxa"/>
          </w:tcPr>
          <w:p>
            <w:pPr>
              <w:pStyle w:val="TableParagraph"/>
              <w:spacing w:line="267" w:lineRule="exact"/>
              <w:jc w:val="center"/>
              <w:rPr>
                <w:sz w:val="22"/>
              </w:rPr>
            </w:pPr>
            <w:r>
              <w:rPr>
                <w:spacing w:val="-2"/>
                <w:sz w:val="22"/>
              </w:rPr>
              <w:t>15.467±1.050</w:t>
            </w:r>
          </w:p>
        </w:tc>
        <w:tc>
          <w:tcPr>
            <w:tcW w:w="1256" w:type="dxa"/>
          </w:tcPr>
          <w:p>
            <w:pPr>
              <w:pStyle w:val="TableParagraph"/>
              <w:spacing w:line="267" w:lineRule="exact"/>
              <w:ind w:left="271"/>
              <w:rPr>
                <w:sz w:val="22"/>
              </w:rPr>
            </w:pPr>
            <w:r>
              <w:rPr>
                <w:spacing w:val="-2"/>
                <w:sz w:val="22"/>
              </w:rPr>
              <w:t>1.000</w:t>
            </w:r>
          </w:p>
        </w:tc>
        <w:tc>
          <w:tcPr>
            <w:tcW w:w="1381" w:type="dxa"/>
          </w:tcPr>
          <w:p>
            <w:pPr>
              <w:pStyle w:val="TableParagraph"/>
              <w:spacing w:line="267" w:lineRule="exact"/>
              <w:ind w:left="480"/>
              <w:rPr>
                <w:sz w:val="22"/>
              </w:rPr>
            </w:pPr>
            <w:r>
              <w:rPr>
                <w:spacing w:val="-5"/>
                <w:sz w:val="22"/>
              </w:rPr>
              <w:t>NS</w:t>
            </w:r>
          </w:p>
        </w:tc>
      </w:tr>
      <w:tr>
        <w:trPr>
          <w:trHeight w:val="450" w:hRule="atLeast"/>
        </w:trPr>
        <w:tc>
          <w:tcPr>
            <w:tcW w:w="1075" w:type="dxa"/>
          </w:tcPr>
          <w:p>
            <w:pPr>
              <w:pStyle w:val="TableParagraph"/>
              <w:rPr>
                <w:rFonts w:ascii="Times New Roman"/>
                <w:sz w:val="22"/>
              </w:rPr>
            </w:pPr>
          </w:p>
        </w:tc>
        <w:tc>
          <w:tcPr>
            <w:tcW w:w="1867" w:type="dxa"/>
          </w:tcPr>
          <w:p>
            <w:pPr>
              <w:pStyle w:val="TableParagraph"/>
              <w:spacing w:before="70"/>
              <w:ind w:left="339"/>
              <w:rPr>
                <w:sz w:val="22"/>
              </w:rPr>
            </w:pPr>
            <w:r>
              <w:rPr>
                <w:sz w:val="22"/>
              </w:rPr>
              <w:t>Honey</w:t>
            </w:r>
            <w:r>
              <w:rPr>
                <w:spacing w:val="-4"/>
                <w:sz w:val="22"/>
              </w:rPr>
              <w:t> </w:t>
            </w:r>
            <w:r>
              <w:rPr>
                <w:spacing w:val="-2"/>
                <w:sz w:val="22"/>
              </w:rPr>
              <w:t>(100%)</w:t>
            </w:r>
          </w:p>
        </w:tc>
        <w:tc>
          <w:tcPr>
            <w:tcW w:w="1770" w:type="dxa"/>
          </w:tcPr>
          <w:p>
            <w:pPr>
              <w:pStyle w:val="TableParagraph"/>
              <w:spacing w:before="70"/>
              <w:jc w:val="center"/>
              <w:rPr>
                <w:sz w:val="22"/>
              </w:rPr>
            </w:pPr>
            <w:r>
              <w:rPr>
                <w:spacing w:val="-2"/>
                <w:sz w:val="22"/>
              </w:rPr>
              <w:t>19.333±0.374</w:t>
            </w:r>
          </w:p>
        </w:tc>
        <w:tc>
          <w:tcPr>
            <w:tcW w:w="1256" w:type="dxa"/>
          </w:tcPr>
          <w:p>
            <w:pPr>
              <w:pStyle w:val="TableParagraph"/>
              <w:spacing w:before="70"/>
              <w:ind w:left="271"/>
              <w:rPr>
                <w:sz w:val="22"/>
              </w:rPr>
            </w:pPr>
            <w:r>
              <w:rPr>
                <w:spacing w:val="-2"/>
                <w:sz w:val="22"/>
              </w:rPr>
              <w:t>0.439</w:t>
            </w:r>
          </w:p>
        </w:tc>
        <w:tc>
          <w:tcPr>
            <w:tcW w:w="1381" w:type="dxa"/>
          </w:tcPr>
          <w:p>
            <w:pPr>
              <w:pStyle w:val="TableParagraph"/>
              <w:spacing w:before="70"/>
              <w:ind w:left="480"/>
              <w:rPr>
                <w:sz w:val="22"/>
              </w:rPr>
            </w:pPr>
            <w:r>
              <w:rPr>
                <w:spacing w:val="-5"/>
                <w:sz w:val="22"/>
              </w:rPr>
              <w:t>NS</w:t>
            </w:r>
          </w:p>
        </w:tc>
      </w:tr>
      <w:tr>
        <w:trPr>
          <w:trHeight w:val="522" w:hRule="atLeast"/>
        </w:trPr>
        <w:tc>
          <w:tcPr>
            <w:tcW w:w="1075" w:type="dxa"/>
            <w:tcBorders>
              <w:bottom w:val="single" w:sz="4" w:space="0" w:color="000000"/>
            </w:tcBorders>
          </w:tcPr>
          <w:p>
            <w:pPr>
              <w:pStyle w:val="TableParagraph"/>
              <w:rPr>
                <w:rFonts w:ascii="Times New Roman"/>
                <w:sz w:val="22"/>
              </w:rPr>
            </w:pPr>
          </w:p>
        </w:tc>
        <w:tc>
          <w:tcPr>
            <w:tcW w:w="1867" w:type="dxa"/>
            <w:tcBorders>
              <w:bottom w:val="single" w:sz="4" w:space="0" w:color="000000"/>
            </w:tcBorders>
          </w:tcPr>
          <w:p>
            <w:pPr>
              <w:pStyle w:val="TableParagraph"/>
              <w:spacing w:before="71"/>
              <w:ind w:left="339"/>
              <w:rPr>
                <w:sz w:val="22"/>
              </w:rPr>
            </w:pPr>
            <w:r>
              <w:rPr>
                <w:sz w:val="22"/>
              </w:rPr>
              <w:t>Honey</w:t>
            </w:r>
            <w:r>
              <w:rPr>
                <w:spacing w:val="-2"/>
                <w:sz w:val="22"/>
              </w:rPr>
              <w:t> (25%)</w:t>
            </w:r>
          </w:p>
        </w:tc>
        <w:tc>
          <w:tcPr>
            <w:tcW w:w="1770" w:type="dxa"/>
            <w:tcBorders>
              <w:bottom w:val="single" w:sz="4" w:space="0" w:color="000000"/>
            </w:tcBorders>
          </w:tcPr>
          <w:p>
            <w:pPr>
              <w:pStyle w:val="TableParagraph"/>
              <w:spacing w:before="71"/>
              <w:jc w:val="center"/>
              <w:rPr>
                <w:sz w:val="22"/>
              </w:rPr>
            </w:pPr>
            <w:r>
              <w:rPr>
                <w:spacing w:val="-2"/>
                <w:sz w:val="22"/>
              </w:rPr>
              <w:t>11.733±0.442</w:t>
            </w:r>
          </w:p>
        </w:tc>
        <w:tc>
          <w:tcPr>
            <w:tcW w:w="1256" w:type="dxa"/>
            <w:tcBorders>
              <w:bottom w:val="single" w:sz="4" w:space="0" w:color="000000"/>
            </w:tcBorders>
          </w:tcPr>
          <w:p>
            <w:pPr>
              <w:pStyle w:val="TableParagraph"/>
              <w:spacing w:before="71"/>
              <w:ind w:left="271"/>
              <w:rPr>
                <w:sz w:val="22"/>
              </w:rPr>
            </w:pPr>
            <w:r>
              <w:rPr>
                <w:spacing w:val="-2"/>
                <w:sz w:val="22"/>
              </w:rPr>
              <w:t>0.148</w:t>
            </w:r>
          </w:p>
        </w:tc>
        <w:tc>
          <w:tcPr>
            <w:tcW w:w="1381" w:type="dxa"/>
            <w:tcBorders>
              <w:bottom w:val="single" w:sz="4" w:space="0" w:color="000000"/>
            </w:tcBorders>
          </w:tcPr>
          <w:p>
            <w:pPr>
              <w:pStyle w:val="TableParagraph"/>
              <w:spacing w:before="71"/>
              <w:ind w:left="480"/>
              <w:rPr>
                <w:sz w:val="22"/>
              </w:rPr>
            </w:pPr>
            <w:r>
              <w:rPr>
                <w:spacing w:val="-5"/>
                <w:sz w:val="22"/>
              </w:rPr>
              <w:t>NS</w:t>
            </w:r>
          </w:p>
        </w:tc>
      </w:tr>
      <w:tr>
        <w:trPr>
          <w:trHeight w:val="376" w:hRule="atLeast"/>
        </w:trPr>
        <w:tc>
          <w:tcPr>
            <w:tcW w:w="1075" w:type="dxa"/>
            <w:tcBorders>
              <w:top w:val="single" w:sz="4" w:space="0" w:color="000000"/>
            </w:tcBorders>
          </w:tcPr>
          <w:p>
            <w:pPr>
              <w:pStyle w:val="TableParagraph"/>
              <w:rPr>
                <w:rFonts w:ascii="Times New Roman"/>
                <w:sz w:val="22"/>
              </w:rPr>
            </w:pPr>
          </w:p>
        </w:tc>
        <w:tc>
          <w:tcPr>
            <w:tcW w:w="1867" w:type="dxa"/>
            <w:tcBorders>
              <w:top w:val="single" w:sz="4" w:space="0" w:color="000000"/>
            </w:tcBorders>
          </w:tcPr>
          <w:p>
            <w:pPr>
              <w:pStyle w:val="TableParagraph"/>
              <w:spacing w:line="265" w:lineRule="exact"/>
              <w:ind w:left="339"/>
              <w:rPr>
                <w:sz w:val="22"/>
              </w:rPr>
            </w:pPr>
            <w:r>
              <w:rPr>
                <w:spacing w:val="-5"/>
                <w:sz w:val="22"/>
              </w:rPr>
              <w:t>CRO</w:t>
            </w:r>
          </w:p>
        </w:tc>
        <w:tc>
          <w:tcPr>
            <w:tcW w:w="1770" w:type="dxa"/>
            <w:tcBorders>
              <w:top w:val="single" w:sz="4" w:space="0" w:color="000000"/>
            </w:tcBorders>
          </w:tcPr>
          <w:p>
            <w:pPr>
              <w:pStyle w:val="TableParagraph"/>
              <w:spacing w:line="265" w:lineRule="exact"/>
              <w:jc w:val="center"/>
              <w:rPr>
                <w:sz w:val="22"/>
              </w:rPr>
            </w:pPr>
            <w:r>
              <w:rPr>
                <w:spacing w:val="-2"/>
                <w:sz w:val="22"/>
              </w:rPr>
              <w:t>20.667±1.511</w:t>
            </w:r>
          </w:p>
        </w:tc>
        <w:tc>
          <w:tcPr>
            <w:tcW w:w="1256" w:type="dxa"/>
            <w:tcBorders>
              <w:top w:val="single" w:sz="4" w:space="0" w:color="000000"/>
            </w:tcBorders>
          </w:tcPr>
          <w:p>
            <w:pPr>
              <w:pStyle w:val="TableParagraph"/>
              <w:spacing w:line="265" w:lineRule="exact"/>
              <w:ind w:left="271"/>
              <w:rPr>
                <w:sz w:val="22"/>
              </w:rPr>
            </w:pPr>
            <w:r>
              <w:rPr>
                <w:spacing w:val="-2"/>
                <w:sz w:val="22"/>
              </w:rPr>
              <w:t>0.000</w:t>
            </w:r>
          </w:p>
        </w:tc>
        <w:tc>
          <w:tcPr>
            <w:tcW w:w="1381" w:type="dxa"/>
            <w:tcBorders>
              <w:top w:val="single" w:sz="4" w:space="0" w:color="000000"/>
            </w:tcBorders>
          </w:tcPr>
          <w:p>
            <w:pPr>
              <w:pStyle w:val="TableParagraph"/>
              <w:spacing w:line="265" w:lineRule="exact"/>
              <w:ind w:left="501"/>
              <w:rPr>
                <w:sz w:val="22"/>
              </w:rPr>
            </w:pPr>
            <w:r>
              <w:rPr>
                <w:spacing w:val="-5"/>
                <w:sz w:val="22"/>
              </w:rPr>
              <w:t>SF</w:t>
            </w:r>
          </w:p>
        </w:tc>
      </w:tr>
      <w:tr>
        <w:trPr>
          <w:trHeight w:val="450" w:hRule="atLeast"/>
        </w:trPr>
        <w:tc>
          <w:tcPr>
            <w:tcW w:w="1075" w:type="dxa"/>
          </w:tcPr>
          <w:p>
            <w:pPr>
              <w:pStyle w:val="TableParagraph"/>
              <w:rPr>
                <w:rFonts w:ascii="Times New Roman"/>
                <w:sz w:val="22"/>
              </w:rPr>
            </w:pPr>
          </w:p>
        </w:tc>
        <w:tc>
          <w:tcPr>
            <w:tcW w:w="1867" w:type="dxa"/>
          </w:tcPr>
          <w:p>
            <w:pPr>
              <w:pStyle w:val="TableParagraph"/>
              <w:spacing w:before="71"/>
              <w:ind w:left="339"/>
              <w:rPr>
                <w:sz w:val="22"/>
              </w:rPr>
            </w:pPr>
            <w:r>
              <w:rPr>
                <w:spacing w:val="-5"/>
                <w:sz w:val="22"/>
              </w:rPr>
              <w:t>CN</w:t>
            </w:r>
          </w:p>
        </w:tc>
        <w:tc>
          <w:tcPr>
            <w:tcW w:w="1770" w:type="dxa"/>
          </w:tcPr>
          <w:p>
            <w:pPr>
              <w:pStyle w:val="TableParagraph"/>
              <w:spacing w:before="71"/>
              <w:jc w:val="center"/>
              <w:rPr>
                <w:sz w:val="22"/>
              </w:rPr>
            </w:pPr>
            <w:r>
              <w:rPr>
                <w:spacing w:val="-2"/>
                <w:sz w:val="22"/>
              </w:rPr>
              <w:t>19.267±1.523</w:t>
            </w:r>
          </w:p>
        </w:tc>
        <w:tc>
          <w:tcPr>
            <w:tcW w:w="1256" w:type="dxa"/>
          </w:tcPr>
          <w:p>
            <w:pPr>
              <w:pStyle w:val="TableParagraph"/>
              <w:spacing w:before="71"/>
              <w:ind w:left="271"/>
              <w:rPr>
                <w:sz w:val="22"/>
              </w:rPr>
            </w:pPr>
            <w:r>
              <w:rPr>
                <w:spacing w:val="-2"/>
                <w:sz w:val="22"/>
              </w:rPr>
              <w:t>0.000</w:t>
            </w:r>
          </w:p>
        </w:tc>
        <w:tc>
          <w:tcPr>
            <w:tcW w:w="1381" w:type="dxa"/>
          </w:tcPr>
          <w:p>
            <w:pPr>
              <w:pStyle w:val="TableParagraph"/>
              <w:spacing w:before="71"/>
              <w:ind w:left="501"/>
              <w:rPr>
                <w:sz w:val="22"/>
              </w:rPr>
            </w:pPr>
            <w:r>
              <w:rPr>
                <w:spacing w:val="-5"/>
                <w:sz w:val="22"/>
              </w:rPr>
              <w:t>SF</w:t>
            </w:r>
          </w:p>
        </w:tc>
      </w:tr>
      <w:tr>
        <w:trPr>
          <w:trHeight w:val="376" w:hRule="atLeast"/>
        </w:trPr>
        <w:tc>
          <w:tcPr>
            <w:tcW w:w="1075" w:type="dxa"/>
          </w:tcPr>
          <w:p>
            <w:pPr>
              <w:pStyle w:val="TableParagraph"/>
              <w:rPr>
                <w:rFonts w:ascii="Times New Roman"/>
                <w:sz w:val="22"/>
              </w:rPr>
            </w:pPr>
          </w:p>
        </w:tc>
        <w:tc>
          <w:tcPr>
            <w:tcW w:w="1867" w:type="dxa"/>
          </w:tcPr>
          <w:p>
            <w:pPr>
              <w:pStyle w:val="TableParagraph"/>
              <w:spacing w:before="70"/>
              <w:ind w:left="339"/>
              <w:rPr>
                <w:sz w:val="22"/>
              </w:rPr>
            </w:pPr>
            <w:r>
              <w:rPr>
                <w:spacing w:val="-5"/>
                <w:sz w:val="22"/>
              </w:rPr>
              <w:t>AMC</w:t>
            </w:r>
          </w:p>
        </w:tc>
        <w:tc>
          <w:tcPr>
            <w:tcW w:w="1770" w:type="dxa"/>
          </w:tcPr>
          <w:p>
            <w:pPr>
              <w:pStyle w:val="TableParagraph"/>
              <w:spacing w:before="70"/>
              <w:jc w:val="center"/>
              <w:rPr>
                <w:sz w:val="22"/>
              </w:rPr>
            </w:pPr>
            <w:r>
              <w:rPr>
                <w:spacing w:val="-2"/>
                <w:sz w:val="22"/>
              </w:rPr>
              <w:t>17.667±1.670</w:t>
            </w:r>
          </w:p>
        </w:tc>
        <w:tc>
          <w:tcPr>
            <w:tcW w:w="1256" w:type="dxa"/>
          </w:tcPr>
          <w:p>
            <w:pPr>
              <w:pStyle w:val="TableParagraph"/>
              <w:spacing w:before="70"/>
              <w:ind w:left="271"/>
              <w:rPr>
                <w:sz w:val="22"/>
              </w:rPr>
            </w:pPr>
            <w:r>
              <w:rPr>
                <w:spacing w:val="-2"/>
                <w:sz w:val="22"/>
              </w:rPr>
              <w:t>0.008</w:t>
            </w:r>
          </w:p>
        </w:tc>
        <w:tc>
          <w:tcPr>
            <w:tcW w:w="1381" w:type="dxa"/>
          </w:tcPr>
          <w:p>
            <w:pPr>
              <w:pStyle w:val="TableParagraph"/>
              <w:spacing w:before="70"/>
              <w:ind w:left="501"/>
              <w:rPr>
                <w:sz w:val="22"/>
              </w:rPr>
            </w:pPr>
            <w:r>
              <w:rPr>
                <w:spacing w:val="-5"/>
                <w:sz w:val="22"/>
              </w:rPr>
              <w:t>SF</w:t>
            </w:r>
          </w:p>
        </w:tc>
      </w:tr>
      <w:tr>
        <w:trPr>
          <w:trHeight w:val="595" w:hRule="atLeast"/>
        </w:trPr>
        <w:tc>
          <w:tcPr>
            <w:tcW w:w="1075" w:type="dxa"/>
          </w:tcPr>
          <w:p>
            <w:pPr>
              <w:pStyle w:val="TableParagraph"/>
              <w:spacing w:line="267" w:lineRule="exact"/>
              <w:ind w:left="108"/>
              <w:rPr>
                <w:sz w:val="22"/>
              </w:rPr>
            </w:pPr>
            <w:r>
              <w:rPr>
                <w:spacing w:val="-4"/>
                <w:sz w:val="22"/>
              </w:rPr>
              <w:t>Honey</w:t>
            </w:r>
          </w:p>
          <w:p>
            <w:pPr>
              <w:pStyle w:val="TableParagraph"/>
              <w:spacing w:before="22"/>
              <w:ind w:left="108"/>
              <w:rPr>
                <w:sz w:val="22"/>
              </w:rPr>
            </w:pPr>
            <w:r>
              <w:rPr>
                <w:spacing w:val="-2"/>
                <w:sz w:val="22"/>
              </w:rPr>
              <w:t>(25%)</w:t>
            </w:r>
          </w:p>
        </w:tc>
        <w:tc>
          <w:tcPr>
            <w:tcW w:w="1867" w:type="dxa"/>
          </w:tcPr>
          <w:p>
            <w:pPr>
              <w:pStyle w:val="TableParagraph"/>
              <w:spacing w:before="144"/>
              <w:ind w:left="339"/>
              <w:rPr>
                <w:sz w:val="22"/>
              </w:rPr>
            </w:pPr>
            <w:r>
              <w:rPr>
                <w:spacing w:val="-5"/>
                <w:sz w:val="22"/>
              </w:rPr>
              <w:t>LEV</w:t>
            </w:r>
          </w:p>
        </w:tc>
        <w:tc>
          <w:tcPr>
            <w:tcW w:w="1770" w:type="dxa"/>
          </w:tcPr>
          <w:p>
            <w:pPr>
              <w:pStyle w:val="TableParagraph"/>
              <w:spacing w:before="144"/>
              <w:jc w:val="center"/>
              <w:rPr>
                <w:sz w:val="22"/>
              </w:rPr>
            </w:pPr>
            <w:r>
              <w:rPr>
                <w:spacing w:val="-2"/>
                <w:sz w:val="22"/>
              </w:rPr>
              <w:t>19.867±1.171</w:t>
            </w:r>
          </w:p>
        </w:tc>
        <w:tc>
          <w:tcPr>
            <w:tcW w:w="1256" w:type="dxa"/>
          </w:tcPr>
          <w:p>
            <w:pPr>
              <w:pStyle w:val="TableParagraph"/>
              <w:spacing w:before="144"/>
              <w:ind w:left="271"/>
              <w:rPr>
                <w:sz w:val="22"/>
              </w:rPr>
            </w:pPr>
            <w:r>
              <w:rPr>
                <w:spacing w:val="-2"/>
                <w:sz w:val="22"/>
              </w:rPr>
              <w:t>0.000</w:t>
            </w:r>
          </w:p>
        </w:tc>
        <w:tc>
          <w:tcPr>
            <w:tcW w:w="1381" w:type="dxa"/>
          </w:tcPr>
          <w:p>
            <w:pPr>
              <w:pStyle w:val="TableParagraph"/>
              <w:spacing w:before="144"/>
              <w:ind w:left="501"/>
              <w:rPr>
                <w:sz w:val="22"/>
              </w:rPr>
            </w:pPr>
            <w:r>
              <w:rPr>
                <w:spacing w:val="-5"/>
                <w:sz w:val="22"/>
              </w:rPr>
              <w:t>SF</w:t>
            </w:r>
          </w:p>
        </w:tc>
      </w:tr>
      <w:tr>
        <w:trPr>
          <w:trHeight w:val="378" w:hRule="atLeast"/>
        </w:trPr>
        <w:tc>
          <w:tcPr>
            <w:tcW w:w="1075" w:type="dxa"/>
          </w:tcPr>
          <w:p>
            <w:pPr>
              <w:pStyle w:val="TableParagraph"/>
              <w:rPr>
                <w:rFonts w:ascii="Times New Roman"/>
                <w:sz w:val="22"/>
              </w:rPr>
            </w:pPr>
          </w:p>
        </w:tc>
        <w:tc>
          <w:tcPr>
            <w:tcW w:w="1867" w:type="dxa"/>
          </w:tcPr>
          <w:p>
            <w:pPr>
              <w:pStyle w:val="TableParagraph"/>
              <w:spacing w:line="267" w:lineRule="exact"/>
              <w:ind w:left="339"/>
              <w:rPr>
                <w:sz w:val="22"/>
              </w:rPr>
            </w:pPr>
            <w:r>
              <w:rPr>
                <w:spacing w:val="-5"/>
                <w:sz w:val="22"/>
              </w:rPr>
              <w:t>AZM</w:t>
            </w:r>
          </w:p>
        </w:tc>
        <w:tc>
          <w:tcPr>
            <w:tcW w:w="1770" w:type="dxa"/>
          </w:tcPr>
          <w:p>
            <w:pPr>
              <w:pStyle w:val="TableParagraph"/>
              <w:spacing w:line="267" w:lineRule="exact"/>
              <w:jc w:val="center"/>
              <w:rPr>
                <w:sz w:val="22"/>
              </w:rPr>
            </w:pPr>
            <w:r>
              <w:rPr>
                <w:spacing w:val="-2"/>
                <w:sz w:val="22"/>
              </w:rPr>
              <w:t>15.467±1.050</w:t>
            </w:r>
          </w:p>
        </w:tc>
        <w:tc>
          <w:tcPr>
            <w:tcW w:w="1256" w:type="dxa"/>
          </w:tcPr>
          <w:p>
            <w:pPr>
              <w:pStyle w:val="TableParagraph"/>
              <w:spacing w:line="267" w:lineRule="exact"/>
              <w:ind w:left="271"/>
              <w:rPr>
                <w:sz w:val="22"/>
              </w:rPr>
            </w:pPr>
            <w:r>
              <w:rPr>
                <w:spacing w:val="-2"/>
                <w:sz w:val="22"/>
              </w:rPr>
              <w:t>0.291</w:t>
            </w:r>
          </w:p>
        </w:tc>
        <w:tc>
          <w:tcPr>
            <w:tcW w:w="1381" w:type="dxa"/>
          </w:tcPr>
          <w:p>
            <w:pPr>
              <w:pStyle w:val="TableParagraph"/>
              <w:spacing w:line="267" w:lineRule="exact"/>
              <w:ind w:left="480"/>
              <w:rPr>
                <w:sz w:val="22"/>
              </w:rPr>
            </w:pPr>
            <w:r>
              <w:rPr>
                <w:spacing w:val="-5"/>
                <w:sz w:val="22"/>
              </w:rPr>
              <w:t>NS</w:t>
            </w:r>
          </w:p>
        </w:tc>
      </w:tr>
      <w:tr>
        <w:trPr>
          <w:trHeight w:val="450" w:hRule="atLeast"/>
        </w:trPr>
        <w:tc>
          <w:tcPr>
            <w:tcW w:w="1075" w:type="dxa"/>
          </w:tcPr>
          <w:p>
            <w:pPr>
              <w:pStyle w:val="TableParagraph"/>
              <w:rPr>
                <w:rFonts w:ascii="Times New Roman"/>
                <w:sz w:val="22"/>
              </w:rPr>
            </w:pPr>
          </w:p>
        </w:tc>
        <w:tc>
          <w:tcPr>
            <w:tcW w:w="1867" w:type="dxa"/>
          </w:tcPr>
          <w:p>
            <w:pPr>
              <w:pStyle w:val="TableParagraph"/>
              <w:spacing w:before="71"/>
              <w:ind w:left="339"/>
              <w:rPr>
                <w:sz w:val="22"/>
              </w:rPr>
            </w:pPr>
            <w:r>
              <w:rPr>
                <w:sz w:val="22"/>
              </w:rPr>
              <w:t>Honey</w:t>
            </w:r>
            <w:r>
              <w:rPr>
                <w:spacing w:val="-4"/>
                <w:sz w:val="22"/>
              </w:rPr>
              <w:t> </w:t>
            </w:r>
            <w:r>
              <w:rPr>
                <w:spacing w:val="-2"/>
                <w:sz w:val="22"/>
              </w:rPr>
              <w:t>(100%)</w:t>
            </w:r>
          </w:p>
        </w:tc>
        <w:tc>
          <w:tcPr>
            <w:tcW w:w="1770" w:type="dxa"/>
          </w:tcPr>
          <w:p>
            <w:pPr>
              <w:pStyle w:val="TableParagraph"/>
              <w:spacing w:before="71"/>
              <w:jc w:val="center"/>
              <w:rPr>
                <w:sz w:val="22"/>
              </w:rPr>
            </w:pPr>
            <w:r>
              <w:rPr>
                <w:spacing w:val="-2"/>
                <w:sz w:val="22"/>
              </w:rPr>
              <w:t>19.333±0.374</w:t>
            </w:r>
          </w:p>
        </w:tc>
        <w:tc>
          <w:tcPr>
            <w:tcW w:w="1256" w:type="dxa"/>
          </w:tcPr>
          <w:p>
            <w:pPr>
              <w:pStyle w:val="TableParagraph"/>
              <w:spacing w:before="71"/>
              <w:ind w:left="271"/>
              <w:rPr>
                <w:sz w:val="22"/>
              </w:rPr>
            </w:pPr>
            <w:r>
              <w:rPr>
                <w:spacing w:val="-2"/>
                <w:sz w:val="22"/>
              </w:rPr>
              <w:t>0.000</w:t>
            </w:r>
          </w:p>
        </w:tc>
        <w:tc>
          <w:tcPr>
            <w:tcW w:w="1381" w:type="dxa"/>
          </w:tcPr>
          <w:p>
            <w:pPr>
              <w:pStyle w:val="TableParagraph"/>
              <w:spacing w:before="71"/>
              <w:ind w:left="501"/>
              <w:rPr>
                <w:sz w:val="22"/>
              </w:rPr>
            </w:pPr>
            <w:r>
              <w:rPr>
                <w:spacing w:val="-5"/>
                <w:sz w:val="22"/>
              </w:rPr>
              <w:t>SF</w:t>
            </w:r>
          </w:p>
        </w:tc>
      </w:tr>
      <w:tr>
        <w:trPr>
          <w:trHeight w:val="524" w:hRule="atLeast"/>
        </w:trPr>
        <w:tc>
          <w:tcPr>
            <w:tcW w:w="1075" w:type="dxa"/>
            <w:tcBorders>
              <w:bottom w:val="single" w:sz="4" w:space="0" w:color="000000"/>
            </w:tcBorders>
          </w:tcPr>
          <w:p>
            <w:pPr>
              <w:pStyle w:val="TableParagraph"/>
              <w:rPr>
                <w:rFonts w:ascii="Times New Roman"/>
                <w:sz w:val="22"/>
              </w:rPr>
            </w:pPr>
          </w:p>
        </w:tc>
        <w:tc>
          <w:tcPr>
            <w:tcW w:w="1867" w:type="dxa"/>
            <w:tcBorders>
              <w:bottom w:val="single" w:sz="4" w:space="0" w:color="000000"/>
            </w:tcBorders>
          </w:tcPr>
          <w:p>
            <w:pPr>
              <w:pStyle w:val="TableParagraph"/>
              <w:spacing w:before="70"/>
              <w:ind w:left="339"/>
              <w:rPr>
                <w:sz w:val="22"/>
              </w:rPr>
            </w:pPr>
            <w:r>
              <w:rPr>
                <w:sz w:val="22"/>
              </w:rPr>
              <w:t>Honey</w:t>
            </w:r>
            <w:r>
              <w:rPr>
                <w:spacing w:val="-2"/>
                <w:sz w:val="22"/>
              </w:rPr>
              <w:t> (50%)</w:t>
            </w:r>
          </w:p>
        </w:tc>
        <w:tc>
          <w:tcPr>
            <w:tcW w:w="1770" w:type="dxa"/>
            <w:tcBorders>
              <w:bottom w:val="single" w:sz="4" w:space="0" w:color="000000"/>
            </w:tcBorders>
          </w:tcPr>
          <w:p>
            <w:pPr>
              <w:pStyle w:val="TableParagraph"/>
              <w:spacing w:before="70"/>
              <w:jc w:val="center"/>
              <w:rPr>
                <w:sz w:val="22"/>
              </w:rPr>
            </w:pPr>
            <w:r>
              <w:rPr>
                <w:spacing w:val="-2"/>
                <w:sz w:val="22"/>
              </w:rPr>
              <w:t>16.000±0.439</w:t>
            </w:r>
          </w:p>
        </w:tc>
        <w:tc>
          <w:tcPr>
            <w:tcW w:w="1256" w:type="dxa"/>
            <w:tcBorders>
              <w:bottom w:val="single" w:sz="4" w:space="0" w:color="000000"/>
            </w:tcBorders>
          </w:tcPr>
          <w:p>
            <w:pPr>
              <w:pStyle w:val="TableParagraph"/>
              <w:spacing w:before="70"/>
              <w:ind w:left="271"/>
              <w:rPr>
                <w:sz w:val="22"/>
              </w:rPr>
            </w:pPr>
            <w:r>
              <w:rPr>
                <w:spacing w:val="-2"/>
                <w:sz w:val="22"/>
              </w:rPr>
              <w:t>0.148</w:t>
            </w:r>
          </w:p>
        </w:tc>
        <w:tc>
          <w:tcPr>
            <w:tcW w:w="1381" w:type="dxa"/>
            <w:tcBorders>
              <w:bottom w:val="single" w:sz="4" w:space="0" w:color="000000"/>
            </w:tcBorders>
          </w:tcPr>
          <w:p>
            <w:pPr>
              <w:pStyle w:val="TableParagraph"/>
              <w:spacing w:before="70"/>
              <w:ind w:left="480"/>
              <w:rPr>
                <w:sz w:val="22"/>
              </w:rPr>
            </w:pPr>
            <w:r>
              <w:rPr>
                <w:spacing w:val="-5"/>
                <w:sz w:val="22"/>
              </w:rPr>
              <w:t>NS</w:t>
            </w:r>
          </w:p>
        </w:tc>
      </w:tr>
    </w:tbl>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88"/>
        <w:rPr>
          <w:b/>
          <w:i/>
        </w:rPr>
      </w:pPr>
    </w:p>
    <w:p>
      <w:pPr>
        <w:pStyle w:val="BodyText"/>
        <w:spacing w:line="400" w:lineRule="auto"/>
        <w:ind w:left="1078" w:right="3061" w:firstLine="21"/>
      </w:pPr>
      <w:r>
        <w:rPr/>
        <w:t>Key</w:t>
      </w:r>
      <w:r>
        <w:rPr>
          <w:b/>
        </w:rPr>
        <w:t>:</w:t>
      </w:r>
      <w:r>
        <w:rPr>
          <w:b/>
          <w:spacing w:val="-7"/>
        </w:rPr>
        <w:t> </w:t>
      </w:r>
      <w:r>
        <w:rPr/>
        <w:t>LOS=Level</w:t>
      </w:r>
      <w:r>
        <w:rPr>
          <w:spacing w:val="-6"/>
        </w:rPr>
        <w:t> </w:t>
      </w:r>
      <w:r>
        <w:rPr/>
        <w:t>of</w:t>
      </w:r>
      <w:r>
        <w:rPr>
          <w:spacing w:val="-5"/>
        </w:rPr>
        <w:t> </w:t>
      </w:r>
      <w:r>
        <w:rPr/>
        <w:t>Significance;</w:t>
      </w:r>
      <w:r>
        <w:rPr>
          <w:spacing w:val="-5"/>
        </w:rPr>
        <w:t> </w:t>
      </w:r>
      <w:r>
        <w:rPr/>
        <w:t>NS=Not</w:t>
      </w:r>
      <w:r>
        <w:rPr>
          <w:spacing w:val="-5"/>
        </w:rPr>
        <w:t> </w:t>
      </w:r>
      <w:r>
        <w:rPr/>
        <w:t>significantly</w:t>
      </w:r>
      <w:r>
        <w:rPr>
          <w:spacing w:val="-5"/>
        </w:rPr>
        <w:t> </w:t>
      </w:r>
      <w:r>
        <w:rPr/>
        <w:t>different; SF=Significantly different.</w:t>
      </w:r>
    </w:p>
    <w:p>
      <w:pPr>
        <w:spacing w:after="0" w:line="400" w:lineRule="auto"/>
        <w:sectPr>
          <w:pgSz w:w="11910" w:h="16840"/>
          <w:pgMar w:header="0" w:footer="1055" w:top="140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3"/>
      </w:pPr>
    </w:p>
    <w:p>
      <w:pPr>
        <w:pStyle w:val="Heading3"/>
        <w:spacing w:line="259" w:lineRule="auto"/>
        <w:ind w:left="1513" w:right="975" w:hanging="1133"/>
        <w:rPr>
          <w:i/>
        </w:rPr>
      </w:pPr>
      <w:r>
        <w:rPr/>
        <w:t>Table</w:t>
      </w:r>
      <w:r>
        <w:rPr>
          <w:spacing w:val="-3"/>
        </w:rPr>
        <w:t> </w:t>
      </w:r>
      <w:r>
        <w:rPr/>
        <w:t>4.11:</w:t>
      </w:r>
      <w:r>
        <w:rPr>
          <w:spacing w:val="-3"/>
        </w:rPr>
        <w:t> </w:t>
      </w:r>
      <w:r>
        <w:rPr/>
        <w:t>Comparing</w:t>
      </w:r>
      <w:r>
        <w:rPr>
          <w:spacing w:val="-4"/>
        </w:rPr>
        <w:t> </w:t>
      </w:r>
      <w:r>
        <w:rPr/>
        <w:t>the</w:t>
      </w:r>
      <w:r>
        <w:rPr>
          <w:spacing w:val="-5"/>
        </w:rPr>
        <w:t> </w:t>
      </w:r>
      <w:r>
        <w:rPr/>
        <w:t>Mean</w:t>
      </w:r>
      <w:r>
        <w:rPr>
          <w:spacing w:val="-3"/>
        </w:rPr>
        <w:t> </w:t>
      </w:r>
      <w:r>
        <w:rPr/>
        <w:t>zone</w:t>
      </w:r>
      <w:r>
        <w:rPr>
          <w:spacing w:val="-3"/>
        </w:rPr>
        <w:t> </w:t>
      </w:r>
      <w:r>
        <w:rPr/>
        <w:t>of</w:t>
      </w:r>
      <w:r>
        <w:rPr>
          <w:spacing w:val="-2"/>
        </w:rPr>
        <w:t> </w:t>
      </w:r>
      <w:r>
        <w:rPr/>
        <w:t>inhibition</w:t>
      </w:r>
      <w:r>
        <w:rPr>
          <w:spacing w:val="-3"/>
        </w:rPr>
        <w:t> </w:t>
      </w:r>
      <w:r>
        <w:rPr/>
        <w:t>of</w:t>
      </w:r>
      <w:r>
        <w:rPr>
          <w:spacing w:val="-5"/>
        </w:rPr>
        <w:t> </w:t>
      </w:r>
      <w:r>
        <w:rPr/>
        <w:t>Honey</w:t>
      </w:r>
      <w:r>
        <w:rPr>
          <w:spacing w:val="-2"/>
        </w:rPr>
        <w:t> </w:t>
      </w:r>
      <w:r>
        <w:rPr/>
        <w:t>and</w:t>
      </w:r>
      <w:r>
        <w:rPr>
          <w:spacing w:val="-3"/>
        </w:rPr>
        <w:t> </w:t>
      </w:r>
      <w:r>
        <w:rPr/>
        <w:t>the</w:t>
      </w:r>
      <w:r>
        <w:rPr>
          <w:spacing w:val="-3"/>
        </w:rPr>
        <w:t> </w:t>
      </w:r>
      <w:r>
        <w:rPr/>
        <w:t>Standard</w:t>
      </w:r>
      <w:r>
        <w:rPr>
          <w:spacing w:val="-3"/>
        </w:rPr>
        <w:t> </w:t>
      </w:r>
      <w:r>
        <w:rPr/>
        <w:t>antibiotic formulations against </w:t>
      </w:r>
      <w:r>
        <w:rPr>
          <w:i/>
        </w:rPr>
        <w:t>Staphylococcus aureus</w:t>
      </w:r>
    </w:p>
    <w:p>
      <w:pPr>
        <w:pStyle w:val="BodyText"/>
        <w:rPr>
          <w:b/>
          <w:i/>
          <w:sz w:val="20"/>
        </w:rPr>
      </w:pPr>
    </w:p>
    <w:p>
      <w:pPr>
        <w:pStyle w:val="BodyText"/>
        <w:spacing w:before="101"/>
        <w:rPr>
          <w:b/>
          <w:i/>
          <w:sz w:val="20"/>
        </w:rPr>
      </w:pPr>
      <w:r>
        <w:rPr/>
        <mc:AlternateContent>
          <mc:Choice Requires="wps">
            <w:drawing>
              <wp:anchor distT="0" distB="0" distL="0" distR="0" allowOverlap="1" layoutInCell="1" locked="0" behindDoc="1" simplePos="0" relativeHeight="487671296">
                <wp:simplePos x="0" y="0"/>
                <wp:positionH relativeFrom="page">
                  <wp:posOffset>846124</wp:posOffset>
                </wp:positionH>
                <wp:positionV relativeFrom="paragraph">
                  <wp:posOffset>234989</wp:posOffset>
                </wp:positionV>
                <wp:extent cx="5605145" cy="6350"/>
                <wp:effectExtent l="0" t="0" r="0" b="0"/>
                <wp:wrapTopAndBottom/>
                <wp:docPr id="483" name="Graphic 483"/>
                <wp:cNvGraphicFramePr>
                  <a:graphicFrameLocks/>
                </wp:cNvGraphicFramePr>
                <a:graphic>
                  <a:graphicData uri="http://schemas.microsoft.com/office/word/2010/wordprocessingShape">
                    <wps:wsp>
                      <wps:cNvPr id="483" name="Graphic 483"/>
                      <wps:cNvSpPr/>
                      <wps:spPr>
                        <a:xfrm>
                          <a:off x="0" y="0"/>
                          <a:ext cx="5605145" cy="6350"/>
                        </a:xfrm>
                        <a:custGeom>
                          <a:avLst/>
                          <a:gdLst/>
                          <a:ahLst/>
                          <a:cxnLst/>
                          <a:rect l="l" t="t" r="r" b="b"/>
                          <a:pathLst>
                            <a:path w="5605145" h="6350">
                              <a:moveTo>
                                <a:pt x="955484" y="0"/>
                              </a:moveTo>
                              <a:lnTo>
                                <a:pt x="949452" y="0"/>
                              </a:lnTo>
                              <a:lnTo>
                                <a:pt x="0" y="0"/>
                              </a:lnTo>
                              <a:lnTo>
                                <a:pt x="0" y="6083"/>
                              </a:lnTo>
                              <a:lnTo>
                                <a:pt x="949401" y="6083"/>
                              </a:lnTo>
                              <a:lnTo>
                                <a:pt x="955484" y="6083"/>
                              </a:lnTo>
                              <a:lnTo>
                                <a:pt x="955484" y="0"/>
                              </a:lnTo>
                              <a:close/>
                            </a:path>
                            <a:path w="5605145" h="6350">
                              <a:moveTo>
                                <a:pt x="2312111" y="0"/>
                              </a:moveTo>
                              <a:lnTo>
                                <a:pt x="955497" y="0"/>
                              </a:lnTo>
                              <a:lnTo>
                                <a:pt x="955497" y="6083"/>
                              </a:lnTo>
                              <a:lnTo>
                                <a:pt x="2312111" y="6083"/>
                              </a:lnTo>
                              <a:lnTo>
                                <a:pt x="2312111" y="0"/>
                              </a:lnTo>
                              <a:close/>
                            </a:path>
                            <a:path w="5605145" h="6350">
                              <a:moveTo>
                                <a:pt x="4403725" y="0"/>
                              </a:moveTo>
                              <a:lnTo>
                                <a:pt x="4403725" y="0"/>
                              </a:lnTo>
                              <a:lnTo>
                                <a:pt x="2312238" y="0"/>
                              </a:lnTo>
                              <a:lnTo>
                                <a:pt x="2312238" y="6083"/>
                              </a:lnTo>
                              <a:lnTo>
                                <a:pt x="4403725" y="6083"/>
                              </a:lnTo>
                              <a:lnTo>
                                <a:pt x="4403725" y="0"/>
                              </a:lnTo>
                              <a:close/>
                            </a:path>
                            <a:path w="5605145" h="6350">
                              <a:moveTo>
                                <a:pt x="5605018" y="0"/>
                              </a:moveTo>
                              <a:lnTo>
                                <a:pt x="4409897" y="0"/>
                              </a:lnTo>
                              <a:lnTo>
                                <a:pt x="4403801" y="0"/>
                              </a:lnTo>
                              <a:lnTo>
                                <a:pt x="4403801" y="6083"/>
                              </a:lnTo>
                              <a:lnTo>
                                <a:pt x="4409897" y="6083"/>
                              </a:lnTo>
                              <a:lnTo>
                                <a:pt x="5605018" y="6083"/>
                              </a:lnTo>
                              <a:lnTo>
                                <a:pt x="56050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18.50309pt;width:441.35pt;height:.5pt;mso-position-horizontal-relative:page;mso-position-vertical-relative:paragraph;z-index:-15645184;mso-wrap-distance-left:0;mso-wrap-distance-right:0" id="docshape428" coordorigin="1332,370" coordsize="8827,10" path="m2837,370l2828,370,2828,370,1332,370,1332,380,2828,380,2828,380,2837,380,2837,370xm4974,370l2837,370,2837,380,4974,380,4974,370xm8267,370l6971,370,6961,370,6961,370,4983,370,4974,370,4974,380,4983,380,6961,380,6961,380,6971,380,8267,380,8267,370xm10159,370l8277,370,8268,370,8268,380,8277,380,10159,380,10159,370xe" filled="true" fillcolor="#000000" stroked="false">
                <v:path arrowok="t"/>
                <v:fill type="solid"/>
                <w10:wrap type="topAndBottom"/>
              </v:shape>
            </w:pict>
          </mc:Fallback>
        </mc:AlternateContent>
      </w:r>
    </w:p>
    <w:p>
      <w:pPr>
        <w:pStyle w:val="BodyText"/>
        <w:rPr>
          <w:b/>
          <w:i/>
          <w:sz w:val="20"/>
        </w:rPr>
      </w:pPr>
    </w:p>
    <w:p>
      <w:pPr>
        <w:pStyle w:val="BodyText"/>
        <w:spacing w:before="3"/>
        <w:rPr>
          <w:b/>
          <w:i/>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1"/>
        <w:gridCol w:w="1902"/>
        <w:gridCol w:w="2256"/>
        <w:gridCol w:w="1546"/>
        <w:gridCol w:w="1640"/>
      </w:tblGrid>
      <w:tr>
        <w:trPr>
          <w:trHeight w:val="221" w:hRule="atLeast"/>
        </w:trPr>
        <w:tc>
          <w:tcPr>
            <w:tcW w:w="1481" w:type="dxa"/>
          </w:tcPr>
          <w:p>
            <w:pPr>
              <w:pStyle w:val="TableParagraph"/>
              <w:rPr>
                <w:rFonts w:ascii="Times New Roman"/>
                <w:sz w:val="14"/>
              </w:rPr>
            </w:pPr>
          </w:p>
        </w:tc>
        <w:tc>
          <w:tcPr>
            <w:tcW w:w="1902" w:type="dxa"/>
          </w:tcPr>
          <w:p>
            <w:pPr>
              <w:pStyle w:val="TableParagraph"/>
              <w:rPr>
                <w:rFonts w:ascii="Times New Roman"/>
                <w:sz w:val="14"/>
              </w:rPr>
            </w:pPr>
          </w:p>
        </w:tc>
        <w:tc>
          <w:tcPr>
            <w:tcW w:w="2256" w:type="dxa"/>
          </w:tcPr>
          <w:p>
            <w:pPr>
              <w:pStyle w:val="TableParagraph"/>
              <w:rPr>
                <w:rFonts w:ascii="Times New Roman"/>
                <w:sz w:val="14"/>
              </w:rPr>
            </w:pPr>
          </w:p>
        </w:tc>
        <w:tc>
          <w:tcPr>
            <w:tcW w:w="1546" w:type="dxa"/>
          </w:tcPr>
          <w:p>
            <w:pPr>
              <w:pStyle w:val="TableParagraph"/>
              <w:rPr>
                <w:rFonts w:ascii="Times New Roman"/>
                <w:sz w:val="14"/>
              </w:rPr>
            </w:pPr>
          </w:p>
        </w:tc>
        <w:tc>
          <w:tcPr>
            <w:tcW w:w="1640" w:type="dxa"/>
          </w:tcPr>
          <w:p>
            <w:pPr>
              <w:pStyle w:val="TableParagraph"/>
              <w:spacing w:line="202" w:lineRule="exact"/>
              <w:ind w:left="525"/>
              <w:rPr>
                <w:sz w:val="22"/>
              </w:rPr>
            </w:pPr>
            <w:r>
              <w:rPr>
                <w:spacing w:val="-5"/>
                <w:sz w:val="22"/>
              </w:rPr>
              <w:t>LOS</w:t>
            </w:r>
          </w:p>
        </w:tc>
      </w:tr>
      <w:tr>
        <w:trPr>
          <w:trHeight w:val="224" w:hRule="atLeast"/>
        </w:trPr>
        <w:tc>
          <w:tcPr>
            <w:tcW w:w="1481" w:type="dxa"/>
          </w:tcPr>
          <w:p>
            <w:pPr>
              <w:pStyle w:val="TableParagraph"/>
              <w:spacing w:line="204" w:lineRule="exact"/>
              <w:ind w:left="108"/>
              <w:rPr>
                <w:sz w:val="22"/>
              </w:rPr>
            </w:pPr>
            <w:r>
              <w:rPr>
                <w:sz w:val="22"/>
              </w:rPr>
              <w:t>(I)</w:t>
            </w:r>
            <w:r>
              <w:rPr>
                <w:spacing w:val="-2"/>
                <w:sz w:val="22"/>
              </w:rPr>
              <w:t> Group</w:t>
            </w:r>
          </w:p>
        </w:tc>
        <w:tc>
          <w:tcPr>
            <w:tcW w:w="1902" w:type="dxa"/>
          </w:tcPr>
          <w:p>
            <w:pPr>
              <w:pStyle w:val="TableParagraph"/>
              <w:spacing w:line="204" w:lineRule="exact"/>
              <w:ind w:left="119"/>
              <w:rPr>
                <w:sz w:val="22"/>
              </w:rPr>
            </w:pPr>
            <w:r>
              <w:rPr>
                <w:sz w:val="22"/>
              </w:rPr>
              <w:t>(J)</w:t>
            </w:r>
            <w:r>
              <w:rPr>
                <w:spacing w:val="-4"/>
                <w:sz w:val="22"/>
              </w:rPr>
              <w:t> </w:t>
            </w:r>
            <w:r>
              <w:rPr>
                <w:spacing w:val="-2"/>
                <w:sz w:val="22"/>
              </w:rPr>
              <w:t>Group</w:t>
            </w:r>
          </w:p>
        </w:tc>
        <w:tc>
          <w:tcPr>
            <w:tcW w:w="2256" w:type="dxa"/>
          </w:tcPr>
          <w:p>
            <w:pPr>
              <w:pStyle w:val="TableParagraph"/>
              <w:rPr>
                <w:rFonts w:ascii="Times New Roman"/>
                <w:sz w:val="16"/>
              </w:rPr>
            </w:pPr>
          </w:p>
        </w:tc>
        <w:tc>
          <w:tcPr>
            <w:tcW w:w="1546" w:type="dxa"/>
          </w:tcPr>
          <w:p>
            <w:pPr>
              <w:pStyle w:val="TableParagraph"/>
              <w:spacing w:line="204" w:lineRule="exact"/>
              <w:ind w:left="106" w:right="363"/>
              <w:jc w:val="center"/>
              <w:rPr>
                <w:sz w:val="22"/>
              </w:rPr>
            </w:pPr>
            <w:r>
              <w:rPr>
                <w:sz w:val="22"/>
              </w:rPr>
              <w:t>P-</w:t>
            </w:r>
            <w:r>
              <w:rPr>
                <w:spacing w:val="-2"/>
                <w:sz w:val="22"/>
              </w:rPr>
              <w:t>value</w:t>
            </w:r>
          </w:p>
        </w:tc>
        <w:tc>
          <w:tcPr>
            <w:tcW w:w="1640" w:type="dxa"/>
          </w:tcPr>
          <w:p>
            <w:pPr>
              <w:pStyle w:val="TableParagraph"/>
              <w:rPr>
                <w:rFonts w:ascii="Times New Roman"/>
                <w:sz w:val="16"/>
              </w:rPr>
            </w:pPr>
          </w:p>
        </w:tc>
      </w:tr>
      <w:tr>
        <w:trPr>
          <w:trHeight w:val="861" w:hRule="atLeast"/>
        </w:trPr>
        <w:tc>
          <w:tcPr>
            <w:tcW w:w="1481" w:type="dxa"/>
            <w:tcBorders>
              <w:bottom w:val="single" w:sz="4" w:space="0" w:color="000000"/>
            </w:tcBorders>
          </w:tcPr>
          <w:p>
            <w:pPr>
              <w:pStyle w:val="TableParagraph"/>
              <w:rPr>
                <w:rFonts w:ascii="Times New Roman"/>
                <w:sz w:val="22"/>
              </w:rPr>
            </w:pPr>
          </w:p>
        </w:tc>
        <w:tc>
          <w:tcPr>
            <w:tcW w:w="1902" w:type="dxa"/>
            <w:tcBorders>
              <w:bottom w:val="single" w:sz="4" w:space="0" w:color="000000"/>
            </w:tcBorders>
          </w:tcPr>
          <w:p>
            <w:pPr>
              <w:pStyle w:val="TableParagraph"/>
              <w:rPr>
                <w:rFonts w:ascii="Times New Roman"/>
                <w:sz w:val="22"/>
              </w:rPr>
            </w:pPr>
          </w:p>
        </w:tc>
        <w:tc>
          <w:tcPr>
            <w:tcW w:w="2256" w:type="dxa"/>
            <w:tcBorders>
              <w:bottom w:val="single" w:sz="4" w:space="0" w:color="000000"/>
            </w:tcBorders>
          </w:tcPr>
          <w:p>
            <w:pPr>
              <w:pStyle w:val="TableParagraph"/>
              <w:spacing w:line="227" w:lineRule="exact"/>
              <w:ind w:left="248" w:right="2"/>
              <w:jc w:val="center"/>
              <w:rPr>
                <w:sz w:val="22"/>
              </w:rPr>
            </w:pPr>
            <w:r>
              <w:rPr>
                <w:spacing w:val="-2"/>
                <w:sz w:val="22"/>
              </w:rPr>
              <w:t>Mean±SEM</w:t>
            </w:r>
          </w:p>
        </w:tc>
        <w:tc>
          <w:tcPr>
            <w:tcW w:w="1546" w:type="dxa"/>
            <w:tcBorders>
              <w:bottom w:val="single" w:sz="4" w:space="0" w:color="000000"/>
            </w:tcBorders>
          </w:tcPr>
          <w:p>
            <w:pPr>
              <w:pStyle w:val="TableParagraph"/>
              <w:rPr>
                <w:rFonts w:ascii="Times New Roman"/>
                <w:sz w:val="22"/>
              </w:rPr>
            </w:pPr>
          </w:p>
        </w:tc>
        <w:tc>
          <w:tcPr>
            <w:tcW w:w="1640" w:type="dxa"/>
            <w:tcBorders>
              <w:bottom w:val="single" w:sz="4" w:space="0" w:color="000000"/>
            </w:tcBorders>
          </w:tcPr>
          <w:p>
            <w:pPr>
              <w:pStyle w:val="TableParagraph"/>
              <w:rPr>
                <w:rFonts w:ascii="Times New Roman"/>
                <w:sz w:val="22"/>
              </w:rPr>
            </w:pPr>
          </w:p>
        </w:tc>
      </w:tr>
      <w:tr>
        <w:trPr>
          <w:trHeight w:val="376" w:hRule="atLeast"/>
        </w:trPr>
        <w:tc>
          <w:tcPr>
            <w:tcW w:w="1481" w:type="dxa"/>
            <w:tcBorders>
              <w:top w:val="single" w:sz="4" w:space="0" w:color="000000"/>
            </w:tcBorders>
          </w:tcPr>
          <w:p>
            <w:pPr>
              <w:pStyle w:val="TableParagraph"/>
              <w:rPr>
                <w:rFonts w:ascii="Times New Roman"/>
                <w:sz w:val="22"/>
              </w:rPr>
            </w:pPr>
          </w:p>
        </w:tc>
        <w:tc>
          <w:tcPr>
            <w:tcW w:w="1902" w:type="dxa"/>
            <w:tcBorders>
              <w:top w:val="single" w:sz="4" w:space="0" w:color="000000"/>
            </w:tcBorders>
          </w:tcPr>
          <w:p>
            <w:pPr>
              <w:pStyle w:val="TableParagraph"/>
              <w:spacing w:line="265" w:lineRule="exact"/>
              <w:ind w:left="119"/>
              <w:rPr>
                <w:sz w:val="22"/>
              </w:rPr>
            </w:pPr>
            <w:r>
              <w:rPr>
                <w:spacing w:val="-5"/>
                <w:sz w:val="22"/>
              </w:rPr>
              <w:t>CRO</w:t>
            </w:r>
          </w:p>
        </w:tc>
        <w:tc>
          <w:tcPr>
            <w:tcW w:w="2256" w:type="dxa"/>
            <w:tcBorders>
              <w:top w:val="single" w:sz="4" w:space="0" w:color="000000"/>
            </w:tcBorders>
          </w:tcPr>
          <w:p>
            <w:pPr>
              <w:pStyle w:val="TableParagraph"/>
              <w:spacing w:line="265" w:lineRule="exact"/>
              <w:ind w:left="248"/>
              <w:jc w:val="center"/>
              <w:rPr>
                <w:sz w:val="22"/>
              </w:rPr>
            </w:pPr>
            <w:r>
              <w:rPr>
                <w:spacing w:val="-2"/>
                <w:sz w:val="22"/>
              </w:rPr>
              <w:t>20.000±1.129</w:t>
            </w:r>
          </w:p>
        </w:tc>
        <w:tc>
          <w:tcPr>
            <w:tcW w:w="1546" w:type="dxa"/>
            <w:tcBorders>
              <w:top w:val="single" w:sz="4" w:space="0" w:color="000000"/>
            </w:tcBorders>
          </w:tcPr>
          <w:p>
            <w:pPr>
              <w:pStyle w:val="TableParagraph"/>
              <w:spacing w:line="265" w:lineRule="exact"/>
              <w:ind w:left="106" w:right="360"/>
              <w:jc w:val="center"/>
              <w:rPr>
                <w:sz w:val="22"/>
              </w:rPr>
            </w:pPr>
            <w:r>
              <w:rPr>
                <w:spacing w:val="-2"/>
                <w:sz w:val="22"/>
              </w:rPr>
              <w:t>1.000</w:t>
            </w:r>
          </w:p>
        </w:tc>
        <w:tc>
          <w:tcPr>
            <w:tcW w:w="1640" w:type="dxa"/>
            <w:tcBorders>
              <w:top w:val="single" w:sz="4" w:space="0" w:color="000000"/>
            </w:tcBorders>
          </w:tcPr>
          <w:p>
            <w:pPr>
              <w:pStyle w:val="TableParagraph"/>
              <w:spacing w:line="265" w:lineRule="exact"/>
              <w:ind w:left="573"/>
              <w:rPr>
                <w:sz w:val="22"/>
              </w:rPr>
            </w:pPr>
            <w:r>
              <w:rPr>
                <w:spacing w:val="-5"/>
                <w:sz w:val="22"/>
              </w:rPr>
              <w:t>NS</w:t>
            </w:r>
          </w:p>
        </w:tc>
      </w:tr>
      <w:tr>
        <w:trPr>
          <w:trHeight w:val="450" w:hRule="atLeast"/>
        </w:trPr>
        <w:tc>
          <w:tcPr>
            <w:tcW w:w="1481" w:type="dxa"/>
          </w:tcPr>
          <w:p>
            <w:pPr>
              <w:pStyle w:val="TableParagraph"/>
              <w:rPr>
                <w:rFonts w:ascii="Times New Roman"/>
                <w:sz w:val="22"/>
              </w:rPr>
            </w:pPr>
          </w:p>
        </w:tc>
        <w:tc>
          <w:tcPr>
            <w:tcW w:w="1902" w:type="dxa"/>
          </w:tcPr>
          <w:p>
            <w:pPr>
              <w:pStyle w:val="TableParagraph"/>
              <w:spacing w:before="71"/>
              <w:ind w:left="119"/>
              <w:rPr>
                <w:sz w:val="22"/>
              </w:rPr>
            </w:pPr>
            <w:r>
              <w:rPr>
                <w:spacing w:val="-5"/>
                <w:sz w:val="22"/>
              </w:rPr>
              <w:t>CN</w:t>
            </w:r>
          </w:p>
        </w:tc>
        <w:tc>
          <w:tcPr>
            <w:tcW w:w="2256" w:type="dxa"/>
          </w:tcPr>
          <w:p>
            <w:pPr>
              <w:pStyle w:val="TableParagraph"/>
              <w:spacing w:before="71"/>
              <w:ind w:left="248"/>
              <w:jc w:val="center"/>
              <w:rPr>
                <w:sz w:val="22"/>
              </w:rPr>
            </w:pPr>
            <w:r>
              <w:rPr>
                <w:spacing w:val="-2"/>
                <w:sz w:val="22"/>
              </w:rPr>
              <w:t>21.571±1.073</w:t>
            </w:r>
          </w:p>
        </w:tc>
        <w:tc>
          <w:tcPr>
            <w:tcW w:w="1546" w:type="dxa"/>
          </w:tcPr>
          <w:p>
            <w:pPr>
              <w:pStyle w:val="TableParagraph"/>
              <w:spacing w:before="71"/>
              <w:ind w:left="106" w:right="360"/>
              <w:jc w:val="center"/>
              <w:rPr>
                <w:sz w:val="22"/>
              </w:rPr>
            </w:pPr>
            <w:r>
              <w:rPr>
                <w:spacing w:val="-2"/>
                <w:sz w:val="22"/>
              </w:rPr>
              <w:t>0.831</w:t>
            </w:r>
          </w:p>
        </w:tc>
        <w:tc>
          <w:tcPr>
            <w:tcW w:w="1640" w:type="dxa"/>
          </w:tcPr>
          <w:p>
            <w:pPr>
              <w:pStyle w:val="TableParagraph"/>
              <w:spacing w:before="71"/>
              <w:ind w:left="573"/>
              <w:rPr>
                <w:sz w:val="22"/>
              </w:rPr>
            </w:pPr>
            <w:r>
              <w:rPr>
                <w:spacing w:val="-5"/>
                <w:sz w:val="22"/>
              </w:rPr>
              <w:t>NS</w:t>
            </w:r>
          </w:p>
        </w:tc>
      </w:tr>
      <w:tr>
        <w:trPr>
          <w:trHeight w:val="449" w:hRule="atLeast"/>
        </w:trPr>
        <w:tc>
          <w:tcPr>
            <w:tcW w:w="1481" w:type="dxa"/>
          </w:tcPr>
          <w:p>
            <w:pPr>
              <w:pStyle w:val="TableParagraph"/>
              <w:rPr>
                <w:rFonts w:ascii="Times New Roman"/>
                <w:sz w:val="22"/>
              </w:rPr>
            </w:pPr>
          </w:p>
        </w:tc>
        <w:tc>
          <w:tcPr>
            <w:tcW w:w="1902" w:type="dxa"/>
          </w:tcPr>
          <w:p>
            <w:pPr>
              <w:pStyle w:val="TableParagraph"/>
              <w:spacing w:before="70"/>
              <w:ind w:left="119"/>
              <w:rPr>
                <w:sz w:val="22"/>
              </w:rPr>
            </w:pPr>
            <w:r>
              <w:rPr>
                <w:spacing w:val="-5"/>
                <w:sz w:val="22"/>
              </w:rPr>
              <w:t>AMC</w:t>
            </w:r>
          </w:p>
        </w:tc>
        <w:tc>
          <w:tcPr>
            <w:tcW w:w="2256" w:type="dxa"/>
          </w:tcPr>
          <w:p>
            <w:pPr>
              <w:pStyle w:val="TableParagraph"/>
              <w:spacing w:before="70"/>
              <w:ind w:left="248"/>
              <w:jc w:val="center"/>
              <w:rPr>
                <w:sz w:val="22"/>
              </w:rPr>
            </w:pPr>
            <w:r>
              <w:rPr>
                <w:spacing w:val="-2"/>
                <w:sz w:val="22"/>
              </w:rPr>
              <w:t>20.286±1.669</w:t>
            </w:r>
          </w:p>
        </w:tc>
        <w:tc>
          <w:tcPr>
            <w:tcW w:w="1546" w:type="dxa"/>
          </w:tcPr>
          <w:p>
            <w:pPr>
              <w:pStyle w:val="TableParagraph"/>
              <w:spacing w:before="70"/>
              <w:ind w:left="106" w:right="360"/>
              <w:jc w:val="center"/>
              <w:rPr>
                <w:sz w:val="22"/>
              </w:rPr>
            </w:pPr>
            <w:r>
              <w:rPr>
                <w:spacing w:val="-2"/>
                <w:sz w:val="22"/>
              </w:rPr>
              <w:t>0.999</w:t>
            </w:r>
          </w:p>
        </w:tc>
        <w:tc>
          <w:tcPr>
            <w:tcW w:w="1640" w:type="dxa"/>
          </w:tcPr>
          <w:p>
            <w:pPr>
              <w:pStyle w:val="TableParagraph"/>
              <w:spacing w:before="70"/>
              <w:ind w:left="573"/>
              <w:rPr>
                <w:sz w:val="22"/>
              </w:rPr>
            </w:pPr>
            <w:r>
              <w:rPr>
                <w:spacing w:val="-5"/>
                <w:sz w:val="22"/>
              </w:rPr>
              <w:t>NS</w:t>
            </w:r>
          </w:p>
        </w:tc>
      </w:tr>
      <w:tr>
        <w:trPr>
          <w:trHeight w:val="450" w:hRule="atLeast"/>
        </w:trPr>
        <w:tc>
          <w:tcPr>
            <w:tcW w:w="1481" w:type="dxa"/>
          </w:tcPr>
          <w:p>
            <w:pPr>
              <w:pStyle w:val="TableParagraph"/>
              <w:spacing w:before="70"/>
              <w:ind w:left="108"/>
              <w:rPr>
                <w:sz w:val="22"/>
              </w:rPr>
            </w:pPr>
            <w:r>
              <w:rPr>
                <w:sz w:val="22"/>
              </w:rPr>
              <w:t>Honey</w:t>
            </w:r>
            <w:r>
              <w:rPr>
                <w:spacing w:val="-4"/>
                <w:sz w:val="22"/>
              </w:rPr>
              <w:t> </w:t>
            </w:r>
            <w:r>
              <w:rPr>
                <w:spacing w:val="-2"/>
                <w:sz w:val="22"/>
              </w:rPr>
              <w:t>(100%)</w:t>
            </w:r>
          </w:p>
        </w:tc>
        <w:tc>
          <w:tcPr>
            <w:tcW w:w="1902" w:type="dxa"/>
          </w:tcPr>
          <w:p>
            <w:pPr>
              <w:pStyle w:val="TableParagraph"/>
              <w:spacing w:before="70"/>
              <w:ind w:left="119"/>
              <w:rPr>
                <w:sz w:val="22"/>
              </w:rPr>
            </w:pPr>
            <w:r>
              <w:rPr>
                <w:spacing w:val="-5"/>
                <w:sz w:val="22"/>
              </w:rPr>
              <w:t>LEV</w:t>
            </w:r>
          </w:p>
        </w:tc>
        <w:tc>
          <w:tcPr>
            <w:tcW w:w="2256" w:type="dxa"/>
          </w:tcPr>
          <w:p>
            <w:pPr>
              <w:pStyle w:val="TableParagraph"/>
              <w:spacing w:before="70"/>
              <w:ind w:left="248"/>
              <w:jc w:val="center"/>
              <w:rPr>
                <w:sz w:val="22"/>
              </w:rPr>
            </w:pPr>
            <w:r>
              <w:rPr>
                <w:spacing w:val="-2"/>
                <w:sz w:val="22"/>
              </w:rPr>
              <w:t>25.857±1.148</w:t>
            </w:r>
          </w:p>
        </w:tc>
        <w:tc>
          <w:tcPr>
            <w:tcW w:w="1546" w:type="dxa"/>
          </w:tcPr>
          <w:p>
            <w:pPr>
              <w:pStyle w:val="TableParagraph"/>
              <w:spacing w:before="70"/>
              <w:ind w:left="106" w:right="360"/>
              <w:jc w:val="center"/>
              <w:rPr>
                <w:sz w:val="22"/>
              </w:rPr>
            </w:pPr>
            <w:r>
              <w:rPr>
                <w:spacing w:val="-2"/>
                <w:sz w:val="22"/>
              </w:rPr>
              <w:t>0.001</w:t>
            </w:r>
          </w:p>
        </w:tc>
        <w:tc>
          <w:tcPr>
            <w:tcW w:w="1640" w:type="dxa"/>
          </w:tcPr>
          <w:p>
            <w:pPr>
              <w:pStyle w:val="TableParagraph"/>
              <w:spacing w:before="70"/>
              <w:ind w:left="594"/>
              <w:rPr>
                <w:sz w:val="22"/>
              </w:rPr>
            </w:pPr>
            <w:r>
              <w:rPr>
                <w:spacing w:val="-5"/>
                <w:sz w:val="22"/>
              </w:rPr>
              <w:t>SF</w:t>
            </w:r>
          </w:p>
        </w:tc>
      </w:tr>
      <w:tr>
        <w:trPr>
          <w:trHeight w:val="450" w:hRule="atLeast"/>
        </w:trPr>
        <w:tc>
          <w:tcPr>
            <w:tcW w:w="1481" w:type="dxa"/>
          </w:tcPr>
          <w:p>
            <w:pPr>
              <w:pStyle w:val="TableParagraph"/>
              <w:rPr>
                <w:rFonts w:ascii="Times New Roman"/>
                <w:sz w:val="22"/>
              </w:rPr>
            </w:pPr>
          </w:p>
        </w:tc>
        <w:tc>
          <w:tcPr>
            <w:tcW w:w="1902" w:type="dxa"/>
          </w:tcPr>
          <w:p>
            <w:pPr>
              <w:pStyle w:val="TableParagraph"/>
              <w:spacing w:before="71"/>
              <w:ind w:left="119"/>
              <w:rPr>
                <w:sz w:val="22"/>
              </w:rPr>
            </w:pPr>
            <w:r>
              <w:rPr>
                <w:spacing w:val="-5"/>
                <w:sz w:val="22"/>
              </w:rPr>
              <w:t>AZM</w:t>
            </w:r>
          </w:p>
        </w:tc>
        <w:tc>
          <w:tcPr>
            <w:tcW w:w="2256" w:type="dxa"/>
          </w:tcPr>
          <w:p>
            <w:pPr>
              <w:pStyle w:val="TableParagraph"/>
              <w:spacing w:before="71"/>
              <w:ind w:left="248"/>
              <w:jc w:val="center"/>
              <w:rPr>
                <w:sz w:val="22"/>
              </w:rPr>
            </w:pPr>
            <w:r>
              <w:rPr>
                <w:spacing w:val="-2"/>
                <w:sz w:val="22"/>
              </w:rPr>
              <w:t>19.643±1.243</w:t>
            </w:r>
          </w:p>
        </w:tc>
        <w:tc>
          <w:tcPr>
            <w:tcW w:w="1546" w:type="dxa"/>
          </w:tcPr>
          <w:p>
            <w:pPr>
              <w:pStyle w:val="TableParagraph"/>
              <w:spacing w:before="71"/>
              <w:ind w:left="106" w:right="360"/>
              <w:jc w:val="center"/>
              <w:rPr>
                <w:sz w:val="22"/>
              </w:rPr>
            </w:pPr>
            <w:r>
              <w:rPr>
                <w:spacing w:val="-2"/>
                <w:sz w:val="22"/>
              </w:rPr>
              <w:t>1.000</w:t>
            </w:r>
          </w:p>
        </w:tc>
        <w:tc>
          <w:tcPr>
            <w:tcW w:w="1640" w:type="dxa"/>
          </w:tcPr>
          <w:p>
            <w:pPr>
              <w:pStyle w:val="TableParagraph"/>
              <w:spacing w:before="71"/>
              <w:ind w:left="573"/>
              <w:rPr>
                <w:sz w:val="22"/>
              </w:rPr>
            </w:pPr>
            <w:r>
              <w:rPr>
                <w:spacing w:val="-5"/>
                <w:sz w:val="22"/>
              </w:rPr>
              <w:t>NS</w:t>
            </w:r>
          </w:p>
        </w:tc>
      </w:tr>
      <w:tr>
        <w:trPr>
          <w:trHeight w:val="450" w:hRule="atLeast"/>
        </w:trPr>
        <w:tc>
          <w:tcPr>
            <w:tcW w:w="1481" w:type="dxa"/>
          </w:tcPr>
          <w:p>
            <w:pPr>
              <w:pStyle w:val="TableParagraph"/>
              <w:rPr>
                <w:rFonts w:ascii="Times New Roman"/>
                <w:sz w:val="22"/>
              </w:rPr>
            </w:pPr>
          </w:p>
        </w:tc>
        <w:tc>
          <w:tcPr>
            <w:tcW w:w="1902" w:type="dxa"/>
          </w:tcPr>
          <w:p>
            <w:pPr>
              <w:pStyle w:val="TableParagraph"/>
              <w:spacing w:before="70"/>
              <w:ind w:left="119"/>
              <w:rPr>
                <w:sz w:val="22"/>
              </w:rPr>
            </w:pPr>
            <w:r>
              <w:rPr>
                <w:sz w:val="22"/>
              </w:rPr>
              <w:t>Honey</w:t>
            </w:r>
            <w:r>
              <w:rPr>
                <w:spacing w:val="-2"/>
                <w:sz w:val="22"/>
              </w:rPr>
              <w:t> (50%)</w:t>
            </w:r>
          </w:p>
        </w:tc>
        <w:tc>
          <w:tcPr>
            <w:tcW w:w="2256" w:type="dxa"/>
          </w:tcPr>
          <w:p>
            <w:pPr>
              <w:pStyle w:val="TableParagraph"/>
              <w:spacing w:before="70"/>
              <w:ind w:left="248"/>
              <w:jc w:val="center"/>
              <w:rPr>
                <w:sz w:val="22"/>
              </w:rPr>
            </w:pPr>
            <w:r>
              <w:rPr>
                <w:spacing w:val="-2"/>
                <w:sz w:val="22"/>
              </w:rPr>
              <w:t>15.714±0.438</w:t>
            </w:r>
          </w:p>
        </w:tc>
        <w:tc>
          <w:tcPr>
            <w:tcW w:w="1546" w:type="dxa"/>
          </w:tcPr>
          <w:p>
            <w:pPr>
              <w:pStyle w:val="TableParagraph"/>
              <w:spacing w:before="70"/>
              <w:ind w:left="106" w:right="360"/>
              <w:jc w:val="center"/>
              <w:rPr>
                <w:sz w:val="22"/>
              </w:rPr>
            </w:pPr>
            <w:r>
              <w:rPr>
                <w:spacing w:val="-2"/>
                <w:sz w:val="22"/>
              </w:rPr>
              <w:t>0.201</w:t>
            </w:r>
          </w:p>
        </w:tc>
        <w:tc>
          <w:tcPr>
            <w:tcW w:w="1640" w:type="dxa"/>
          </w:tcPr>
          <w:p>
            <w:pPr>
              <w:pStyle w:val="TableParagraph"/>
              <w:spacing w:before="70"/>
              <w:ind w:left="573"/>
              <w:rPr>
                <w:sz w:val="22"/>
              </w:rPr>
            </w:pPr>
            <w:r>
              <w:rPr>
                <w:spacing w:val="-5"/>
                <w:sz w:val="22"/>
              </w:rPr>
              <w:t>NS</w:t>
            </w:r>
          </w:p>
        </w:tc>
      </w:tr>
      <w:tr>
        <w:trPr>
          <w:trHeight w:val="523" w:hRule="atLeast"/>
        </w:trPr>
        <w:tc>
          <w:tcPr>
            <w:tcW w:w="1481" w:type="dxa"/>
            <w:tcBorders>
              <w:bottom w:val="single" w:sz="4" w:space="0" w:color="000000"/>
            </w:tcBorders>
          </w:tcPr>
          <w:p>
            <w:pPr>
              <w:pStyle w:val="TableParagraph"/>
              <w:rPr>
                <w:rFonts w:ascii="Times New Roman"/>
                <w:sz w:val="22"/>
              </w:rPr>
            </w:pPr>
          </w:p>
        </w:tc>
        <w:tc>
          <w:tcPr>
            <w:tcW w:w="1902" w:type="dxa"/>
            <w:tcBorders>
              <w:bottom w:val="single" w:sz="4" w:space="0" w:color="000000"/>
            </w:tcBorders>
          </w:tcPr>
          <w:p>
            <w:pPr>
              <w:pStyle w:val="TableParagraph"/>
              <w:spacing w:before="71"/>
              <w:ind w:left="119"/>
              <w:rPr>
                <w:sz w:val="22"/>
              </w:rPr>
            </w:pPr>
            <w:r>
              <w:rPr>
                <w:sz w:val="22"/>
              </w:rPr>
              <w:t>Honey</w:t>
            </w:r>
            <w:r>
              <w:rPr>
                <w:spacing w:val="-2"/>
                <w:sz w:val="22"/>
              </w:rPr>
              <w:t> (25%)</w:t>
            </w:r>
          </w:p>
        </w:tc>
        <w:tc>
          <w:tcPr>
            <w:tcW w:w="2256" w:type="dxa"/>
            <w:tcBorders>
              <w:bottom w:val="single" w:sz="4" w:space="0" w:color="000000"/>
            </w:tcBorders>
          </w:tcPr>
          <w:p>
            <w:pPr>
              <w:pStyle w:val="TableParagraph"/>
              <w:spacing w:before="71"/>
              <w:ind w:left="248"/>
              <w:jc w:val="center"/>
              <w:rPr>
                <w:sz w:val="22"/>
              </w:rPr>
            </w:pPr>
            <w:r>
              <w:rPr>
                <w:spacing w:val="-2"/>
                <w:sz w:val="22"/>
              </w:rPr>
              <w:t>12.500±0.542</w:t>
            </w:r>
          </w:p>
        </w:tc>
        <w:tc>
          <w:tcPr>
            <w:tcW w:w="1546" w:type="dxa"/>
            <w:tcBorders>
              <w:bottom w:val="single" w:sz="4" w:space="0" w:color="000000"/>
            </w:tcBorders>
          </w:tcPr>
          <w:p>
            <w:pPr>
              <w:pStyle w:val="TableParagraph"/>
              <w:spacing w:before="71"/>
              <w:ind w:left="106" w:right="360"/>
              <w:jc w:val="center"/>
              <w:rPr>
                <w:sz w:val="22"/>
              </w:rPr>
            </w:pPr>
            <w:r>
              <w:rPr>
                <w:spacing w:val="-2"/>
                <w:sz w:val="22"/>
              </w:rPr>
              <w:t>0.000</w:t>
            </w:r>
          </w:p>
        </w:tc>
        <w:tc>
          <w:tcPr>
            <w:tcW w:w="1640" w:type="dxa"/>
            <w:tcBorders>
              <w:bottom w:val="single" w:sz="4" w:space="0" w:color="000000"/>
            </w:tcBorders>
          </w:tcPr>
          <w:p>
            <w:pPr>
              <w:pStyle w:val="TableParagraph"/>
              <w:spacing w:before="71"/>
              <w:ind w:left="594"/>
              <w:rPr>
                <w:sz w:val="22"/>
              </w:rPr>
            </w:pPr>
            <w:r>
              <w:rPr>
                <w:spacing w:val="-5"/>
                <w:sz w:val="22"/>
              </w:rPr>
              <w:t>SF</w:t>
            </w:r>
          </w:p>
        </w:tc>
      </w:tr>
      <w:tr>
        <w:trPr>
          <w:trHeight w:val="376" w:hRule="atLeast"/>
        </w:trPr>
        <w:tc>
          <w:tcPr>
            <w:tcW w:w="1481" w:type="dxa"/>
            <w:tcBorders>
              <w:top w:val="single" w:sz="4" w:space="0" w:color="000000"/>
            </w:tcBorders>
          </w:tcPr>
          <w:p>
            <w:pPr>
              <w:pStyle w:val="TableParagraph"/>
              <w:rPr>
                <w:rFonts w:ascii="Times New Roman"/>
                <w:sz w:val="22"/>
              </w:rPr>
            </w:pPr>
          </w:p>
        </w:tc>
        <w:tc>
          <w:tcPr>
            <w:tcW w:w="1902" w:type="dxa"/>
            <w:tcBorders>
              <w:top w:val="single" w:sz="4" w:space="0" w:color="000000"/>
            </w:tcBorders>
          </w:tcPr>
          <w:p>
            <w:pPr>
              <w:pStyle w:val="TableParagraph"/>
              <w:spacing w:line="265" w:lineRule="exact"/>
              <w:ind w:left="119"/>
              <w:rPr>
                <w:sz w:val="22"/>
              </w:rPr>
            </w:pPr>
            <w:r>
              <w:rPr>
                <w:spacing w:val="-5"/>
                <w:sz w:val="22"/>
              </w:rPr>
              <w:t>CRO</w:t>
            </w:r>
          </w:p>
        </w:tc>
        <w:tc>
          <w:tcPr>
            <w:tcW w:w="2256" w:type="dxa"/>
            <w:tcBorders>
              <w:top w:val="single" w:sz="4" w:space="0" w:color="000000"/>
            </w:tcBorders>
          </w:tcPr>
          <w:p>
            <w:pPr>
              <w:pStyle w:val="TableParagraph"/>
              <w:spacing w:line="265" w:lineRule="exact"/>
              <w:ind w:left="248"/>
              <w:jc w:val="center"/>
              <w:rPr>
                <w:sz w:val="22"/>
              </w:rPr>
            </w:pPr>
            <w:r>
              <w:rPr>
                <w:spacing w:val="-2"/>
                <w:sz w:val="22"/>
              </w:rPr>
              <w:t>20.000±1.129</w:t>
            </w:r>
          </w:p>
        </w:tc>
        <w:tc>
          <w:tcPr>
            <w:tcW w:w="1546" w:type="dxa"/>
            <w:tcBorders>
              <w:top w:val="single" w:sz="4" w:space="0" w:color="000000"/>
            </w:tcBorders>
          </w:tcPr>
          <w:p>
            <w:pPr>
              <w:pStyle w:val="TableParagraph"/>
              <w:spacing w:line="265" w:lineRule="exact"/>
              <w:ind w:left="106" w:right="360"/>
              <w:jc w:val="center"/>
              <w:rPr>
                <w:sz w:val="22"/>
              </w:rPr>
            </w:pPr>
            <w:r>
              <w:rPr>
                <w:spacing w:val="-2"/>
                <w:sz w:val="22"/>
              </w:rPr>
              <w:t>0.082</w:t>
            </w:r>
          </w:p>
        </w:tc>
        <w:tc>
          <w:tcPr>
            <w:tcW w:w="1640" w:type="dxa"/>
            <w:tcBorders>
              <w:top w:val="single" w:sz="4" w:space="0" w:color="000000"/>
            </w:tcBorders>
          </w:tcPr>
          <w:p>
            <w:pPr>
              <w:pStyle w:val="TableParagraph"/>
              <w:spacing w:line="265" w:lineRule="exact"/>
              <w:ind w:left="573"/>
              <w:rPr>
                <w:sz w:val="22"/>
              </w:rPr>
            </w:pPr>
            <w:r>
              <w:rPr>
                <w:spacing w:val="-5"/>
                <w:sz w:val="22"/>
              </w:rPr>
              <w:t>NS</w:t>
            </w:r>
          </w:p>
        </w:tc>
      </w:tr>
      <w:tr>
        <w:trPr>
          <w:trHeight w:val="337" w:hRule="atLeast"/>
        </w:trPr>
        <w:tc>
          <w:tcPr>
            <w:tcW w:w="1481" w:type="dxa"/>
          </w:tcPr>
          <w:p>
            <w:pPr>
              <w:pStyle w:val="TableParagraph"/>
              <w:rPr>
                <w:rFonts w:ascii="Times New Roman"/>
                <w:sz w:val="22"/>
              </w:rPr>
            </w:pPr>
          </w:p>
        </w:tc>
        <w:tc>
          <w:tcPr>
            <w:tcW w:w="1902" w:type="dxa"/>
          </w:tcPr>
          <w:p>
            <w:pPr>
              <w:pStyle w:val="TableParagraph"/>
              <w:spacing w:line="246" w:lineRule="exact" w:before="71"/>
              <w:ind w:left="119"/>
              <w:rPr>
                <w:sz w:val="22"/>
              </w:rPr>
            </w:pPr>
            <w:r>
              <w:rPr>
                <w:spacing w:val="-5"/>
                <w:sz w:val="22"/>
              </w:rPr>
              <w:t>CN</w:t>
            </w:r>
          </w:p>
        </w:tc>
        <w:tc>
          <w:tcPr>
            <w:tcW w:w="2256" w:type="dxa"/>
          </w:tcPr>
          <w:p>
            <w:pPr>
              <w:pStyle w:val="TableParagraph"/>
              <w:spacing w:line="246" w:lineRule="exact" w:before="71"/>
              <w:ind w:left="248"/>
              <w:jc w:val="center"/>
              <w:rPr>
                <w:sz w:val="22"/>
              </w:rPr>
            </w:pPr>
            <w:r>
              <w:rPr>
                <w:spacing w:val="-2"/>
                <w:sz w:val="22"/>
              </w:rPr>
              <w:t>21.571±1.073</w:t>
            </w:r>
          </w:p>
        </w:tc>
        <w:tc>
          <w:tcPr>
            <w:tcW w:w="1546" w:type="dxa"/>
          </w:tcPr>
          <w:p>
            <w:pPr>
              <w:pStyle w:val="TableParagraph"/>
              <w:spacing w:line="246" w:lineRule="exact" w:before="71"/>
              <w:ind w:left="106" w:right="360"/>
              <w:jc w:val="center"/>
              <w:rPr>
                <w:sz w:val="22"/>
              </w:rPr>
            </w:pPr>
            <w:r>
              <w:rPr>
                <w:spacing w:val="-2"/>
                <w:sz w:val="22"/>
              </w:rPr>
              <w:t>0.003</w:t>
            </w:r>
          </w:p>
        </w:tc>
        <w:tc>
          <w:tcPr>
            <w:tcW w:w="1640" w:type="dxa"/>
          </w:tcPr>
          <w:p>
            <w:pPr>
              <w:pStyle w:val="TableParagraph"/>
              <w:spacing w:line="246" w:lineRule="exact" w:before="71"/>
              <w:ind w:left="594"/>
              <w:rPr>
                <w:sz w:val="22"/>
              </w:rPr>
            </w:pPr>
            <w:r>
              <w:rPr>
                <w:spacing w:val="-5"/>
                <w:sz w:val="22"/>
              </w:rPr>
              <w:t>SF</w:t>
            </w:r>
          </w:p>
        </w:tc>
      </w:tr>
      <w:tr>
        <w:trPr>
          <w:trHeight w:val="224" w:hRule="atLeast"/>
        </w:trPr>
        <w:tc>
          <w:tcPr>
            <w:tcW w:w="1481" w:type="dxa"/>
          </w:tcPr>
          <w:p>
            <w:pPr>
              <w:pStyle w:val="TableParagraph"/>
              <w:spacing w:line="204" w:lineRule="exact"/>
              <w:ind w:left="108"/>
              <w:rPr>
                <w:sz w:val="22"/>
              </w:rPr>
            </w:pPr>
            <w:r>
              <w:rPr>
                <w:sz w:val="22"/>
              </w:rPr>
              <w:t>Honey</w:t>
            </w:r>
            <w:r>
              <w:rPr>
                <w:spacing w:val="-2"/>
                <w:sz w:val="22"/>
              </w:rPr>
              <w:t> (50%)</w:t>
            </w:r>
          </w:p>
        </w:tc>
        <w:tc>
          <w:tcPr>
            <w:tcW w:w="1902" w:type="dxa"/>
          </w:tcPr>
          <w:p>
            <w:pPr>
              <w:pStyle w:val="TableParagraph"/>
              <w:rPr>
                <w:rFonts w:ascii="Times New Roman"/>
                <w:sz w:val="16"/>
              </w:rPr>
            </w:pPr>
          </w:p>
        </w:tc>
        <w:tc>
          <w:tcPr>
            <w:tcW w:w="2256" w:type="dxa"/>
          </w:tcPr>
          <w:p>
            <w:pPr>
              <w:pStyle w:val="TableParagraph"/>
              <w:rPr>
                <w:rFonts w:ascii="Times New Roman"/>
                <w:sz w:val="16"/>
              </w:rPr>
            </w:pPr>
          </w:p>
        </w:tc>
        <w:tc>
          <w:tcPr>
            <w:tcW w:w="1546" w:type="dxa"/>
          </w:tcPr>
          <w:p>
            <w:pPr>
              <w:pStyle w:val="TableParagraph"/>
              <w:rPr>
                <w:rFonts w:ascii="Times New Roman"/>
                <w:sz w:val="16"/>
              </w:rPr>
            </w:pPr>
          </w:p>
        </w:tc>
        <w:tc>
          <w:tcPr>
            <w:tcW w:w="1640" w:type="dxa"/>
          </w:tcPr>
          <w:p>
            <w:pPr>
              <w:pStyle w:val="TableParagraph"/>
              <w:rPr>
                <w:rFonts w:ascii="Times New Roman"/>
                <w:sz w:val="16"/>
              </w:rPr>
            </w:pPr>
          </w:p>
        </w:tc>
      </w:tr>
      <w:tr>
        <w:trPr>
          <w:trHeight w:val="338" w:hRule="atLeast"/>
        </w:trPr>
        <w:tc>
          <w:tcPr>
            <w:tcW w:w="1481" w:type="dxa"/>
          </w:tcPr>
          <w:p>
            <w:pPr>
              <w:pStyle w:val="TableParagraph"/>
              <w:rPr>
                <w:rFonts w:ascii="Times New Roman"/>
                <w:sz w:val="22"/>
              </w:rPr>
            </w:pPr>
          </w:p>
        </w:tc>
        <w:tc>
          <w:tcPr>
            <w:tcW w:w="1902" w:type="dxa"/>
          </w:tcPr>
          <w:p>
            <w:pPr>
              <w:pStyle w:val="TableParagraph"/>
              <w:spacing w:line="227" w:lineRule="exact"/>
              <w:ind w:left="119"/>
              <w:rPr>
                <w:sz w:val="22"/>
              </w:rPr>
            </w:pPr>
            <w:r>
              <w:rPr>
                <w:spacing w:val="-5"/>
                <w:sz w:val="22"/>
              </w:rPr>
              <w:t>AMC</w:t>
            </w:r>
          </w:p>
        </w:tc>
        <w:tc>
          <w:tcPr>
            <w:tcW w:w="2256" w:type="dxa"/>
          </w:tcPr>
          <w:p>
            <w:pPr>
              <w:pStyle w:val="TableParagraph"/>
              <w:spacing w:line="227" w:lineRule="exact"/>
              <w:ind w:left="248"/>
              <w:jc w:val="center"/>
              <w:rPr>
                <w:sz w:val="22"/>
              </w:rPr>
            </w:pPr>
            <w:r>
              <w:rPr>
                <w:spacing w:val="-2"/>
                <w:sz w:val="22"/>
              </w:rPr>
              <w:t>20.286±1.669</w:t>
            </w:r>
          </w:p>
        </w:tc>
        <w:tc>
          <w:tcPr>
            <w:tcW w:w="1546" w:type="dxa"/>
          </w:tcPr>
          <w:p>
            <w:pPr>
              <w:pStyle w:val="TableParagraph"/>
              <w:spacing w:line="227" w:lineRule="exact"/>
              <w:ind w:left="106" w:right="360"/>
              <w:jc w:val="center"/>
              <w:rPr>
                <w:sz w:val="22"/>
              </w:rPr>
            </w:pPr>
            <w:r>
              <w:rPr>
                <w:spacing w:val="-2"/>
                <w:sz w:val="22"/>
              </w:rPr>
              <w:t>0.050</w:t>
            </w:r>
          </w:p>
        </w:tc>
        <w:tc>
          <w:tcPr>
            <w:tcW w:w="1640" w:type="dxa"/>
          </w:tcPr>
          <w:p>
            <w:pPr>
              <w:pStyle w:val="TableParagraph"/>
              <w:spacing w:line="227" w:lineRule="exact"/>
              <w:ind w:left="594"/>
              <w:rPr>
                <w:sz w:val="22"/>
              </w:rPr>
            </w:pPr>
            <w:r>
              <w:rPr>
                <w:spacing w:val="-5"/>
                <w:sz w:val="22"/>
              </w:rPr>
              <w:t>SF</w:t>
            </w:r>
          </w:p>
        </w:tc>
      </w:tr>
      <w:tr>
        <w:trPr>
          <w:trHeight w:val="336" w:hRule="atLeast"/>
        </w:trPr>
        <w:tc>
          <w:tcPr>
            <w:tcW w:w="1481" w:type="dxa"/>
          </w:tcPr>
          <w:p>
            <w:pPr>
              <w:pStyle w:val="TableParagraph"/>
              <w:rPr>
                <w:rFonts w:ascii="Times New Roman"/>
                <w:sz w:val="22"/>
              </w:rPr>
            </w:pPr>
          </w:p>
        </w:tc>
        <w:tc>
          <w:tcPr>
            <w:tcW w:w="1902" w:type="dxa"/>
          </w:tcPr>
          <w:p>
            <w:pPr>
              <w:pStyle w:val="TableParagraph"/>
              <w:spacing w:line="245" w:lineRule="exact" w:before="71"/>
              <w:ind w:left="119"/>
              <w:rPr>
                <w:sz w:val="22"/>
              </w:rPr>
            </w:pPr>
            <w:r>
              <w:rPr>
                <w:spacing w:val="-5"/>
                <w:sz w:val="22"/>
              </w:rPr>
              <w:t>LEV</w:t>
            </w:r>
          </w:p>
        </w:tc>
        <w:tc>
          <w:tcPr>
            <w:tcW w:w="2256" w:type="dxa"/>
          </w:tcPr>
          <w:p>
            <w:pPr>
              <w:pStyle w:val="TableParagraph"/>
              <w:spacing w:line="245" w:lineRule="exact" w:before="71"/>
              <w:ind w:left="248"/>
              <w:jc w:val="center"/>
              <w:rPr>
                <w:sz w:val="22"/>
              </w:rPr>
            </w:pPr>
            <w:r>
              <w:rPr>
                <w:spacing w:val="-2"/>
                <w:sz w:val="22"/>
              </w:rPr>
              <w:t>25.857±1.148</w:t>
            </w:r>
          </w:p>
        </w:tc>
        <w:tc>
          <w:tcPr>
            <w:tcW w:w="1546" w:type="dxa"/>
          </w:tcPr>
          <w:p>
            <w:pPr>
              <w:pStyle w:val="TableParagraph"/>
              <w:spacing w:line="245" w:lineRule="exact" w:before="71"/>
              <w:ind w:left="106" w:right="360"/>
              <w:jc w:val="center"/>
              <w:rPr>
                <w:sz w:val="22"/>
              </w:rPr>
            </w:pPr>
            <w:r>
              <w:rPr>
                <w:spacing w:val="-2"/>
                <w:sz w:val="22"/>
              </w:rPr>
              <w:t>0.000</w:t>
            </w:r>
          </w:p>
        </w:tc>
        <w:tc>
          <w:tcPr>
            <w:tcW w:w="1640" w:type="dxa"/>
          </w:tcPr>
          <w:p>
            <w:pPr>
              <w:pStyle w:val="TableParagraph"/>
              <w:spacing w:line="245" w:lineRule="exact" w:before="71"/>
              <w:ind w:left="594"/>
              <w:rPr>
                <w:sz w:val="22"/>
              </w:rPr>
            </w:pPr>
            <w:r>
              <w:rPr>
                <w:spacing w:val="-5"/>
                <w:sz w:val="22"/>
              </w:rPr>
              <w:t>SF</w:t>
            </w:r>
          </w:p>
        </w:tc>
      </w:tr>
    </w:tbl>
    <w:p>
      <w:pPr>
        <w:spacing w:after="0" w:line="245" w:lineRule="exact"/>
        <w:rPr>
          <w:sz w:val="22"/>
        </w:rPr>
        <w:sectPr>
          <w:pgSz w:w="11910" w:h="16840"/>
          <w:pgMar w:header="0" w:footer="1055" w:top="1920" w:bottom="1626" w:left="1060" w:right="460"/>
        </w:sect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6"/>
        <w:gridCol w:w="2012"/>
        <w:gridCol w:w="2200"/>
        <w:gridCol w:w="1506"/>
        <w:gridCol w:w="1679"/>
      </w:tblGrid>
      <w:tr>
        <w:trPr>
          <w:trHeight w:val="335" w:hRule="atLeast"/>
        </w:trPr>
        <w:tc>
          <w:tcPr>
            <w:tcW w:w="1426" w:type="dxa"/>
          </w:tcPr>
          <w:p>
            <w:pPr>
              <w:pStyle w:val="TableParagraph"/>
              <w:rPr>
                <w:rFonts w:ascii="Times New Roman"/>
                <w:sz w:val="22"/>
              </w:rPr>
            </w:pPr>
          </w:p>
        </w:tc>
        <w:tc>
          <w:tcPr>
            <w:tcW w:w="2012" w:type="dxa"/>
          </w:tcPr>
          <w:p>
            <w:pPr>
              <w:pStyle w:val="TableParagraph"/>
              <w:spacing w:line="225" w:lineRule="exact"/>
              <w:ind w:left="174"/>
              <w:rPr>
                <w:sz w:val="22"/>
              </w:rPr>
            </w:pPr>
            <w:r>
              <w:rPr>
                <w:spacing w:val="-5"/>
                <w:sz w:val="22"/>
              </w:rPr>
              <w:t>AZM</w:t>
            </w:r>
          </w:p>
        </w:tc>
        <w:tc>
          <w:tcPr>
            <w:tcW w:w="2200" w:type="dxa"/>
          </w:tcPr>
          <w:p>
            <w:pPr>
              <w:pStyle w:val="TableParagraph"/>
              <w:spacing w:line="225" w:lineRule="exact"/>
              <w:ind w:right="388"/>
              <w:jc w:val="right"/>
              <w:rPr>
                <w:sz w:val="22"/>
              </w:rPr>
            </w:pPr>
            <w:r>
              <w:rPr>
                <w:spacing w:val="-2"/>
                <w:sz w:val="22"/>
              </w:rPr>
              <w:t>19.643±1.243</w:t>
            </w:r>
          </w:p>
        </w:tc>
        <w:tc>
          <w:tcPr>
            <w:tcW w:w="1506" w:type="dxa"/>
          </w:tcPr>
          <w:p>
            <w:pPr>
              <w:pStyle w:val="TableParagraph"/>
              <w:spacing w:line="225" w:lineRule="exact"/>
              <w:ind w:left="394"/>
              <w:rPr>
                <w:sz w:val="22"/>
              </w:rPr>
            </w:pPr>
            <w:r>
              <w:rPr>
                <w:spacing w:val="-2"/>
                <w:sz w:val="22"/>
              </w:rPr>
              <w:t>0.147</w:t>
            </w:r>
          </w:p>
        </w:tc>
        <w:tc>
          <w:tcPr>
            <w:tcW w:w="1679" w:type="dxa"/>
          </w:tcPr>
          <w:p>
            <w:pPr>
              <w:pStyle w:val="TableParagraph"/>
              <w:spacing w:line="225" w:lineRule="exact"/>
              <w:ind w:left="614"/>
              <w:rPr>
                <w:sz w:val="22"/>
              </w:rPr>
            </w:pPr>
            <w:r>
              <w:rPr>
                <w:spacing w:val="-5"/>
                <w:sz w:val="22"/>
              </w:rPr>
              <w:t>NS</w:t>
            </w:r>
          </w:p>
        </w:tc>
      </w:tr>
      <w:tr>
        <w:trPr>
          <w:trHeight w:val="450" w:hRule="atLeast"/>
        </w:trPr>
        <w:tc>
          <w:tcPr>
            <w:tcW w:w="1426" w:type="dxa"/>
          </w:tcPr>
          <w:p>
            <w:pPr>
              <w:pStyle w:val="TableParagraph"/>
              <w:rPr>
                <w:rFonts w:ascii="Times New Roman"/>
                <w:sz w:val="22"/>
              </w:rPr>
            </w:pPr>
          </w:p>
        </w:tc>
        <w:tc>
          <w:tcPr>
            <w:tcW w:w="2012" w:type="dxa"/>
          </w:tcPr>
          <w:p>
            <w:pPr>
              <w:pStyle w:val="TableParagraph"/>
              <w:spacing w:before="70"/>
              <w:ind w:left="174"/>
              <w:rPr>
                <w:sz w:val="22"/>
              </w:rPr>
            </w:pPr>
            <w:r>
              <w:rPr>
                <w:sz w:val="22"/>
              </w:rPr>
              <w:t>Honey</w:t>
            </w:r>
            <w:r>
              <w:rPr>
                <w:spacing w:val="-4"/>
                <w:sz w:val="22"/>
              </w:rPr>
              <w:t> </w:t>
            </w:r>
            <w:r>
              <w:rPr>
                <w:spacing w:val="-2"/>
                <w:sz w:val="22"/>
              </w:rPr>
              <w:t>(100%)</w:t>
            </w:r>
          </w:p>
        </w:tc>
        <w:tc>
          <w:tcPr>
            <w:tcW w:w="2200" w:type="dxa"/>
          </w:tcPr>
          <w:p>
            <w:pPr>
              <w:pStyle w:val="TableParagraph"/>
              <w:spacing w:before="70"/>
              <w:ind w:right="388"/>
              <w:jc w:val="right"/>
              <w:rPr>
                <w:sz w:val="22"/>
              </w:rPr>
            </w:pPr>
            <w:r>
              <w:rPr>
                <w:spacing w:val="-2"/>
                <w:sz w:val="22"/>
              </w:rPr>
              <w:t>19.429±0.402</w:t>
            </w:r>
          </w:p>
        </w:tc>
        <w:tc>
          <w:tcPr>
            <w:tcW w:w="1506" w:type="dxa"/>
          </w:tcPr>
          <w:p>
            <w:pPr>
              <w:pStyle w:val="TableParagraph"/>
              <w:spacing w:before="70"/>
              <w:ind w:left="394"/>
              <w:rPr>
                <w:sz w:val="22"/>
              </w:rPr>
            </w:pPr>
            <w:r>
              <w:rPr>
                <w:spacing w:val="-2"/>
                <w:sz w:val="22"/>
              </w:rPr>
              <w:t>0.201</w:t>
            </w:r>
          </w:p>
        </w:tc>
        <w:tc>
          <w:tcPr>
            <w:tcW w:w="1679" w:type="dxa"/>
          </w:tcPr>
          <w:p>
            <w:pPr>
              <w:pStyle w:val="TableParagraph"/>
              <w:spacing w:before="70"/>
              <w:ind w:left="614"/>
              <w:rPr>
                <w:sz w:val="22"/>
              </w:rPr>
            </w:pPr>
            <w:r>
              <w:rPr>
                <w:spacing w:val="-5"/>
                <w:sz w:val="22"/>
              </w:rPr>
              <w:t>NS</w:t>
            </w:r>
          </w:p>
        </w:tc>
      </w:tr>
      <w:tr>
        <w:trPr>
          <w:trHeight w:val="522" w:hRule="atLeast"/>
        </w:trPr>
        <w:tc>
          <w:tcPr>
            <w:tcW w:w="1426" w:type="dxa"/>
            <w:tcBorders>
              <w:bottom w:val="single" w:sz="4" w:space="0" w:color="000000"/>
            </w:tcBorders>
          </w:tcPr>
          <w:p>
            <w:pPr>
              <w:pStyle w:val="TableParagraph"/>
              <w:rPr>
                <w:rFonts w:ascii="Times New Roman"/>
                <w:sz w:val="22"/>
              </w:rPr>
            </w:pPr>
          </w:p>
        </w:tc>
        <w:tc>
          <w:tcPr>
            <w:tcW w:w="2012" w:type="dxa"/>
            <w:tcBorders>
              <w:bottom w:val="single" w:sz="4" w:space="0" w:color="000000"/>
            </w:tcBorders>
          </w:tcPr>
          <w:p>
            <w:pPr>
              <w:pStyle w:val="TableParagraph"/>
              <w:spacing w:before="71"/>
              <w:ind w:left="174"/>
              <w:rPr>
                <w:sz w:val="22"/>
              </w:rPr>
            </w:pPr>
            <w:r>
              <w:rPr>
                <w:sz w:val="22"/>
              </w:rPr>
              <w:t>Honey</w:t>
            </w:r>
            <w:r>
              <w:rPr>
                <w:spacing w:val="-2"/>
                <w:sz w:val="22"/>
              </w:rPr>
              <w:t> (25%)</w:t>
            </w:r>
          </w:p>
        </w:tc>
        <w:tc>
          <w:tcPr>
            <w:tcW w:w="2200" w:type="dxa"/>
            <w:tcBorders>
              <w:bottom w:val="single" w:sz="4" w:space="0" w:color="000000"/>
            </w:tcBorders>
          </w:tcPr>
          <w:p>
            <w:pPr>
              <w:pStyle w:val="TableParagraph"/>
              <w:spacing w:before="71"/>
              <w:ind w:right="388"/>
              <w:jc w:val="right"/>
              <w:rPr>
                <w:sz w:val="22"/>
              </w:rPr>
            </w:pPr>
            <w:r>
              <w:rPr>
                <w:spacing w:val="-2"/>
                <w:sz w:val="22"/>
              </w:rPr>
              <w:t>12.500±0.542</w:t>
            </w:r>
          </w:p>
        </w:tc>
        <w:tc>
          <w:tcPr>
            <w:tcW w:w="1506" w:type="dxa"/>
            <w:tcBorders>
              <w:bottom w:val="single" w:sz="4" w:space="0" w:color="000000"/>
            </w:tcBorders>
          </w:tcPr>
          <w:p>
            <w:pPr>
              <w:pStyle w:val="TableParagraph"/>
              <w:spacing w:before="71"/>
              <w:ind w:left="394"/>
              <w:rPr>
                <w:sz w:val="22"/>
              </w:rPr>
            </w:pPr>
            <w:r>
              <w:rPr>
                <w:spacing w:val="-2"/>
                <w:sz w:val="22"/>
              </w:rPr>
              <w:t>0.374</w:t>
            </w:r>
          </w:p>
        </w:tc>
        <w:tc>
          <w:tcPr>
            <w:tcW w:w="1679" w:type="dxa"/>
            <w:tcBorders>
              <w:bottom w:val="single" w:sz="4" w:space="0" w:color="000000"/>
            </w:tcBorders>
          </w:tcPr>
          <w:p>
            <w:pPr>
              <w:pStyle w:val="TableParagraph"/>
              <w:spacing w:before="71"/>
              <w:ind w:left="614"/>
              <w:rPr>
                <w:sz w:val="22"/>
              </w:rPr>
            </w:pPr>
            <w:r>
              <w:rPr>
                <w:spacing w:val="-5"/>
                <w:sz w:val="22"/>
              </w:rPr>
              <w:t>NS</w:t>
            </w:r>
          </w:p>
        </w:tc>
      </w:tr>
      <w:tr>
        <w:trPr>
          <w:trHeight w:val="376" w:hRule="atLeast"/>
        </w:trPr>
        <w:tc>
          <w:tcPr>
            <w:tcW w:w="1426" w:type="dxa"/>
            <w:tcBorders>
              <w:top w:val="single" w:sz="4" w:space="0" w:color="000000"/>
            </w:tcBorders>
          </w:tcPr>
          <w:p>
            <w:pPr>
              <w:pStyle w:val="TableParagraph"/>
              <w:rPr>
                <w:rFonts w:ascii="Times New Roman"/>
                <w:sz w:val="22"/>
              </w:rPr>
            </w:pPr>
          </w:p>
        </w:tc>
        <w:tc>
          <w:tcPr>
            <w:tcW w:w="2012" w:type="dxa"/>
            <w:tcBorders>
              <w:top w:val="single" w:sz="4" w:space="0" w:color="000000"/>
            </w:tcBorders>
          </w:tcPr>
          <w:p>
            <w:pPr>
              <w:pStyle w:val="TableParagraph"/>
              <w:spacing w:line="265" w:lineRule="exact"/>
              <w:ind w:left="174"/>
              <w:rPr>
                <w:sz w:val="22"/>
              </w:rPr>
            </w:pPr>
            <w:r>
              <w:rPr>
                <w:spacing w:val="-5"/>
                <w:sz w:val="22"/>
              </w:rPr>
              <w:t>CRO</w:t>
            </w:r>
          </w:p>
        </w:tc>
        <w:tc>
          <w:tcPr>
            <w:tcW w:w="2200" w:type="dxa"/>
            <w:tcBorders>
              <w:top w:val="single" w:sz="4" w:space="0" w:color="000000"/>
            </w:tcBorders>
          </w:tcPr>
          <w:p>
            <w:pPr>
              <w:pStyle w:val="TableParagraph"/>
              <w:spacing w:line="265" w:lineRule="exact"/>
              <w:ind w:right="388"/>
              <w:jc w:val="right"/>
              <w:rPr>
                <w:sz w:val="22"/>
              </w:rPr>
            </w:pPr>
            <w:r>
              <w:rPr>
                <w:spacing w:val="-2"/>
                <w:sz w:val="22"/>
              </w:rPr>
              <w:t>20.000±1.129</w:t>
            </w:r>
          </w:p>
        </w:tc>
        <w:tc>
          <w:tcPr>
            <w:tcW w:w="1506" w:type="dxa"/>
            <w:tcBorders>
              <w:top w:val="single" w:sz="4" w:space="0" w:color="000000"/>
            </w:tcBorders>
          </w:tcPr>
          <w:p>
            <w:pPr>
              <w:pStyle w:val="TableParagraph"/>
              <w:spacing w:line="265" w:lineRule="exact"/>
              <w:ind w:left="394"/>
              <w:rPr>
                <w:sz w:val="22"/>
              </w:rPr>
            </w:pPr>
            <w:r>
              <w:rPr>
                <w:spacing w:val="-2"/>
                <w:sz w:val="22"/>
              </w:rPr>
              <w:t>0.000</w:t>
            </w:r>
          </w:p>
        </w:tc>
        <w:tc>
          <w:tcPr>
            <w:tcW w:w="1679" w:type="dxa"/>
            <w:tcBorders>
              <w:top w:val="single" w:sz="4" w:space="0" w:color="000000"/>
            </w:tcBorders>
          </w:tcPr>
          <w:p>
            <w:pPr>
              <w:pStyle w:val="TableParagraph"/>
              <w:spacing w:line="265" w:lineRule="exact"/>
              <w:ind w:left="635"/>
              <w:rPr>
                <w:sz w:val="22"/>
              </w:rPr>
            </w:pPr>
            <w:r>
              <w:rPr>
                <w:spacing w:val="-5"/>
                <w:sz w:val="22"/>
              </w:rPr>
              <w:t>SF</w:t>
            </w:r>
          </w:p>
        </w:tc>
      </w:tr>
      <w:tr>
        <w:trPr>
          <w:trHeight w:val="450" w:hRule="atLeast"/>
        </w:trPr>
        <w:tc>
          <w:tcPr>
            <w:tcW w:w="1426" w:type="dxa"/>
          </w:tcPr>
          <w:p>
            <w:pPr>
              <w:pStyle w:val="TableParagraph"/>
              <w:rPr>
                <w:rFonts w:ascii="Times New Roman"/>
                <w:sz w:val="22"/>
              </w:rPr>
            </w:pPr>
          </w:p>
        </w:tc>
        <w:tc>
          <w:tcPr>
            <w:tcW w:w="2012" w:type="dxa"/>
          </w:tcPr>
          <w:p>
            <w:pPr>
              <w:pStyle w:val="TableParagraph"/>
              <w:spacing w:before="71"/>
              <w:ind w:left="174"/>
              <w:rPr>
                <w:sz w:val="22"/>
              </w:rPr>
            </w:pPr>
            <w:r>
              <w:rPr>
                <w:spacing w:val="-5"/>
                <w:sz w:val="22"/>
              </w:rPr>
              <w:t>CN</w:t>
            </w:r>
          </w:p>
        </w:tc>
        <w:tc>
          <w:tcPr>
            <w:tcW w:w="2200" w:type="dxa"/>
          </w:tcPr>
          <w:p>
            <w:pPr>
              <w:pStyle w:val="TableParagraph"/>
              <w:spacing w:before="71"/>
              <w:ind w:right="388"/>
              <w:jc w:val="right"/>
              <w:rPr>
                <w:sz w:val="22"/>
              </w:rPr>
            </w:pPr>
            <w:r>
              <w:rPr>
                <w:spacing w:val="-2"/>
                <w:sz w:val="22"/>
              </w:rPr>
              <w:t>21.571±1.073</w:t>
            </w:r>
          </w:p>
        </w:tc>
        <w:tc>
          <w:tcPr>
            <w:tcW w:w="1506" w:type="dxa"/>
          </w:tcPr>
          <w:p>
            <w:pPr>
              <w:pStyle w:val="TableParagraph"/>
              <w:spacing w:before="71"/>
              <w:ind w:left="394"/>
              <w:rPr>
                <w:sz w:val="22"/>
              </w:rPr>
            </w:pPr>
            <w:r>
              <w:rPr>
                <w:spacing w:val="-2"/>
                <w:sz w:val="22"/>
              </w:rPr>
              <w:t>0.000</w:t>
            </w:r>
          </w:p>
        </w:tc>
        <w:tc>
          <w:tcPr>
            <w:tcW w:w="1679" w:type="dxa"/>
          </w:tcPr>
          <w:p>
            <w:pPr>
              <w:pStyle w:val="TableParagraph"/>
              <w:spacing w:before="71"/>
              <w:ind w:left="635"/>
              <w:rPr>
                <w:sz w:val="22"/>
              </w:rPr>
            </w:pPr>
            <w:r>
              <w:rPr>
                <w:spacing w:val="-5"/>
                <w:sz w:val="22"/>
              </w:rPr>
              <w:t>SF</w:t>
            </w:r>
          </w:p>
        </w:tc>
      </w:tr>
      <w:tr>
        <w:trPr>
          <w:trHeight w:val="450" w:hRule="atLeast"/>
        </w:trPr>
        <w:tc>
          <w:tcPr>
            <w:tcW w:w="1426" w:type="dxa"/>
          </w:tcPr>
          <w:p>
            <w:pPr>
              <w:pStyle w:val="TableParagraph"/>
              <w:rPr>
                <w:rFonts w:ascii="Times New Roman"/>
                <w:sz w:val="22"/>
              </w:rPr>
            </w:pPr>
          </w:p>
        </w:tc>
        <w:tc>
          <w:tcPr>
            <w:tcW w:w="2012" w:type="dxa"/>
          </w:tcPr>
          <w:p>
            <w:pPr>
              <w:pStyle w:val="TableParagraph"/>
              <w:spacing w:before="70"/>
              <w:ind w:left="174"/>
              <w:rPr>
                <w:sz w:val="22"/>
              </w:rPr>
            </w:pPr>
            <w:r>
              <w:rPr>
                <w:spacing w:val="-5"/>
                <w:sz w:val="22"/>
              </w:rPr>
              <w:t>AMC</w:t>
            </w:r>
          </w:p>
        </w:tc>
        <w:tc>
          <w:tcPr>
            <w:tcW w:w="2200" w:type="dxa"/>
          </w:tcPr>
          <w:p>
            <w:pPr>
              <w:pStyle w:val="TableParagraph"/>
              <w:spacing w:before="70"/>
              <w:ind w:right="388"/>
              <w:jc w:val="right"/>
              <w:rPr>
                <w:sz w:val="22"/>
              </w:rPr>
            </w:pPr>
            <w:r>
              <w:rPr>
                <w:spacing w:val="-2"/>
                <w:sz w:val="22"/>
              </w:rPr>
              <w:t>20.286±1.669</w:t>
            </w:r>
          </w:p>
        </w:tc>
        <w:tc>
          <w:tcPr>
            <w:tcW w:w="1506" w:type="dxa"/>
          </w:tcPr>
          <w:p>
            <w:pPr>
              <w:pStyle w:val="TableParagraph"/>
              <w:spacing w:before="70"/>
              <w:ind w:left="394"/>
              <w:rPr>
                <w:sz w:val="22"/>
              </w:rPr>
            </w:pPr>
            <w:r>
              <w:rPr>
                <w:spacing w:val="-2"/>
                <w:sz w:val="22"/>
              </w:rPr>
              <w:t>0.000</w:t>
            </w:r>
          </w:p>
        </w:tc>
        <w:tc>
          <w:tcPr>
            <w:tcW w:w="1679" w:type="dxa"/>
          </w:tcPr>
          <w:p>
            <w:pPr>
              <w:pStyle w:val="TableParagraph"/>
              <w:spacing w:before="70"/>
              <w:ind w:left="635"/>
              <w:rPr>
                <w:sz w:val="22"/>
              </w:rPr>
            </w:pPr>
            <w:r>
              <w:rPr>
                <w:spacing w:val="-5"/>
                <w:sz w:val="22"/>
              </w:rPr>
              <w:t>SF</w:t>
            </w:r>
          </w:p>
        </w:tc>
      </w:tr>
      <w:tr>
        <w:trPr>
          <w:trHeight w:val="450" w:hRule="atLeast"/>
        </w:trPr>
        <w:tc>
          <w:tcPr>
            <w:tcW w:w="1426" w:type="dxa"/>
          </w:tcPr>
          <w:p>
            <w:pPr>
              <w:pStyle w:val="TableParagraph"/>
              <w:spacing w:before="71"/>
              <w:ind w:left="108"/>
              <w:rPr>
                <w:sz w:val="22"/>
              </w:rPr>
            </w:pPr>
            <w:r>
              <w:rPr>
                <w:sz w:val="22"/>
              </w:rPr>
              <w:t>Honey</w:t>
            </w:r>
            <w:r>
              <w:rPr>
                <w:spacing w:val="-2"/>
                <w:sz w:val="22"/>
              </w:rPr>
              <w:t> (25%)</w:t>
            </w:r>
          </w:p>
        </w:tc>
        <w:tc>
          <w:tcPr>
            <w:tcW w:w="2012" w:type="dxa"/>
          </w:tcPr>
          <w:p>
            <w:pPr>
              <w:pStyle w:val="TableParagraph"/>
              <w:spacing w:before="71"/>
              <w:ind w:left="174"/>
              <w:rPr>
                <w:sz w:val="22"/>
              </w:rPr>
            </w:pPr>
            <w:r>
              <w:rPr>
                <w:spacing w:val="-5"/>
                <w:sz w:val="22"/>
              </w:rPr>
              <w:t>LEV</w:t>
            </w:r>
          </w:p>
        </w:tc>
        <w:tc>
          <w:tcPr>
            <w:tcW w:w="2200" w:type="dxa"/>
          </w:tcPr>
          <w:p>
            <w:pPr>
              <w:pStyle w:val="TableParagraph"/>
              <w:spacing w:before="71"/>
              <w:ind w:right="388"/>
              <w:jc w:val="right"/>
              <w:rPr>
                <w:sz w:val="22"/>
              </w:rPr>
            </w:pPr>
            <w:r>
              <w:rPr>
                <w:spacing w:val="-2"/>
                <w:sz w:val="22"/>
              </w:rPr>
              <w:t>25.857±1.148</w:t>
            </w:r>
          </w:p>
        </w:tc>
        <w:tc>
          <w:tcPr>
            <w:tcW w:w="1506" w:type="dxa"/>
          </w:tcPr>
          <w:p>
            <w:pPr>
              <w:pStyle w:val="TableParagraph"/>
              <w:spacing w:before="71"/>
              <w:ind w:left="394"/>
              <w:rPr>
                <w:sz w:val="22"/>
              </w:rPr>
            </w:pPr>
            <w:r>
              <w:rPr>
                <w:spacing w:val="-2"/>
                <w:sz w:val="22"/>
              </w:rPr>
              <w:t>0.000</w:t>
            </w:r>
          </w:p>
        </w:tc>
        <w:tc>
          <w:tcPr>
            <w:tcW w:w="1679" w:type="dxa"/>
          </w:tcPr>
          <w:p>
            <w:pPr>
              <w:pStyle w:val="TableParagraph"/>
              <w:spacing w:before="71"/>
              <w:ind w:left="635"/>
              <w:rPr>
                <w:sz w:val="22"/>
              </w:rPr>
            </w:pPr>
            <w:r>
              <w:rPr>
                <w:spacing w:val="-5"/>
                <w:sz w:val="22"/>
              </w:rPr>
              <w:t>SF</w:t>
            </w:r>
          </w:p>
        </w:tc>
      </w:tr>
      <w:tr>
        <w:trPr>
          <w:trHeight w:val="450" w:hRule="atLeast"/>
        </w:trPr>
        <w:tc>
          <w:tcPr>
            <w:tcW w:w="1426" w:type="dxa"/>
          </w:tcPr>
          <w:p>
            <w:pPr>
              <w:pStyle w:val="TableParagraph"/>
              <w:rPr>
                <w:rFonts w:ascii="Times New Roman"/>
                <w:sz w:val="22"/>
              </w:rPr>
            </w:pPr>
          </w:p>
        </w:tc>
        <w:tc>
          <w:tcPr>
            <w:tcW w:w="2012" w:type="dxa"/>
          </w:tcPr>
          <w:p>
            <w:pPr>
              <w:pStyle w:val="TableParagraph"/>
              <w:spacing w:before="70"/>
              <w:ind w:left="174"/>
              <w:rPr>
                <w:sz w:val="22"/>
              </w:rPr>
            </w:pPr>
            <w:r>
              <w:rPr>
                <w:spacing w:val="-5"/>
                <w:sz w:val="22"/>
              </w:rPr>
              <w:t>AZM</w:t>
            </w:r>
          </w:p>
        </w:tc>
        <w:tc>
          <w:tcPr>
            <w:tcW w:w="2200" w:type="dxa"/>
          </w:tcPr>
          <w:p>
            <w:pPr>
              <w:pStyle w:val="TableParagraph"/>
              <w:spacing w:before="70"/>
              <w:ind w:right="388"/>
              <w:jc w:val="right"/>
              <w:rPr>
                <w:sz w:val="22"/>
              </w:rPr>
            </w:pPr>
            <w:r>
              <w:rPr>
                <w:spacing w:val="-2"/>
                <w:sz w:val="22"/>
              </w:rPr>
              <w:t>19.643±1.243</w:t>
            </w:r>
          </w:p>
        </w:tc>
        <w:tc>
          <w:tcPr>
            <w:tcW w:w="1506" w:type="dxa"/>
          </w:tcPr>
          <w:p>
            <w:pPr>
              <w:pStyle w:val="TableParagraph"/>
              <w:spacing w:before="70"/>
              <w:ind w:left="394"/>
              <w:rPr>
                <w:sz w:val="22"/>
              </w:rPr>
            </w:pPr>
            <w:r>
              <w:rPr>
                <w:spacing w:val="-2"/>
                <w:sz w:val="22"/>
              </w:rPr>
              <w:t>0.000</w:t>
            </w:r>
          </w:p>
        </w:tc>
        <w:tc>
          <w:tcPr>
            <w:tcW w:w="1679" w:type="dxa"/>
          </w:tcPr>
          <w:p>
            <w:pPr>
              <w:pStyle w:val="TableParagraph"/>
              <w:spacing w:before="70"/>
              <w:ind w:left="635"/>
              <w:rPr>
                <w:sz w:val="22"/>
              </w:rPr>
            </w:pPr>
            <w:r>
              <w:rPr>
                <w:spacing w:val="-5"/>
                <w:sz w:val="22"/>
              </w:rPr>
              <w:t>SF</w:t>
            </w:r>
          </w:p>
        </w:tc>
      </w:tr>
      <w:tr>
        <w:trPr>
          <w:trHeight w:val="450" w:hRule="atLeast"/>
        </w:trPr>
        <w:tc>
          <w:tcPr>
            <w:tcW w:w="1426" w:type="dxa"/>
          </w:tcPr>
          <w:p>
            <w:pPr>
              <w:pStyle w:val="TableParagraph"/>
              <w:rPr>
                <w:rFonts w:ascii="Times New Roman"/>
                <w:sz w:val="22"/>
              </w:rPr>
            </w:pPr>
          </w:p>
        </w:tc>
        <w:tc>
          <w:tcPr>
            <w:tcW w:w="2012" w:type="dxa"/>
          </w:tcPr>
          <w:p>
            <w:pPr>
              <w:pStyle w:val="TableParagraph"/>
              <w:spacing w:before="71"/>
              <w:ind w:left="174"/>
              <w:rPr>
                <w:sz w:val="22"/>
              </w:rPr>
            </w:pPr>
            <w:r>
              <w:rPr>
                <w:sz w:val="22"/>
              </w:rPr>
              <w:t>Honey</w:t>
            </w:r>
            <w:r>
              <w:rPr>
                <w:spacing w:val="-4"/>
                <w:sz w:val="22"/>
              </w:rPr>
              <w:t> </w:t>
            </w:r>
            <w:r>
              <w:rPr>
                <w:spacing w:val="-2"/>
                <w:sz w:val="22"/>
              </w:rPr>
              <w:t>(100%)</w:t>
            </w:r>
          </w:p>
        </w:tc>
        <w:tc>
          <w:tcPr>
            <w:tcW w:w="2200" w:type="dxa"/>
          </w:tcPr>
          <w:p>
            <w:pPr>
              <w:pStyle w:val="TableParagraph"/>
              <w:spacing w:before="71"/>
              <w:ind w:right="388"/>
              <w:jc w:val="right"/>
              <w:rPr>
                <w:sz w:val="22"/>
              </w:rPr>
            </w:pPr>
            <w:r>
              <w:rPr>
                <w:spacing w:val="-2"/>
                <w:sz w:val="22"/>
              </w:rPr>
              <w:t>19.429±0.402</w:t>
            </w:r>
          </w:p>
        </w:tc>
        <w:tc>
          <w:tcPr>
            <w:tcW w:w="1506" w:type="dxa"/>
          </w:tcPr>
          <w:p>
            <w:pPr>
              <w:pStyle w:val="TableParagraph"/>
              <w:spacing w:before="71"/>
              <w:ind w:left="394"/>
              <w:rPr>
                <w:sz w:val="22"/>
              </w:rPr>
            </w:pPr>
            <w:r>
              <w:rPr>
                <w:spacing w:val="-2"/>
                <w:sz w:val="22"/>
              </w:rPr>
              <w:t>0.000</w:t>
            </w:r>
          </w:p>
        </w:tc>
        <w:tc>
          <w:tcPr>
            <w:tcW w:w="1679" w:type="dxa"/>
          </w:tcPr>
          <w:p>
            <w:pPr>
              <w:pStyle w:val="TableParagraph"/>
              <w:spacing w:before="71"/>
              <w:ind w:left="635"/>
              <w:rPr>
                <w:sz w:val="22"/>
              </w:rPr>
            </w:pPr>
            <w:r>
              <w:rPr>
                <w:spacing w:val="-5"/>
                <w:sz w:val="22"/>
              </w:rPr>
              <w:t>SF</w:t>
            </w:r>
          </w:p>
        </w:tc>
      </w:tr>
      <w:tr>
        <w:trPr>
          <w:trHeight w:val="524" w:hRule="atLeast"/>
        </w:trPr>
        <w:tc>
          <w:tcPr>
            <w:tcW w:w="1426" w:type="dxa"/>
            <w:tcBorders>
              <w:bottom w:val="single" w:sz="4" w:space="0" w:color="000000"/>
            </w:tcBorders>
          </w:tcPr>
          <w:p>
            <w:pPr>
              <w:pStyle w:val="TableParagraph"/>
              <w:rPr>
                <w:rFonts w:ascii="Times New Roman"/>
                <w:sz w:val="22"/>
              </w:rPr>
            </w:pPr>
          </w:p>
        </w:tc>
        <w:tc>
          <w:tcPr>
            <w:tcW w:w="2012" w:type="dxa"/>
            <w:tcBorders>
              <w:bottom w:val="single" w:sz="4" w:space="0" w:color="000000"/>
            </w:tcBorders>
          </w:tcPr>
          <w:p>
            <w:pPr>
              <w:pStyle w:val="TableParagraph"/>
              <w:spacing w:before="70"/>
              <w:ind w:left="174"/>
              <w:rPr>
                <w:sz w:val="22"/>
              </w:rPr>
            </w:pPr>
            <w:r>
              <w:rPr>
                <w:sz w:val="22"/>
              </w:rPr>
              <w:t>Honey</w:t>
            </w:r>
            <w:r>
              <w:rPr>
                <w:spacing w:val="-2"/>
                <w:sz w:val="22"/>
              </w:rPr>
              <w:t> (50%)</w:t>
            </w:r>
          </w:p>
        </w:tc>
        <w:tc>
          <w:tcPr>
            <w:tcW w:w="2200" w:type="dxa"/>
            <w:tcBorders>
              <w:bottom w:val="single" w:sz="4" w:space="0" w:color="000000"/>
            </w:tcBorders>
          </w:tcPr>
          <w:p>
            <w:pPr>
              <w:pStyle w:val="TableParagraph"/>
              <w:spacing w:before="70"/>
              <w:ind w:right="388"/>
              <w:jc w:val="right"/>
              <w:rPr>
                <w:sz w:val="22"/>
              </w:rPr>
            </w:pPr>
            <w:r>
              <w:rPr>
                <w:spacing w:val="-2"/>
                <w:sz w:val="22"/>
              </w:rPr>
              <w:t>15.714±0.542</w:t>
            </w:r>
          </w:p>
        </w:tc>
        <w:tc>
          <w:tcPr>
            <w:tcW w:w="1506" w:type="dxa"/>
            <w:tcBorders>
              <w:bottom w:val="single" w:sz="4" w:space="0" w:color="000000"/>
            </w:tcBorders>
          </w:tcPr>
          <w:p>
            <w:pPr>
              <w:pStyle w:val="TableParagraph"/>
              <w:spacing w:before="70"/>
              <w:ind w:left="394"/>
              <w:rPr>
                <w:sz w:val="22"/>
              </w:rPr>
            </w:pPr>
            <w:r>
              <w:rPr>
                <w:spacing w:val="-2"/>
                <w:sz w:val="22"/>
              </w:rPr>
              <w:t>0.374</w:t>
            </w:r>
          </w:p>
        </w:tc>
        <w:tc>
          <w:tcPr>
            <w:tcW w:w="1679" w:type="dxa"/>
            <w:tcBorders>
              <w:bottom w:val="single" w:sz="4" w:space="0" w:color="000000"/>
            </w:tcBorders>
          </w:tcPr>
          <w:p>
            <w:pPr>
              <w:pStyle w:val="TableParagraph"/>
              <w:spacing w:before="70"/>
              <w:ind w:left="614"/>
              <w:rPr>
                <w:sz w:val="22"/>
              </w:rPr>
            </w:pPr>
            <w:r>
              <w:rPr>
                <w:spacing w:val="-5"/>
                <w:sz w:val="22"/>
              </w:rPr>
              <w:t>NS</w:t>
            </w:r>
          </w:p>
        </w:tc>
      </w:tr>
    </w:tbl>
    <w:p>
      <w:pPr>
        <w:pStyle w:val="BodyText"/>
        <w:spacing w:line="400" w:lineRule="auto" w:before="21"/>
        <w:ind w:left="430" w:right="3485" w:hanging="51"/>
      </w:pPr>
      <w:r>
        <w:rPr/>
        <w:t>Key</w:t>
      </w:r>
      <w:r>
        <w:rPr>
          <w:b/>
        </w:rPr>
        <w:t>:</w:t>
      </w:r>
      <w:r>
        <w:rPr>
          <w:b/>
          <w:spacing w:val="-7"/>
        </w:rPr>
        <w:t> </w:t>
      </w:r>
      <w:r>
        <w:rPr/>
        <w:t>LOS=Level</w:t>
      </w:r>
      <w:r>
        <w:rPr>
          <w:spacing w:val="-6"/>
        </w:rPr>
        <w:t> </w:t>
      </w:r>
      <w:r>
        <w:rPr/>
        <w:t>of</w:t>
      </w:r>
      <w:r>
        <w:rPr>
          <w:spacing w:val="-5"/>
        </w:rPr>
        <w:t> </w:t>
      </w:r>
      <w:r>
        <w:rPr/>
        <w:t>Significance;</w:t>
      </w:r>
      <w:r>
        <w:rPr>
          <w:spacing w:val="-5"/>
        </w:rPr>
        <w:t> </w:t>
      </w:r>
      <w:r>
        <w:rPr/>
        <w:t>NS=Not</w:t>
      </w:r>
      <w:r>
        <w:rPr>
          <w:spacing w:val="-5"/>
        </w:rPr>
        <w:t> </w:t>
      </w:r>
      <w:r>
        <w:rPr/>
        <w:t>significantly</w:t>
      </w:r>
      <w:r>
        <w:rPr>
          <w:spacing w:val="-5"/>
        </w:rPr>
        <w:t> </w:t>
      </w:r>
      <w:r>
        <w:rPr/>
        <w:t>different; SF=Significantly different.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3"/>
      </w:pPr>
    </w:p>
    <w:p>
      <w:pPr>
        <w:pStyle w:val="Heading3"/>
        <w:spacing w:line="259" w:lineRule="auto"/>
        <w:ind w:left="1513" w:right="975" w:hanging="1133"/>
        <w:rPr>
          <w:i/>
        </w:rPr>
      </w:pPr>
      <w:r>
        <w:rPr/>
        <w:t>Table</w:t>
      </w:r>
      <w:r>
        <w:rPr>
          <w:spacing w:val="-3"/>
        </w:rPr>
        <w:t> </w:t>
      </w:r>
      <w:r>
        <w:rPr/>
        <w:t>4.12:</w:t>
      </w:r>
      <w:r>
        <w:rPr>
          <w:spacing w:val="-3"/>
        </w:rPr>
        <w:t> </w:t>
      </w:r>
      <w:r>
        <w:rPr/>
        <w:t>Comparing</w:t>
      </w:r>
      <w:r>
        <w:rPr>
          <w:spacing w:val="-4"/>
        </w:rPr>
        <w:t> </w:t>
      </w:r>
      <w:r>
        <w:rPr/>
        <w:t>the</w:t>
      </w:r>
      <w:r>
        <w:rPr>
          <w:spacing w:val="-5"/>
        </w:rPr>
        <w:t> </w:t>
      </w:r>
      <w:r>
        <w:rPr/>
        <w:t>Mean</w:t>
      </w:r>
      <w:r>
        <w:rPr>
          <w:spacing w:val="-3"/>
        </w:rPr>
        <w:t> </w:t>
      </w:r>
      <w:r>
        <w:rPr/>
        <w:t>zone</w:t>
      </w:r>
      <w:r>
        <w:rPr>
          <w:spacing w:val="-3"/>
        </w:rPr>
        <w:t> </w:t>
      </w:r>
      <w:r>
        <w:rPr/>
        <w:t>of</w:t>
      </w:r>
      <w:r>
        <w:rPr>
          <w:spacing w:val="-2"/>
        </w:rPr>
        <w:t> </w:t>
      </w:r>
      <w:r>
        <w:rPr/>
        <w:t>inhibition</w:t>
      </w:r>
      <w:r>
        <w:rPr>
          <w:spacing w:val="-3"/>
        </w:rPr>
        <w:t> </w:t>
      </w:r>
      <w:r>
        <w:rPr/>
        <w:t>of</w:t>
      </w:r>
      <w:r>
        <w:rPr>
          <w:spacing w:val="-5"/>
        </w:rPr>
        <w:t> </w:t>
      </w:r>
      <w:r>
        <w:rPr/>
        <w:t>Honey</w:t>
      </w:r>
      <w:r>
        <w:rPr>
          <w:spacing w:val="-2"/>
        </w:rPr>
        <w:t> </w:t>
      </w:r>
      <w:r>
        <w:rPr/>
        <w:t>and</w:t>
      </w:r>
      <w:r>
        <w:rPr>
          <w:spacing w:val="-3"/>
        </w:rPr>
        <w:t> </w:t>
      </w:r>
      <w:r>
        <w:rPr/>
        <w:t>the</w:t>
      </w:r>
      <w:r>
        <w:rPr>
          <w:spacing w:val="-3"/>
        </w:rPr>
        <w:t> </w:t>
      </w:r>
      <w:r>
        <w:rPr/>
        <w:t>Standard</w:t>
      </w:r>
      <w:r>
        <w:rPr>
          <w:spacing w:val="-3"/>
        </w:rPr>
        <w:t> </w:t>
      </w:r>
      <w:r>
        <w:rPr/>
        <w:t>antibiotic formulations against </w:t>
      </w:r>
      <w:r>
        <w:rPr>
          <w:i/>
        </w:rPr>
        <w:t>Haemophilus influenzae</w:t>
      </w:r>
    </w:p>
    <w:p>
      <w:pPr>
        <w:pStyle w:val="BodyText"/>
        <w:spacing w:before="6"/>
        <w:rPr>
          <w:b/>
          <w:i/>
          <w:sz w:val="11"/>
        </w:rPr>
      </w:pPr>
      <w:r>
        <w:rPr/>
        <mc:AlternateContent>
          <mc:Choice Requires="wps">
            <w:drawing>
              <wp:anchor distT="0" distB="0" distL="0" distR="0" allowOverlap="1" layoutInCell="1" locked="0" behindDoc="1" simplePos="0" relativeHeight="487671808">
                <wp:simplePos x="0" y="0"/>
                <wp:positionH relativeFrom="page">
                  <wp:posOffset>846124</wp:posOffset>
                </wp:positionH>
                <wp:positionV relativeFrom="paragraph">
                  <wp:posOffset>104655</wp:posOffset>
                </wp:positionV>
                <wp:extent cx="5518150" cy="6350"/>
                <wp:effectExtent l="0" t="0" r="0" b="0"/>
                <wp:wrapTopAndBottom/>
                <wp:docPr id="484" name="Graphic 484"/>
                <wp:cNvGraphicFramePr>
                  <a:graphicFrameLocks/>
                </wp:cNvGraphicFramePr>
                <a:graphic>
                  <a:graphicData uri="http://schemas.microsoft.com/office/word/2010/wordprocessingShape">
                    <wps:wsp>
                      <wps:cNvPr id="484" name="Graphic 484"/>
                      <wps:cNvSpPr/>
                      <wps:spPr>
                        <a:xfrm>
                          <a:off x="0" y="0"/>
                          <a:ext cx="5518150" cy="6350"/>
                        </a:xfrm>
                        <a:custGeom>
                          <a:avLst/>
                          <a:gdLst/>
                          <a:ahLst/>
                          <a:cxnLst/>
                          <a:rect l="l" t="t" r="r" b="b"/>
                          <a:pathLst>
                            <a:path w="5518150" h="6350">
                              <a:moveTo>
                                <a:pt x="2363927" y="0"/>
                              </a:moveTo>
                              <a:lnTo>
                                <a:pt x="1013409" y="0"/>
                              </a:lnTo>
                              <a:lnTo>
                                <a:pt x="1007364" y="0"/>
                              </a:lnTo>
                              <a:lnTo>
                                <a:pt x="0" y="0"/>
                              </a:lnTo>
                              <a:lnTo>
                                <a:pt x="0" y="6083"/>
                              </a:lnTo>
                              <a:lnTo>
                                <a:pt x="1007313" y="6083"/>
                              </a:lnTo>
                              <a:lnTo>
                                <a:pt x="1013409" y="6083"/>
                              </a:lnTo>
                              <a:lnTo>
                                <a:pt x="2363927" y="6083"/>
                              </a:lnTo>
                              <a:lnTo>
                                <a:pt x="2363927" y="0"/>
                              </a:lnTo>
                              <a:close/>
                            </a:path>
                            <a:path w="5518150" h="6350">
                              <a:moveTo>
                                <a:pt x="4504309" y="0"/>
                              </a:moveTo>
                              <a:lnTo>
                                <a:pt x="3722192" y="0"/>
                              </a:lnTo>
                              <a:lnTo>
                                <a:pt x="3716096" y="0"/>
                              </a:lnTo>
                              <a:lnTo>
                                <a:pt x="2370150" y="0"/>
                              </a:lnTo>
                              <a:lnTo>
                                <a:pt x="2364054" y="0"/>
                              </a:lnTo>
                              <a:lnTo>
                                <a:pt x="2364054" y="6083"/>
                              </a:lnTo>
                              <a:lnTo>
                                <a:pt x="2370150" y="6083"/>
                              </a:lnTo>
                              <a:lnTo>
                                <a:pt x="3716096" y="6083"/>
                              </a:lnTo>
                              <a:lnTo>
                                <a:pt x="3722192" y="6083"/>
                              </a:lnTo>
                              <a:lnTo>
                                <a:pt x="4504309" y="6083"/>
                              </a:lnTo>
                              <a:lnTo>
                                <a:pt x="4504309" y="0"/>
                              </a:lnTo>
                              <a:close/>
                            </a:path>
                            <a:path w="5518150" h="6350">
                              <a:moveTo>
                                <a:pt x="5518137" y="0"/>
                              </a:moveTo>
                              <a:lnTo>
                                <a:pt x="4510481" y="0"/>
                              </a:lnTo>
                              <a:lnTo>
                                <a:pt x="4504385" y="0"/>
                              </a:lnTo>
                              <a:lnTo>
                                <a:pt x="4504385" y="6083"/>
                              </a:lnTo>
                              <a:lnTo>
                                <a:pt x="4510481" y="6083"/>
                              </a:lnTo>
                              <a:lnTo>
                                <a:pt x="5518137" y="6083"/>
                              </a:lnTo>
                              <a:lnTo>
                                <a:pt x="55181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8.240563pt;width:434.5pt;height:.5pt;mso-position-horizontal-relative:page;mso-position-vertical-relative:paragraph;z-index:-15644672;mso-wrap-distance-left:0;mso-wrap-distance-right:0" id="docshape429" coordorigin="1332,165" coordsize="8690,10" path="m5055,165l2928,165,2919,165,2919,165,1332,165,1332,174,2919,174,2919,174,2928,174,5055,174,5055,165xm8426,165l7194,165,7185,165,5065,165,5055,165,5055,174,5065,174,7185,174,7194,174,8426,174,8426,165xm10022,165l8436,165,8426,165,8426,174,8436,174,10022,174,10022,165xe" filled="true" fillcolor="#000000" stroked="false">
                <v:path arrowok="t"/>
                <v:fill type="solid"/>
                <w10:wrap type="topAndBottom"/>
              </v:shape>
            </w:pict>
          </mc:Fallback>
        </mc:AlternateContent>
      </w:r>
    </w:p>
    <w:p>
      <w:pPr>
        <w:pStyle w:val="BodyText"/>
        <w:rPr>
          <w:b/>
          <w:i/>
          <w:sz w:val="20"/>
        </w:rPr>
      </w:pPr>
    </w:p>
    <w:p>
      <w:pPr>
        <w:pStyle w:val="BodyText"/>
        <w:spacing w:before="1"/>
        <w:rPr>
          <w:b/>
          <w:i/>
          <w:sz w:val="20"/>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5"/>
        <w:gridCol w:w="2090"/>
        <w:gridCol w:w="2326"/>
        <w:gridCol w:w="1542"/>
        <w:gridCol w:w="850"/>
      </w:tblGrid>
      <w:tr>
        <w:trPr>
          <w:trHeight w:val="220" w:hRule="atLeast"/>
        </w:trPr>
        <w:tc>
          <w:tcPr>
            <w:tcW w:w="1245" w:type="dxa"/>
          </w:tcPr>
          <w:p>
            <w:pPr>
              <w:pStyle w:val="TableParagraph"/>
              <w:spacing w:line="201" w:lineRule="exact"/>
              <w:ind w:left="50"/>
              <w:rPr>
                <w:sz w:val="22"/>
              </w:rPr>
            </w:pPr>
            <w:r>
              <w:rPr>
                <w:sz w:val="22"/>
              </w:rPr>
              <w:t>(I)</w:t>
            </w:r>
            <w:r>
              <w:rPr>
                <w:spacing w:val="-2"/>
                <w:sz w:val="22"/>
              </w:rPr>
              <w:t> Group</w:t>
            </w:r>
          </w:p>
        </w:tc>
        <w:tc>
          <w:tcPr>
            <w:tcW w:w="2090" w:type="dxa"/>
          </w:tcPr>
          <w:p>
            <w:pPr>
              <w:pStyle w:val="TableParagraph"/>
              <w:spacing w:line="201" w:lineRule="exact"/>
              <w:ind w:left="391"/>
              <w:rPr>
                <w:sz w:val="22"/>
              </w:rPr>
            </w:pPr>
            <w:r>
              <w:rPr>
                <w:sz w:val="22"/>
              </w:rPr>
              <w:t>(J)</w:t>
            </w:r>
            <w:r>
              <w:rPr>
                <w:spacing w:val="-2"/>
                <w:sz w:val="22"/>
              </w:rPr>
              <w:t> Group</w:t>
            </w:r>
          </w:p>
        </w:tc>
        <w:tc>
          <w:tcPr>
            <w:tcW w:w="2326" w:type="dxa"/>
          </w:tcPr>
          <w:p>
            <w:pPr>
              <w:pStyle w:val="TableParagraph"/>
              <w:spacing w:line="201" w:lineRule="exact"/>
              <w:ind w:left="882"/>
              <w:rPr>
                <w:sz w:val="22"/>
              </w:rPr>
            </w:pPr>
            <w:r>
              <w:rPr>
                <w:spacing w:val="-2"/>
                <w:sz w:val="22"/>
              </w:rPr>
              <w:t>Mean±SEM</w:t>
            </w:r>
          </w:p>
        </w:tc>
        <w:tc>
          <w:tcPr>
            <w:tcW w:w="1542" w:type="dxa"/>
          </w:tcPr>
          <w:p>
            <w:pPr>
              <w:pStyle w:val="TableParagraph"/>
              <w:spacing w:line="201" w:lineRule="exact"/>
              <w:ind w:left="421"/>
              <w:rPr>
                <w:sz w:val="22"/>
              </w:rPr>
            </w:pPr>
            <w:r>
              <w:rPr>
                <w:sz w:val="22"/>
              </w:rPr>
              <w:t>P-</w:t>
            </w:r>
            <w:r>
              <w:rPr>
                <w:spacing w:val="-2"/>
                <w:sz w:val="22"/>
              </w:rPr>
              <w:t>value</w:t>
            </w:r>
          </w:p>
        </w:tc>
        <w:tc>
          <w:tcPr>
            <w:tcW w:w="850" w:type="dxa"/>
          </w:tcPr>
          <w:p>
            <w:pPr>
              <w:pStyle w:val="TableParagraph"/>
              <w:spacing w:line="201" w:lineRule="exact"/>
              <w:ind w:left="461"/>
              <w:rPr>
                <w:sz w:val="22"/>
              </w:rPr>
            </w:pPr>
            <w:r>
              <w:rPr>
                <w:spacing w:val="-5"/>
                <w:sz w:val="22"/>
              </w:rPr>
              <w:t>LOS</w:t>
            </w:r>
          </w:p>
        </w:tc>
      </w:tr>
    </w:tbl>
    <w:p>
      <w:pPr>
        <w:pStyle w:val="BodyText"/>
        <w:rPr>
          <w:b/>
          <w:i/>
          <w:sz w:val="20"/>
        </w:rPr>
      </w:pPr>
    </w:p>
    <w:p>
      <w:pPr>
        <w:pStyle w:val="BodyText"/>
        <w:spacing w:before="127"/>
        <w:rPr>
          <w:b/>
          <w:i/>
          <w:sz w:val="20"/>
        </w:rPr>
      </w:pPr>
      <w:r>
        <w:rPr/>
        <mc:AlternateContent>
          <mc:Choice Requires="wps">
            <w:drawing>
              <wp:anchor distT="0" distB="0" distL="0" distR="0" allowOverlap="1" layoutInCell="1" locked="0" behindDoc="1" simplePos="0" relativeHeight="487672320">
                <wp:simplePos x="0" y="0"/>
                <wp:positionH relativeFrom="page">
                  <wp:posOffset>846124</wp:posOffset>
                </wp:positionH>
                <wp:positionV relativeFrom="paragraph">
                  <wp:posOffset>250926</wp:posOffset>
                </wp:positionV>
                <wp:extent cx="5518150" cy="6350"/>
                <wp:effectExtent l="0" t="0" r="0" b="0"/>
                <wp:wrapTopAndBottom/>
                <wp:docPr id="485" name="Graphic 485"/>
                <wp:cNvGraphicFramePr>
                  <a:graphicFrameLocks/>
                </wp:cNvGraphicFramePr>
                <a:graphic>
                  <a:graphicData uri="http://schemas.microsoft.com/office/word/2010/wordprocessingShape">
                    <wps:wsp>
                      <wps:cNvPr id="485" name="Graphic 485"/>
                      <wps:cNvSpPr/>
                      <wps:spPr>
                        <a:xfrm>
                          <a:off x="0" y="0"/>
                          <a:ext cx="5518150" cy="6350"/>
                        </a:xfrm>
                        <a:custGeom>
                          <a:avLst/>
                          <a:gdLst/>
                          <a:ahLst/>
                          <a:cxnLst/>
                          <a:rect l="l" t="t" r="r" b="b"/>
                          <a:pathLst>
                            <a:path w="5518150" h="6350">
                              <a:moveTo>
                                <a:pt x="2363927" y="0"/>
                              </a:moveTo>
                              <a:lnTo>
                                <a:pt x="1013409" y="0"/>
                              </a:lnTo>
                              <a:lnTo>
                                <a:pt x="1007364" y="0"/>
                              </a:lnTo>
                              <a:lnTo>
                                <a:pt x="0" y="0"/>
                              </a:lnTo>
                              <a:lnTo>
                                <a:pt x="0" y="6083"/>
                              </a:lnTo>
                              <a:lnTo>
                                <a:pt x="1007313" y="6083"/>
                              </a:lnTo>
                              <a:lnTo>
                                <a:pt x="1013409" y="6083"/>
                              </a:lnTo>
                              <a:lnTo>
                                <a:pt x="2363927" y="6083"/>
                              </a:lnTo>
                              <a:lnTo>
                                <a:pt x="2363927" y="0"/>
                              </a:lnTo>
                              <a:close/>
                            </a:path>
                            <a:path w="5518150" h="6350">
                              <a:moveTo>
                                <a:pt x="4504309" y="0"/>
                              </a:moveTo>
                              <a:lnTo>
                                <a:pt x="3722192" y="0"/>
                              </a:lnTo>
                              <a:lnTo>
                                <a:pt x="3716096" y="0"/>
                              </a:lnTo>
                              <a:lnTo>
                                <a:pt x="2370150" y="0"/>
                              </a:lnTo>
                              <a:lnTo>
                                <a:pt x="2364054" y="0"/>
                              </a:lnTo>
                              <a:lnTo>
                                <a:pt x="2364054" y="6083"/>
                              </a:lnTo>
                              <a:lnTo>
                                <a:pt x="2370150" y="6083"/>
                              </a:lnTo>
                              <a:lnTo>
                                <a:pt x="3716096" y="6083"/>
                              </a:lnTo>
                              <a:lnTo>
                                <a:pt x="3722192" y="6083"/>
                              </a:lnTo>
                              <a:lnTo>
                                <a:pt x="4504309" y="6083"/>
                              </a:lnTo>
                              <a:lnTo>
                                <a:pt x="4504309" y="0"/>
                              </a:lnTo>
                              <a:close/>
                            </a:path>
                            <a:path w="5518150" h="6350">
                              <a:moveTo>
                                <a:pt x="5518137" y="0"/>
                              </a:moveTo>
                              <a:lnTo>
                                <a:pt x="4510481" y="0"/>
                              </a:lnTo>
                              <a:lnTo>
                                <a:pt x="4504385" y="0"/>
                              </a:lnTo>
                              <a:lnTo>
                                <a:pt x="4504385" y="6083"/>
                              </a:lnTo>
                              <a:lnTo>
                                <a:pt x="4510481" y="6083"/>
                              </a:lnTo>
                              <a:lnTo>
                                <a:pt x="5518137" y="6083"/>
                              </a:lnTo>
                              <a:lnTo>
                                <a:pt x="55181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19.758007pt;width:434.5pt;height:.5pt;mso-position-horizontal-relative:page;mso-position-vertical-relative:paragraph;z-index:-15644160;mso-wrap-distance-left:0;mso-wrap-distance-right:0" id="docshape430" coordorigin="1332,395" coordsize="8690,10" path="m5055,395l2928,395,2919,395,2919,395,1332,395,1332,405,2919,405,2919,405,2928,405,5055,405,5055,395xm8426,395l7194,395,7185,395,5065,395,5055,395,5055,405,5065,405,7185,405,7194,405,8426,405,8426,395xm10022,395l8436,395,8426,395,8426,405,8436,405,10022,405,10022,395xe" filled="true" fillcolor="#000000" stroked="false">
                <v:path arrowok="t"/>
                <v:fill type="solid"/>
                <w10:wrap type="topAndBottom"/>
              </v:shape>
            </w:pict>
          </mc:Fallback>
        </mc:AlternateContent>
      </w:r>
    </w:p>
    <w:p>
      <w:pPr>
        <w:spacing w:after="0"/>
        <w:rPr>
          <w:sz w:val="20"/>
        </w:rPr>
        <w:sectPr>
          <w:type w:val="continuous"/>
          <w:pgSz w:w="11910" w:h="16840"/>
          <w:pgMar w:header="0" w:footer="1055" w:top="1440" w:bottom="1240" w:left="1060" w:right="460"/>
        </w:sect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8"/>
        <w:gridCol w:w="2033"/>
        <w:gridCol w:w="2249"/>
        <w:gridCol w:w="1437"/>
        <w:gridCol w:w="1442"/>
      </w:tblGrid>
      <w:tr>
        <w:trPr>
          <w:trHeight w:val="376" w:hRule="atLeast"/>
        </w:trPr>
        <w:tc>
          <w:tcPr>
            <w:tcW w:w="1528" w:type="dxa"/>
            <w:tcBorders>
              <w:top w:val="single" w:sz="4" w:space="0" w:color="000000"/>
            </w:tcBorders>
          </w:tcPr>
          <w:p>
            <w:pPr>
              <w:pStyle w:val="TableParagraph"/>
              <w:rPr>
                <w:rFonts w:ascii="Times New Roman"/>
                <w:sz w:val="22"/>
              </w:rPr>
            </w:pPr>
          </w:p>
        </w:tc>
        <w:tc>
          <w:tcPr>
            <w:tcW w:w="2033" w:type="dxa"/>
            <w:tcBorders>
              <w:top w:val="single" w:sz="4" w:space="0" w:color="000000"/>
            </w:tcBorders>
          </w:tcPr>
          <w:p>
            <w:pPr>
              <w:pStyle w:val="TableParagraph"/>
              <w:spacing w:line="265" w:lineRule="exact"/>
              <w:ind w:left="166"/>
              <w:rPr>
                <w:sz w:val="22"/>
              </w:rPr>
            </w:pPr>
            <w:r>
              <w:rPr>
                <w:spacing w:val="-5"/>
                <w:sz w:val="22"/>
              </w:rPr>
              <w:t>CRO</w:t>
            </w:r>
          </w:p>
        </w:tc>
        <w:tc>
          <w:tcPr>
            <w:tcW w:w="2249" w:type="dxa"/>
            <w:tcBorders>
              <w:top w:val="single" w:sz="4" w:space="0" w:color="000000"/>
            </w:tcBorders>
          </w:tcPr>
          <w:p>
            <w:pPr>
              <w:pStyle w:val="TableParagraph"/>
              <w:spacing w:line="265" w:lineRule="exact"/>
              <w:ind w:right="408"/>
              <w:jc w:val="right"/>
              <w:rPr>
                <w:sz w:val="22"/>
              </w:rPr>
            </w:pPr>
            <w:r>
              <w:rPr>
                <w:spacing w:val="-2"/>
                <w:sz w:val="22"/>
              </w:rPr>
              <w:t>25.500±2.500</w:t>
            </w:r>
          </w:p>
        </w:tc>
        <w:tc>
          <w:tcPr>
            <w:tcW w:w="1437" w:type="dxa"/>
            <w:tcBorders>
              <w:top w:val="single" w:sz="4" w:space="0" w:color="000000"/>
            </w:tcBorders>
          </w:tcPr>
          <w:p>
            <w:pPr>
              <w:pStyle w:val="TableParagraph"/>
              <w:spacing w:line="265" w:lineRule="exact"/>
              <w:ind w:right="108"/>
              <w:jc w:val="center"/>
              <w:rPr>
                <w:sz w:val="22"/>
              </w:rPr>
            </w:pPr>
            <w:r>
              <w:rPr>
                <w:spacing w:val="-2"/>
                <w:sz w:val="22"/>
              </w:rPr>
              <w:t>0.055</w:t>
            </w:r>
          </w:p>
        </w:tc>
        <w:tc>
          <w:tcPr>
            <w:tcW w:w="1442" w:type="dxa"/>
            <w:tcBorders>
              <w:top w:val="single" w:sz="4" w:space="0" w:color="000000"/>
            </w:tcBorders>
          </w:tcPr>
          <w:p>
            <w:pPr>
              <w:pStyle w:val="TableParagraph"/>
              <w:spacing w:line="265" w:lineRule="exact"/>
              <w:ind w:right="153"/>
              <w:jc w:val="center"/>
              <w:rPr>
                <w:sz w:val="22"/>
              </w:rPr>
            </w:pPr>
            <w:r>
              <w:rPr>
                <w:spacing w:val="-5"/>
                <w:sz w:val="22"/>
              </w:rPr>
              <w:t>SF</w:t>
            </w:r>
          </w:p>
        </w:tc>
      </w:tr>
      <w:tr>
        <w:trPr>
          <w:trHeight w:val="450" w:hRule="atLeast"/>
        </w:trPr>
        <w:tc>
          <w:tcPr>
            <w:tcW w:w="1528" w:type="dxa"/>
          </w:tcPr>
          <w:p>
            <w:pPr>
              <w:pStyle w:val="TableParagraph"/>
              <w:rPr>
                <w:rFonts w:ascii="Times New Roman"/>
                <w:sz w:val="22"/>
              </w:rPr>
            </w:pPr>
          </w:p>
        </w:tc>
        <w:tc>
          <w:tcPr>
            <w:tcW w:w="2033" w:type="dxa"/>
          </w:tcPr>
          <w:p>
            <w:pPr>
              <w:pStyle w:val="TableParagraph"/>
              <w:spacing w:before="71"/>
              <w:ind w:left="166"/>
              <w:rPr>
                <w:sz w:val="22"/>
              </w:rPr>
            </w:pPr>
            <w:r>
              <w:rPr>
                <w:spacing w:val="-5"/>
                <w:sz w:val="22"/>
              </w:rPr>
              <w:t>CN</w:t>
            </w:r>
          </w:p>
        </w:tc>
        <w:tc>
          <w:tcPr>
            <w:tcW w:w="2249" w:type="dxa"/>
          </w:tcPr>
          <w:p>
            <w:pPr>
              <w:pStyle w:val="TableParagraph"/>
              <w:spacing w:before="71"/>
              <w:ind w:right="408"/>
              <w:jc w:val="right"/>
              <w:rPr>
                <w:sz w:val="22"/>
              </w:rPr>
            </w:pPr>
            <w:r>
              <w:rPr>
                <w:spacing w:val="-2"/>
                <w:sz w:val="22"/>
              </w:rPr>
              <w:t>20.500±0.500</w:t>
            </w:r>
          </w:p>
        </w:tc>
        <w:tc>
          <w:tcPr>
            <w:tcW w:w="1437" w:type="dxa"/>
          </w:tcPr>
          <w:p>
            <w:pPr>
              <w:pStyle w:val="TableParagraph"/>
              <w:spacing w:before="71"/>
              <w:ind w:right="108"/>
              <w:jc w:val="center"/>
              <w:rPr>
                <w:sz w:val="22"/>
              </w:rPr>
            </w:pPr>
            <w:r>
              <w:rPr>
                <w:spacing w:val="-2"/>
                <w:sz w:val="22"/>
              </w:rPr>
              <w:t>1.000</w:t>
            </w:r>
          </w:p>
        </w:tc>
        <w:tc>
          <w:tcPr>
            <w:tcW w:w="1442" w:type="dxa"/>
          </w:tcPr>
          <w:p>
            <w:pPr>
              <w:pStyle w:val="TableParagraph"/>
              <w:spacing w:before="71"/>
              <w:ind w:left="2" w:right="153"/>
              <w:jc w:val="center"/>
              <w:rPr>
                <w:sz w:val="22"/>
              </w:rPr>
            </w:pPr>
            <w:r>
              <w:rPr>
                <w:spacing w:val="-5"/>
                <w:sz w:val="22"/>
              </w:rPr>
              <w:t>NS</w:t>
            </w:r>
          </w:p>
        </w:tc>
      </w:tr>
      <w:tr>
        <w:trPr>
          <w:trHeight w:val="448" w:hRule="atLeast"/>
        </w:trPr>
        <w:tc>
          <w:tcPr>
            <w:tcW w:w="1528" w:type="dxa"/>
          </w:tcPr>
          <w:p>
            <w:pPr>
              <w:pStyle w:val="TableParagraph"/>
              <w:rPr>
                <w:rFonts w:ascii="Times New Roman"/>
                <w:sz w:val="22"/>
              </w:rPr>
            </w:pPr>
          </w:p>
        </w:tc>
        <w:tc>
          <w:tcPr>
            <w:tcW w:w="2033" w:type="dxa"/>
          </w:tcPr>
          <w:p>
            <w:pPr>
              <w:pStyle w:val="TableParagraph"/>
              <w:spacing w:before="70"/>
              <w:ind w:left="166"/>
              <w:rPr>
                <w:sz w:val="22"/>
              </w:rPr>
            </w:pPr>
            <w:r>
              <w:rPr>
                <w:spacing w:val="-5"/>
                <w:sz w:val="22"/>
              </w:rPr>
              <w:t>AMC</w:t>
            </w:r>
          </w:p>
        </w:tc>
        <w:tc>
          <w:tcPr>
            <w:tcW w:w="2249" w:type="dxa"/>
          </w:tcPr>
          <w:p>
            <w:pPr>
              <w:pStyle w:val="TableParagraph"/>
              <w:spacing w:before="70"/>
              <w:ind w:right="408"/>
              <w:jc w:val="right"/>
              <w:rPr>
                <w:sz w:val="22"/>
              </w:rPr>
            </w:pPr>
            <w:r>
              <w:rPr>
                <w:spacing w:val="-2"/>
                <w:sz w:val="22"/>
              </w:rPr>
              <w:t>18.000±0.000</w:t>
            </w:r>
          </w:p>
        </w:tc>
        <w:tc>
          <w:tcPr>
            <w:tcW w:w="1437" w:type="dxa"/>
          </w:tcPr>
          <w:p>
            <w:pPr>
              <w:pStyle w:val="TableParagraph"/>
              <w:spacing w:before="70"/>
              <w:ind w:right="108"/>
              <w:jc w:val="center"/>
              <w:rPr>
                <w:sz w:val="22"/>
              </w:rPr>
            </w:pPr>
            <w:r>
              <w:rPr>
                <w:spacing w:val="-2"/>
                <w:sz w:val="22"/>
              </w:rPr>
              <w:t>0.829</w:t>
            </w:r>
          </w:p>
        </w:tc>
        <w:tc>
          <w:tcPr>
            <w:tcW w:w="1442" w:type="dxa"/>
          </w:tcPr>
          <w:p>
            <w:pPr>
              <w:pStyle w:val="TableParagraph"/>
              <w:spacing w:before="70"/>
              <w:ind w:left="2" w:right="153"/>
              <w:jc w:val="center"/>
              <w:rPr>
                <w:sz w:val="22"/>
              </w:rPr>
            </w:pPr>
            <w:r>
              <w:rPr>
                <w:spacing w:val="-5"/>
                <w:sz w:val="22"/>
              </w:rPr>
              <w:t>NS</w:t>
            </w:r>
          </w:p>
        </w:tc>
      </w:tr>
      <w:tr>
        <w:trPr>
          <w:trHeight w:val="450" w:hRule="atLeast"/>
        </w:trPr>
        <w:tc>
          <w:tcPr>
            <w:tcW w:w="1528" w:type="dxa"/>
          </w:tcPr>
          <w:p>
            <w:pPr>
              <w:pStyle w:val="TableParagraph"/>
              <w:spacing w:before="70"/>
              <w:ind w:right="55"/>
              <w:jc w:val="center"/>
              <w:rPr>
                <w:sz w:val="22"/>
              </w:rPr>
            </w:pPr>
            <w:r>
              <w:rPr>
                <w:sz w:val="22"/>
              </w:rPr>
              <w:t>Honey</w:t>
            </w:r>
            <w:r>
              <w:rPr>
                <w:spacing w:val="-4"/>
                <w:sz w:val="22"/>
              </w:rPr>
              <w:t> </w:t>
            </w:r>
            <w:r>
              <w:rPr>
                <w:spacing w:val="-2"/>
                <w:sz w:val="22"/>
              </w:rPr>
              <w:t>(100%)</w:t>
            </w:r>
          </w:p>
        </w:tc>
        <w:tc>
          <w:tcPr>
            <w:tcW w:w="2033" w:type="dxa"/>
          </w:tcPr>
          <w:p>
            <w:pPr>
              <w:pStyle w:val="TableParagraph"/>
              <w:spacing w:before="70"/>
              <w:ind w:left="166"/>
              <w:rPr>
                <w:sz w:val="22"/>
              </w:rPr>
            </w:pPr>
            <w:r>
              <w:rPr>
                <w:spacing w:val="-5"/>
                <w:sz w:val="22"/>
              </w:rPr>
              <w:t>LEV</w:t>
            </w:r>
          </w:p>
        </w:tc>
        <w:tc>
          <w:tcPr>
            <w:tcW w:w="2249" w:type="dxa"/>
          </w:tcPr>
          <w:p>
            <w:pPr>
              <w:pStyle w:val="TableParagraph"/>
              <w:spacing w:before="70"/>
              <w:ind w:right="408"/>
              <w:jc w:val="right"/>
              <w:rPr>
                <w:sz w:val="22"/>
              </w:rPr>
            </w:pPr>
            <w:r>
              <w:rPr>
                <w:spacing w:val="-2"/>
                <w:sz w:val="22"/>
              </w:rPr>
              <w:t>22.500±0.500</w:t>
            </w:r>
          </w:p>
        </w:tc>
        <w:tc>
          <w:tcPr>
            <w:tcW w:w="1437" w:type="dxa"/>
          </w:tcPr>
          <w:p>
            <w:pPr>
              <w:pStyle w:val="TableParagraph"/>
              <w:spacing w:before="70"/>
              <w:ind w:right="108"/>
              <w:jc w:val="center"/>
              <w:rPr>
                <w:sz w:val="22"/>
              </w:rPr>
            </w:pPr>
            <w:r>
              <w:rPr>
                <w:spacing w:val="-2"/>
                <w:sz w:val="22"/>
              </w:rPr>
              <w:t>0.654</w:t>
            </w:r>
          </w:p>
        </w:tc>
        <w:tc>
          <w:tcPr>
            <w:tcW w:w="1442" w:type="dxa"/>
          </w:tcPr>
          <w:p>
            <w:pPr>
              <w:pStyle w:val="TableParagraph"/>
              <w:spacing w:before="70"/>
              <w:ind w:left="2" w:right="153"/>
              <w:jc w:val="center"/>
              <w:rPr>
                <w:sz w:val="22"/>
              </w:rPr>
            </w:pPr>
            <w:r>
              <w:rPr>
                <w:spacing w:val="-5"/>
                <w:sz w:val="22"/>
              </w:rPr>
              <w:t>NS</w:t>
            </w:r>
          </w:p>
        </w:tc>
      </w:tr>
      <w:tr>
        <w:trPr>
          <w:trHeight w:val="450" w:hRule="atLeast"/>
        </w:trPr>
        <w:tc>
          <w:tcPr>
            <w:tcW w:w="1528" w:type="dxa"/>
          </w:tcPr>
          <w:p>
            <w:pPr>
              <w:pStyle w:val="TableParagraph"/>
              <w:rPr>
                <w:rFonts w:ascii="Times New Roman"/>
                <w:sz w:val="22"/>
              </w:rPr>
            </w:pPr>
          </w:p>
        </w:tc>
        <w:tc>
          <w:tcPr>
            <w:tcW w:w="2033" w:type="dxa"/>
          </w:tcPr>
          <w:p>
            <w:pPr>
              <w:pStyle w:val="TableParagraph"/>
              <w:spacing w:before="71"/>
              <w:ind w:left="166"/>
              <w:rPr>
                <w:sz w:val="22"/>
              </w:rPr>
            </w:pPr>
            <w:r>
              <w:rPr>
                <w:spacing w:val="-5"/>
                <w:sz w:val="22"/>
              </w:rPr>
              <w:t>AZM</w:t>
            </w:r>
          </w:p>
        </w:tc>
        <w:tc>
          <w:tcPr>
            <w:tcW w:w="2249" w:type="dxa"/>
          </w:tcPr>
          <w:p>
            <w:pPr>
              <w:pStyle w:val="TableParagraph"/>
              <w:spacing w:before="71"/>
              <w:ind w:right="408"/>
              <w:jc w:val="right"/>
              <w:rPr>
                <w:sz w:val="22"/>
              </w:rPr>
            </w:pPr>
            <w:r>
              <w:rPr>
                <w:spacing w:val="-2"/>
                <w:sz w:val="22"/>
              </w:rPr>
              <w:t>14.500±0.500</w:t>
            </w:r>
          </w:p>
        </w:tc>
        <w:tc>
          <w:tcPr>
            <w:tcW w:w="1437" w:type="dxa"/>
          </w:tcPr>
          <w:p>
            <w:pPr>
              <w:pStyle w:val="TableParagraph"/>
              <w:spacing w:before="71"/>
              <w:ind w:right="108"/>
              <w:jc w:val="center"/>
              <w:rPr>
                <w:sz w:val="22"/>
              </w:rPr>
            </w:pPr>
            <w:r>
              <w:rPr>
                <w:spacing w:val="-2"/>
                <w:sz w:val="22"/>
              </w:rPr>
              <w:t>0.055</w:t>
            </w:r>
          </w:p>
        </w:tc>
        <w:tc>
          <w:tcPr>
            <w:tcW w:w="1442" w:type="dxa"/>
          </w:tcPr>
          <w:p>
            <w:pPr>
              <w:pStyle w:val="TableParagraph"/>
              <w:spacing w:before="71"/>
              <w:ind w:right="153"/>
              <w:jc w:val="center"/>
              <w:rPr>
                <w:sz w:val="22"/>
              </w:rPr>
            </w:pPr>
            <w:r>
              <w:rPr>
                <w:spacing w:val="-5"/>
                <w:sz w:val="22"/>
              </w:rPr>
              <w:t>SF</w:t>
            </w:r>
          </w:p>
        </w:tc>
      </w:tr>
      <w:tr>
        <w:trPr>
          <w:trHeight w:val="450" w:hRule="atLeast"/>
        </w:trPr>
        <w:tc>
          <w:tcPr>
            <w:tcW w:w="1528" w:type="dxa"/>
          </w:tcPr>
          <w:p>
            <w:pPr>
              <w:pStyle w:val="TableParagraph"/>
              <w:rPr>
                <w:rFonts w:ascii="Times New Roman"/>
                <w:sz w:val="22"/>
              </w:rPr>
            </w:pPr>
          </w:p>
        </w:tc>
        <w:tc>
          <w:tcPr>
            <w:tcW w:w="2033" w:type="dxa"/>
          </w:tcPr>
          <w:p>
            <w:pPr>
              <w:pStyle w:val="TableParagraph"/>
              <w:spacing w:before="70"/>
              <w:ind w:left="166"/>
              <w:rPr>
                <w:sz w:val="22"/>
              </w:rPr>
            </w:pPr>
            <w:r>
              <w:rPr>
                <w:sz w:val="22"/>
              </w:rPr>
              <w:t>Honey</w:t>
            </w:r>
            <w:r>
              <w:rPr>
                <w:spacing w:val="-2"/>
                <w:sz w:val="22"/>
              </w:rPr>
              <w:t> (50%)</w:t>
            </w:r>
          </w:p>
        </w:tc>
        <w:tc>
          <w:tcPr>
            <w:tcW w:w="2249" w:type="dxa"/>
          </w:tcPr>
          <w:p>
            <w:pPr>
              <w:pStyle w:val="TableParagraph"/>
              <w:spacing w:before="70"/>
              <w:ind w:right="408"/>
              <w:jc w:val="right"/>
              <w:rPr>
                <w:sz w:val="22"/>
              </w:rPr>
            </w:pPr>
            <w:r>
              <w:rPr>
                <w:spacing w:val="-2"/>
                <w:sz w:val="22"/>
              </w:rPr>
              <w:t>16.000±1.000</w:t>
            </w:r>
          </w:p>
        </w:tc>
        <w:tc>
          <w:tcPr>
            <w:tcW w:w="1437" w:type="dxa"/>
          </w:tcPr>
          <w:p>
            <w:pPr>
              <w:pStyle w:val="TableParagraph"/>
              <w:spacing w:before="70"/>
              <w:ind w:right="108"/>
              <w:jc w:val="center"/>
              <w:rPr>
                <w:sz w:val="22"/>
              </w:rPr>
            </w:pPr>
            <w:r>
              <w:rPr>
                <w:spacing w:val="-2"/>
                <w:sz w:val="22"/>
              </w:rPr>
              <w:t>0.210</w:t>
            </w:r>
          </w:p>
        </w:tc>
        <w:tc>
          <w:tcPr>
            <w:tcW w:w="1442" w:type="dxa"/>
          </w:tcPr>
          <w:p>
            <w:pPr>
              <w:pStyle w:val="TableParagraph"/>
              <w:spacing w:before="70"/>
              <w:ind w:left="2" w:right="153"/>
              <w:jc w:val="center"/>
              <w:rPr>
                <w:sz w:val="22"/>
              </w:rPr>
            </w:pPr>
            <w:r>
              <w:rPr>
                <w:spacing w:val="-5"/>
                <w:sz w:val="22"/>
              </w:rPr>
              <w:t>NS</w:t>
            </w:r>
          </w:p>
        </w:tc>
      </w:tr>
      <w:tr>
        <w:trPr>
          <w:trHeight w:val="522" w:hRule="atLeast"/>
        </w:trPr>
        <w:tc>
          <w:tcPr>
            <w:tcW w:w="1528" w:type="dxa"/>
            <w:tcBorders>
              <w:bottom w:val="single" w:sz="4" w:space="0" w:color="000000"/>
            </w:tcBorders>
          </w:tcPr>
          <w:p>
            <w:pPr>
              <w:pStyle w:val="TableParagraph"/>
              <w:rPr>
                <w:rFonts w:ascii="Times New Roman"/>
                <w:sz w:val="22"/>
              </w:rPr>
            </w:pPr>
          </w:p>
        </w:tc>
        <w:tc>
          <w:tcPr>
            <w:tcW w:w="2033" w:type="dxa"/>
            <w:tcBorders>
              <w:bottom w:val="single" w:sz="4" w:space="0" w:color="000000"/>
            </w:tcBorders>
          </w:tcPr>
          <w:p>
            <w:pPr>
              <w:pStyle w:val="TableParagraph"/>
              <w:spacing w:before="71"/>
              <w:ind w:left="166"/>
              <w:rPr>
                <w:sz w:val="22"/>
              </w:rPr>
            </w:pPr>
            <w:r>
              <w:rPr>
                <w:sz w:val="22"/>
              </w:rPr>
              <w:t>Honey</w:t>
            </w:r>
            <w:r>
              <w:rPr>
                <w:spacing w:val="-2"/>
                <w:sz w:val="22"/>
              </w:rPr>
              <w:t> (25%)</w:t>
            </w:r>
          </w:p>
        </w:tc>
        <w:tc>
          <w:tcPr>
            <w:tcW w:w="2249" w:type="dxa"/>
            <w:tcBorders>
              <w:bottom w:val="single" w:sz="4" w:space="0" w:color="000000"/>
            </w:tcBorders>
          </w:tcPr>
          <w:p>
            <w:pPr>
              <w:pStyle w:val="TableParagraph"/>
              <w:spacing w:before="71"/>
              <w:ind w:right="408"/>
              <w:jc w:val="right"/>
              <w:rPr>
                <w:sz w:val="22"/>
              </w:rPr>
            </w:pPr>
            <w:r>
              <w:rPr>
                <w:spacing w:val="-2"/>
                <w:sz w:val="22"/>
              </w:rPr>
              <w:t>10.000±0.000</w:t>
            </w:r>
          </w:p>
        </w:tc>
        <w:tc>
          <w:tcPr>
            <w:tcW w:w="1437" w:type="dxa"/>
            <w:tcBorders>
              <w:bottom w:val="single" w:sz="4" w:space="0" w:color="000000"/>
            </w:tcBorders>
          </w:tcPr>
          <w:p>
            <w:pPr>
              <w:pStyle w:val="TableParagraph"/>
              <w:spacing w:before="71"/>
              <w:ind w:right="108"/>
              <w:jc w:val="center"/>
              <w:rPr>
                <w:sz w:val="22"/>
              </w:rPr>
            </w:pPr>
            <w:r>
              <w:rPr>
                <w:spacing w:val="-2"/>
                <w:sz w:val="22"/>
              </w:rPr>
              <w:t>0.002</w:t>
            </w:r>
          </w:p>
        </w:tc>
        <w:tc>
          <w:tcPr>
            <w:tcW w:w="1442" w:type="dxa"/>
            <w:tcBorders>
              <w:bottom w:val="single" w:sz="4" w:space="0" w:color="000000"/>
            </w:tcBorders>
          </w:tcPr>
          <w:p>
            <w:pPr>
              <w:pStyle w:val="TableParagraph"/>
              <w:spacing w:before="71"/>
              <w:ind w:right="153"/>
              <w:jc w:val="center"/>
              <w:rPr>
                <w:sz w:val="22"/>
              </w:rPr>
            </w:pPr>
            <w:r>
              <w:rPr>
                <w:spacing w:val="-5"/>
                <w:sz w:val="22"/>
              </w:rPr>
              <w:t>SF</w:t>
            </w:r>
          </w:p>
        </w:tc>
      </w:tr>
      <w:tr>
        <w:trPr>
          <w:trHeight w:val="376" w:hRule="atLeast"/>
        </w:trPr>
        <w:tc>
          <w:tcPr>
            <w:tcW w:w="1528" w:type="dxa"/>
            <w:tcBorders>
              <w:top w:val="single" w:sz="4" w:space="0" w:color="000000"/>
            </w:tcBorders>
          </w:tcPr>
          <w:p>
            <w:pPr>
              <w:pStyle w:val="TableParagraph"/>
              <w:rPr>
                <w:rFonts w:ascii="Times New Roman"/>
                <w:sz w:val="22"/>
              </w:rPr>
            </w:pPr>
          </w:p>
        </w:tc>
        <w:tc>
          <w:tcPr>
            <w:tcW w:w="2033" w:type="dxa"/>
            <w:tcBorders>
              <w:top w:val="single" w:sz="4" w:space="0" w:color="000000"/>
            </w:tcBorders>
          </w:tcPr>
          <w:p>
            <w:pPr>
              <w:pStyle w:val="TableParagraph"/>
              <w:spacing w:line="265" w:lineRule="exact"/>
              <w:ind w:left="166"/>
              <w:rPr>
                <w:sz w:val="22"/>
              </w:rPr>
            </w:pPr>
            <w:r>
              <w:rPr>
                <w:spacing w:val="-5"/>
                <w:sz w:val="22"/>
              </w:rPr>
              <w:t>CRO</w:t>
            </w:r>
          </w:p>
        </w:tc>
        <w:tc>
          <w:tcPr>
            <w:tcW w:w="2249" w:type="dxa"/>
            <w:tcBorders>
              <w:top w:val="single" w:sz="4" w:space="0" w:color="000000"/>
            </w:tcBorders>
          </w:tcPr>
          <w:p>
            <w:pPr>
              <w:pStyle w:val="TableParagraph"/>
              <w:spacing w:line="265" w:lineRule="exact"/>
              <w:ind w:right="408"/>
              <w:jc w:val="right"/>
              <w:rPr>
                <w:sz w:val="22"/>
              </w:rPr>
            </w:pPr>
            <w:r>
              <w:rPr>
                <w:spacing w:val="-2"/>
                <w:sz w:val="22"/>
              </w:rPr>
              <w:t>25.500±2.500</w:t>
            </w:r>
          </w:p>
        </w:tc>
        <w:tc>
          <w:tcPr>
            <w:tcW w:w="1437" w:type="dxa"/>
            <w:tcBorders>
              <w:top w:val="single" w:sz="4" w:space="0" w:color="000000"/>
            </w:tcBorders>
          </w:tcPr>
          <w:p>
            <w:pPr>
              <w:pStyle w:val="TableParagraph"/>
              <w:spacing w:line="265" w:lineRule="exact"/>
              <w:ind w:right="108"/>
              <w:jc w:val="center"/>
              <w:rPr>
                <w:sz w:val="22"/>
              </w:rPr>
            </w:pPr>
            <w:r>
              <w:rPr>
                <w:spacing w:val="-2"/>
                <w:sz w:val="22"/>
              </w:rPr>
              <w:t>0.002</w:t>
            </w:r>
          </w:p>
        </w:tc>
        <w:tc>
          <w:tcPr>
            <w:tcW w:w="1442" w:type="dxa"/>
            <w:tcBorders>
              <w:top w:val="single" w:sz="4" w:space="0" w:color="000000"/>
            </w:tcBorders>
          </w:tcPr>
          <w:p>
            <w:pPr>
              <w:pStyle w:val="TableParagraph"/>
              <w:spacing w:line="265" w:lineRule="exact"/>
              <w:ind w:right="153"/>
              <w:jc w:val="center"/>
              <w:rPr>
                <w:sz w:val="22"/>
              </w:rPr>
            </w:pPr>
            <w:r>
              <w:rPr>
                <w:spacing w:val="-5"/>
                <w:sz w:val="22"/>
              </w:rPr>
              <w:t>SF</w:t>
            </w:r>
          </w:p>
        </w:tc>
      </w:tr>
      <w:tr>
        <w:trPr>
          <w:trHeight w:val="450" w:hRule="atLeast"/>
        </w:trPr>
        <w:tc>
          <w:tcPr>
            <w:tcW w:w="1528" w:type="dxa"/>
          </w:tcPr>
          <w:p>
            <w:pPr>
              <w:pStyle w:val="TableParagraph"/>
              <w:rPr>
                <w:rFonts w:ascii="Times New Roman"/>
                <w:sz w:val="22"/>
              </w:rPr>
            </w:pPr>
          </w:p>
        </w:tc>
        <w:tc>
          <w:tcPr>
            <w:tcW w:w="2033" w:type="dxa"/>
          </w:tcPr>
          <w:p>
            <w:pPr>
              <w:pStyle w:val="TableParagraph"/>
              <w:spacing w:before="71"/>
              <w:ind w:left="166"/>
              <w:rPr>
                <w:sz w:val="22"/>
              </w:rPr>
            </w:pPr>
            <w:r>
              <w:rPr>
                <w:spacing w:val="-5"/>
                <w:sz w:val="22"/>
              </w:rPr>
              <w:t>CN</w:t>
            </w:r>
          </w:p>
        </w:tc>
        <w:tc>
          <w:tcPr>
            <w:tcW w:w="2249" w:type="dxa"/>
          </w:tcPr>
          <w:p>
            <w:pPr>
              <w:pStyle w:val="TableParagraph"/>
              <w:spacing w:before="71"/>
              <w:ind w:right="408"/>
              <w:jc w:val="right"/>
              <w:rPr>
                <w:sz w:val="22"/>
              </w:rPr>
            </w:pPr>
            <w:r>
              <w:rPr>
                <w:spacing w:val="-2"/>
                <w:sz w:val="22"/>
              </w:rPr>
              <w:t>20.500±0.500</w:t>
            </w:r>
          </w:p>
        </w:tc>
        <w:tc>
          <w:tcPr>
            <w:tcW w:w="1437" w:type="dxa"/>
          </w:tcPr>
          <w:p>
            <w:pPr>
              <w:pStyle w:val="TableParagraph"/>
              <w:spacing w:before="71"/>
              <w:ind w:right="108"/>
              <w:jc w:val="center"/>
              <w:rPr>
                <w:sz w:val="22"/>
              </w:rPr>
            </w:pPr>
            <w:r>
              <w:rPr>
                <w:spacing w:val="-2"/>
                <w:sz w:val="22"/>
              </w:rPr>
              <w:t>0.135</w:t>
            </w:r>
          </w:p>
        </w:tc>
        <w:tc>
          <w:tcPr>
            <w:tcW w:w="1442" w:type="dxa"/>
          </w:tcPr>
          <w:p>
            <w:pPr>
              <w:pStyle w:val="TableParagraph"/>
              <w:spacing w:before="71"/>
              <w:ind w:left="2" w:right="153"/>
              <w:jc w:val="center"/>
              <w:rPr>
                <w:sz w:val="22"/>
              </w:rPr>
            </w:pPr>
            <w:r>
              <w:rPr>
                <w:spacing w:val="-5"/>
                <w:sz w:val="22"/>
              </w:rPr>
              <w:t>NS</w:t>
            </w:r>
          </w:p>
        </w:tc>
      </w:tr>
      <w:tr>
        <w:trPr>
          <w:trHeight w:val="450" w:hRule="atLeast"/>
        </w:trPr>
        <w:tc>
          <w:tcPr>
            <w:tcW w:w="1528" w:type="dxa"/>
          </w:tcPr>
          <w:p>
            <w:pPr>
              <w:pStyle w:val="TableParagraph"/>
              <w:rPr>
                <w:rFonts w:ascii="Times New Roman"/>
                <w:sz w:val="22"/>
              </w:rPr>
            </w:pPr>
          </w:p>
        </w:tc>
        <w:tc>
          <w:tcPr>
            <w:tcW w:w="2033" w:type="dxa"/>
          </w:tcPr>
          <w:p>
            <w:pPr>
              <w:pStyle w:val="TableParagraph"/>
              <w:spacing w:before="70"/>
              <w:ind w:left="166"/>
              <w:rPr>
                <w:sz w:val="22"/>
              </w:rPr>
            </w:pPr>
            <w:r>
              <w:rPr>
                <w:spacing w:val="-5"/>
                <w:sz w:val="22"/>
              </w:rPr>
              <w:t>AMC</w:t>
            </w:r>
          </w:p>
        </w:tc>
        <w:tc>
          <w:tcPr>
            <w:tcW w:w="2249" w:type="dxa"/>
          </w:tcPr>
          <w:p>
            <w:pPr>
              <w:pStyle w:val="TableParagraph"/>
              <w:spacing w:before="70"/>
              <w:ind w:right="408"/>
              <w:jc w:val="right"/>
              <w:rPr>
                <w:sz w:val="22"/>
              </w:rPr>
            </w:pPr>
            <w:r>
              <w:rPr>
                <w:spacing w:val="-2"/>
                <w:sz w:val="22"/>
              </w:rPr>
              <w:t>18.000±0.000</w:t>
            </w:r>
          </w:p>
        </w:tc>
        <w:tc>
          <w:tcPr>
            <w:tcW w:w="1437" w:type="dxa"/>
          </w:tcPr>
          <w:p>
            <w:pPr>
              <w:pStyle w:val="TableParagraph"/>
              <w:spacing w:before="70"/>
              <w:ind w:right="108"/>
              <w:jc w:val="center"/>
              <w:rPr>
                <w:sz w:val="22"/>
              </w:rPr>
            </w:pPr>
            <w:r>
              <w:rPr>
                <w:spacing w:val="-2"/>
                <w:sz w:val="22"/>
              </w:rPr>
              <w:t>0.829</w:t>
            </w:r>
          </w:p>
        </w:tc>
        <w:tc>
          <w:tcPr>
            <w:tcW w:w="1442" w:type="dxa"/>
          </w:tcPr>
          <w:p>
            <w:pPr>
              <w:pStyle w:val="TableParagraph"/>
              <w:spacing w:before="70"/>
              <w:ind w:left="2" w:right="153"/>
              <w:jc w:val="center"/>
              <w:rPr>
                <w:sz w:val="22"/>
              </w:rPr>
            </w:pPr>
            <w:r>
              <w:rPr>
                <w:spacing w:val="-5"/>
                <w:sz w:val="22"/>
              </w:rPr>
              <w:t>NS</w:t>
            </w:r>
          </w:p>
        </w:tc>
      </w:tr>
      <w:tr>
        <w:trPr>
          <w:trHeight w:val="494" w:hRule="atLeast"/>
        </w:trPr>
        <w:tc>
          <w:tcPr>
            <w:tcW w:w="1528" w:type="dxa"/>
          </w:tcPr>
          <w:p>
            <w:pPr>
              <w:pStyle w:val="TableParagraph"/>
              <w:spacing w:before="160"/>
              <w:ind w:right="166"/>
              <w:jc w:val="center"/>
              <w:rPr>
                <w:sz w:val="22"/>
              </w:rPr>
            </w:pPr>
            <w:r>
              <w:rPr>
                <w:sz w:val="22"/>
              </w:rPr>
              <w:t>Honey</w:t>
            </w:r>
            <w:r>
              <w:rPr>
                <w:spacing w:val="-2"/>
                <w:sz w:val="22"/>
              </w:rPr>
              <w:t> (50%)</w:t>
            </w:r>
          </w:p>
        </w:tc>
        <w:tc>
          <w:tcPr>
            <w:tcW w:w="2033" w:type="dxa"/>
          </w:tcPr>
          <w:p>
            <w:pPr>
              <w:pStyle w:val="TableParagraph"/>
              <w:spacing w:before="71"/>
              <w:ind w:left="166"/>
              <w:rPr>
                <w:sz w:val="22"/>
              </w:rPr>
            </w:pPr>
            <w:r>
              <w:rPr>
                <w:spacing w:val="-5"/>
                <w:sz w:val="22"/>
              </w:rPr>
              <w:t>LEV</w:t>
            </w:r>
          </w:p>
        </w:tc>
        <w:tc>
          <w:tcPr>
            <w:tcW w:w="2249" w:type="dxa"/>
          </w:tcPr>
          <w:p>
            <w:pPr>
              <w:pStyle w:val="TableParagraph"/>
              <w:spacing w:before="71"/>
              <w:ind w:right="408"/>
              <w:jc w:val="right"/>
              <w:rPr>
                <w:sz w:val="22"/>
              </w:rPr>
            </w:pPr>
            <w:r>
              <w:rPr>
                <w:spacing w:val="-2"/>
                <w:sz w:val="22"/>
              </w:rPr>
              <w:t>22.500±0.500</w:t>
            </w:r>
          </w:p>
        </w:tc>
        <w:tc>
          <w:tcPr>
            <w:tcW w:w="1437" w:type="dxa"/>
          </w:tcPr>
          <w:p>
            <w:pPr>
              <w:pStyle w:val="TableParagraph"/>
              <w:spacing w:before="71"/>
              <w:ind w:right="108"/>
              <w:jc w:val="center"/>
              <w:rPr>
                <w:sz w:val="22"/>
              </w:rPr>
            </w:pPr>
            <w:r>
              <w:rPr>
                <w:spacing w:val="-2"/>
                <w:sz w:val="22"/>
              </w:rPr>
              <w:t>0.023</w:t>
            </w:r>
          </w:p>
        </w:tc>
        <w:tc>
          <w:tcPr>
            <w:tcW w:w="1442" w:type="dxa"/>
          </w:tcPr>
          <w:p>
            <w:pPr>
              <w:pStyle w:val="TableParagraph"/>
              <w:spacing w:before="71"/>
              <w:ind w:right="153"/>
              <w:jc w:val="center"/>
              <w:rPr>
                <w:sz w:val="22"/>
              </w:rPr>
            </w:pPr>
            <w:r>
              <w:rPr>
                <w:spacing w:val="-5"/>
                <w:sz w:val="22"/>
              </w:rPr>
              <w:t>SF</w:t>
            </w:r>
          </w:p>
        </w:tc>
      </w:tr>
      <w:tr>
        <w:trPr>
          <w:trHeight w:val="538" w:hRule="atLeast"/>
        </w:trPr>
        <w:tc>
          <w:tcPr>
            <w:tcW w:w="1528" w:type="dxa"/>
          </w:tcPr>
          <w:p>
            <w:pPr>
              <w:pStyle w:val="TableParagraph"/>
              <w:rPr>
                <w:rFonts w:ascii="Times New Roman"/>
                <w:sz w:val="22"/>
              </w:rPr>
            </w:pPr>
          </w:p>
        </w:tc>
        <w:tc>
          <w:tcPr>
            <w:tcW w:w="2033" w:type="dxa"/>
          </w:tcPr>
          <w:p>
            <w:pPr>
              <w:pStyle w:val="TableParagraph"/>
              <w:spacing w:before="114"/>
              <w:ind w:left="166"/>
              <w:rPr>
                <w:sz w:val="22"/>
              </w:rPr>
            </w:pPr>
            <w:r>
              <w:rPr>
                <w:spacing w:val="-5"/>
                <w:sz w:val="22"/>
              </w:rPr>
              <w:t>AZM</w:t>
            </w:r>
          </w:p>
        </w:tc>
        <w:tc>
          <w:tcPr>
            <w:tcW w:w="2249" w:type="dxa"/>
          </w:tcPr>
          <w:p>
            <w:pPr>
              <w:pStyle w:val="TableParagraph"/>
              <w:spacing w:before="114"/>
              <w:ind w:right="408"/>
              <w:jc w:val="right"/>
              <w:rPr>
                <w:sz w:val="22"/>
              </w:rPr>
            </w:pPr>
            <w:r>
              <w:rPr>
                <w:spacing w:val="-2"/>
                <w:sz w:val="22"/>
              </w:rPr>
              <w:t>14.500±0.500</w:t>
            </w:r>
          </w:p>
        </w:tc>
        <w:tc>
          <w:tcPr>
            <w:tcW w:w="1437" w:type="dxa"/>
          </w:tcPr>
          <w:p>
            <w:pPr>
              <w:pStyle w:val="TableParagraph"/>
              <w:spacing w:before="114"/>
              <w:ind w:right="108"/>
              <w:jc w:val="center"/>
              <w:rPr>
                <w:sz w:val="22"/>
              </w:rPr>
            </w:pPr>
            <w:r>
              <w:rPr>
                <w:spacing w:val="-2"/>
                <w:sz w:val="22"/>
              </w:rPr>
              <w:t>0.949</w:t>
            </w:r>
          </w:p>
        </w:tc>
        <w:tc>
          <w:tcPr>
            <w:tcW w:w="1442" w:type="dxa"/>
          </w:tcPr>
          <w:p>
            <w:pPr>
              <w:pStyle w:val="TableParagraph"/>
              <w:spacing w:before="25"/>
              <w:ind w:left="2" w:right="153"/>
              <w:jc w:val="center"/>
              <w:rPr>
                <w:sz w:val="22"/>
              </w:rPr>
            </w:pPr>
            <w:r>
              <w:rPr>
                <w:spacing w:val="-5"/>
                <w:sz w:val="22"/>
              </w:rPr>
              <w:t>NS</w:t>
            </w:r>
          </w:p>
        </w:tc>
      </w:tr>
      <w:tr>
        <w:trPr>
          <w:trHeight w:val="494" w:hRule="atLeast"/>
        </w:trPr>
        <w:tc>
          <w:tcPr>
            <w:tcW w:w="1528" w:type="dxa"/>
          </w:tcPr>
          <w:p>
            <w:pPr>
              <w:pStyle w:val="TableParagraph"/>
              <w:rPr>
                <w:rFonts w:ascii="Times New Roman"/>
                <w:sz w:val="22"/>
              </w:rPr>
            </w:pPr>
          </w:p>
        </w:tc>
        <w:tc>
          <w:tcPr>
            <w:tcW w:w="2033" w:type="dxa"/>
          </w:tcPr>
          <w:p>
            <w:pPr>
              <w:pStyle w:val="TableParagraph"/>
              <w:spacing w:before="115"/>
              <w:ind w:left="166"/>
              <w:rPr>
                <w:sz w:val="22"/>
              </w:rPr>
            </w:pPr>
            <w:r>
              <w:rPr>
                <w:sz w:val="22"/>
              </w:rPr>
              <w:t>Honey</w:t>
            </w:r>
            <w:r>
              <w:rPr>
                <w:spacing w:val="-4"/>
                <w:sz w:val="22"/>
              </w:rPr>
              <w:t> </w:t>
            </w:r>
            <w:r>
              <w:rPr>
                <w:spacing w:val="-2"/>
                <w:sz w:val="22"/>
              </w:rPr>
              <w:t>(100%)</w:t>
            </w:r>
          </w:p>
        </w:tc>
        <w:tc>
          <w:tcPr>
            <w:tcW w:w="2249" w:type="dxa"/>
          </w:tcPr>
          <w:p>
            <w:pPr>
              <w:pStyle w:val="TableParagraph"/>
              <w:spacing w:before="115"/>
              <w:ind w:right="408"/>
              <w:jc w:val="right"/>
              <w:rPr>
                <w:sz w:val="22"/>
              </w:rPr>
            </w:pPr>
            <w:r>
              <w:rPr>
                <w:spacing w:val="-2"/>
                <w:sz w:val="22"/>
              </w:rPr>
              <w:t>20.000±0.000</w:t>
            </w:r>
          </w:p>
        </w:tc>
        <w:tc>
          <w:tcPr>
            <w:tcW w:w="1437" w:type="dxa"/>
          </w:tcPr>
          <w:p>
            <w:pPr>
              <w:pStyle w:val="TableParagraph"/>
              <w:spacing w:before="115"/>
              <w:ind w:right="108"/>
              <w:jc w:val="center"/>
              <w:rPr>
                <w:sz w:val="22"/>
              </w:rPr>
            </w:pPr>
            <w:r>
              <w:rPr>
                <w:spacing w:val="-2"/>
                <w:sz w:val="22"/>
              </w:rPr>
              <w:t>0.210</w:t>
            </w:r>
          </w:p>
        </w:tc>
        <w:tc>
          <w:tcPr>
            <w:tcW w:w="1442" w:type="dxa"/>
          </w:tcPr>
          <w:p>
            <w:pPr>
              <w:pStyle w:val="TableParagraph"/>
              <w:spacing w:before="115"/>
              <w:ind w:left="2" w:right="153"/>
              <w:jc w:val="center"/>
              <w:rPr>
                <w:sz w:val="22"/>
              </w:rPr>
            </w:pPr>
            <w:r>
              <w:rPr>
                <w:spacing w:val="-5"/>
                <w:sz w:val="22"/>
              </w:rPr>
              <w:t>NS</w:t>
            </w:r>
          </w:p>
        </w:tc>
      </w:tr>
      <w:tr>
        <w:trPr>
          <w:trHeight w:val="521" w:hRule="atLeast"/>
        </w:trPr>
        <w:tc>
          <w:tcPr>
            <w:tcW w:w="1528" w:type="dxa"/>
            <w:tcBorders>
              <w:bottom w:val="single" w:sz="4" w:space="0" w:color="000000"/>
            </w:tcBorders>
          </w:tcPr>
          <w:p>
            <w:pPr>
              <w:pStyle w:val="TableParagraph"/>
              <w:rPr>
                <w:rFonts w:ascii="Times New Roman"/>
                <w:sz w:val="22"/>
              </w:rPr>
            </w:pPr>
          </w:p>
        </w:tc>
        <w:tc>
          <w:tcPr>
            <w:tcW w:w="2033" w:type="dxa"/>
            <w:tcBorders>
              <w:bottom w:val="single" w:sz="4" w:space="0" w:color="000000"/>
            </w:tcBorders>
          </w:tcPr>
          <w:p>
            <w:pPr>
              <w:pStyle w:val="TableParagraph"/>
              <w:spacing w:before="70"/>
              <w:ind w:left="166"/>
              <w:rPr>
                <w:sz w:val="22"/>
              </w:rPr>
            </w:pPr>
            <w:r>
              <w:rPr>
                <w:sz w:val="22"/>
              </w:rPr>
              <w:t>Honey</w:t>
            </w:r>
            <w:r>
              <w:rPr>
                <w:spacing w:val="-2"/>
                <w:sz w:val="22"/>
              </w:rPr>
              <w:t> (25%)</w:t>
            </w:r>
          </w:p>
        </w:tc>
        <w:tc>
          <w:tcPr>
            <w:tcW w:w="2249" w:type="dxa"/>
            <w:tcBorders>
              <w:bottom w:val="single" w:sz="4" w:space="0" w:color="000000"/>
            </w:tcBorders>
          </w:tcPr>
          <w:p>
            <w:pPr>
              <w:pStyle w:val="TableParagraph"/>
              <w:spacing w:before="70"/>
              <w:ind w:right="408"/>
              <w:jc w:val="right"/>
              <w:rPr>
                <w:sz w:val="22"/>
              </w:rPr>
            </w:pPr>
            <w:r>
              <w:rPr>
                <w:spacing w:val="-2"/>
                <w:sz w:val="22"/>
              </w:rPr>
              <w:t>10.000±0.000</w:t>
            </w:r>
          </w:p>
        </w:tc>
        <w:tc>
          <w:tcPr>
            <w:tcW w:w="1437" w:type="dxa"/>
            <w:tcBorders>
              <w:bottom w:val="single" w:sz="4" w:space="0" w:color="000000"/>
            </w:tcBorders>
          </w:tcPr>
          <w:p>
            <w:pPr>
              <w:pStyle w:val="TableParagraph"/>
              <w:spacing w:before="70"/>
              <w:ind w:right="108"/>
              <w:jc w:val="center"/>
              <w:rPr>
                <w:sz w:val="22"/>
              </w:rPr>
            </w:pPr>
            <w:r>
              <w:rPr>
                <w:spacing w:val="-2"/>
                <w:sz w:val="22"/>
              </w:rPr>
              <w:t>0.035</w:t>
            </w:r>
          </w:p>
        </w:tc>
        <w:tc>
          <w:tcPr>
            <w:tcW w:w="1442" w:type="dxa"/>
            <w:tcBorders>
              <w:bottom w:val="single" w:sz="4" w:space="0" w:color="000000"/>
            </w:tcBorders>
          </w:tcPr>
          <w:p>
            <w:pPr>
              <w:pStyle w:val="TableParagraph"/>
              <w:spacing w:before="70"/>
              <w:ind w:right="153"/>
              <w:jc w:val="center"/>
              <w:rPr>
                <w:sz w:val="22"/>
              </w:rPr>
            </w:pPr>
            <w:r>
              <w:rPr>
                <w:spacing w:val="-5"/>
                <w:sz w:val="22"/>
              </w:rPr>
              <w:t>SF</w:t>
            </w:r>
          </w:p>
        </w:tc>
      </w:tr>
      <w:tr>
        <w:trPr>
          <w:trHeight w:val="378" w:hRule="atLeast"/>
        </w:trPr>
        <w:tc>
          <w:tcPr>
            <w:tcW w:w="1528" w:type="dxa"/>
            <w:tcBorders>
              <w:top w:val="single" w:sz="4" w:space="0" w:color="000000"/>
            </w:tcBorders>
          </w:tcPr>
          <w:p>
            <w:pPr>
              <w:pStyle w:val="TableParagraph"/>
              <w:rPr>
                <w:rFonts w:ascii="Times New Roman"/>
                <w:sz w:val="22"/>
              </w:rPr>
            </w:pPr>
          </w:p>
        </w:tc>
        <w:tc>
          <w:tcPr>
            <w:tcW w:w="2033" w:type="dxa"/>
            <w:tcBorders>
              <w:top w:val="single" w:sz="4" w:space="0" w:color="000000"/>
            </w:tcBorders>
          </w:tcPr>
          <w:p>
            <w:pPr>
              <w:pStyle w:val="TableParagraph"/>
              <w:spacing w:line="268" w:lineRule="exact"/>
              <w:ind w:left="166"/>
              <w:rPr>
                <w:sz w:val="22"/>
              </w:rPr>
            </w:pPr>
            <w:r>
              <w:rPr>
                <w:spacing w:val="-5"/>
                <w:sz w:val="22"/>
              </w:rPr>
              <w:t>CRO</w:t>
            </w:r>
          </w:p>
        </w:tc>
        <w:tc>
          <w:tcPr>
            <w:tcW w:w="2249" w:type="dxa"/>
            <w:tcBorders>
              <w:top w:val="single" w:sz="4" w:space="0" w:color="000000"/>
            </w:tcBorders>
          </w:tcPr>
          <w:p>
            <w:pPr>
              <w:pStyle w:val="TableParagraph"/>
              <w:spacing w:line="268" w:lineRule="exact"/>
              <w:ind w:right="408"/>
              <w:jc w:val="right"/>
              <w:rPr>
                <w:sz w:val="22"/>
              </w:rPr>
            </w:pPr>
            <w:r>
              <w:rPr>
                <w:spacing w:val="-2"/>
                <w:sz w:val="22"/>
              </w:rPr>
              <w:t>25.500±2.500</w:t>
            </w:r>
          </w:p>
        </w:tc>
        <w:tc>
          <w:tcPr>
            <w:tcW w:w="1437" w:type="dxa"/>
            <w:tcBorders>
              <w:top w:val="single" w:sz="4" w:space="0" w:color="000000"/>
            </w:tcBorders>
          </w:tcPr>
          <w:p>
            <w:pPr>
              <w:pStyle w:val="TableParagraph"/>
              <w:spacing w:line="268" w:lineRule="exact"/>
              <w:ind w:right="108"/>
              <w:jc w:val="center"/>
              <w:rPr>
                <w:sz w:val="22"/>
              </w:rPr>
            </w:pPr>
            <w:r>
              <w:rPr>
                <w:spacing w:val="-2"/>
                <w:sz w:val="22"/>
              </w:rPr>
              <w:t>0.000</w:t>
            </w:r>
          </w:p>
        </w:tc>
        <w:tc>
          <w:tcPr>
            <w:tcW w:w="1442" w:type="dxa"/>
            <w:tcBorders>
              <w:top w:val="single" w:sz="4" w:space="0" w:color="000000"/>
            </w:tcBorders>
          </w:tcPr>
          <w:p>
            <w:pPr>
              <w:pStyle w:val="TableParagraph"/>
              <w:spacing w:line="268" w:lineRule="exact"/>
              <w:ind w:right="153"/>
              <w:jc w:val="center"/>
              <w:rPr>
                <w:sz w:val="22"/>
              </w:rPr>
            </w:pPr>
            <w:r>
              <w:rPr>
                <w:spacing w:val="-5"/>
                <w:sz w:val="22"/>
              </w:rPr>
              <w:t>SF</w:t>
            </w:r>
          </w:p>
        </w:tc>
      </w:tr>
      <w:tr>
        <w:trPr>
          <w:trHeight w:val="450" w:hRule="atLeast"/>
        </w:trPr>
        <w:tc>
          <w:tcPr>
            <w:tcW w:w="1528" w:type="dxa"/>
          </w:tcPr>
          <w:p>
            <w:pPr>
              <w:pStyle w:val="TableParagraph"/>
              <w:rPr>
                <w:rFonts w:ascii="Times New Roman"/>
                <w:sz w:val="22"/>
              </w:rPr>
            </w:pPr>
          </w:p>
        </w:tc>
        <w:tc>
          <w:tcPr>
            <w:tcW w:w="2033" w:type="dxa"/>
          </w:tcPr>
          <w:p>
            <w:pPr>
              <w:pStyle w:val="TableParagraph"/>
              <w:spacing w:before="70"/>
              <w:ind w:left="166"/>
              <w:rPr>
                <w:sz w:val="22"/>
              </w:rPr>
            </w:pPr>
            <w:r>
              <w:rPr>
                <w:spacing w:val="-5"/>
                <w:sz w:val="22"/>
              </w:rPr>
              <w:t>CN</w:t>
            </w:r>
          </w:p>
        </w:tc>
        <w:tc>
          <w:tcPr>
            <w:tcW w:w="2249" w:type="dxa"/>
          </w:tcPr>
          <w:p>
            <w:pPr>
              <w:pStyle w:val="TableParagraph"/>
              <w:spacing w:before="70"/>
              <w:ind w:right="408"/>
              <w:jc w:val="right"/>
              <w:rPr>
                <w:sz w:val="22"/>
              </w:rPr>
            </w:pPr>
            <w:r>
              <w:rPr>
                <w:spacing w:val="-2"/>
                <w:sz w:val="22"/>
              </w:rPr>
              <w:t>20.500±0.500</w:t>
            </w:r>
          </w:p>
        </w:tc>
        <w:tc>
          <w:tcPr>
            <w:tcW w:w="1437" w:type="dxa"/>
          </w:tcPr>
          <w:p>
            <w:pPr>
              <w:pStyle w:val="TableParagraph"/>
              <w:spacing w:before="70"/>
              <w:ind w:right="108"/>
              <w:jc w:val="center"/>
              <w:rPr>
                <w:sz w:val="22"/>
              </w:rPr>
            </w:pPr>
            <w:r>
              <w:rPr>
                <w:spacing w:val="-2"/>
                <w:sz w:val="22"/>
              </w:rPr>
              <w:t>0.001</w:t>
            </w:r>
          </w:p>
        </w:tc>
        <w:tc>
          <w:tcPr>
            <w:tcW w:w="1442" w:type="dxa"/>
          </w:tcPr>
          <w:p>
            <w:pPr>
              <w:pStyle w:val="TableParagraph"/>
              <w:spacing w:before="70"/>
              <w:ind w:right="153"/>
              <w:jc w:val="center"/>
              <w:rPr>
                <w:sz w:val="22"/>
              </w:rPr>
            </w:pPr>
            <w:r>
              <w:rPr>
                <w:spacing w:val="-5"/>
                <w:sz w:val="22"/>
              </w:rPr>
              <w:t>SF</w:t>
            </w:r>
          </w:p>
        </w:tc>
      </w:tr>
      <w:tr>
        <w:trPr>
          <w:trHeight w:val="450" w:hRule="atLeast"/>
        </w:trPr>
        <w:tc>
          <w:tcPr>
            <w:tcW w:w="1528" w:type="dxa"/>
          </w:tcPr>
          <w:p>
            <w:pPr>
              <w:pStyle w:val="TableParagraph"/>
              <w:rPr>
                <w:rFonts w:ascii="Times New Roman"/>
                <w:sz w:val="22"/>
              </w:rPr>
            </w:pPr>
          </w:p>
        </w:tc>
        <w:tc>
          <w:tcPr>
            <w:tcW w:w="2033" w:type="dxa"/>
          </w:tcPr>
          <w:p>
            <w:pPr>
              <w:pStyle w:val="TableParagraph"/>
              <w:spacing w:before="71"/>
              <w:ind w:left="166"/>
              <w:rPr>
                <w:sz w:val="22"/>
              </w:rPr>
            </w:pPr>
            <w:r>
              <w:rPr>
                <w:spacing w:val="-5"/>
                <w:sz w:val="22"/>
              </w:rPr>
              <w:t>AMC</w:t>
            </w:r>
          </w:p>
        </w:tc>
        <w:tc>
          <w:tcPr>
            <w:tcW w:w="2249" w:type="dxa"/>
          </w:tcPr>
          <w:p>
            <w:pPr>
              <w:pStyle w:val="TableParagraph"/>
              <w:spacing w:before="71"/>
              <w:ind w:right="408"/>
              <w:jc w:val="right"/>
              <w:rPr>
                <w:sz w:val="22"/>
              </w:rPr>
            </w:pPr>
            <w:r>
              <w:rPr>
                <w:spacing w:val="-2"/>
                <w:sz w:val="22"/>
              </w:rPr>
              <w:t>18.000±0.000</w:t>
            </w:r>
          </w:p>
        </w:tc>
        <w:tc>
          <w:tcPr>
            <w:tcW w:w="1437" w:type="dxa"/>
          </w:tcPr>
          <w:p>
            <w:pPr>
              <w:pStyle w:val="TableParagraph"/>
              <w:spacing w:before="71"/>
              <w:ind w:right="108"/>
              <w:jc w:val="center"/>
              <w:rPr>
                <w:sz w:val="22"/>
              </w:rPr>
            </w:pPr>
            <w:r>
              <w:rPr>
                <w:spacing w:val="-2"/>
                <w:sz w:val="22"/>
              </w:rPr>
              <w:t>0.007</w:t>
            </w:r>
          </w:p>
        </w:tc>
        <w:tc>
          <w:tcPr>
            <w:tcW w:w="1442" w:type="dxa"/>
          </w:tcPr>
          <w:p>
            <w:pPr>
              <w:pStyle w:val="TableParagraph"/>
              <w:spacing w:before="71"/>
              <w:ind w:right="153"/>
              <w:jc w:val="center"/>
              <w:rPr>
                <w:sz w:val="22"/>
              </w:rPr>
            </w:pPr>
            <w:r>
              <w:rPr>
                <w:spacing w:val="-5"/>
                <w:sz w:val="22"/>
              </w:rPr>
              <w:t>SF</w:t>
            </w:r>
          </w:p>
        </w:tc>
      </w:tr>
      <w:tr>
        <w:trPr>
          <w:trHeight w:val="448" w:hRule="atLeast"/>
        </w:trPr>
        <w:tc>
          <w:tcPr>
            <w:tcW w:w="1528" w:type="dxa"/>
          </w:tcPr>
          <w:p>
            <w:pPr>
              <w:pStyle w:val="TableParagraph"/>
              <w:spacing w:before="70"/>
              <w:ind w:right="166"/>
              <w:jc w:val="center"/>
              <w:rPr>
                <w:sz w:val="22"/>
              </w:rPr>
            </w:pPr>
            <w:r>
              <w:rPr>
                <w:sz w:val="22"/>
              </w:rPr>
              <w:t>Honey</w:t>
            </w:r>
            <w:r>
              <w:rPr>
                <w:spacing w:val="-2"/>
                <w:sz w:val="22"/>
              </w:rPr>
              <w:t> (25%)</w:t>
            </w:r>
          </w:p>
        </w:tc>
        <w:tc>
          <w:tcPr>
            <w:tcW w:w="2033" w:type="dxa"/>
          </w:tcPr>
          <w:p>
            <w:pPr>
              <w:pStyle w:val="TableParagraph"/>
              <w:spacing w:before="70"/>
              <w:ind w:left="166"/>
              <w:rPr>
                <w:sz w:val="22"/>
              </w:rPr>
            </w:pPr>
            <w:r>
              <w:rPr>
                <w:spacing w:val="-5"/>
                <w:sz w:val="22"/>
              </w:rPr>
              <w:t>LEV</w:t>
            </w:r>
          </w:p>
        </w:tc>
        <w:tc>
          <w:tcPr>
            <w:tcW w:w="2249" w:type="dxa"/>
          </w:tcPr>
          <w:p>
            <w:pPr>
              <w:pStyle w:val="TableParagraph"/>
              <w:spacing w:before="70"/>
              <w:ind w:right="408"/>
              <w:jc w:val="right"/>
              <w:rPr>
                <w:sz w:val="22"/>
              </w:rPr>
            </w:pPr>
            <w:r>
              <w:rPr>
                <w:spacing w:val="-2"/>
                <w:sz w:val="22"/>
              </w:rPr>
              <w:t>22.500±0.500</w:t>
            </w:r>
          </w:p>
        </w:tc>
        <w:tc>
          <w:tcPr>
            <w:tcW w:w="1437" w:type="dxa"/>
          </w:tcPr>
          <w:p>
            <w:pPr>
              <w:pStyle w:val="TableParagraph"/>
              <w:spacing w:before="70"/>
              <w:ind w:right="108"/>
              <w:jc w:val="center"/>
              <w:rPr>
                <w:sz w:val="22"/>
              </w:rPr>
            </w:pPr>
            <w:r>
              <w:rPr>
                <w:spacing w:val="-2"/>
                <w:sz w:val="22"/>
              </w:rPr>
              <w:t>0.000</w:t>
            </w:r>
          </w:p>
        </w:tc>
        <w:tc>
          <w:tcPr>
            <w:tcW w:w="1442" w:type="dxa"/>
          </w:tcPr>
          <w:p>
            <w:pPr>
              <w:pStyle w:val="TableParagraph"/>
              <w:spacing w:before="70"/>
              <w:ind w:right="153"/>
              <w:jc w:val="center"/>
              <w:rPr>
                <w:sz w:val="22"/>
              </w:rPr>
            </w:pPr>
            <w:r>
              <w:rPr>
                <w:spacing w:val="-5"/>
                <w:sz w:val="22"/>
              </w:rPr>
              <w:t>SF</w:t>
            </w:r>
          </w:p>
        </w:tc>
      </w:tr>
      <w:tr>
        <w:trPr>
          <w:trHeight w:val="450" w:hRule="atLeast"/>
        </w:trPr>
        <w:tc>
          <w:tcPr>
            <w:tcW w:w="1528" w:type="dxa"/>
          </w:tcPr>
          <w:p>
            <w:pPr>
              <w:pStyle w:val="TableParagraph"/>
              <w:rPr>
                <w:rFonts w:ascii="Times New Roman"/>
                <w:sz w:val="22"/>
              </w:rPr>
            </w:pPr>
          </w:p>
        </w:tc>
        <w:tc>
          <w:tcPr>
            <w:tcW w:w="2033" w:type="dxa"/>
          </w:tcPr>
          <w:p>
            <w:pPr>
              <w:pStyle w:val="TableParagraph"/>
              <w:spacing w:before="70"/>
              <w:ind w:left="166"/>
              <w:rPr>
                <w:sz w:val="22"/>
              </w:rPr>
            </w:pPr>
            <w:r>
              <w:rPr>
                <w:spacing w:val="-5"/>
                <w:sz w:val="22"/>
              </w:rPr>
              <w:t>AZM</w:t>
            </w:r>
          </w:p>
        </w:tc>
        <w:tc>
          <w:tcPr>
            <w:tcW w:w="2249" w:type="dxa"/>
          </w:tcPr>
          <w:p>
            <w:pPr>
              <w:pStyle w:val="TableParagraph"/>
              <w:spacing w:before="70"/>
              <w:ind w:right="408"/>
              <w:jc w:val="right"/>
              <w:rPr>
                <w:sz w:val="22"/>
              </w:rPr>
            </w:pPr>
            <w:r>
              <w:rPr>
                <w:spacing w:val="-2"/>
                <w:sz w:val="22"/>
              </w:rPr>
              <w:t>14.500±0.500</w:t>
            </w:r>
          </w:p>
        </w:tc>
        <w:tc>
          <w:tcPr>
            <w:tcW w:w="1437" w:type="dxa"/>
          </w:tcPr>
          <w:p>
            <w:pPr>
              <w:pStyle w:val="TableParagraph"/>
              <w:spacing w:before="70"/>
              <w:ind w:right="108"/>
              <w:jc w:val="center"/>
              <w:rPr>
                <w:sz w:val="22"/>
              </w:rPr>
            </w:pPr>
            <w:r>
              <w:rPr>
                <w:spacing w:val="-2"/>
                <w:sz w:val="22"/>
              </w:rPr>
              <w:t>0.135</w:t>
            </w:r>
          </w:p>
        </w:tc>
        <w:tc>
          <w:tcPr>
            <w:tcW w:w="1442" w:type="dxa"/>
          </w:tcPr>
          <w:p>
            <w:pPr>
              <w:pStyle w:val="TableParagraph"/>
              <w:spacing w:before="70"/>
              <w:ind w:left="2" w:right="153"/>
              <w:jc w:val="center"/>
              <w:rPr>
                <w:sz w:val="22"/>
              </w:rPr>
            </w:pPr>
            <w:r>
              <w:rPr>
                <w:spacing w:val="-5"/>
                <w:sz w:val="22"/>
              </w:rPr>
              <w:t>NS</w:t>
            </w:r>
          </w:p>
        </w:tc>
      </w:tr>
      <w:tr>
        <w:trPr>
          <w:trHeight w:val="450" w:hRule="atLeast"/>
        </w:trPr>
        <w:tc>
          <w:tcPr>
            <w:tcW w:w="1528" w:type="dxa"/>
          </w:tcPr>
          <w:p>
            <w:pPr>
              <w:pStyle w:val="TableParagraph"/>
              <w:rPr>
                <w:rFonts w:ascii="Times New Roman"/>
                <w:sz w:val="22"/>
              </w:rPr>
            </w:pPr>
          </w:p>
        </w:tc>
        <w:tc>
          <w:tcPr>
            <w:tcW w:w="2033" w:type="dxa"/>
          </w:tcPr>
          <w:p>
            <w:pPr>
              <w:pStyle w:val="TableParagraph"/>
              <w:spacing w:before="71"/>
              <w:ind w:left="166"/>
              <w:rPr>
                <w:sz w:val="22"/>
              </w:rPr>
            </w:pPr>
            <w:r>
              <w:rPr>
                <w:sz w:val="22"/>
              </w:rPr>
              <w:t>Honey</w:t>
            </w:r>
            <w:r>
              <w:rPr>
                <w:spacing w:val="-4"/>
                <w:sz w:val="22"/>
              </w:rPr>
              <w:t> </w:t>
            </w:r>
            <w:r>
              <w:rPr>
                <w:spacing w:val="-2"/>
                <w:sz w:val="22"/>
              </w:rPr>
              <w:t>(100%)</w:t>
            </w:r>
          </w:p>
        </w:tc>
        <w:tc>
          <w:tcPr>
            <w:tcW w:w="2249" w:type="dxa"/>
          </w:tcPr>
          <w:p>
            <w:pPr>
              <w:pStyle w:val="TableParagraph"/>
              <w:spacing w:before="71"/>
              <w:ind w:right="408"/>
              <w:jc w:val="right"/>
              <w:rPr>
                <w:sz w:val="22"/>
              </w:rPr>
            </w:pPr>
            <w:r>
              <w:rPr>
                <w:spacing w:val="-2"/>
                <w:sz w:val="22"/>
              </w:rPr>
              <w:t>20.000±0.000</w:t>
            </w:r>
          </w:p>
        </w:tc>
        <w:tc>
          <w:tcPr>
            <w:tcW w:w="1437" w:type="dxa"/>
          </w:tcPr>
          <w:p>
            <w:pPr>
              <w:pStyle w:val="TableParagraph"/>
              <w:spacing w:before="71"/>
              <w:ind w:right="108"/>
              <w:jc w:val="center"/>
              <w:rPr>
                <w:sz w:val="22"/>
              </w:rPr>
            </w:pPr>
            <w:r>
              <w:rPr>
                <w:spacing w:val="-2"/>
                <w:sz w:val="22"/>
              </w:rPr>
              <w:t>0.002</w:t>
            </w:r>
          </w:p>
        </w:tc>
        <w:tc>
          <w:tcPr>
            <w:tcW w:w="1442" w:type="dxa"/>
          </w:tcPr>
          <w:p>
            <w:pPr>
              <w:pStyle w:val="TableParagraph"/>
              <w:spacing w:before="71"/>
              <w:ind w:right="153"/>
              <w:jc w:val="center"/>
              <w:rPr>
                <w:sz w:val="22"/>
              </w:rPr>
            </w:pPr>
            <w:r>
              <w:rPr>
                <w:spacing w:val="-5"/>
                <w:sz w:val="22"/>
              </w:rPr>
              <w:t>SF</w:t>
            </w:r>
          </w:p>
        </w:tc>
      </w:tr>
      <w:tr>
        <w:trPr>
          <w:trHeight w:val="524" w:hRule="atLeast"/>
        </w:trPr>
        <w:tc>
          <w:tcPr>
            <w:tcW w:w="1528" w:type="dxa"/>
            <w:tcBorders>
              <w:bottom w:val="single" w:sz="4" w:space="0" w:color="000000"/>
            </w:tcBorders>
          </w:tcPr>
          <w:p>
            <w:pPr>
              <w:pStyle w:val="TableParagraph"/>
              <w:rPr>
                <w:rFonts w:ascii="Times New Roman"/>
                <w:sz w:val="22"/>
              </w:rPr>
            </w:pPr>
          </w:p>
        </w:tc>
        <w:tc>
          <w:tcPr>
            <w:tcW w:w="2033" w:type="dxa"/>
            <w:tcBorders>
              <w:bottom w:val="single" w:sz="4" w:space="0" w:color="000000"/>
            </w:tcBorders>
          </w:tcPr>
          <w:p>
            <w:pPr>
              <w:pStyle w:val="TableParagraph"/>
              <w:spacing w:before="70"/>
              <w:ind w:left="166"/>
              <w:rPr>
                <w:sz w:val="22"/>
              </w:rPr>
            </w:pPr>
            <w:r>
              <w:rPr>
                <w:sz w:val="22"/>
              </w:rPr>
              <w:t>Honey</w:t>
            </w:r>
            <w:r>
              <w:rPr>
                <w:spacing w:val="-2"/>
                <w:sz w:val="22"/>
              </w:rPr>
              <w:t> (50%)</w:t>
            </w:r>
          </w:p>
        </w:tc>
        <w:tc>
          <w:tcPr>
            <w:tcW w:w="2249" w:type="dxa"/>
            <w:tcBorders>
              <w:bottom w:val="single" w:sz="4" w:space="0" w:color="000000"/>
            </w:tcBorders>
          </w:tcPr>
          <w:p>
            <w:pPr>
              <w:pStyle w:val="TableParagraph"/>
              <w:spacing w:before="70"/>
              <w:ind w:right="408"/>
              <w:jc w:val="right"/>
              <w:rPr>
                <w:sz w:val="22"/>
              </w:rPr>
            </w:pPr>
            <w:r>
              <w:rPr>
                <w:spacing w:val="-2"/>
                <w:sz w:val="22"/>
              </w:rPr>
              <w:t>16.000±1.000</w:t>
            </w:r>
          </w:p>
        </w:tc>
        <w:tc>
          <w:tcPr>
            <w:tcW w:w="1437" w:type="dxa"/>
            <w:tcBorders>
              <w:bottom w:val="single" w:sz="4" w:space="0" w:color="000000"/>
            </w:tcBorders>
          </w:tcPr>
          <w:p>
            <w:pPr>
              <w:pStyle w:val="TableParagraph"/>
              <w:spacing w:before="70"/>
              <w:ind w:right="108"/>
              <w:jc w:val="center"/>
              <w:rPr>
                <w:sz w:val="22"/>
              </w:rPr>
            </w:pPr>
            <w:r>
              <w:rPr>
                <w:spacing w:val="-2"/>
                <w:sz w:val="22"/>
              </w:rPr>
              <w:t>0.035</w:t>
            </w:r>
          </w:p>
        </w:tc>
        <w:tc>
          <w:tcPr>
            <w:tcW w:w="1442" w:type="dxa"/>
            <w:tcBorders>
              <w:bottom w:val="single" w:sz="4" w:space="0" w:color="000000"/>
            </w:tcBorders>
          </w:tcPr>
          <w:p>
            <w:pPr>
              <w:pStyle w:val="TableParagraph"/>
              <w:spacing w:before="70"/>
              <w:ind w:right="153"/>
              <w:jc w:val="center"/>
              <w:rPr>
                <w:sz w:val="22"/>
              </w:rPr>
            </w:pPr>
            <w:r>
              <w:rPr>
                <w:spacing w:val="-5"/>
                <w:sz w:val="22"/>
              </w:rPr>
              <w:t>SF</w:t>
            </w:r>
          </w:p>
        </w:tc>
      </w:tr>
    </w:tbl>
    <w:p>
      <w:pPr>
        <w:pStyle w:val="BodyText"/>
        <w:spacing w:line="400" w:lineRule="auto" w:before="25"/>
        <w:ind w:left="430" w:right="3485" w:hanging="51"/>
      </w:pPr>
      <w:r>
        <w:rPr/>
        <w:t>Key</w:t>
      </w:r>
      <w:r>
        <w:rPr>
          <w:b/>
        </w:rPr>
        <w:t>:</w:t>
      </w:r>
      <w:r>
        <w:rPr>
          <w:b/>
          <w:spacing w:val="-7"/>
        </w:rPr>
        <w:t> </w:t>
      </w:r>
      <w:r>
        <w:rPr/>
        <w:t>LOS=Level</w:t>
      </w:r>
      <w:r>
        <w:rPr>
          <w:spacing w:val="-6"/>
        </w:rPr>
        <w:t> </w:t>
      </w:r>
      <w:r>
        <w:rPr/>
        <w:t>of</w:t>
      </w:r>
      <w:r>
        <w:rPr>
          <w:spacing w:val="-5"/>
        </w:rPr>
        <w:t> </w:t>
      </w:r>
      <w:r>
        <w:rPr/>
        <w:t>Significance;</w:t>
      </w:r>
      <w:r>
        <w:rPr>
          <w:spacing w:val="-5"/>
        </w:rPr>
        <w:t> </w:t>
      </w:r>
      <w:r>
        <w:rPr/>
        <w:t>NS=Not</w:t>
      </w:r>
      <w:r>
        <w:rPr>
          <w:spacing w:val="-5"/>
        </w:rPr>
        <w:t> </w:t>
      </w:r>
      <w:r>
        <w:rPr/>
        <w:t>significantly</w:t>
      </w:r>
      <w:r>
        <w:rPr>
          <w:spacing w:val="-5"/>
        </w:rPr>
        <w:t> </w:t>
      </w:r>
      <w:r>
        <w:rPr/>
        <w:t>different; SF=Significantly different.</w:t>
      </w:r>
    </w:p>
    <w:p>
      <w:pPr>
        <w:spacing w:after="0" w:line="400" w:lineRule="auto"/>
        <w:sectPr>
          <w:pgSz w:w="11910" w:h="16840"/>
          <w:pgMar w:header="0" w:footer="1055" w:top="140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3"/>
      </w:pPr>
    </w:p>
    <w:p>
      <w:pPr>
        <w:pStyle w:val="Heading3"/>
        <w:spacing w:line="259" w:lineRule="auto"/>
        <w:ind w:left="1513" w:right="975" w:hanging="1133"/>
        <w:rPr>
          <w:i/>
        </w:rPr>
      </w:pPr>
      <w:r>
        <w:rPr/>
        <w:t>Table</w:t>
      </w:r>
      <w:r>
        <w:rPr>
          <w:spacing w:val="-3"/>
        </w:rPr>
        <w:t> </w:t>
      </w:r>
      <w:r>
        <w:rPr/>
        <w:t>4.13:</w:t>
      </w:r>
      <w:r>
        <w:rPr>
          <w:spacing w:val="-3"/>
        </w:rPr>
        <w:t> </w:t>
      </w:r>
      <w:r>
        <w:rPr/>
        <w:t>Comparing</w:t>
      </w:r>
      <w:r>
        <w:rPr>
          <w:spacing w:val="-4"/>
        </w:rPr>
        <w:t> </w:t>
      </w:r>
      <w:r>
        <w:rPr/>
        <w:t>the</w:t>
      </w:r>
      <w:r>
        <w:rPr>
          <w:spacing w:val="-5"/>
        </w:rPr>
        <w:t> </w:t>
      </w:r>
      <w:r>
        <w:rPr/>
        <w:t>Mean</w:t>
      </w:r>
      <w:r>
        <w:rPr>
          <w:spacing w:val="-3"/>
        </w:rPr>
        <w:t> </w:t>
      </w:r>
      <w:r>
        <w:rPr/>
        <w:t>zone</w:t>
      </w:r>
      <w:r>
        <w:rPr>
          <w:spacing w:val="-3"/>
        </w:rPr>
        <w:t> </w:t>
      </w:r>
      <w:r>
        <w:rPr/>
        <w:t>of</w:t>
      </w:r>
      <w:r>
        <w:rPr>
          <w:spacing w:val="-2"/>
        </w:rPr>
        <w:t> </w:t>
      </w:r>
      <w:r>
        <w:rPr/>
        <w:t>inhiition</w:t>
      </w:r>
      <w:r>
        <w:rPr>
          <w:spacing w:val="-3"/>
        </w:rPr>
        <w:t> </w:t>
      </w:r>
      <w:r>
        <w:rPr/>
        <w:t>of</w:t>
      </w:r>
      <w:r>
        <w:rPr>
          <w:spacing w:val="-2"/>
        </w:rPr>
        <w:t> </w:t>
      </w:r>
      <w:r>
        <w:rPr/>
        <w:t>Honey</w:t>
      </w:r>
      <w:r>
        <w:rPr>
          <w:spacing w:val="-2"/>
        </w:rPr>
        <w:t> </w:t>
      </w:r>
      <w:r>
        <w:rPr/>
        <w:t>and</w:t>
      </w:r>
      <w:r>
        <w:rPr>
          <w:spacing w:val="-3"/>
        </w:rPr>
        <w:t> </w:t>
      </w:r>
      <w:r>
        <w:rPr/>
        <w:t>the</w:t>
      </w:r>
      <w:r>
        <w:rPr>
          <w:spacing w:val="-3"/>
        </w:rPr>
        <w:t> </w:t>
      </w:r>
      <w:r>
        <w:rPr/>
        <w:t>Standard</w:t>
      </w:r>
      <w:r>
        <w:rPr>
          <w:spacing w:val="-3"/>
        </w:rPr>
        <w:t> </w:t>
      </w:r>
      <w:r>
        <w:rPr/>
        <w:t>antibiotic formulations against </w:t>
      </w:r>
      <w:r>
        <w:rPr>
          <w:i/>
        </w:rPr>
        <w:t>Pseudomonas aeruginosa</w:t>
      </w:r>
    </w:p>
    <w:p>
      <w:pPr>
        <w:pStyle w:val="BodyText"/>
        <w:spacing w:before="6"/>
        <w:rPr>
          <w:b/>
          <w:i/>
          <w:sz w:val="11"/>
        </w:rPr>
      </w:pPr>
      <w:r>
        <w:rPr/>
        <mc:AlternateContent>
          <mc:Choice Requires="wps">
            <w:drawing>
              <wp:anchor distT="0" distB="0" distL="0" distR="0" allowOverlap="1" layoutInCell="1" locked="0" behindDoc="1" simplePos="0" relativeHeight="487672832">
                <wp:simplePos x="0" y="0"/>
                <wp:positionH relativeFrom="page">
                  <wp:posOffset>846124</wp:posOffset>
                </wp:positionH>
                <wp:positionV relativeFrom="paragraph">
                  <wp:posOffset>104533</wp:posOffset>
                </wp:positionV>
                <wp:extent cx="5487670" cy="6350"/>
                <wp:effectExtent l="0" t="0" r="0" b="0"/>
                <wp:wrapTopAndBottom/>
                <wp:docPr id="486" name="Graphic 486"/>
                <wp:cNvGraphicFramePr>
                  <a:graphicFrameLocks/>
                </wp:cNvGraphicFramePr>
                <a:graphic>
                  <a:graphicData uri="http://schemas.microsoft.com/office/word/2010/wordprocessingShape">
                    <wps:wsp>
                      <wps:cNvPr id="486" name="Graphic 486"/>
                      <wps:cNvSpPr/>
                      <wps:spPr>
                        <a:xfrm>
                          <a:off x="0" y="0"/>
                          <a:ext cx="5487670" cy="6350"/>
                        </a:xfrm>
                        <a:custGeom>
                          <a:avLst/>
                          <a:gdLst/>
                          <a:ahLst/>
                          <a:cxnLst/>
                          <a:rect l="l" t="t" r="r" b="b"/>
                          <a:pathLst>
                            <a:path w="5487670" h="6350">
                              <a:moveTo>
                                <a:pt x="982916" y="0"/>
                              </a:moveTo>
                              <a:lnTo>
                                <a:pt x="976871" y="0"/>
                              </a:lnTo>
                              <a:lnTo>
                                <a:pt x="0" y="0"/>
                              </a:lnTo>
                              <a:lnTo>
                                <a:pt x="0" y="6096"/>
                              </a:lnTo>
                              <a:lnTo>
                                <a:pt x="976833" y="6096"/>
                              </a:lnTo>
                              <a:lnTo>
                                <a:pt x="982916" y="6096"/>
                              </a:lnTo>
                              <a:lnTo>
                                <a:pt x="982916" y="0"/>
                              </a:lnTo>
                              <a:close/>
                            </a:path>
                            <a:path w="5487670" h="6350">
                              <a:moveTo>
                                <a:pt x="2400503" y="0"/>
                              </a:moveTo>
                              <a:lnTo>
                                <a:pt x="982929" y="0"/>
                              </a:lnTo>
                              <a:lnTo>
                                <a:pt x="982929" y="6096"/>
                              </a:lnTo>
                              <a:lnTo>
                                <a:pt x="2400503" y="6096"/>
                              </a:lnTo>
                              <a:lnTo>
                                <a:pt x="2400503" y="0"/>
                              </a:lnTo>
                              <a:close/>
                            </a:path>
                            <a:path w="5487670" h="6350">
                              <a:moveTo>
                                <a:pt x="4460100" y="0"/>
                              </a:moveTo>
                              <a:lnTo>
                                <a:pt x="4460100" y="0"/>
                              </a:lnTo>
                              <a:lnTo>
                                <a:pt x="2400630" y="0"/>
                              </a:lnTo>
                              <a:lnTo>
                                <a:pt x="2400630" y="6096"/>
                              </a:lnTo>
                              <a:lnTo>
                                <a:pt x="4460100" y="6096"/>
                              </a:lnTo>
                              <a:lnTo>
                                <a:pt x="4460100" y="0"/>
                              </a:lnTo>
                              <a:close/>
                            </a:path>
                            <a:path w="5487670" h="6350">
                              <a:moveTo>
                                <a:pt x="4466272" y="0"/>
                              </a:moveTo>
                              <a:lnTo>
                                <a:pt x="4460189" y="0"/>
                              </a:lnTo>
                              <a:lnTo>
                                <a:pt x="4460189" y="6096"/>
                              </a:lnTo>
                              <a:lnTo>
                                <a:pt x="4466272" y="6096"/>
                              </a:lnTo>
                              <a:lnTo>
                                <a:pt x="4466272" y="0"/>
                              </a:lnTo>
                              <a:close/>
                            </a:path>
                            <a:path w="5487670" h="6350">
                              <a:moveTo>
                                <a:pt x="5487670" y="0"/>
                              </a:moveTo>
                              <a:lnTo>
                                <a:pt x="4466285" y="0"/>
                              </a:lnTo>
                              <a:lnTo>
                                <a:pt x="4466285" y="6096"/>
                              </a:lnTo>
                              <a:lnTo>
                                <a:pt x="5487670" y="6096"/>
                              </a:lnTo>
                              <a:lnTo>
                                <a:pt x="5487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8.230989pt;width:432.1pt;height:.5pt;mso-position-horizontal-relative:page;mso-position-vertical-relative:paragraph;z-index:-15643648;mso-wrap-distance-left:0;mso-wrap-distance-right:0" id="docshape431" coordorigin="1332,165" coordsize="8642,10" path="m2880,165l2871,165,2871,165,1332,165,1332,174,2871,174,2871,174,2880,174,2880,165xm5113,165l2880,165,2880,174,5113,174,5113,165xm8356,165l7103,165,7093,165,7093,165,5123,165,5113,165,5113,174,5123,174,7093,174,7093,174,7103,174,8356,174,8356,165xm8366,165l8356,165,8356,174,8366,174,8366,165xm9974,165l8366,165,8366,174,9974,174,9974,165xe" filled="true" fillcolor="#000000" stroked="false">
                <v:path arrowok="t"/>
                <v:fill type="solid"/>
                <w10:wrap type="topAndBottom"/>
              </v:shape>
            </w:pict>
          </mc:Fallback>
        </mc:AlternateContent>
      </w:r>
    </w:p>
    <w:p>
      <w:pPr>
        <w:pStyle w:val="BodyText"/>
        <w:rPr>
          <w:b/>
          <w:i/>
          <w:sz w:val="20"/>
        </w:rPr>
      </w:pPr>
    </w:p>
    <w:p>
      <w:pPr>
        <w:pStyle w:val="BodyText"/>
        <w:spacing w:before="1"/>
        <w:rPr>
          <w:b/>
          <w:i/>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4"/>
        <w:gridCol w:w="2025"/>
        <w:gridCol w:w="2192"/>
        <w:gridCol w:w="1473"/>
        <w:gridCol w:w="1449"/>
      </w:tblGrid>
      <w:tr>
        <w:trPr>
          <w:trHeight w:val="859" w:hRule="atLeast"/>
        </w:trPr>
        <w:tc>
          <w:tcPr>
            <w:tcW w:w="1504" w:type="dxa"/>
            <w:tcBorders>
              <w:bottom w:val="single" w:sz="4" w:space="0" w:color="000000"/>
            </w:tcBorders>
          </w:tcPr>
          <w:p>
            <w:pPr>
              <w:pStyle w:val="TableParagraph"/>
              <w:spacing w:line="225" w:lineRule="exact"/>
              <w:ind w:left="108"/>
              <w:rPr>
                <w:sz w:val="22"/>
              </w:rPr>
            </w:pPr>
            <w:r>
              <w:rPr>
                <w:sz w:val="22"/>
              </w:rPr>
              <w:t>(I)</w:t>
            </w:r>
            <w:r>
              <w:rPr>
                <w:spacing w:val="-2"/>
                <w:sz w:val="22"/>
              </w:rPr>
              <w:t> Group</w:t>
            </w:r>
          </w:p>
        </w:tc>
        <w:tc>
          <w:tcPr>
            <w:tcW w:w="2025" w:type="dxa"/>
            <w:tcBorders>
              <w:bottom w:val="single" w:sz="4" w:space="0" w:color="000000"/>
            </w:tcBorders>
          </w:tcPr>
          <w:p>
            <w:pPr>
              <w:pStyle w:val="TableParagraph"/>
              <w:spacing w:line="225" w:lineRule="exact"/>
              <w:ind w:left="142"/>
              <w:rPr>
                <w:sz w:val="22"/>
              </w:rPr>
            </w:pPr>
            <w:r>
              <w:rPr>
                <w:sz w:val="22"/>
              </w:rPr>
              <w:t>(J)</w:t>
            </w:r>
            <w:r>
              <w:rPr>
                <w:spacing w:val="-2"/>
                <w:sz w:val="22"/>
              </w:rPr>
              <w:t> Group</w:t>
            </w:r>
          </w:p>
        </w:tc>
        <w:tc>
          <w:tcPr>
            <w:tcW w:w="2192" w:type="dxa"/>
            <w:tcBorders>
              <w:bottom w:val="single" w:sz="4" w:space="0" w:color="000000"/>
            </w:tcBorders>
          </w:tcPr>
          <w:p>
            <w:pPr>
              <w:pStyle w:val="TableParagraph"/>
              <w:spacing w:line="225" w:lineRule="exact"/>
              <w:ind w:right="434"/>
              <w:jc w:val="right"/>
              <w:rPr>
                <w:sz w:val="22"/>
              </w:rPr>
            </w:pPr>
            <w:r>
              <w:rPr>
                <w:spacing w:val="-2"/>
                <w:sz w:val="22"/>
              </w:rPr>
              <w:t>Mean±SEM</w:t>
            </w:r>
          </w:p>
        </w:tc>
        <w:tc>
          <w:tcPr>
            <w:tcW w:w="1473" w:type="dxa"/>
            <w:tcBorders>
              <w:bottom w:val="single" w:sz="4" w:space="0" w:color="000000"/>
            </w:tcBorders>
          </w:tcPr>
          <w:p>
            <w:pPr>
              <w:pStyle w:val="TableParagraph"/>
              <w:spacing w:line="225" w:lineRule="exact"/>
              <w:ind w:right="132"/>
              <w:jc w:val="center"/>
              <w:rPr>
                <w:sz w:val="22"/>
              </w:rPr>
            </w:pPr>
            <w:r>
              <w:rPr>
                <w:sz w:val="22"/>
              </w:rPr>
              <w:t>P-</w:t>
            </w:r>
            <w:r>
              <w:rPr>
                <w:spacing w:val="-2"/>
                <w:sz w:val="22"/>
              </w:rPr>
              <w:t>value</w:t>
            </w:r>
          </w:p>
        </w:tc>
        <w:tc>
          <w:tcPr>
            <w:tcW w:w="1449" w:type="dxa"/>
            <w:tcBorders>
              <w:bottom w:val="single" w:sz="4" w:space="0" w:color="000000"/>
            </w:tcBorders>
          </w:tcPr>
          <w:p>
            <w:pPr>
              <w:pStyle w:val="TableParagraph"/>
              <w:spacing w:line="225" w:lineRule="exact"/>
              <w:ind w:right="635"/>
              <w:jc w:val="right"/>
              <w:rPr>
                <w:sz w:val="22"/>
              </w:rPr>
            </w:pPr>
            <w:r>
              <w:rPr>
                <w:spacing w:val="-5"/>
                <w:sz w:val="22"/>
              </w:rPr>
              <w:t>LOS</w:t>
            </w:r>
          </w:p>
        </w:tc>
      </w:tr>
      <w:tr>
        <w:trPr>
          <w:trHeight w:val="376" w:hRule="atLeast"/>
        </w:trPr>
        <w:tc>
          <w:tcPr>
            <w:tcW w:w="1504" w:type="dxa"/>
            <w:tcBorders>
              <w:top w:val="single" w:sz="4" w:space="0" w:color="000000"/>
            </w:tcBorders>
          </w:tcPr>
          <w:p>
            <w:pPr>
              <w:pStyle w:val="TableParagraph"/>
              <w:rPr>
                <w:rFonts w:ascii="Times New Roman"/>
                <w:sz w:val="22"/>
              </w:rPr>
            </w:pPr>
          </w:p>
        </w:tc>
        <w:tc>
          <w:tcPr>
            <w:tcW w:w="2025" w:type="dxa"/>
            <w:tcBorders>
              <w:top w:val="single" w:sz="4" w:space="0" w:color="000000"/>
            </w:tcBorders>
          </w:tcPr>
          <w:p>
            <w:pPr>
              <w:pStyle w:val="TableParagraph"/>
              <w:spacing w:line="265" w:lineRule="exact"/>
              <w:ind w:left="142"/>
              <w:rPr>
                <w:sz w:val="22"/>
              </w:rPr>
            </w:pPr>
            <w:r>
              <w:rPr>
                <w:spacing w:val="-5"/>
                <w:sz w:val="22"/>
              </w:rPr>
              <w:t>CRO</w:t>
            </w:r>
          </w:p>
        </w:tc>
        <w:tc>
          <w:tcPr>
            <w:tcW w:w="2192" w:type="dxa"/>
            <w:tcBorders>
              <w:top w:val="single" w:sz="4" w:space="0" w:color="000000"/>
            </w:tcBorders>
          </w:tcPr>
          <w:p>
            <w:pPr>
              <w:pStyle w:val="TableParagraph"/>
              <w:spacing w:line="265" w:lineRule="exact"/>
              <w:ind w:right="336"/>
              <w:jc w:val="right"/>
              <w:rPr>
                <w:sz w:val="22"/>
              </w:rPr>
            </w:pPr>
            <w:r>
              <w:rPr>
                <w:spacing w:val="-2"/>
                <w:sz w:val="22"/>
              </w:rPr>
              <w:t>20.083±0.701</w:t>
            </w:r>
          </w:p>
        </w:tc>
        <w:tc>
          <w:tcPr>
            <w:tcW w:w="1473" w:type="dxa"/>
            <w:tcBorders>
              <w:top w:val="single" w:sz="4" w:space="0" w:color="000000"/>
            </w:tcBorders>
          </w:tcPr>
          <w:p>
            <w:pPr>
              <w:pStyle w:val="TableParagraph"/>
              <w:spacing w:line="265" w:lineRule="exact"/>
              <w:ind w:left="3" w:right="132"/>
              <w:jc w:val="center"/>
              <w:rPr>
                <w:sz w:val="22"/>
              </w:rPr>
            </w:pPr>
            <w:r>
              <w:rPr>
                <w:spacing w:val="-2"/>
                <w:sz w:val="22"/>
              </w:rPr>
              <w:t>0.795</w:t>
            </w:r>
          </w:p>
        </w:tc>
        <w:tc>
          <w:tcPr>
            <w:tcW w:w="1449" w:type="dxa"/>
            <w:tcBorders>
              <w:top w:val="single" w:sz="4" w:space="0" w:color="000000"/>
            </w:tcBorders>
          </w:tcPr>
          <w:p>
            <w:pPr>
              <w:pStyle w:val="TableParagraph"/>
              <w:spacing w:line="265" w:lineRule="exact"/>
              <w:ind w:right="686"/>
              <w:jc w:val="right"/>
              <w:rPr>
                <w:sz w:val="22"/>
              </w:rPr>
            </w:pPr>
            <w:r>
              <w:rPr>
                <w:spacing w:val="-5"/>
                <w:sz w:val="22"/>
              </w:rPr>
              <w:t>NS</w:t>
            </w:r>
          </w:p>
        </w:tc>
      </w:tr>
      <w:tr>
        <w:trPr>
          <w:trHeight w:val="450" w:hRule="atLeast"/>
        </w:trPr>
        <w:tc>
          <w:tcPr>
            <w:tcW w:w="1504" w:type="dxa"/>
          </w:tcPr>
          <w:p>
            <w:pPr>
              <w:pStyle w:val="TableParagraph"/>
              <w:rPr>
                <w:rFonts w:ascii="Times New Roman"/>
                <w:sz w:val="22"/>
              </w:rPr>
            </w:pPr>
          </w:p>
        </w:tc>
        <w:tc>
          <w:tcPr>
            <w:tcW w:w="2025" w:type="dxa"/>
          </w:tcPr>
          <w:p>
            <w:pPr>
              <w:pStyle w:val="TableParagraph"/>
              <w:spacing w:before="71"/>
              <w:ind w:left="142"/>
              <w:rPr>
                <w:sz w:val="22"/>
              </w:rPr>
            </w:pPr>
            <w:r>
              <w:rPr>
                <w:spacing w:val="-5"/>
                <w:sz w:val="22"/>
              </w:rPr>
              <w:t>CN</w:t>
            </w:r>
          </w:p>
        </w:tc>
        <w:tc>
          <w:tcPr>
            <w:tcW w:w="2192" w:type="dxa"/>
          </w:tcPr>
          <w:p>
            <w:pPr>
              <w:pStyle w:val="TableParagraph"/>
              <w:spacing w:before="71"/>
              <w:ind w:right="336"/>
              <w:jc w:val="right"/>
              <w:rPr>
                <w:sz w:val="22"/>
              </w:rPr>
            </w:pPr>
            <w:r>
              <w:rPr>
                <w:spacing w:val="-2"/>
                <w:sz w:val="22"/>
              </w:rPr>
              <w:t>20.333±0.541</w:t>
            </w:r>
          </w:p>
        </w:tc>
        <w:tc>
          <w:tcPr>
            <w:tcW w:w="1473" w:type="dxa"/>
          </w:tcPr>
          <w:p>
            <w:pPr>
              <w:pStyle w:val="TableParagraph"/>
              <w:spacing w:before="71"/>
              <w:ind w:left="3" w:right="132"/>
              <w:jc w:val="center"/>
              <w:rPr>
                <w:sz w:val="22"/>
              </w:rPr>
            </w:pPr>
            <w:r>
              <w:rPr>
                <w:spacing w:val="-2"/>
                <w:sz w:val="22"/>
              </w:rPr>
              <w:t>0.882</w:t>
            </w:r>
          </w:p>
        </w:tc>
        <w:tc>
          <w:tcPr>
            <w:tcW w:w="1449" w:type="dxa"/>
          </w:tcPr>
          <w:p>
            <w:pPr>
              <w:pStyle w:val="TableParagraph"/>
              <w:spacing w:before="71"/>
              <w:ind w:right="686"/>
              <w:jc w:val="right"/>
              <w:rPr>
                <w:sz w:val="22"/>
              </w:rPr>
            </w:pPr>
            <w:r>
              <w:rPr>
                <w:spacing w:val="-5"/>
                <w:sz w:val="22"/>
              </w:rPr>
              <w:t>NS</w:t>
            </w:r>
          </w:p>
        </w:tc>
      </w:tr>
      <w:tr>
        <w:trPr>
          <w:trHeight w:val="448" w:hRule="atLeast"/>
        </w:trPr>
        <w:tc>
          <w:tcPr>
            <w:tcW w:w="1504" w:type="dxa"/>
          </w:tcPr>
          <w:p>
            <w:pPr>
              <w:pStyle w:val="TableParagraph"/>
              <w:rPr>
                <w:rFonts w:ascii="Times New Roman"/>
                <w:sz w:val="22"/>
              </w:rPr>
            </w:pPr>
          </w:p>
        </w:tc>
        <w:tc>
          <w:tcPr>
            <w:tcW w:w="2025" w:type="dxa"/>
          </w:tcPr>
          <w:p>
            <w:pPr>
              <w:pStyle w:val="TableParagraph"/>
              <w:spacing w:before="70"/>
              <w:ind w:left="142"/>
              <w:rPr>
                <w:sz w:val="22"/>
              </w:rPr>
            </w:pPr>
            <w:r>
              <w:rPr>
                <w:spacing w:val="-5"/>
                <w:sz w:val="22"/>
              </w:rPr>
              <w:t>AMC</w:t>
            </w:r>
          </w:p>
        </w:tc>
        <w:tc>
          <w:tcPr>
            <w:tcW w:w="2192" w:type="dxa"/>
          </w:tcPr>
          <w:p>
            <w:pPr>
              <w:pStyle w:val="TableParagraph"/>
              <w:spacing w:before="70"/>
              <w:ind w:right="336"/>
              <w:jc w:val="right"/>
              <w:rPr>
                <w:sz w:val="22"/>
              </w:rPr>
            </w:pPr>
            <w:r>
              <w:rPr>
                <w:spacing w:val="-2"/>
                <w:sz w:val="22"/>
              </w:rPr>
              <w:t>10.083±1.510</w:t>
            </w:r>
          </w:p>
        </w:tc>
        <w:tc>
          <w:tcPr>
            <w:tcW w:w="1473" w:type="dxa"/>
          </w:tcPr>
          <w:p>
            <w:pPr>
              <w:pStyle w:val="TableParagraph"/>
              <w:spacing w:before="70"/>
              <w:ind w:left="3" w:right="132"/>
              <w:jc w:val="center"/>
              <w:rPr>
                <w:sz w:val="22"/>
              </w:rPr>
            </w:pPr>
            <w:r>
              <w:rPr>
                <w:spacing w:val="-2"/>
                <w:sz w:val="22"/>
              </w:rPr>
              <w:t>0.000</w:t>
            </w:r>
          </w:p>
        </w:tc>
        <w:tc>
          <w:tcPr>
            <w:tcW w:w="1449" w:type="dxa"/>
          </w:tcPr>
          <w:p>
            <w:pPr>
              <w:pStyle w:val="TableParagraph"/>
              <w:spacing w:before="70"/>
              <w:ind w:right="707"/>
              <w:jc w:val="right"/>
              <w:rPr>
                <w:sz w:val="22"/>
              </w:rPr>
            </w:pPr>
            <w:r>
              <w:rPr>
                <w:spacing w:val="-5"/>
                <w:sz w:val="22"/>
              </w:rPr>
              <w:t>SF</w:t>
            </w:r>
          </w:p>
        </w:tc>
      </w:tr>
      <w:tr>
        <w:trPr>
          <w:trHeight w:val="450" w:hRule="atLeast"/>
        </w:trPr>
        <w:tc>
          <w:tcPr>
            <w:tcW w:w="1504" w:type="dxa"/>
          </w:tcPr>
          <w:p>
            <w:pPr>
              <w:pStyle w:val="TableParagraph"/>
              <w:spacing w:before="70"/>
              <w:ind w:left="108"/>
              <w:rPr>
                <w:sz w:val="22"/>
              </w:rPr>
            </w:pPr>
            <w:r>
              <w:rPr>
                <w:sz w:val="22"/>
              </w:rPr>
              <w:t>Honey</w:t>
            </w:r>
            <w:r>
              <w:rPr>
                <w:spacing w:val="-4"/>
                <w:sz w:val="22"/>
              </w:rPr>
              <w:t> </w:t>
            </w:r>
            <w:r>
              <w:rPr>
                <w:spacing w:val="-2"/>
                <w:sz w:val="22"/>
              </w:rPr>
              <w:t>(100%)</w:t>
            </w:r>
          </w:p>
        </w:tc>
        <w:tc>
          <w:tcPr>
            <w:tcW w:w="2025" w:type="dxa"/>
          </w:tcPr>
          <w:p>
            <w:pPr>
              <w:pStyle w:val="TableParagraph"/>
              <w:spacing w:before="70"/>
              <w:ind w:left="142"/>
              <w:rPr>
                <w:sz w:val="22"/>
              </w:rPr>
            </w:pPr>
            <w:r>
              <w:rPr>
                <w:spacing w:val="-5"/>
                <w:sz w:val="22"/>
              </w:rPr>
              <w:t>LEV</w:t>
            </w:r>
          </w:p>
        </w:tc>
        <w:tc>
          <w:tcPr>
            <w:tcW w:w="2192" w:type="dxa"/>
          </w:tcPr>
          <w:p>
            <w:pPr>
              <w:pStyle w:val="TableParagraph"/>
              <w:spacing w:before="70"/>
              <w:ind w:right="336"/>
              <w:jc w:val="right"/>
              <w:rPr>
                <w:sz w:val="22"/>
              </w:rPr>
            </w:pPr>
            <w:r>
              <w:rPr>
                <w:spacing w:val="-2"/>
                <w:sz w:val="22"/>
              </w:rPr>
              <w:t>26.333±0.948</w:t>
            </w:r>
          </w:p>
        </w:tc>
        <w:tc>
          <w:tcPr>
            <w:tcW w:w="1473" w:type="dxa"/>
          </w:tcPr>
          <w:p>
            <w:pPr>
              <w:pStyle w:val="TableParagraph"/>
              <w:spacing w:before="70"/>
              <w:ind w:left="3" w:right="132"/>
              <w:jc w:val="center"/>
              <w:rPr>
                <w:sz w:val="22"/>
              </w:rPr>
            </w:pPr>
            <w:r>
              <w:rPr>
                <w:spacing w:val="-2"/>
                <w:sz w:val="22"/>
              </w:rPr>
              <w:t>0.060</w:t>
            </w:r>
          </w:p>
        </w:tc>
        <w:tc>
          <w:tcPr>
            <w:tcW w:w="1449" w:type="dxa"/>
          </w:tcPr>
          <w:p>
            <w:pPr>
              <w:pStyle w:val="TableParagraph"/>
              <w:spacing w:before="70"/>
              <w:ind w:right="686"/>
              <w:jc w:val="right"/>
              <w:rPr>
                <w:sz w:val="22"/>
              </w:rPr>
            </w:pPr>
            <w:r>
              <w:rPr>
                <w:spacing w:val="-5"/>
                <w:sz w:val="22"/>
              </w:rPr>
              <w:t>NS</w:t>
            </w:r>
          </w:p>
        </w:tc>
      </w:tr>
      <w:tr>
        <w:trPr>
          <w:trHeight w:val="450" w:hRule="atLeast"/>
        </w:trPr>
        <w:tc>
          <w:tcPr>
            <w:tcW w:w="1504" w:type="dxa"/>
          </w:tcPr>
          <w:p>
            <w:pPr>
              <w:pStyle w:val="TableParagraph"/>
              <w:rPr>
                <w:rFonts w:ascii="Times New Roman"/>
                <w:sz w:val="22"/>
              </w:rPr>
            </w:pPr>
          </w:p>
        </w:tc>
        <w:tc>
          <w:tcPr>
            <w:tcW w:w="2025" w:type="dxa"/>
          </w:tcPr>
          <w:p>
            <w:pPr>
              <w:pStyle w:val="TableParagraph"/>
              <w:spacing w:before="71"/>
              <w:ind w:left="142"/>
              <w:rPr>
                <w:sz w:val="22"/>
              </w:rPr>
            </w:pPr>
            <w:r>
              <w:rPr>
                <w:spacing w:val="-5"/>
                <w:sz w:val="22"/>
              </w:rPr>
              <w:t>AZM</w:t>
            </w:r>
          </w:p>
        </w:tc>
        <w:tc>
          <w:tcPr>
            <w:tcW w:w="2192" w:type="dxa"/>
          </w:tcPr>
          <w:p>
            <w:pPr>
              <w:pStyle w:val="TableParagraph"/>
              <w:spacing w:before="71"/>
              <w:ind w:right="336"/>
              <w:jc w:val="right"/>
              <w:rPr>
                <w:sz w:val="22"/>
              </w:rPr>
            </w:pPr>
            <w:r>
              <w:rPr>
                <w:spacing w:val="-2"/>
                <w:sz w:val="22"/>
              </w:rPr>
              <w:t>18.083±0.802</w:t>
            </w:r>
          </w:p>
        </w:tc>
        <w:tc>
          <w:tcPr>
            <w:tcW w:w="1473" w:type="dxa"/>
          </w:tcPr>
          <w:p>
            <w:pPr>
              <w:pStyle w:val="TableParagraph"/>
              <w:spacing w:before="71"/>
              <w:ind w:left="3" w:right="132"/>
              <w:jc w:val="center"/>
              <w:rPr>
                <w:sz w:val="22"/>
              </w:rPr>
            </w:pPr>
            <w:r>
              <w:rPr>
                <w:spacing w:val="-2"/>
                <w:sz w:val="22"/>
              </w:rPr>
              <w:t>0.070</w:t>
            </w:r>
          </w:p>
        </w:tc>
        <w:tc>
          <w:tcPr>
            <w:tcW w:w="1449" w:type="dxa"/>
          </w:tcPr>
          <w:p>
            <w:pPr>
              <w:pStyle w:val="TableParagraph"/>
              <w:spacing w:before="71"/>
              <w:ind w:right="686"/>
              <w:jc w:val="right"/>
              <w:rPr>
                <w:sz w:val="22"/>
              </w:rPr>
            </w:pPr>
            <w:r>
              <w:rPr>
                <w:spacing w:val="-5"/>
                <w:sz w:val="22"/>
              </w:rPr>
              <w:t>NS</w:t>
            </w:r>
          </w:p>
        </w:tc>
      </w:tr>
      <w:tr>
        <w:trPr>
          <w:trHeight w:val="450" w:hRule="atLeast"/>
        </w:trPr>
        <w:tc>
          <w:tcPr>
            <w:tcW w:w="1504" w:type="dxa"/>
          </w:tcPr>
          <w:p>
            <w:pPr>
              <w:pStyle w:val="TableParagraph"/>
              <w:rPr>
                <w:rFonts w:ascii="Times New Roman"/>
                <w:sz w:val="22"/>
              </w:rPr>
            </w:pPr>
          </w:p>
        </w:tc>
        <w:tc>
          <w:tcPr>
            <w:tcW w:w="2025" w:type="dxa"/>
          </w:tcPr>
          <w:p>
            <w:pPr>
              <w:pStyle w:val="TableParagraph"/>
              <w:spacing w:before="70"/>
              <w:ind w:left="142"/>
              <w:rPr>
                <w:sz w:val="22"/>
              </w:rPr>
            </w:pPr>
            <w:r>
              <w:rPr>
                <w:sz w:val="22"/>
              </w:rPr>
              <w:t>Honey</w:t>
            </w:r>
            <w:r>
              <w:rPr>
                <w:spacing w:val="-2"/>
                <w:sz w:val="22"/>
              </w:rPr>
              <w:t> (50%)</w:t>
            </w:r>
          </w:p>
        </w:tc>
        <w:tc>
          <w:tcPr>
            <w:tcW w:w="2192" w:type="dxa"/>
          </w:tcPr>
          <w:p>
            <w:pPr>
              <w:pStyle w:val="TableParagraph"/>
              <w:spacing w:before="70"/>
              <w:ind w:right="336"/>
              <w:jc w:val="right"/>
              <w:rPr>
                <w:sz w:val="22"/>
              </w:rPr>
            </w:pPr>
            <w:r>
              <w:rPr>
                <w:spacing w:val="-2"/>
                <w:sz w:val="22"/>
              </w:rPr>
              <w:t>18.167±0.991</w:t>
            </w:r>
          </w:p>
        </w:tc>
        <w:tc>
          <w:tcPr>
            <w:tcW w:w="1473" w:type="dxa"/>
          </w:tcPr>
          <w:p>
            <w:pPr>
              <w:pStyle w:val="TableParagraph"/>
              <w:spacing w:before="70"/>
              <w:ind w:left="3" w:right="132"/>
              <w:jc w:val="center"/>
              <w:rPr>
                <w:sz w:val="22"/>
              </w:rPr>
            </w:pPr>
            <w:r>
              <w:rPr>
                <w:spacing w:val="-2"/>
                <w:sz w:val="22"/>
              </w:rPr>
              <w:t>0.081</w:t>
            </w:r>
          </w:p>
        </w:tc>
        <w:tc>
          <w:tcPr>
            <w:tcW w:w="1449" w:type="dxa"/>
          </w:tcPr>
          <w:p>
            <w:pPr>
              <w:pStyle w:val="TableParagraph"/>
              <w:spacing w:before="70"/>
              <w:ind w:right="686"/>
              <w:jc w:val="right"/>
              <w:rPr>
                <w:sz w:val="22"/>
              </w:rPr>
            </w:pPr>
            <w:r>
              <w:rPr>
                <w:spacing w:val="-5"/>
                <w:sz w:val="22"/>
              </w:rPr>
              <w:t>NS</w:t>
            </w:r>
          </w:p>
        </w:tc>
      </w:tr>
      <w:tr>
        <w:trPr>
          <w:trHeight w:val="523" w:hRule="atLeast"/>
        </w:trPr>
        <w:tc>
          <w:tcPr>
            <w:tcW w:w="1504" w:type="dxa"/>
            <w:tcBorders>
              <w:bottom w:val="single" w:sz="4" w:space="0" w:color="000000"/>
            </w:tcBorders>
          </w:tcPr>
          <w:p>
            <w:pPr>
              <w:pStyle w:val="TableParagraph"/>
              <w:rPr>
                <w:rFonts w:ascii="Times New Roman"/>
                <w:sz w:val="22"/>
              </w:rPr>
            </w:pPr>
          </w:p>
        </w:tc>
        <w:tc>
          <w:tcPr>
            <w:tcW w:w="2025" w:type="dxa"/>
            <w:tcBorders>
              <w:bottom w:val="single" w:sz="4" w:space="0" w:color="000000"/>
            </w:tcBorders>
          </w:tcPr>
          <w:p>
            <w:pPr>
              <w:pStyle w:val="TableParagraph"/>
              <w:spacing w:before="71"/>
              <w:ind w:left="142"/>
              <w:rPr>
                <w:sz w:val="22"/>
              </w:rPr>
            </w:pPr>
            <w:r>
              <w:rPr>
                <w:sz w:val="22"/>
              </w:rPr>
              <w:t>Honey</w:t>
            </w:r>
            <w:r>
              <w:rPr>
                <w:spacing w:val="-2"/>
                <w:sz w:val="22"/>
              </w:rPr>
              <w:t> (25%)</w:t>
            </w:r>
          </w:p>
        </w:tc>
        <w:tc>
          <w:tcPr>
            <w:tcW w:w="2192" w:type="dxa"/>
            <w:tcBorders>
              <w:bottom w:val="single" w:sz="4" w:space="0" w:color="000000"/>
            </w:tcBorders>
          </w:tcPr>
          <w:p>
            <w:pPr>
              <w:pStyle w:val="TableParagraph"/>
              <w:spacing w:before="71"/>
              <w:ind w:right="336"/>
              <w:jc w:val="right"/>
              <w:rPr>
                <w:sz w:val="22"/>
              </w:rPr>
            </w:pPr>
            <w:r>
              <w:rPr>
                <w:spacing w:val="-2"/>
                <w:sz w:val="22"/>
              </w:rPr>
              <w:t>12.583±0.417</w:t>
            </w:r>
          </w:p>
        </w:tc>
        <w:tc>
          <w:tcPr>
            <w:tcW w:w="1473" w:type="dxa"/>
            <w:tcBorders>
              <w:bottom w:val="single" w:sz="4" w:space="0" w:color="000000"/>
            </w:tcBorders>
          </w:tcPr>
          <w:p>
            <w:pPr>
              <w:pStyle w:val="TableParagraph"/>
              <w:spacing w:before="71"/>
              <w:ind w:left="3" w:right="132"/>
              <w:jc w:val="center"/>
              <w:rPr>
                <w:sz w:val="22"/>
              </w:rPr>
            </w:pPr>
            <w:r>
              <w:rPr>
                <w:spacing w:val="-2"/>
                <w:sz w:val="22"/>
              </w:rPr>
              <w:t>0.000</w:t>
            </w:r>
          </w:p>
        </w:tc>
        <w:tc>
          <w:tcPr>
            <w:tcW w:w="1449" w:type="dxa"/>
            <w:tcBorders>
              <w:bottom w:val="single" w:sz="4" w:space="0" w:color="000000"/>
            </w:tcBorders>
          </w:tcPr>
          <w:p>
            <w:pPr>
              <w:pStyle w:val="TableParagraph"/>
              <w:spacing w:before="71"/>
              <w:ind w:right="707"/>
              <w:jc w:val="right"/>
              <w:rPr>
                <w:sz w:val="22"/>
              </w:rPr>
            </w:pPr>
            <w:r>
              <w:rPr>
                <w:spacing w:val="-5"/>
                <w:sz w:val="22"/>
              </w:rPr>
              <w:t>SF</w:t>
            </w:r>
          </w:p>
        </w:tc>
      </w:tr>
      <w:tr>
        <w:trPr>
          <w:trHeight w:val="376" w:hRule="atLeast"/>
        </w:trPr>
        <w:tc>
          <w:tcPr>
            <w:tcW w:w="1504" w:type="dxa"/>
            <w:tcBorders>
              <w:top w:val="single" w:sz="4" w:space="0" w:color="000000"/>
            </w:tcBorders>
          </w:tcPr>
          <w:p>
            <w:pPr>
              <w:pStyle w:val="TableParagraph"/>
              <w:rPr>
                <w:rFonts w:ascii="Times New Roman"/>
                <w:sz w:val="22"/>
              </w:rPr>
            </w:pPr>
          </w:p>
        </w:tc>
        <w:tc>
          <w:tcPr>
            <w:tcW w:w="2025" w:type="dxa"/>
            <w:tcBorders>
              <w:top w:val="single" w:sz="4" w:space="0" w:color="000000"/>
            </w:tcBorders>
          </w:tcPr>
          <w:p>
            <w:pPr>
              <w:pStyle w:val="TableParagraph"/>
              <w:spacing w:line="265" w:lineRule="exact"/>
              <w:ind w:left="142"/>
              <w:rPr>
                <w:sz w:val="22"/>
              </w:rPr>
            </w:pPr>
            <w:r>
              <w:rPr>
                <w:spacing w:val="-5"/>
                <w:sz w:val="22"/>
              </w:rPr>
              <w:t>CRO</w:t>
            </w:r>
          </w:p>
        </w:tc>
        <w:tc>
          <w:tcPr>
            <w:tcW w:w="2192" w:type="dxa"/>
            <w:tcBorders>
              <w:top w:val="single" w:sz="4" w:space="0" w:color="000000"/>
            </w:tcBorders>
          </w:tcPr>
          <w:p>
            <w:pPr>
              <w:pStyle w:val="TableParagraph"/>
              <w:spacing w:line="265" w:lineRule="exact"/>
              <w:ind w:right="336"/>
              <w:jc w:val="right"/>
              <w:rPr>
                <w:sz w:val="22"/>
              </w:rPr>
            </w:pPr>
            <w:r>
              <w:rPr>
                <w:spacing w:val="-2"/>
                <w:sz w:val="22"/>
              </w:rPr>
              <w:t>20.083±0.701</w:t>
            </w:r>
          </w:p>
        </w:tc>
        <w:tc>
          <w:tcPr>
            <w:tcW w:w="1473" w:type="dxa"/>
            <w:tcBorders>
              <w:top w:val="single" w:sz="4" w:space="0" w:color="000000"/>
            </w:tcBorders>
          </w:tcPr>
          <w:p>
            <w:pPr>
              <w:pStyle w:val="TableParagraph"/>
              <w:spacing w:line="265" w:lineRule="exact"/>
              <w:ind w:left="3" w:right="132"/>
              <w:jc w:val="center"/>
              <w:rPr>
                <w:sz w:val="22"/>
              </w:rPr>
            </w:pPr>
            <w:r>
              <w:rPr>
                <w:spacing w:val="-2"/>
                <w:sz w:val="22"/>
              </w:rPr>
              <w:t>0.856</w:t>
            </w:r>
          </w:p>
        </w:tc>
        <w:tc>
          <w:tcPr>
            <w:tcW w:w="1449" w:type="dxa"/>
            <w:tcBorders>
              <w:top w:val="single" w:sz="4" w:space="0" w:color="000000"/>
            </w:tcBorders>
          </w:tcPr>
          <w:p>
            <w:pPr>
              <w:pStyle w:val="TableParagraph"/>
              <w:spacing w:line="265" w:lineRule="exact"/>
              <w:ind w:right="686"/>
              <w:jc w:val="right"/>
              <w:rPr>
                <w:sz w:val="22"/>
              </w:rPr>
            </w:pPr>
            <w:r>
              <w:rPr>
                <w:spacing w:val="-5"/>
                <w:sz w:val="22"/>
              </w:rPr>
              <w:t>NS</w:t>
            </w:r>
          </w:p>
        </w:tc>
      </w:tr>
      <w:tr>
        <w:trPr>
          <w:trHeight w:val="450" w:hRule="atLeast"/>
        </w:trPr>
        <w:tc>
          <w:tcPr>
            <w:tcW w:w="1504" w:type="dxa"/>
          </w:tcPr>
          <w:p>
            <w:pPr>
              <w:pStyle w:val="TableParagraph"/>
              <w:rPr>
                <w:rFonts w:ascii="Times New Roman"/>
                <w:sz w:val="22"/>
              </w:rPr>
            </w:pPr>
          </w:p>
        </w:tc>
        <w:tc>
          <w:tcPr>
            <w:tcW w:w="2025" w:type="dxa"/>
          </w:tcPr>
          <w:p>
            <w:pPr>
              <w:pStyle w:val="TableParagraph"/>
              <w:spacing w:before="71"/>
              <w:ind w:left="142"/>
              <w:rPr>
                <w:sz w:val="22"/>
              </w:rPr>
            </w:pPr>
            <w:r>
              <w:rPr>
                <w:spacing w:val="-5"/>
                <w:sz w:val="22"/>
              </w:rPr>
              <w:t>CN</w:t>
            </w:r>
          </w:p>
        </w:tc>
        <w:tc>
          <w:tcPr>
            <w:tcW w:w="2192" w:type="dxa"/>
          </w:tcPr>
          <w:p>
            <w:pPr>
              <w:pStyle w:val="TableParagraph"/>
              <w:spacing w:before="71"/>
              <w:ind w:right="336"/>
              <w:jc w:val="right"/>
              <w:rPr>
                <w:sz w:val="22"/>
              </w:rPr>
            </w:pPr>
            <w:r>
              <w:rPr>
                <w:spacing w:val="-2"/>
                <w:sz w:val="22"/>
              </w:rPr>
              <w:t>20.333±0.541</w:t>
            </w:r>
          </w:p>
        </w:tc>
        <w:tc>
          <w:tcPr>
            <w:tcW w:w="1473" w:type="dxa"/>
          </w:tcPr>
          <w:p>
            <w:pPr>
              <w:pStyle w:val="TableParagraph"/>
              <w:spacing w:before="71"/>
              <w:ind w:left="3" w:right="132"/>
              <w:jc w:val="center"/>
              <w:rPr>
                <w:sz w:val="22"/>
              </w:rPr>
            </w:pPr>
            <w:r>
              <w:rPr>
                <w:spacing w:val="-2"/>
                <w:sz w:val="22"/>
              </w:rPr>
              <w:t>0.761</w:t>
            </w:r>
          </w:p>
        </w:tc>
        <w:tc>
          <w:tcPr>
            <w:tcW w:w="1449" w:type="dxa"/>
          </w:tcPr>
          <w:p>
            <w:pPr>
              <w:pStyle w:val="TableParagraph"/>
              <w:spacing w:before="71"/>
              <w:ind w:right="686"/>
              <w:jc w:val="right"/>
              <w:rPr>
                <w:sz w:val="22"/>
              </w:rPr>
            </w:pPr>
            <w:r>
              <w:rPr>
                <w:spacing w:val="-5"/>
                <w:sz w:val="22"/>
              </w:rPr>
              <w:t>NS</w:t>
            </w:r>
          </w:p>
        </w:tc>
      </w:tr>
      <w:tr>
        <w:trPr>
          <w:trHeight w:val="450" w:hRule="atLeast"/>
        </w:trPr>
        <w:tc>
          <w:tcPr>
            <w:tcW w:w="1504" w:type="dxa"/>
          </w:tcPr>
          <w:p>
            <w:pPr>
              <w:pStyle w:val="TableParagraph"/>
              <w:rPr>
                <w:rFonts w:ascii="Times New Roman"/>
                <w:sz w:val="22"/>
              </w:rPr>
            </w:pPr>
          </w:p>
        </w:tc>
        <w:tc>
          <w:tcPr>
            <w:tcW w:w="2025" w:type="dxa"/>
          </w:tcPr>
          <w:p>
            <w:pPr>
              <w:pStyle w:val="TableParagraph"/>
              <w:spacing w:before="70"/>
              <w:ind w:left="142"/>
              <w:rPr>
                <w:sz w:val="22"/>
              </w:rPr>
            </w:pPr>
            <w:r>
              <w:rPr>
                <w:spacing w:val="-5"/>
                <w:sz w:val="22"/>
              </w:rPr>
              <w:t>AMC</w:t>
            </w:r>
          </w:p>
        </w:tc>
        <w:tc>
          <w:tcPr>
            <w:tcW w:w="2192" w:type="dxa"/>
          </w:tcPr>
          <w:p>
            <w:pPr>
              <w:pStyle w:val="TableParagraph"/>
              <w:spacing w:before="70"/>
              <w:ind w:right="336"/>
              <w:jc w:val="right"/>
              <w:rPr>
                <w:sz w:val="22"/>
              </w:rPr>
            </w:pPr>
            <w:r>
              <w:rPr>
                <w:spacing w:val="-2"/>
                <w:sz w:val="22"/>
              </w:rPr>
              <w:t>10.083±1.510</w:t>
            </w:r>
          </w:p>
        </w:tc>
        <w:tc>
          <w:tcPr>
            <w:tcW w:w="1473" w:type="dxa"/>
          </w:tcPr>
          <w:p>
            <w:pPr>
              <w:pStyle w:val="TableParagraph"/>
              <w:spacing w:before="70"/>
              <w:ind w:left="3" w:right="132"/>
              <w:jc w:val="center"/>
              <w:rPr>
                <w:sz w:val="22"/>
              </w:rPr>
            </w:pPr>
            <w:r>
              <w:rPr>
                <w:spacing w:val="-2"/>
                <w:sz w:val="22"/>
              </w:rPr>
              <w:t>0.000</w:t>
            </w:r>
          </w:p>
        </w:tc>
        <w:tc>
          <w:tcPr>
            <w:tcW w:w="1449" w:type="dxa"/>
          </w:tcPr>
          <w:p>
            <w:pPr>
              <w:pStyle w:val="TableParagraph"/>
              <w:spacing w:before="70"/>
              <w:ind w:right="707"/>
              <w:jc w:val="right"/>
              <w:rPr>
                <w:sz w:val="22"/>
              </w:rPr>
            </w:pPr>
            <w:r>
              <w:rPr>
                <w:spacing w:val="-5"/>
                <w:sz w:val="22"/>
              </w:rPr>
              <w:t>SF</w:t>
            </w:r>
          </w:p>
        </w:tc>
      </w:tr>
      <w:tr>
        <w:trPr>
          <w:trHeight w:val="450" w:hRule="atLeast"/>
        </w:trPr>
        <w:tc>
          <w:tcPr>
            <w:tcW w:w="1504" w:type="dxa"/>
          </w:tcPr>
          <w:p>
            <w:pPr>
              <w:pStyle w:val="TableParagraph"/>
              <w:spacing w:before="71"/>
              <w:ind w:left="108"/>
              <w:rPr>
                <w:sz w:val="22"/>
              </w:rPr>
            </w:pPr>
            <w:r>
              <w:rPr>
                <w:sz w:val="22"/>
              </w:rPr>
              <w:t>Honey</w:t>
            </w:r>
            <w:r>
              <w:rPr>
                <w:spacing w:val="-2"/>
                <w:sz w:val="22"/>
              </w:rPr>
              <w:t> (50%)</w:t>
            </w:r>
          </w:p>
        </w:tc>
        <w:tc>
          <w:tcPr>
            <w:tcW w:w="2025" w:type="dxa"/>
          </w:tcPr>
          <w:p>
            <w:pPr>
              <w:pStyle w:val="TableParagraph"/>
              <w:spacing w:before="71"/>
              <w:ind w:left="142"/>
              <w:rPr>
                <w:sz w:val="22"/>
              </w:rPr>
            </w:pPr>
            <w:r>
              <w:rPr>
                <w:spacing w:val="-5"/>
                <w:sz w:val="22"/>
              </w:rPr>
              <w:t>LEV</w:t>
            </w:r>
          </w:p>
        </w:tc>
        <w:tc>
          <w:tcPr>
            <w:tcW w:w="2192" w:type="dxa"/>
          </w:tcPr>
          <w:p>
            <w:pPr>
              <w:pStyle w:val="TableParagraph"/>
              <w:spacing w:before="71"/>
              <w:ind w:right="336"/>
              <w:jc w:val="right"/>
              <w:rPr>
                <w:sz w:val="22"/>
              </w:rPr>
            </w:pPr>
            <w:r>
              <w:rPr>
                <w:spacing w:val="-2"/>
                <w:sz w:val="22"/>
              </w:rPr>
              <w:t>26.333±0.948</w:t>
            </w:r>
          </w:p>
        </w:tc>
        <w:tc>
          <w:tcPr>
            <w:tcW w:w="1473" w:type="dxa"/>
          </w:tcPr>
          <w:p>
            <w:pPr>
              <w:pStyle w:val="TableParagraph"/>
              <w:spacing w:before="71"/>
              <w:ind w:left="3" w:right="132"/>
              <w:jc w:val="center"/>
              <w:rPr>
                <w:sz w:val="22"/>
              </w:rPr>
            </w:pPr>
            <w:r>
              <w:rPr>
                <w:spacing w:val="-2"/>
                <w:sz w:val="22"/>
              </w:rPr>
              <w:t>0.000</w:t>
            </w:r>
          </w:p>
        </w:tc>
        <w:tc>
          <w:tcPr>
            <w:tcW w:w="1449" w:type="dxa"/>
          </w:tcPr>
          <w:p>
            <w:pPr>
              <w:pStyle w:val="TableParagraph"/>
              <w:spacing w:before="71"/>
              <w:ind w:right="707"/>
              <w:jc w:val="right"/>
              <w:rPr>
                <w:sz w:val="22"/>
              </w:rPr>
            </w:pPr>
            <w:r>
              <w:rPr>
                <w:spacing w:val="-5"/>
                <w:sz w:val="22"/>
              </w:rPr>
              <w:t>SF</w:t>
            </w:r>
          </w:p>
        </w:tc>
      </w:tr>
      <w:tr>
        <w:trPr>
          <w:trHeight w:val="448" w:hRule="atLeast"/>
        </w:trPr>
        <w:tc>
          <w:tcPr>
            <w:tcW w:w="1504" w:type="dxa"/>
          </w:tcPr>
          <w:p>
            <w:pPr>
              <w:pStyle w:val="TableParagraph"/>
              <w:rPr>
                <w:rFonts w:ascii="Times New Roman"/>
                <w:sz w:val="22"/>
              </w:rPr>
            </w:pPr>
          </w:p>
        </w:tc>
        <w:tc>
          <w:tcPr>
            <w:tcW w:w="2025" w:type="dxa"/>
          </w:tcPr>
          <w:p>
            <w:pPr>
              <w:pStyle w:val="TableParagraph"/>
              <w:spacing w:before="70"/>
              <w:ind w:left="142"/>
              <w:rPr>
                <w:sz w:val="22"/>
              </w:rPr>
            </w:pPr>
            <w:r>
              <w:rPr>
                <w:spacing w:val="-5"/>
                <w:sz w:val="22"/>
              </w:rPr>
              <w:t>AZM</w:t>
            </w:r>
          </w:p>
        </w:tc>
        <w:tc>
          <w:tcPr>
            <w:tcW w:w="2192" w:type="dxa"/>
          </w:tcPr>
          <w:p>
            <w:pPr>
              <w:pStyle w:val="TableParagraph"/>
              <w:spacing w:before="70"/>
              <w:ind w:right="336"/>
              <w:jc w:val="right"/>
              <w:rPr>
                <w:sz w:val="22"/>
              </w:rPr>
            </w:pPr>
            <w:r>
              <w:rPr>
                <w:spacing w:val="-2"/>
                <w:sz w:val="22"/>
              </w:rPr>
              <w:t>18.083±0.802</w:t>
            </w:r>
          </w:p>
        </w:tc>
        <w:tc>
          <w:tcPr>
            <w:tcW w:w="1473" w:type="dxa"/>
          </w:tcPr>
          <w:p>
            <w:pPr>
              <w:pStyle w:val="TableParagraph"/>
              <w:spacing w:before="70"/>
              <w:ind w:left="3" w:right="132"/>
              <w:jc w:val="center"/>
              <w:rPr>
                <w:sz w:val="22"/>
              </w:rPr>
            </w:pPr>
            <w:r>
              <w:rPr>
                <w:spacing w:val="-2"/>
                <w:sz w:val="22"/>
              </w:rPr>
              <w:t>1.000</w:t>
            </w:r>
          </w:p>
        </w:tc>
        <w:tc>
          <w:tcPr>
            <w:tcW w:w="1449" w:type="dxa"/>
          </w:tcPr>
          <w:p>
            <w:pPr>
              <w:pStyle w:val="TableParagraph"/>
              <w:spacing w:before="70"/>
              <w:ind w:right="686"/>
              <w:jc w:val="right"/>
              <w:rPr>
                <w:sz w:val="22"/>
              </w:rPr>
            </w:pPr>
            <w:r>
              <w:rPr>
                <w:spacing w:val="-5"/>
                <w:sz w:val="22"/>
              </w:rPr>
              <w:t>NS</w:t>
            </w:r>
          </w:p>
        </w:tc>
      </w:tr>
      <w:tr>
        <w:trPr>
          <w:trHeight w:val="450" w:hRule="atLeast"/>
        </w:trPr>
        <w:tc>
          <w:tcPr>
            <w:tcW w:w="1504" w:type="dxa"/>
          </w:tcPr>
          <w:p>
            <w:pPr>
              <w:pStyle w:val="TableParagraph"/>
              <w:rPr>
                <w:rFonts w:ascii="Times New Roman"/>
                <w:sz w:val="22"/>
              </w:rPr>
            </w:pPr>
          </w:p>
        </w:tc>
        <w:tc>
          <w:tcPr>
            <w:tcW w:w="2025" w:type="dxa"/>
          </w:tcPr>
          <w:p>
            <w:pPr>
              <w:pStyle w:val="TableParagraph"/>
              <w:spacing w:before="70"/>
              <w:ind w:left="142"/>
              <w:rPr>
                <w:sz w:val="22"/>
              </w:rPr>
            </w:pPr>
            <w:r>
              <w:rPr>
                <w:sz w:val="22"/>
              </w:rPr>
              <w:t>Honey</w:t>
            </w:r>
            <w:r>
              <w:rPr>
                <w:spacing w:val="-4"/>
                <w:sz w:val="22"/>
              </w:rPr>
              <w:t> </w:t>
            </w:r>
            <w:r>
              <w:rPr>
                <w:spacing w:val="-2"/>
                <w:sz w:val="22"/>
              </w:rPr>
              <w:t>(100%)</w:t>
            </w:r>
          </w:p>
        </w:tc>
        <w:tc>
          <w:tcPr>
            <w:tcW w:w="2192" w:type="dxa"/>
          </w:tcPr>
          <w:p>
            <w:pPr>
              <w:pStyle w:val="TableParagraph"/>
              <w:spacing w:before="70"/>
              <w:ind w:right="336"/>
              <w:jc w:val="right"/>
              <w:rPr>
                <w:sz w:val="22"/>
              </w:rPr>
            </w:pPr>
            <w:r>
              <w:rPr>
                <w:spacing w:val="-2"/>
                <w:sz w:val="22"/>
              </w:rPr>
              <w:t>22.167±1.325</w:t>
            </w:r>
          </w:p>
        </w:tc>
        <w:tc>
          <w:tcPr>
            <w:tcW w:w="1473" w:type="dxa"/>
          </w:tcPr>
          <w:p>
            <w:pPr>
              <w:pStyle w:val="TableParagraph"/>
              <w:spacing w:before="70"/>
              <w:ind w:left="3" w:right="132"/>
              <w:jc w:val="center"/>
              <w:rPr>
                <w:sz w:val="22"/>
              </w:rPr>
            </w:pPr>
            <w:r>
              <w:rPr>
                <w:spacing w:val="-2"/>
                <w:sz w:val="22"/>
              </w:rPr>
              <w:t>0.081</w:t>
            </w:r>
          </w:p>
        </w:tc>
        <w:tc>
          <w:tcPr>
            <w:tcW w:w="1449" w:type="dxa"/>
          </w:tcPr>
          <w:p>
            <w:pPr>
              <w:pStyle w:val="TableParagraph"/>
              <w:spacing w:before="70"/>
              <w:ind w:right="686"/>
              <w:jc w:val="right"/>
              <w:rPr>
                <w:sz w:val="22"/>
              </w:rPr>
            </w:pPr>
            <w:r>
              <w:rPr>
                <w:spacing w:val="-5"/>
                <w:sz w:val="22"/>
              </w:rPr>
              <w:t>NS</w:t>
            </w:r>
          </w:p>
        </w:tc>
      </w:tr>
      <w:tr>
        <w:trPr>
          <w:trHeight w:val="522" w:hRule="atLeast"/>
        </w:trPr>
        <w:tc>
          <w:tcPr>
            <w:tcW w:w="1504" w:type="dxa"/>
            <w:tcBorders>
              <w:bottom w:val="single" w:sz="4" w:space="0" w:color="000000"/>
            </w:tcBorders>
          </w:tcPr>
          <w:p>
            <w:pPr>
              <w:pStyle w:val="TableParagraph"/>
              <w:rPr>
                <w:rFonts w:ascii="Times New Roman"/>
                <w:sz w:val="22"/>
              </w:rPr>
            </w:pPr>
          </w:p>
        </w:tc>
        <w:tc>
          <w:tcPr>
            <w:tcW w:w="2025" w:type="dxa"/>
            <w:tcBorders>
              <w:bottom w:val="single" w:sz="4" w:space="0" w:color="000000"/>
            </w:tcBorders>
          </w:tcPr>
          <w:p>
            <w:pPr>
              <w:pStyle w:val="TableParagraph"/>
              <w:spacing w:before="71"/>
              <w:ind w:left="142"/>
              <w:rPr>
                <w:sz w:val="22"/>
              </w:rPr>
            </w:pPr>
            <w:r>
              <w:rPr>
                <w:sz w:val="22"/>
              </w:rPr>
              <w:t>Honey</w:t>
            </w:r>
            <w:r>
              <w:rPr>
                <w:spacing w:val="-2"/>
                <w:sz w:val="22"/>
              </w:rPr>
              <w:t> (25%)</w:t>
            </w:r>
          </w:p>
        </w:tc>
        <w:tc>
          <w:tcPr>
            <w:tcW w:w="2192" w:type="dxa"/>
            <w:tcBorders>
              <w:bottom w:val="single" w:sz="4" w:space="0" w:color="000000"/>
            </w:tcBorders>
          </w:tcPr>
          <w:p>
            <w:pPr>
              <w:pStyle w:val="TableParagraph"/>
              <w:spacing w:before="71"/>
              <w:ind w:right="336"/>
              <w:jc w:val="right"/>
              <w:rPr>
                <w:sz w:val="22"/>
              </w:rPr>
            </w:pPr>
            <w:r>
              <w:rPr>
                <w:spacing w:val="-2"/>
                <w:sz w:val="22"/>
              </w:rPr>
              <w:t>12.583±0.417</w:t>
            </w:r>
          </w:p>
        </w:tc>
        <w:tc>
          <w:tcPr>
            <w:tcW w:w="1473" w:type="dxa"/>
            <w:tcBorders>
              <w:bottom w:val="single" w:sz="4" w:space="0" w:color="000000"/>
            </w:tcBorders>
          </w:tcPr>
          <w:p>
            <w:pPr>
              <w:pStyle w:val="TableParagraph"/>
              <w:spacing w:before="71"/>
              <w:ind w:left="3" w:right="132"/>
              <w:jc w:val="center"/>
              <w:rPr>
                <w:sz w:val="22"/>
              </w:rPr>
            </w:pPr>
            <w:r>
              <w:rPr>
                <w:spacing w:val="-2"/>
                <w:sz w:val="22"/>
              </w:rPr>
              <w:t>0.002</w:t>
            </w:r>
          </w:p>
        </w:tc>
        <w:tc>
          <w:tcPr>
            <w:tcW w:w="1449" w:type="dxa"/>
            <w:tcBorders>
              <w:bottom w:val="single" w:sz="4" w:space="0" w:color="000000"/>
            </w:tcBorders>
          </w:tcPr>
          <w:p>
            <w:pPr>
              <w:pStyle w:val="TableParagraph"/>
              <w:spacing w:before="71"/>
              <w:ind w:right="707"/>
              <w:jc w:val="right"/>
              <w:rPr>
                <w:sz w:val="22"/>
              </w:rPr>
            </w:pPr>
            <w:r>
              <w:rPr>
                <w:spacing w:val="-5"/>
                <w:sz w:val="22"/>
              </w:rPr>
              <w:t>SF</w:t>
            </w:r>
          </w:p>
        </w:tc>
      </w:tr>
      <w:tr>
        <w:trPr>
          <w:trHeight w:val="376" w:hRule="atLeast"/>
        </w:trPr>
        <w:tc>
          <w:tcPr>
            <w:tcW w:w="1504" w:type="dxa"/>
            <w:tcBorders>
              <w:top w:val="single" w:sz="4" w:space="0" w:color="000000"/>
            </w:tcBorders>
          </w:tcPr>
          <w:p>
            <w:pPr>
              <w:pStyle w:val="TableParagraph"/>
              <w:rPr>
                <w:rFonts w:ascii="Times New Roman"/>
                <w:sz w:val="22"/>
              </w:rPr>
            </w:pPr>
          </w:p>
        </w:tc>
        <w:tc>
          <w:tcPr>
            <w:tcW w:w="2025" w:type="dxa"/>
            <w:tcBorders>
              <w:top w:val="single" w:sz="4" w:space="0" w:color="000000"/>
            </w:tcBorders>
          </w:tcPr>
          <w:p>
            <w:pPr>
              <w:pStyle w:val="TableParagraph"/>
              <w:spacing w:line="265" w:lineRule="exact"/>
              <w:ind w:left="142"/>
              <w:rPr>
                <w:sz w:val="22"/>
              </w:rPr>
            </w:pPr>
            <w:r>
              <w:rPr>
                <w:spacing w:val="-5"/>
                <w:sz w:val="22"/>
              </w:rPr>
              <w:t>CRO</w:t>
            </w:r>
          </w:p>
        </w:tc>
        <w:tc>
          <w:tcPr>
            <w:tcW w:w="2192" w:type="dxa"/>
            <w:tcBorders>
              <w:top w:val="single" w:sz="4" w:space="0" w:color="000000"/>
            </w:tcBorders>
          </w:tcPr>
          <w:p>
            <w:pPr>
              <w:pStyle w:val="TableParagraph"/>
              <w:spacing w:line="265" w:lineRule="exact"/>
              <w:ind w:right="336"/>
              <w:jc w:val="right"/>
              <w:rPr>
                <w:sz w:val="22"/>
              </w:rPr>
            </w:pPr>
            <w:r>
              <w:rPr>
                <w:spacing w:val="-2"/>
                <w:sz w:val="22"/>
              </w:rPr>
              <w:t>20.083±0.701</w:t>
            </w:r>
          </w:p>
        </w:tc>
        <w:tc>
          <w:tcPr>
            <w:tcW w:w="1473" w:type="dxa"/>
            <w:tcBorders>
              <w:top w:val="single" w:sz="4" w:space="0" w:color="000000"/>
            </w:tcBorders>
          </w:tcPr>
          <w:p>
            <w:pPr>
              <w:pStyle w:val="TableParagraph"/>
              <w:spacing w:line="265" w:lineRule="exact"/>
              <w:ind w:left="3" w:right="132"/>
              <w:jc w:val="center"/>
              <w:rPr>
                <w:sz w:val="22"/>
              </w:rPr>
            </w:pPr>
            <w:r>
              <w:rPr>
                <w:spacing w:val="-2"/>
                <w:sz w:val="22"/>
              </w:rPr>
              <w:t>0.000</w:t>
            </w:r>
          </w:p>
        </w:tc>
        <w:tc>
          <w:tcPr>
            <w:tcW w:w="1449" w:type="dxa"/>
            <w:tcBorders>
              <w:top w:val="single" w:sz="4" w:space="0" w:color="000000"/>
            </w:tcBorders>
          </w:tcPr>
          <w:p>
            <w:pPr>
              <w:pStyle w:val="TableParagraph"/>
              <w:spacing w:line="265" w:lineRule="exact"/>
              <w:ind w:right="707"/>
              <w:jc w:val="right"/>
              <w:rPr>
                <w:sz w:val="22"/>
              </w:rPr>
            </w:pPr>
            <w:r>
              <w:rPr>
                <w:spacing w:val="-5"/>
                <w:sz w:val="22"/>
              </w:rPr>
              <w:t>SF</w:t>
            </w:r>
          </w:p>
        </w:tc>
      </w:tr>
      <w:tr>
        <w:trPr>
          <w:trHeight w:val="338" w:hRule="atLeast"/>
        </w:trPr>
        <w:tc>
          <w:tcPr>
            <w:tcW w:w="1504" w:type="dxa"/>
          </w:tcPr>
          <w:p>
            <w:pPr>
              <w:pStyle w:val="TableParagraph"/>
              <w:rPr>
                <w:rFonts w:ascii="Times New Roman"/>
                <w:sz w:val="22"/>
              </w:rPr>
            </w:pPr>
          </w:p>
        </w:tc>
        <w:tc>
          <w:tcPr>
            <w:tcW w:w="2025" w:type="dxa"/>
          </w:tcPr>
          <w:p>
            <w:pPr>
              <w:pStyle w:val="TableParagraph"/>
              <w:spacing w:line="247" w:lineRule="exact" w:before="71"/>
              <w:ind w:left="142"/>
              <w:rPr>
                <w:sz w:val="22"/>
              </w:rPr>
            </w:pPr>
            <w:r>
              <w:rPr>
                <w:spacing w:val="-5"/>
                <w:sz w:val="22"/>
              </w:rPr>
              <w:t>CN</w:t>
            </w:r>
          </w:p>
        </w:tc>
        <w:tc>
          <w:tcPr>
            <w:tcW w:w="2192" w:type="dxa"/>
          </w:tcPr>
          <w:p>
            <w:pPr>
              <w:pStyle w:val="TableParagraph"/>
              <w:spacing w:line="247" w:lineRule="exact" w:before="71"/>
              <w:ind w:right="336"/>
              <w:jc w:val="right"/>
              <w:rPr>
                <w:sz w:val="22"/>
              </w:rPr>
            </w:pPr>
            <w:r>
              <w:rPr>
                <w:spacing w:val="-2"/>
                <w:sz w:val="22"/>
              </w:rPr>
              <w:t>20.333±0.541</w:t>
            </w:r>
          </w:p>
        </w:tc>
        <w:tc>
          <w:tcPr>
            <w:tcW w:w="1473" w:type="dxa"/>
          </w:tcPr>
          <w:p>
            <w:pPr>
              <w:pStyle w:val="TableParagraph"/>
              <w:spacing w:line="247" w:lineRule="exact" w:before="71"/>
              <w:ind w:left="3" w:right="132"/>
              <w:jc w:val="center"/>
              <w:rPr>
                <w:sz w:val="22"/>
              </w:rPr>
            </w:pPr>
            <w:r>
              <w:rPr>
                <w:spacing w:val="-2"/>
                <w:sz w:val="22"/>
              </w:rPr>
              <w:t>0.000</w:t>
            </w:r>
          </w:p>
        </w:tc>
        <w:tc>
          <w:tcPr>
            <w:tcW w:w="1449" w:type="dxa"/>
          </w:tcPr>
          <w:p>
            <w:pPr>
              <w:pStyle w:val="TableParagraph"/>
              <w:spacing w:line="247" w:lineRule="exact" w:before="71"/>
              <w:ind w:right="707"/>
              <w:jc w:val="right"/>
              <w:rPr>
                <w:sz w:val="22"/>
              </w:rPr>
            </w:pPr>
            <w:r>
              <w:rPr>
                <w:spacing w:val="-5"/>
                <w:sz w:val="22"/>
              </w:rPr>
              <w:t>SF</w:t>
            </w:r>
          </w:p>
        </w:tc>
      </w:tr>
      <w:tr>
        <w:trPr>
          <w:trHeight w:val="224" w:hRule="atLeast"/>
        </w:trPr>
        <w:tc>
          <w:tcPr>
            <w:tcW w:w="1504" w:type="dxa"/>
          </w:tcPr>
          <w:p>
            <w:pPr>
              <w:pStyle w:val="TableParagraph"/>
              <w:spacing w:line="204" w:lineRule="exact"/>
              <w:ind w:left="108"/>
              <w:rPr>
                <w:sz w:val="22"/>
              </w:rPr>
            </w:pPr>
            <w:r>
              <w:rPr>
                <w:sz w:val="22"/>
              </w:rPr>
              <w:t>Honey</w:t>
            </w:r>
            <w:r>
              <w:rPr>
                <w:spacing w:val="-2"/>
                <w:sz w:val="22"/>
              </w:rPr>
              <w:t> (25%)</w:t>
            </w:r>
          </w:p>
        </w:tc>
        <w:tc>
          <w:tcPr>
            <w:tcW w:w="2025" w:type="dxa"/>
          </w:tcPr>
          <w:p>
            <w:pPr>
              <w:pStyle w:val="TableParagraph"/>
              <w:rPr>
                <w:rFonts w:ascii="Times New Roman"/>
                <w:sz w:val="16"/>
              </w:rPr>
            </w:pPr>
          </w:p>
        </w:tc>
        <w:tc>
          <w:tcPr>
            <w:tcW w:w="2192" w:type="dxa"/>
          </w:tcPr>
          <w:p>
            <w:pPr>
              <w:pStyle w:val="TableParagraph"/>
              <w:rPr>
                <w:rFonts w:ascii="Times New Roman"/>
                <w:sz w:val="16"/>
              </w:rPr>
            </w:pPr>
          </w:p>
        </w:tc>
        <w:tc>
          <w:tcPr>
            <w:tcW w:w="1473" w:type="dxa"/>
          </w:tcPr>
          <w:p>
            <w:pPr>
              <w:pStyle w:val="TableParagraph"/>
              <w:rPr>
                <w:rFonts w:ascii="Times New Roman"/>
                <w:sz w:val="16"/>
              </w:rPr>
            </w:pPr>
          </w:p>
        </w:tc>
        <w:tc>
          <w:tcPr>
            <w:tcW w:w="1449" w:type="dxa"/>
          </w:tcPr>
          <w:p>
            <w:pPr>
              <w:pStyle w:val="TableParagraph"/>
              <w:rPr>
                <w:rFonts w:ascii="Times New Roman"/>
                <w:sz w:val="16"/>
              </w:rPr>
            </w:pPr>
          </w:p>
        </w:tc>
      </w:tr>
      <w:tr>
        <w:trPr>
          <w:trHeight w:val="337" w:hRule="atLeast"/>
        </w:trPr>
        <w:tc>
          <w:tcPr>
            <w:tcW w:w="1504" w:type="dxa"/>
          </w:tcPr>
          <w:p>
            <w:pPr>
              <w:pStyle w:val="TableParagraph"/>
              <w:rPr>
                <w:rFonts w:ascii="Times New Roman"/>
                <w:sz w:val="22"/>
              </w:rPr>
            </w:pPr>
          </w:p>
        </w:tc>
        <w:tc>
          <w:tcPr>
            <w:tcW w:w="2025" w:type="dxa"/>
          </w:tcPr>
          <w:p>
            <w:pPr>
              <w:pStyle w:val="TableParagraph"/>
              <w:spacing w:line="226" w:lineRule="exact"/>
              <w:ind w:left="142"/>
              <w:rPr>
                <w:sz w:val="22"/>
              </w:rPr>
            </w:pPr>
            <w:r>
              <w:rPr>
                <w:spacing w:val="-5"/>
                <w:sz w:val="22"/>
              </w:rPr>
              <w:t>AMC</w:t>
            </w:r>
          </w:p>
        </w:tc>
        <w:tc>
          <w:tcPr>
            <w:tcW w:w="2192" w:type="dxa"/>
          </w:tcPr>
          <w:p>
            <w:pPr>
              <w:pStyle w:val="TableParagraph"/>
              <w:spacing w:line="226" w:lineRule="exact"/>
              <w:ind w:right="336"/>
              <w:jc w:val="right"/>
              <w:rPr>
                <w:sz w:val="22"/>
              </w:rPr>
            </w:pPr>
            <w:r>
              <w:rPr>
                <w:spacing w:val="-2"/>
                <w:sz w:val="22"/>
              </w:rPr>
              <w:t>10.083±1.510</w:t>
            </w:r>
          </w:p>
        </w:tc>
        <w:tc>
          <w:tcPr>
            <w:tcW w:w="1473" w:type="dxa"/>
          </w:tcPr>
          <w:p>
            <w:pPr>
              <w:pStyle w:val="TableParagraph"/>
              <w:spacing w:line="226" w:lineRule="exact"/>
              <w:ind w:left="3" w:right="132"/>
              <w:jc w:val="center"/>
              <w:rPr>
                <w:sz w:val="22"/>
              </w:rPr>
            </w:pPr>
            <w:r>
              <w:rPr>
                <w:spacing w:val="-2"/>
                <w:sz w:val="22"/>
              </w:rPr>
              <w:t>0.606</w:t>
            </w:r>
          </w:p>
        </w:tc>
        <w:tc>
          <w:tcPr>
            <w:tcW w:w="1449" w:type="dxa"/>
          </w:tcPr>
          <w:p>
            <w:pPr>
              <w:pStyle w:val="TableParagraph"/>
              <w:spacing w:line="226" w:lineRule="exact"/>
              <w:ind w:right="686"/>
              <w:jc w:val="right"/>
              <w:rPr>
                <w:sz w:val="22"/>
              </w:rPr>
            </w:pPr>
            <w:r>
              <w:rPr>
                <w:spacing w:val="-5"/>
                <w:sz w:val="22"/>
              </w:rPr>
              <w:t>NS</w:t>
            </w:r>
          </w:p>
        </w:tc>
      </w:tr>
      <w:tr>
        <w:trPr>
          <w:trHeight w:val="336" w:hRule="atLeast"/>
        </w:trPr>
        <w:tc>
          <w:tcPr>
            <w:tcW w:w="1504" w:type="dxa"/>
          </w:tcPr>
          <w:p>
            <w:pPr>
              <w:pStyle w:val="TableParagraph"/>
              <w:rPr>
                <w:rFonts w:ascii="Times New Roman"/>
                <w:sz w:val="22"/>
              </w:rPr>
            </w:pPr>
          </w:p>
        </w:tc>
        <w:tc>
          <w:tcPr>
            <w:tcW w:w="2025" w:type="dxa"/>
          </w:tcPr>
          <w:p>
            <w:pPr>
              <w:pStyle w:val="TableParagraph"/>
              <w:spacing w:line="245" w:lineRule="exact" w:before="71"/>
              <w:ind w:left="142"/>
              <w:rPr>
                <w:sz w:val="22"/>
              </w:rPr>
            </w:pPr>
            <w:r>
              <w:rPr>
                <w:spacing w:val="-5"/>
                <w:sz w:val="22"/>
              </w:rPr>
              <w:t>LEV</w:t>
            </w:r>
          </w:p>
        </w:tc>
        <w:tc>
          <w:tcPr>
            <w:tcW w:w="2192" w:type="dxa"/>
          </w:tcPr>
          <w:p>
            <w:pPr>
              <w:pStyle w:val="TableParagraph"/>
              <w:spacing w:line="245" w:lineRule="exact" w:before="71"/>
              <w:ind w:right="336"/>
              <w:jc w:val="right"/>
              <w:rPr>
                <w:sz w:val="22"/>
              </w:rPr>
            </w:pPr>
            <w:r>
              <w:rPr>
                <w:spacing w:val="-2"/>
                <w:sz w:val="22"/>
              </w:rPr>
              <w:t>26.333±0.948</w:t>
            </w:r>
          </w:p>
        </w:tc>
        <w:tc>
          <w:tcPr>
            <w:tcW w:w="1473" w:type="dxa"/>
          </w:tcPr>
          <w:p>
            <w:pPr>
              <w:pStyle w:val="TableParagraph"/>
              <w:spacing w:line="245" w:lineRule="exact" w:before="71"/>
              <w:ind w:left="3" w:right="132"/>
              <w:jc w:val="center"/>
              <w:rPr>
                <w:sz w:val="22"/>
              </w:rPr>
            </w:pPr>
            <w:r>
              <w:rPr>
                <w:spacing w:val="-2"/>
                <w:sz w:val="22"/>
              </w:rPr>
              <w:t>0.000</w:t>
            </w:r>
          </w:p>
        </w:tc>
        <w:tc>
          <w:tcPr>
            <w:tcW w:w="1449" w:type="dxa"/>
          </w:tcPr>
          <w:p>
            <w:pPr>
              <w:pStyle w:val="TableParagraph"/>
              <w:spacing w:line="245" w:lineRule="exact" w:before="71"/>
              <w:ind w:right="707"/>
              <w:jc w:val="right"/>
              <w:rPr>
                <w:sz w:val="22"/>
              </w:rPr>
            </w:pPr>
            <w:r>
              <w:rPr>
                <w:spacing w:val="-5"/>
                <w:sz w:val="22"/>
              </w:rPr>
              <w:t>SF</w:t>
            </w:r>
          </w:p>
        </w:tc>
      </w:tr>
    </w:tbl>
    <w:p>
      <w:pPr>
        <w:spacing w:after="0" w:line="245" w:lineRule="exact"/>
        <w:jc w:val="right"/>
        <w:rPr>
          <w:sz w:val="22"/>
        </w:rPr>
        <w:sectPr>
          <w:pgSz w:w="11910" w:h="16840"/>
          <w:pgMar w:header="0" w:footer="1055" w:top="1920" w:bottom="1618" w:left="1060" w:right="460"/>
        </w:sect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29"/>
        <w:gridCol w:w="2232"/>
        <w:gridCol w:w="1426"/>
        <w:gridCol w:w="1454"/>
      </w:tblGrid>
      <w:tr>
        <w:trPr>
          <w:trHeight w:val="335" w:hRule="atLeast"/>
        </w:trPr>
        <w:tc>
          <w:tcPr>
            <w:tcW w:w="3529" w:type="dxa"/>
          </w:tcPr>
          <w:p>
            <w:pPr>
              <w:pStyle w:val="TableParagraph"/>
              <w:spacing w:line="225" w:lineRule="exact"/>
              <w:ind w:left="1646"/>
              <w:rPr>
                <w:sz w:val="22"/>
              </w:rPr>
            </w:pPr>
            <w:r>
              <w:rPr>
                <w:spacing w:val="-5"/>
                <w:sz w:val="22"/>
              </w:rPr>
              <w:t>AZM</w:t>
            </w:r>
          </w:p>
        </w:tc>
        <w:tc>
          <w:tcPr>
            <w:tcW w:w="2232" w:type="dxa"/>
          </w:tcPr>
          <w:p>
            <w:pPr>
              <w:pStyle w:val="TableParagraph"/>
              <w:spacing w:line="225" w:lineRule="exact"/>
              <w:ind w:right="376"/>
              <w:jc w:val="right"/>
              <w:rPr>
                <w:sz w:val="22"/>
              </w:rPr>
            </w:pPr>
            <w:r>
              <w:rPr>
                <w:spacing w:val="-2"/>
                <w:sz w:val="22"/>
              </w:rPr>
              <w:t>18.083±0.802</w:t>
            </w:r>
          </w:p>
        </w:tc>
        <w:tc>
          <w:tcPr>
            <w:tcW w:w="1426" w:type="dxa"/>
          </w:tcPr>
          <w:p>
            <w:pPr>
              <w:pStyle w:val="TableParagraph"/>
              <w:spacing w:line="225" w:lineRule="exact"/>
              <w:ind w:left="379"/>
              <w:rPr>
                <w:sz w:val="22"/>
              </w:rPr>
            </w:pPr>
            <w:r>
              <w:rPr>
                <w:spacing w:val="-2"/>
                <w:sz w:val="22"/>
              </w:rPr>
              <w:t>0.003</w:t>
            </w:r>
          </w:p>
        </w:tc>
        <w:tc>
          <w:tcPr>
            <w:tcW w:w="1454" w:type="dxa"/>
          </w:tcPr>
          <w:p>
            <w:pPr>
              <w:pStyle w:val="TableParagraph"/>
              <w:spacing w:line="225" w:lineRule="exact"/>
              <w:ind w:left="544"/>
              <w:rPr>
                <w:sz w:val="22"/>
              </w:rPr>
            </w:pPr>
            <w:r>
              <w:rPr>
                <w:spacing w:val="-5"/>
                <w:sz w:val="22"/>
              </w:rPr>
              <w:t>SF</w:t>
            </w:r>
          </w:p>
        </w:tc>
      </w:tr>
      <w:tr>
        <w:trPr>
          <w:trHeight w:val="450" w:hRule="atLeast"/>
        </w:trPr>
        <w:tc>
          <w:tcPr>
            <w:tcW w:w="3529" w:type="dxa"/>
          </w:tcPr>
          <w:p>
            <w:pPr>
              <w:pStyle w:val="TableParagraph"/>
              <w:spacing w:before="70"/>
              <w:ind w:left="1646"/>
              <w:rPr>
                <w:sz w:val="22"/>
              </w:rPr>
            </w:pPr>
            <w:r>
              <w:rPr>
                <w:sz w:val="22"/>
              </w:rPr>
              <w:t>Honey</w:t>
            </w:r>
            <w:r>
              <w:rPr>
                <w:spacing w:val="-4"/>
                <w:sz w:val="22"/>
              </w:rPr>
              <w:t> </w:t>
            </w:r>
            <w:r>
              <w:rPr>
                <w:spacing w:val="-2"/>
                <w:sz w:val="22"/>
              </w:rPr>
              <w:t>(100%)</w:t>
            </w:r>
          </w:p>
        </w:tc>
        <w:tc>
          <w:tcPr>
            <w:tcW w:w="2232" w:type="dxa"/>
          </w:tcPr>
          <w:p>
            <w:pPr>
              <w:pStyle w:val="TableParagraph"/>
              <w:spacing w:before="70"/>
              <w:ind w:right="376"/>
              <w:jc w:val="right"/>
              <w:rPr>
                <w:sz w:val="22"/>
              </w:rPr>
            </w:pPr>
            <w:r>
              <w:rPr>
                <w:spacing w:val="-2"/>
                <w:sz w:val="22"/>
              </w:rPr>
              <w:t>22.167±1.325</w:t>
            </w:r>
          </w:p>
        </w:tc>
        <w:tc>
          <w:tcPr>
            <w:tcW w:w="1426" w:type="dxa"/>
          </w:tcPr>
          <w:p>
            <w:pPr>
              <w:pStyle w:val="TableParagraph"/>
              <w:spacing w:before="70"/>
              <w:ind w:left="379"/>
              <w:rPr>
                <w:sz w:val="22"/>
              </w:rPr>
            </w:pPr>
            <w:r>
              <w:rPr>
                <w:spacing w:val="-2"/>
                <w:sz w:val="22"/>
              </w:rPr>
              <w:t>0.000</w:t>
            </w:r>
          </w:p>
        </w:tc>
        <w:tc>
          <w:tcPr>
            <w:tcW w:w="1454" w:type="dxa"/>
          </w:tcPr>
          <w:p>
            <w:pPr>
              <w:pStyle w:val="TableParagraph"/>
              <w:spacing w:before="70"/>
              <w:ind w:left="544"/>
              <w:rPr>
                <w:sz w:val="22"/>
              </w:rPr>
            </w:pPr>
            <w:r>
              <w:rPr>
                <w:spacing w:val="-5"/>
                <w:sz w:val="22"/>
              </w:rPr>
              <w:t>SF</w:t>
            </w:r>
          </w:p>
        </w:tc>
      </w:tr>
      <w:tr>
        <w:trPr>
          <w:trHeight w:val="522" w:hRule="atLeast"/>
        </w:trPr>
        <w:tc>
          <w:tcPr>
            <w:tcW w:w="3529" w:type="dxa"/>
            <w:tcBorders>
              <w:bottom w:val="single" w:sz="4" w:space="0" w:color="000000"/>
            </w:tcBorders>
          </w:tcPr>
          <w:p>
            <w:pPr>
              <w:pStyle w:val="TableParagraph"/>
              <w:spacing w:before="71"/>
              <w:ind w:left="1646"/>
              <w:rPr>
                <w:sz w:val="22"/>
              </w:rPr>
            </w:pPr>
            <w:r>
              <w:rPr>
                <w:sz w:val="22"/>
              </w:rPr>
              <w:t>Honey</w:t>
            </w:r>
            <w:r>
              <w:rPr>
                <w:spacing w:val="-2"/>
                <w:sz w:val="22"/>
              </w:rPr>
              <w:t> (50%)</w:t>
            </w:r>
          </w:p>
        </w:tc>
        <w:tc>
          <w:tcPr>
            <w:tcW w:w="2232" w:type="dxa"/>
            <w:tcBorders>
              <w:bottom w:val="single" w:sz="4" w:space="0" w:color="000000"/>
            </w:tcBorders>
          </w:tcPr>
          <w:p>
            <w:pPr>
              <w:pStyle w:val="TableParagraph"/>
              <w:spacing w:before="71"/>
              <w:ind w:right="376"/>
              <w:jc w:val="right"/>
              <w:rPr>
                <w:sz w:val="22"/>
              </w:rPr>
            </w:pPr>
            <w:r>
              <w:rPr>
                <w:spacing w:val="-2"/>
                <w:sz w:val="22"/>
              </w:rPr>
              <w:t>18.167±0.991</w:t>
            </w:r>
          </w:p>
        </w:tc>
        <w:tc>
          <w:tcPr>
            <w:tcW w:w="1426" w:type="dxa"/>
            <w:tcBorders>
              <w:bottom w:val="single" w:sz="4" w:space="0" w:color="000000"/>
            </w:tcBorders>
          </w:tcPr>
          <w:p>
            <w:pPr>
              <w:pStyle w:val="TableParagraph"/>
              <w:spacing w:before="71"/>
              <w:ind w:left="379"/>
              <w:rPr>
                <w:sz w:val="22"/>
              </w:rPr>
            </w:pPr>
            <w:r>
              <w:rPr>
                <w:spacing w:val="-2"/>
                <w:sz w:val="22"/>
              </w:rPr>
              <w:t>0.002</w:t>
            </w:r>
          </w:p>
        </w:tc>
        <w:tc>
          <w:tcPr>
            <w:tcW w:w="1454" w:type="dxa"/>
            <w:tcBorders>
              <w:bottom w:val="single" w:sz="4" w:space="0" w:color="000000"/>
            </w:tcBorders>
          </w:tcPr>
          <w:p>
            <w:pPr>
              <w:pStyle w:val="TableParagraph"/>
              <w:spacing w:before="71"/>
              <w:ind w:left="544"/>
              <w:rPr>
                <w:sz w:val="22"/>
              </w:rPr>
            </w:pPr>
            <w:r>
              <w:rPr>
                <w:spacing w:val="-5"/>
                <w:sz w:val="22"/>
              </w:rPr>
              <w:t>SF</w:t>
            </w:r>
          </w:p>
        </w:tc>
      </w:tr>
    </w:tbl>
    <w:p>
      <w:pPr>
        <w:pStyle w:val="BodyText"/>
        <w:spacing w:line="403" w:lineRule="auto" w:before="20"/>
        <w:ind w:left="430" w:right="3485" w:hanging="51"/>
      </w:pPr>
      <w:r>
        <w:rPr/>
        <w:t>Key</w:t>
      </w:r>
      <w:r>
        <w:rPr>
          <w:b/>
        </w:rPr>
        <w:t>:</w:t>
      </w:r>
      <w:r>
        <w:rPr>
          <w:b/>
          <w:spacing w:val="-7"/>
        </w:rPr>
        <w:t> </w:t>
      </w:r>
      <w:r>
        <w:rPr/>
        <w:t>LOS=Level</w:t>
      </w:r>
      <w:r>
        <w:rPr>
          <w:spacing w:val="-6"/>
        </w:rPr>
        <w:t> </w:t>
      </w:r>
      <w:r>
        <w:rPr/>
        <w:t>of</w:t>
      </w:r>
      <w:r>
        <w:rPr>
          <w:spacing w:val="-5"/>
        </w:rPr>
        <w:t> </w:t>
      </w:r>
      <w:r>
        <w:rPr/>
        <w:t>Significance;</w:t>
      </w:r>
      <w:r>
        <w:rPr>
          <w:spacing w:val="-5"/>
        </w:rPr>
        <w:t> </w:t>
      </w:r>
      <w:r>
        <w:rPr/>
        <w:t>NS=Not</w:t>
      </w:r>
      <w:r>
        <w:rPr>
          <w:spacing w:val="-5"/>
        </w:rPr>
        <w:t> </w:t>
      </w:r>
      <w:r>
        <w:rPr/>
        <w:t>significantly</w:t>
      </w:r>
      <w:r>
        <w:rPr>
          <w:spacing w:val="-5"/>
        </w:rPr>
        <w:t> </w:t>
      </w:r>
      <w:r>
        <w:rPr/>
        <w:t>different; SF=Significantly different.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4"/>
      </w:pPr>
    </w:p>
    <w:p>
      <w:pPr>
        <w:pStyle w:val="Heading3"/>
        <w:spacing w:line="259" w:lineRule="auto"/>
        <w:ind w:left="1513" w:right="975" w:hanging="1133"/>
        <w:rPr>
          <w:i/>
        </w:rPr>
      </w:pPr>
      <w:r>
        <w:rPr/>
        <w:t>Table</w:t>
      </w:r>
      <w:r>
        <w:rPr>
          <w:spacing w:val="-3"/>
        </w:rPr>
        <w:t> </w:t>
      </w:r>
      <w:r>
        <w:rPr/>
        <w:t>4.14:</w:t>
      </w:r>
      <w:r>
        <w:rPr>
          <w:spacing w:val="-3"/>
        </w:rPr>
        <w:t> </w:t>
      </w:r>
      <w:r>
        <w:rPr/>
        <w:t>Comparing</w:t>
      </w:r>
      <w:r>
        <w:rPr>
          <w:spacing w:val="-4"/>
        </w:rPr>
        <w:t> </w:t>
      </w:r>
      <w:r>
        <w:rPr/>
        <w:t>the</w:t>
      </w:r>
      <w:r>
        <w:rPr>
          <w:spacing w:val="-5"/>
        </w:rPr>
        <w:t> </w:t>
      </w:r>
      <w:r>
        <w:rPr/>
        <w:t>Mean</w:t>
      </w:r>
      <w:r>
        <w:rPr>
          <w:spacing w:val="-3"/>
        </w:rPr>
        <w:t> </w:t>
      </w:r>
      <w:r>
        <w:rPr/>
        <w:t>zone</w:t>
      </w:r>
      <w:r>
        <w:rPr>
          <w:spacing w:val="-3"/>
        </w:rPr>
        <w:t> </w:t>
      </w:r>
      <w:r>
        <w:rPr/>
        <w:t>of</w:t>
      </w:r>
      <w:r>
        <w:rPr>
          <w:spacing w:val="-2"/>
        </w:rPr>
        <w:t> </w:t>
      </w:r>
      <w:r>
        <w:rPr/>
        <w:t>inhibition</w:t>
      </w:r>
      <w:r>
        <w:rPr>
          <w:spacing w:val="-3"/>
        </w:rPr>
        <w:t> </w:t>
      </w:r>
      <w:r>
        <w:rPr/>
        <w:t>of</w:t>
      </w:r>
      <w:r>
        <w:rPr>
          <w:spacing w:val="-5"/>
        </w:rPr>
        <w:t> </w:t>
      </w:r>
      <w:r>
        <w:rPr/>
        <w:t>Honey</w:t>
      </w:r>
      <w:r>
        <w:rPr>
          <w:spacing w:val="-2"/>
        </w:rPr>
        <w:t> </w:t>
      </w:r>
      <w:r>
        <w:rPr/>
        <w:t>and</w:t>
      </w:r>
      <w:r>
        <w:rPr>
          <w:spacing w:val="-3"/>
        </w:rPr>
        <w:t> </w:t>
      </w:r>
      <w:r>
        <w:rPr/>
        <w:t>the</w:t>
      </w:r>
      <w:r>
        <w:rPr>
          <w:spacing w:val="-3"/>
        </w:rPr>
        <w:t> </w:t>
      </w:r>
      <w:r>
        <w:rPr/>
        <w:t>Standard</w:t>
      </w:r>
      <w:r>
        <w:rPr>
          <w:spacing w:val="-3"/>
        </w:rPr>
        <w:t> </w:t>
      </w:r>
      <w:r>
        <w:rPr/>
        <w:t>antibiotic formulations against </w:t>
      </w:r>
      <w:r>
        <w:rPr>
          <w:i/>
        </w:rPr>
        <w:t>Streptococcus pneumoniae</w:t>
      </w:r>
    </w:p>
    <w:p>
      <w:pPr>
        <w:pStyle w:val="BodyText"/>
        <w:spacing w:before="4"/>
        <w:rPr>
          <w:b/>
          <w:i/>
          <w:sz w:val="11"/>
        </w:rPr>
      </w:pPr>
      <w:r>
        <w:rPr/>
        <mc:AlternateContent>
          <mc:Choice Requires="wps">
            <w:drawing>
              <wp:anchor distT="0" distB="0" distL="0" distR="0" allowOverlap="1" layoutInCell="1" locked="0" behindDoc="1" simplePos="0" relativeHeight="487673344">
                <wp:simplePos x="0" y="0"/>
                <wp:positionH relativeFrom="page">
                  <wp:posOffset>846124</wp:posOffset>
                </wp:positionH>
                <wp:positionV relativeFrom="paragraph">
                  <wp:posOffset>103489</wp:posOffset>
                </wp:positionV>
                <wp:extent cx="5547360" cy="6350"/>
                <wp:effectExtent l="0" t="0" r="0" b="0"/>
                <wp:wrapTopAndBottom/>
                <wp:docPr id="487" name="Graphic 487"/>
                <wp:cNvGraphicFramePr>
                  <a:graphicFrameLocks/>
                </wp:cNvGraphicFramePr>
                <a:graphic>
                  <a:graphicData uri="http://schemas.microsoft.com/office/word/2010/wordprocessingShape">
                    <wps:wsp>
                      <wps:cNvPr id="487" name="Graphic 487"/>
                      <wps:cNvSpPr/>
                      <wps:spPr>
                        <a:xfrm>
                          <a:off x="0" y="0"/>
                          <a:ext cx="5547360" cy="6350"/>
                        </a:xfrm>
                        <a:custGeom>
                          <a:avLst/>
                          <a:gdLst/>
                          <a:ahLst/>
                          <a:cxnLst/>
                          <a:rect l="l" t="t" r="r" b="b"/>
                          <a:pathLst>
                            <a:path w="5547360" h="6350">
                              <a:moveTo>
                                <a:pt x="1117028" y="0"/>
                              </a:moveTo>
                              <a:lnTo>
                                <a:pt x="1110983" y="0"/>
                              </a:lnTo>
                              <a:lnTo>
                                <a:pt x="0" y="0"/>
                              </a:lnTo>
                              <a:lnTo>
                                <a:pt x="0" y="6096"/>
                              </a:lnTo>
                              <a:lnTo>
                                <a:pt x="1110945" y="6096"/>
                              </a:lnTo>
                              <a:lnTo>
                                <a:pt x="1117028" y="6096"/>
                              </a:lnTo>
                              <a:lnTo>
                                <a:pt x="1117028" y="0"/>
                              </a:lnTo>
                              <a:close/>
                            </a:path>
                            <a:path w="5547360" h="6350">
                              <a:moveTo>
                                <a:pt x="2490419" y="0"/>
                              </a:moveTo>
                              <a:lnTo>
                                <a:pt x="1117041" y="0"/>
                              </a:lnTo>
                              <a:lnTo>
                                <a:pt x="1117041" y="6096"/>
                              </a:lnTo>
                              <a:lnTo>
                                <a:pt x="2490419" y="6096"/>
                              </a:lnTo>
                              <a:lnTo>
                                <a:pt x="2490419" y="0"/>
                              </a:lnTo>
                              <a:close/>
                            </a:path>
                            <a:path w="5547360" h="6350">
                              <a:moveTo>
                                <a:pt x="4527169" y="0"/>
                              </a:moveTo>
                              <a:lnTo>
                                <a:pt x="4527169" y="0"/>
                              </a:lnTo>
                              <a:lnTo>
                                <a:pt x="2490546" y="0"/>
                              </a:lnTo>
                              <a:lnTo>
                                <a:pt x="2490546" y="6096"/>
                              </a:lnTo>
                              <a:lnTo>
                                <a:pt x="4527169" y="6096"/>
                              </a:lnTo>
                              <a:lnTo>
                                <a:pt x="4527169" y="0"/>
                              </a:lnTo>
                              <a:close/>
                            </a:path>
                            <a:path w="5547360" h="6350">
                              <a:moveTo>
                                <a:pt x="4533328" y="0"/>
                              </a:moveTo>
                              <a:lnTo>
                                <a:pt x="4527245" y="0"/>
                              </a:lnTo>
                              <a:lnTo>
                                <a:pt x="4527245" y="6096"/>
                              </a:lnTo>
                              <a:lnTo>
                                <a:pt x="4533328" y="6096"/>
                              </a:lnTo>
                              <a:lnTo>
                                <a:pt x="4533328" y="0"/>
                              </a:lnTo>
                              <a:close/>
                            </a:path>
                            <a:path w="5547360" h="6350">
                              <a:moveTo>
                                <a:pt x="5547106" y="0"/>
                              </a:moveTo>
                              <a:lnTo>
                                <a:pt x="4533341" y="0"/>
                              </a:lnTo>
                              <a:lnTo>
                                <a:pt x="4533341" y="6096"/>
                              </a:lnTo>
                              <a:lnTo>
                                <a:pt x="5547106" y="6096"/>
                              </a:lnTo>
                              <a:lnTo>
                                <a:pt x="55471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8.1488pt;width:436.8pt;height:.5pt;mso-position-horizontal-relative:page;mso-position-vertical-relative:paragraph;z-index:-15643136;mso-wrap-distance-left:0;mso-wrap-distance-right:0" id="docshape432" coordorigin="1332,163" coordsize="8736,10" path="m3092,163l3082,163,3082,163,1332,163,1332,173,3082,173,3082,173,3092,173,3092,163xm5254,163l3092,163,3092,173,5254,173,5254,163xm8462,163l7225,163,7216,163,7216,163,5264,163,5255,163,5255,173,5264,173,7216,173,7216,173,7225,173,8462,173,8462,163xm8472,163l8462,163,8462,173,8472,173,8472,163xm10068,163l8472,163,8472,173,10068,173,10068,163xe" filled="true" fillcolor="#000000" stroked="false">
                <v:path arrowok="t"/>
                <v:fill type="solid"/>
                <w10:wrap type="topAndBottom"/>
              </v:shape>
            </w:pict>
          </mc:Fallback>
        </mc:AlternateContent>
      </w:r>
    </w:p>
    <w:p>
      <w:pPr>
        <w:pStyle w:val="BodyText"/>
        <w:rPr>
          <w:b/>
          <w:i/>
          <w:sz w:val="20"/>
        </w:rPr>
      </w:pPr>
    </w:p>
    <w:p>
      <w:pPr>
        <w:pStyle w:val="BodyText"/>
        <w:spacing w:before="3"/>
        <w:rPr>
          <w:b/>
          <w:i/>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0"/>
        <w:gridCol w:w="1873"/>
        <w:gridCol w:w="2362"/>
        <w:gridCol w:w="1455"/>
        <w:gridCol w:w="1435"/>
      </w:tblGrid>
      <w:tr>
        <w:trPr>
          <w:trHeight w:val="859" w:hRule="atLeast"/>
        </w:trPr>
        <w:tc>
          <w:tcPr>
            <w:tcW w:w="1610" w:type="dxa"/>
            <w:tcBorders>
              <w:bottom w:val="single" w:sz="4" w:space="0" w:color="000000"/>
            </w:tcBorders>
          </w:tcPr>
          <w:p>
            <w:pPr>
              <w:pStyle w:val="TableParagraph"/>
              <w:spacing w:line="225" w:lineRule="exact"/>
              <w:ind w:left="108"/>
              <w:rPr>
                <w:sz w:val="22"/>
              </w:rPr>
            </w:pPr>
            <w:r>
              <w:rPr>
                <w:sz w:val="22"/>
              </w:rPr>
              <w:t>(I)</w:t>
            </w:r>
            <w:r>
              <w:rPr>
                <w:spacing w:val="-2"/>
                <w:sz w:val="22"/>
              </w:rPr>
              <w:t> Group</w:t>
            </w:r>
          </w:p>
        </w:tc>
        <w:tc>
          <w:tcPr>
            <w:tcW w:w="1873" w:type="dxa"/>
            <w:tcBorders>
              <w:bottom w:val="single" w:sz="4" w:space="0" w:color="000000"/>
            </w:tcBorders>
          </w:tcPr>
          <w:p>
            <w:pPr>
              <w:pStyle w:val="TableParagraph"/>
              <w:spacing w:line="225" w:lineRule="exact"/>
              <w:ind w:left="247"/>
              <w:rPr>
                <w:sz w:val="22"/>
              </w:rPr>
            </w:pPr>
            <w:r>
              <w:rPr>
                <w:sz w:val="22"/>
              </w:rPr>
              <w:t>(J)</w:t>
            </w:r>
            <w:r>
              <w:rPr>
                <w:spacing w:val="-2"/>
                <w:sz w:val="22"/>
              </w:rPr>
              <w:t> Group</w:t>
            </w:r>
          </w:p>
        </w:tc>
        <w:tc>
          <w:tcPr>
            <w:tcW w:w="2362" w:type="dxa"/>
            <w:tcBorders>
              <w:bottom w:val="single" w:sz="4" w:space="0" w:color="000000"/>
            </w:tcBorders>
          </w:tcPr>
          <w:p>
            <w:pPr>
              <w:pStyle w:val="TableParagraph"/>
              <w:spacing w:line="225" w:lineRule="exact"/>
              <w:ind w:left="479"/>
              <w:jc w:val="center"/>
              <w:rPr>
                <w:sz w:val="22"/>
              </w:rPr>
            </w:pPr>
            <w:r>
              <w:rPr>
                <w:spacing w:val="-2"/>
                <w:sz w:val="22"/>
              </w:rPr>
              <w:t>Mean±SEM</w:t>
            </w:r>
          </w:p>
        </w:tc>
        <w:tc>
          <w:tcPr>
            <w:tcW w:w="1455" w:type="dxa"/>
            <w:tcBorders>
              <w:bottom w:val="single" w:sz="4" w:space="0" w:color="000000"/>
            </w:tcBorders>
          </w:tcPr>
          <w:p>
            <w:pPr>
              <w:pStyle w:val="TableParagraph"/>
              <w:spacing w:line="225" w:lineRule="exact"/>
              <w:ind w:left="3" w:right="129"/>
              <w:jc w:val="center"/>
              <w:rPr>
                <w:sz w:val="22"/>
              </w:rPr>
            </w:pPr>
            <w:r>
              <w:rPr>
                <w:sz w:val="22"/>
              </w:rPr>
              <w:t>P-</w:t>
            </w:r>
            <w:r>
              <w:rPr>
                <w:spacing w:val="-2"/>
                <w:sz w:val="22"/>
              </w:rPr>
              <w:t>value</w:t>
            </w:r>
          </w:p>
        </w:tc>
        <w:tc>
          <w:tcPr>
            <w:tcW w:w="1435" w:type="dxa"/>
            <w:tcBorders>
              <w:bottom w:val="single" w:sz="4" w:space="0" w:color="000000"/>
            </w:tcBorders>
          </w:tcPr>
          <w:p>
            <w:pPr>
              <w:pStyle w:val="TableParagraph"/>
              <w:spacing w:line="225" w:lineRule="exact"/>
              <w:ind w:left="460"/>
              <w:rPr>
                <w:sz w:val="22"/>
              </w:rPr>
            </w:pPr>
            <w:r>
              <w:rPr>
                <w:spacing w:val="-5"/>
                <w:sz w:val="22"/>
              </w:rPr>
              <w:t>LOS</w:t>
            </w:r>
          </w:p>
        </w:tc>
      </w:tr>
      <w:tr>
        <w:trPr>
          <w:trHeight w:val="375" w:hRule="atLeast"/>
        </w:trPr>
        <w:tc>
          <w:tcPr>
            <w:tcW w:w="1610" w:type="dxa"/>
            <w:tcBorders>
              <w:top w:val="single" w:sz="4" w:space="0" w:color="000000"/>
            </w:tcBorders>
          </w:tcPr>
          <w:p>
            <w:pPr>
              <w:pStyle w:val="TableParagraph"/>
              <w:rPr>
                <w:rFonts w:ascii="Times New Roman"/>
                <w:sz w:val="22"/>
              </w:rPr>
            </w:pPr>
          </w:p>
        </w:tc>
        <w:tc>
          <w:tcPr>
            <w:tcW w:w="1873" w:type="dxa"/>
            <w:tcBorders>
              <w:top w:val="single" w:sz="4" w:space="0" w:color="000000"/>
            </w:tcBorders>
          </w:tcPr>
          <w:p>
            <w:pPr>
              <w:pStyle w:val="TableParagraph"/>
              <w:spacing w:line="265" w:lineRule="exact"/>
              <w:ind w:left="247"/>
              <w:rPr>
                <w:sz w:val="22"/>
              </w:rPr>
            </w:pPr>
            <w:r>
              <w:rPr>
                <w:spacing w:val="-5"/>
                <w:sz w:val="22"/>
              </w:rPr>
              <w:t>CRO</w:t>
            </w:r>
          </w:p>
        </w:tc>
        <w:tc>
          <w:tcPr>
            <w:tcW w:w="2362" w:type="dxa"/>
            <w:tcBorders>
              <w:top w:val="single" w:sz="4" w:space="0" w:color="000000"/>
            </w:tcBorders>
          </w:tcPr>
          <w:p>
            <w:pPr>
              <w:pStyle w:val="TableParagraph"/>
              <w:spacing w:line="265" w:lineRule="exact"/>
              <w:ind w:left="479" w:right="3"/>
              <w:jc w:val="center"/>
              <w:rPr>
                <w:sz w:val="22"/>
              </w:rPr>
            </w:pPr>
            <w:r>
              <w:rPr>
                <w:spacing w:val="-2"/>
                <w:sz w:val="22"/>
              </w:rPr>
              <w:t>21.714±1.924</w:t>
            </w:r>
          </w:p>
        </w:tc>
        <w:tc>
          <w:tcPr>
            <w:tcW w:w="1455" w:type="dxa"/>
            <w:tcBorders>
              <w:top w:val="single" w:sz="4" w:space="0" w:color="000000"/>
            </w:tcBorders>
          </w:tcPr>
          <w:p>
            <w:pPr>
              <w:pStyle w:val="TableParagraph"/>
              <w:spacing w:line="265" w:lineRule="exact"/>
              <w:ind w:right="129"/>
              <w:jc w:val="center"/>
              <w:rPr>
                <w:sz w:val="22"/>
              </w:rPr>
            </w:pPr>
            <w:r>
              <w:rPr>
                <w:spacing w:val="-2"/>
                <w:sz w:val="22"/>
              </w:rPr>
              <w:t>0.978</w:t>
            </w:r>
          </w:p>
        </w:tc>
        <w:tc>
          <w:tcPr>
            <w:tcW w:w="1435" w:type="dxa"/>
            <w:tcBorders>
              <w:top w:val="single" w:sz="4" w:space="0" w:color="000000"/>
            </w:tcBorders>
          </w:tcPr>
          <w:p>
            <w:pPr>
              <w:pStyle w:val="TableParagraph"/>
              <w:spacing w:line="265" w:lineRule="exact"/>
              <w:ind w:left="508"/>
              <w:rPr>
                <w:sz w:val="22"/>
              </w:rPr>
            </w:pPr>
            <w:r>
              <w:rPr>
                <w:spacing w:val="-5"/>
                <w:sz w:val="22"/>
              </w:rPr>
              <w:t>NS</w:t>
            </w:r>
          </w:p>
        </w:tc>
      </w:tr>
      <w:tr>
        <w:trPr>
          <w:trHeight w:val="450" w:hRule="atLeast"/>
        </w:trPr>
        <w:tc>
          <w:tcPr>
            <w:tcW w:w="1610" w:type="dxa"/>
          </w:tcPr>
          <w:p>
            <w:pPr>
              <w:pStyle w:val="TableParagraph"/>
              <w:rPr>
                <w:rFonts w:ascii="Times New Roman"/>
                <w:sz w:val="22"/>
              </w:rPr>
            </w:pPr>
          </w:p>
        </w:tc>
        <w:tc>
          <w:tcPr>
            <w:tcW w:w="1873" w:type="dxa"/>
          </w:tcPr>
          <w:p>
            <w:pPr>
              <w:pStyle w:val="TableParagraph"/>
              <w:spacing w:before="70"/>
              <w:ind w:left="247"/>
              <w:rPr>
                <w:sz w:val="22"/>
              </w:rPr>
            </w:pPr>
            <w:r>
              <w:rPr>
                <w:spacing w:val="-5"/>
                <w:sz w:val="22"/>
              </w:rPr>
              <w:t>CN</w:t>
            </w:r>
          </w:p>
        </w:tc>
        <w:tc>
          <w:tcPr>
            <w:tcW w:w="2362" w:type="dxa"/>
          </w:tcPr>
          <w:p>
            <w:pPr>
              <w:pStyle w:val="TableParagraph"/>
              <w:spacing w:before="70"/>
              <w:ind w:left="479" w:right="3"/>
              <w:jc w:val="center"/>
              <w:rPr>
                <w:sz w:val="22"/>
              </w:rPr>
            </w:pPr>
            <w:r>
              <w:rPr>
                <w:spacing w:val="-2"/>
                <w:sz w:val="22"/>
              </w:rPr>
              <w:t>20.429±1.556</w:t>
            </w:r>
          </w:p>
        </w:tc>
        <w:tc>
          <w:tcPr>
            <w:tcW w:w="1455" w:type="dxa"/>
          </w:tcPr>
          <w:p>
            <w:pPr>
              <w:pStyle w:val="TableParagraph"/>
              <w:spacing w:before="70"/>
              <w:ind w:right="129"/>
              <w:jc w:val="center"/>
              <w:rPr>
                <w:sz w:val="22"/>
              </w:rPr>
            </w:pPr>
            <w:r>
              <w:rPr>
                <w:spacing w:val="-2"/>
                <w:sz w:val="22"/>
              </w:rPr>
              <w:t>1.000</w:t>
            </w:r>
          </w:p>
        </w:tc>
        <w:tc>
          <w:tcPr>
            <w:tcW w:w="1435" w:type="dxa"/>
          </w:tcPr>
          <w:p>
            <w:pPr>
              <w:pStyle w:val="TableParagraph"/>
              <w:spacing w:before="70"/>
              <w:ind w:left="508"/>
              <w:rPr>
                <w:sz w:val="22"/>
              </w:rPr>
            </w:pPr>
            <w:r>
              <w:rPr>
                <w:spacing w:val="-5"/>
                <w:sz w:val="22"/>
              </w:rPr>
              <w:t>NS</w:t>
            </w:r>
          </w:p>
        </w:tc>
      </w:tr>
      <w:tr>
        <w:trPr>
          <w:trHeight w:val="449" w:hRule="atLeast"/>
        </w:trPr>
        <w:tc>
          <w:tcPr>
            <w:tcW w:w="1610" w:type="dxa"/>
          </w:tcPr>
          <w:p>
            <w:pPr>
              <w:pStyle w:val="TableParagraph"/>
              <w:spacing w:before="71"/>
              <w:ind w:left="108"/>
              <w:rPr>
                <w:sz w:val="22"/>
              </w:rPr>
            </w:pPr>
            <w:r>
              <w:rPr>
                <w:sz w:val="22"/>
              </w:rPr>
              <w:t>Honey</w:t>
            </w:r>
            <w:r>
              <w:rPr>
                <w:spacing w:val="-4"/>
                <w:sz w:val="22"/>
              </w:rPr>
              <w:t> </w:t>
            </w:r>
            <w:r>
              <w:rPr>
                <w:spacing w:val="-2"/>
                <w:sz w:val="22"/>
              </w:rPr>
              <w:t>(100%)</w:t>
            </w:r>
          </w:p>
        </w:tc>
        <w:tc>
          <w:tcPr>
            <w:tcW w:w="1873" w:type="dxa"/>
          </w:tcPr>
          <w:p>
            <w:pPr>
              <w:pStyle w:val="TableParagraph"/>
              <w:spacing w:before="71"/>
              <w:ind w:left="247"/>
              <w:rPr>
                <w:sz w:val="22"/>
              </w:rPr>
            </w:pPr>
            <w:r>
              <w:rPr>
                <w:spacing w:val="-5"/>
                <w:sz w:val="22"/>
              </w:rPr>
              <w:t>AMC</w:t>
            </w:r>
          </w:p>
        </w:tc>
        <w:tc>
          <w:tcPr>
            <w:tcW w:w="2362" w:type="dxa"/>
          </w:tcPr>
          <w:p>
            <w:pPr>
              <w:pStyle w:val="TableParagraph"/>
              <w:spacing w:before="71"/>
              <w:ind w:left="479" w:right="3"/>
              <w:jc w:val="center"/>
              <w:rPr>
                <w:sz w:val="22"/>
              </w:rPr>
            </w:pPr>
            <w:r>
              <w:rPr>
                <w:spacing w:val="-2"/>
                <w:sz w:val="22"/>
              </w:rPr>
              <w:t>19.286±2.067</w:t>
            </w:r>
          </w:p>
        </w:tc>
        <w:tc>
          <w:tcPr>
            <w:tcW w:w="1455" w:type="dxa"/>
          </w:tcPr>
          <w:p>
            <w:pPr>
              <w:pStyle w:val="TableParagraph"/>
              <w:spacing w:before="71"/>
              <w:ind w:right="129"/>
              <w:jc w:val="center"/>
              <w:rPr>
                <w:sz w:val="22"/>
              </w:rPr>
            </w:pPr>
            <w:r>
              <w:rPr>
                <w:spacing w:val="-2"/>
                <w:sz w:val="22"/>
              </w:rPr>
              <w:t>1.000</w:t>
            </w:r>
          </w:p>
        </w:tc>
        <w:tc>
          <w:tcPr>
            <w:tcW w:w="1435" w:type="dxa"/>
          </w:tcPr>
          <w:p>
            <w:pPr>
              <w:pStyle w:val="TableParagraph"/>
              <w:spacing w:before="71"/>
              <w:ind w:left="508"/>
              <w:rPr>
                <w:sz w:val="22"/>
              </w:rPr>
            </w:pPr>
            <w:r>
              <w:rPr>
                <w:spacing w:val="-5"/>
                <w:sz w:val="22"/>
              </w:rPr>
              <w:t>NS</w:t>
            </w:r>
          </w:p>
        </w:tc>
      </w:tr>
      <w:tr>
        <w:trPr>
          <w:trHeight w:val="450" w:hRule="atLeast"/>
        </w:trPr>
        <w:tc>
          <w:tcPr>
            <w:tcW w:w="1610" w:type="dxa"/>
          </w:tcPr>
          <w:p>
            <w:pPr>
              <w:pStyle w:val="TableParagraph"/>
              <w:rPr>
                <w:rFonts w:ascii="Times New Roman"/>
                <w:sz w:val="22"/>
              </w:rPr>
            </w:pPr>
          </w:p>
        </w:tc>
        <w:tc>
          <w:tcPr>
            <w:tcW w:w="1873" w:type="dxa"/>
          </w:tcPr>
          <w:p>
            <w:pPr>
              <w:pStyle w:val="TableParagraph"/>
              <w:spacing w:before="70"/>
              <w:ind w:left="247"/>
              <w:rPr>
                <w:sz w:val="22"/>
              </w:rPr>
            </w:pPr>
            <w:r>
              <w:rPr>
                <w:spacing w:val="-5"/>
                <w:sz w:val="22"/>
              </w:rPr>
              <w:t>LEV</w:t>
            </w:r>
          </w:p>
        </w:tc>
        <w:tc>
          <w:tcPr>
            <w:tcW w:w="2362" w:type="dxa"/>
          </w:tcPr>
          <w:p>
            <w:pPr>
              <w:pStyle w:val="TableParagraph"/>
              <w:spacing w:before="70"/>
              <w:ind w:left="479" w:right="3"/>
              <w:jc w:val="center"/>
              <w:rPr>
                <w:sz w:val="22"/>
              </w:rPr>
            </w:pPr>
            <w:r>
              <w:rPr>
                <w:spacing w:val="-2"/>
                <w:sz w:val="22"/>
              </w:rPr>
              <w:t>21.286±1.322</w:t>
            </w:r>
          </w:p>
        </w:tc>
        <w:tc>
          <w:tcPr>
            <w:tcW w:w="1455" w:type="dxa"/>
          </w:tcPr>
          <w:p>
            <w:pPr>
              <w:pStyle w:val="TableParagraph"/>
              <w:spacing w:before="70"/>
              <w:ind w:right="129"/>
              <w:jc w:val="center"/>
              <w:rPr>
                <w:sz w:val="22"/>
              </w:rPr>
            </w:pPr>
            <w:r>
              <w:rPr>
                <w:spacing w:val="-2"/>
                <w:sz w:val="22"/>
              </w:rPr>
              <w:t>0.995</w:t>
            </w:r>
          </w:p>
        </w:tc>
        <w:tc>
          <w:tcPr>
            <w:tcW w:w="1435" w:type="dxa"/>
          </w:tcPr>
          <w:p>
            <w:pPr>
              <w:pStyle w:val="TableParagraph"/>
              <w:spacing w:before="70"/>
              <w:ind w:left="508"/>
              <w:rPr>
                <w:sz w:val="22"/>
              </w:rPr>
            </w:pPr>
            <w:r>
              <w:rPr>
                <w:spacing w:val="-5"/>
                <w:sz w:val="22"/>
              </w:rPr>
              <w:t>NS</w:t>
            </w:r>
          </w:p>
        </w:tc>
      </w:tr>
      <w:tr>
        <w:trPr>
          <w:trHeight w:val="336" w:hRule="atLeast"/>
        </w:trPr>
        <w:tc>
          <w:tcPr>
            <w:tcW w:w="1610" w:type="dxa"/>
          </w:tcPr>
          <w:p>
            <w:pPr>
              <w:pStyle w:val="TableParagraph"/>
              <w:rPr>
                <w:rFonts w:ascii="Times New Roman"/>
                <w:sz w:val="22"/>
              </w:rPr>
            </w:pPr>
          </w:p>
        </w:tc>
        <w:tc>
          <w:tcPr>
            <w:tcW w:w="1873" w:type="dxa"/>
          </w:tcPr>
          <w:p>
            <w:pPr>
              <w:pStyle w:val="TableParagraph"/>
              <w:spacing w:line="245" w:lineRule="exact" w:before="71"/>
              <w:ind w:left="247"/>
              <w:rPr>
                <w:sz w:val="22"/>
              </w:rPr>
            </w:pPr>
            <w:r>
              <w:rPr>
                <w:spacing w:val="-5"/>
                <w:sz w:val="22"/>
              </w:rPr>
              <w:t>AZM</w:t>
            </w:r>
          </w:p>
        </w:tc>
        <w:tc>
          <w:tcPr>
            <w:tcW w:w="2362" w:type="dxa"/>
          </w:tcPr>
          <w:p>
            <w:pPr>
              <w:pStyle w:val="TableParagraph"/>
              <w:spacing w:line="245" w:lineRule="exact" w:before="71"/>
              <w:ind w:left="479" w:right="3"/>
              <w:jc w:val="center"/>
              <w:rPr>
                <w:sz w:val="22"/>
              </w:rPr>
            </w:pPr>
            <w:r>
              <w:rPr>
                <w:spacing w:val="-2"/>
                <w:sz w:val="22"/>
              </w:rPr>
              <w:t>16.143±1.945</w:t>
            </w:r>
          </w:p>
        </w:tc>
        <w:tc>
          <w:tcPr>
            <w:tcW w:w="1455" w:type="dxa"/>
          </w:tcPr>
          <w:p>
            <w:pPr>
              <w:pStyle w:val="TableParagraph"/>
              <w:spacing w:line="245" w:lineRule="exact" w:before="71"/>
              <w:ind w:right="129"/>
              <w:jc w:val="center"/>
              <w:rPr>
                <w:sz w:val="22"/>
              </w:rPr>
            </w:pPr>
            <w:r>
              <w:rPr>
                <w:spacing w:val="-2"/>
                <w:sz w:val="22"/>
              </w:rPr>
              <w:t>0.677</w:t>
            </w:r>
          </w:p>
        </w:tc>
        <w:tc>
          <w:tcPr>
            <w:tcW w:w="1435" w:type="dxa"/>
          </w:tcPr>
          <w:p>
            <w:pPr>
              <w:pStyle w:val="TableParagraph"/>
              <w:spacing w:line="245" w:lineRule="exact" w:before="71"/>
              <w:ind w:left="508"/>
              <w:rPr>
                <w:sz w:val="22"/>
              </w:rPr>
            </w:pPr>
            <w:r>
              <w:rPr>
                <w:spacing w:val="-5"/>
                <w:sz w:val="22"/>
              </w:rPr>
              <w:t>NS</w:t>
            </w:r>
          </w:p>
        </w:tc>
      </w:tr>
    </w:tbl>
    <w:p>
      <w:pPr>
        <w:spacing w:after="0" w:line="245" w:lineRule="exact"/>
        <w:rPr>
          <w:sz w:val="22"/>
        </w:rPr>
        <w:sectPr>
          <w:type w:val="continuous"/>
          <w:pgSz w:w="11910" w:h="16840"/>
          <w:pgMar w:header="0" w:footer="1055" w:top="1440" w:bottom="1623" w:left="1060" w:right="460"/>
        </w:sect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5"/>
        <w:gridCol w:w="2146"/>
        <w:gridCol w:w="2184"/>
        <w:gridCol w:w="1398"/>
        <w:gridCol w:w="1451"/>
      </w:tblGrid>
      <w:tr>
        <w:trPr>
          <w:trHeight w:val="335" w:hRule="atLeast"/>
        </w:trPr>
        <w:tc>
          <w:tcPr>
            <w:tcW w:w="1555" w:type="dxa"/>
          </w:tcPr>
          <w:p>
            <w:pPr>
              <w:pStyle w:val="TableParagraph"/>
              <w:rPr>
                <w:rFonts w:ascii="Times New Roman"/>
                <w:sz w:val="22"/>
              </w:rPr>
            </w:pPr>
          </w:p>
        </w:tc>
        <w:tc>
          <w:tcPr>
            <w:tcW w:w="2146" w:type="dxa"/>
          </w:tcPr>
          <w:p>
            <w:pPr>
              <w:pStyle w:val="TableParagraph"/>
              <w:spacing w:line="225" w:lineRule="exact"/>
              <w:ind w:left="302"/>
              <w:rPr>
                <w:sz w:val="22"/>
              </w:rPr>
            </w:pPr>
            <w:r>
              <w:rPr>
                <w:sz w:val="22"/>
              </w:rPr>
              <w:t>Honey</w:t>
            </w:r>
            <w:r>
              <w:rPr>
                <w:spacing w:val="-2"/>
                <w:sz w:val="22"/>
              </w:rPr>
              <w:t> (50%)</w:t>
            </w:r>
          </w:p>
        </w:tc>
        <w:tc>
          <w:tcPr>
            <w:tcW w:w="2184" w:type="dxa"/>
          </w:tcPr>
          <w:p>
            <w:pPr>
              <w:pStyle w:val="TableParagraph"/>
              <w:spacing w:line="225" w:lineRule="exact"/>
              <w:ind w:right="368"/>
              <w:jc w:val="right"/>
              <w:rPr>
                <w:sz w:val="22"/>
              </w:rPr>
            </w:pPr>
            <w:r>
              <w:rPr>
                <w:spacing w:val="-2"/>
                <w:sz w:val="22"/>
              </w:rPr>
              <w:t>15.429±0.528</w:t>
            </w:r>
          </w:p>
        </w:tc>
        <w:tc>
          <w:tcPr>
            <w:tcW w:w="1398" w:type="dxa"/>
          </w:tcPr>
          <w:p>
            <w:pPr>
              <w:pStyle w:val="TableParagraph"/>
              <w:spacing w:line="225" w:lineRule="exact"/>
              <w:ind w:left="370"/>
              <w:rPr>
                <w:sz w:val="22"/>
              </w:rPr>
            </w:pPr>
            <w:r>
              <w:rPr>
                <w:spacing w:val="-2"/>
                <w:sz w:val="22"/>
              </w:rPr>
              <w:t>0.455</w:t>
            </w:r>
          </w:p>
        </w:tc>
        <w:tc>
          <w:tcPr>
            <w:tcW w:w="1451" w:type="dxa"/>
          </w:tcPr>
          <w:p>
            <w:pPr>
              <w:pStyle w:val="TableParagraph"/>
              <w:spacing w:line="225" w:lineRule="exact"/>
              <w:ind w:left="525"/>
              <w:rPr>
                <w:sz w:val="22"/>
              </w:rPr>
            </w:pPr>
            <w:r>
              <w:rPr>
                <w:spacing w:val="-5"/>
                <w:sz w:val="22"/>
              </w:rPr>
              <w:t>NS</w:t>
            </w:r>
          </w:p>
        </w:tc>
      </w:tr>
      <w:tr>
        <w:trPr>
          <w:trHeight w:val="524" w:hRule="atLeast"/>
        </w:trPr>
        <w:tc>
          <w:tcPr>
            <w:tcW w:w="1555" w:type="dxa"/>
            <w:tcBorders>
              <w:bottom w:val="single" w:sz="4" w:space="0" w:color="000000"/>
            </w:tcBorders>
          </w:tcPr>
          <w:p>
            <w:pPr>
              <w:pStyle w:val="TableParagraph"/>
              <w:rPr>
                <w:rFonts w:ascii="Times New Roman"/>
                <w:sz w:val="22"/>
              </w:rPr>
            </w:pPr>
          </w:p>
        </w:tc>
        <w:tc>
          <w:tcPr>
            <w:tcW w:w="2146" w:type="dxa"/>
            <w:tcBorders>
              <w:bottom w:val="single" w:sz="4" w:space="0" w:color="000000"/>
            </w:tcBorders>
          </w:tcPr>
          <w:p>
            <w:pPr>
              <w:pStyle w:val="TableParagraph"/>
              <w:spacing w:before="70"/>
              <w:ind w:left="302"/>
              <w:rPr>
                <w:sz w:val="22"/>
              </w:rPr>
            </w:pPr>
            <w:r>
              <w:rPr>
                <w:sz w:val="22"/>
              </w:rPr>
              <w:t>Honey</w:t>
            </w:r>
            <w:r>
              <w:rPr>
                <w:spacing w:val="-2"/>
                <w:sz w:val="22"/>
              </w:rPr>
              <w:t> (25%)</w:t>
            </w:r>
          </w:p>
        </w:tc>
        <w:tc>
          <w:tcPr>
            <w:tcW w:w="2184" w:type="dxa"/>
            <w:tcBorders>
              <w:bottom w:val="single" w:sz="4" w:space="0" w:color="000000"/>
            </w:tcBorders>
          </w:tcPr>
          <w:p>
            <w:pPr>
              <w:pStyle w:val="TableParagraph"/>
              <w:spacing w:before="70"/>
              <w:ind w:right="368"/>
              <w:jc w:val="right"/>
              <w:rPr>
                <w:sz w:val="22"/>
              </w:rPr>
            </w:pPr>
            <w:r>
              <w:rPr>
                <w:spacing w:val="-2"/>
                <w:sz w:val="22"/>
              </w:rPr>
              <w:t>11.286±0.680</w:t>
            </w:r>
          </w:p>
        </w:tc>
        <w:tc>
          <w:tcPr>
            <w:tcW w:w="1398" w:type="dxa"/>
            <w:tcBorders>
              <w:bottom w:val="single" w:sz="4" w:space="0" w:color="000000"/>
            </w:tcBorders>
          </w:tcPr>
          <w:p>
            <w:pPr>
              <w:pStyle w:val="TableParagraph"/>
              <w:spacing w:before="70"/>
              <w:ind w:left="370"/>
              <w:rPr>
                <w:sz w:val="22"/>
              </w:rPr>
            </w:pPr>
            <w:r>
              <w:rPr>
                <w:spacing w:val="-2"/>
                <w:sz w:val="22"/>
              </w:rPr>
              <w:t>0.004</w:t>
            </w:r>
          </w:p>
        </w:tc>
        <w:tc>
          <w:tcPr>
            <w:tcW w:w="1451" w:type="dxa"/>
            <w:tcBorders>
              <w:bottom w:val="single" w:sz="4" w:space="0" w:color="000000"/>
            </w:tcBorders>
          </w:tcPr>
          <w:p>
            <w:pPr>
              <w:pStyle w:val="TableParagraph"/>
              <w:spacing w:before="70"/>
              <w:ind w:left="547"/>
              <w:rPr>
                <w:sz w:val="22"/>
              </w:rPr>
            </w:pPr>
            <w:r>
              <w:rPr>
                <w:spacing w:val="-5"/>
                <w:sz w:val="22"/>
              </w:rPr>
              <w:t>SF</w:t>
            </w:r>
          </w:p>
        </w:tc>
      </w:tr>
      <w:tr>
        <w:trPr>
          <w:trHeight w:val="375" w:hRule="atLeast"/>
        </w:trPr>
        <w:tc>
          <w:tcPr>
            <w:tcW w:w="1555" w:type="dxa"/>
            <w:tcBorders>
              <w:top w:val="single" w:sz="4" w:space="0" w:color="000000"/>
            </w:tcBorders>
          </w:tcPr>
          <w:p>
            <w:pPr>
              <w:pStyle w:val="TableParagraph"/>
              <w:rPr>
                <w:rFonts w:ascii="Times New Roman"/>
                <w:sz w:val="22"/>
              </w:rPr>
            </w:pPr>
          </w:p>
        </w:tc>
        <w:tc>
          <w:tcPr>
            <w:tcW w:w="2146" w:type="dxa"/>
            <w:tcBorders>
              <w:top w:val="single" w:sz="4" w:space="0" w:color="000000"/>
            </w:tcBorders>
          </w:tcPr>
          <w:p>
            <w:pPr>
              <w:pStyle w:val="TableParagraph"/>
              <w:spacing w:line="265" w:lineRule="exact"/>
              <w:ind w:left="302"/>
              <w:rPr>
                <w:sz w:val="22"/>
              </w:rPr>
            </w:pPr>
            <w:r>
              <w:rPr>
                <w:spacing w:val="-5"/>
                <w:sz w:val="22"/>
              </w:rPr>
              <w:t>CRO</w:t>
            </w:r>
          </w:p>
        </w:tc>
        <w:tc>
          <w:tcPr>
            <w:tcW w:w="2184" w:type="dxa"/>
            <w:tcBorders>
              <w:top w:val="single" w:sz="4" w:space="0" w:color="000000"/>
            </w:tcBorders>
          </w:tcPr>
          <w:p>
            <w:pPr>
              <w:pStyle w:val="TableParagraph"/>
              <w:spacing w:line="265" w:lineRule="exact"/>
              <w:ind w:right="368"/>
              <w:jc w:val="right"/>
              <w:rPr>
                <w:sz w:val="22"/>
              </w:rPr>
            </w:pPr>
            <w:r>
              <w:rPr>
                <w:spacing w:val="-2"/>
                <w:sz w:val="22"/>
              </w:rPr>
              <w:t>21.714±1.924</w:t>
            </w:r>
          </w:p>
        </w:tc>
        <w:tc>
          <w:tcPr>
            <w:tcW w:w="1398" w:type="dxa"/>
            <w:tcBorders>
              <w:top w:val="single" w:sz="4" w:space="0" w:color="000000"/>
            </w:tcBorders>
          </w:tcPr>
          <w:p>
            <w:pPr>
              <w:pStyle w:val="TableParagraph"/>
              <w:spacing w:line="265" w:lineRule="exact"/>
              <w:ind w:left="370"/>
              <w:rPr>
                <w:sz w:val="22"/>
              </w:rPr>
            </w:pPr>
            <w:r>
              <w:rPr>
                <w:spacing w:val="-2"/>
                <w:sz w:val="22"/>
              </w:rPr>
              <w:t>0.072</w:t>
            </w:r>
          </w:p>
        </w:tc>
        <w:tc>
          <w:tcPr>
            <w:tcW w:w="1451" w:type="dxa"/>
            <w:tcBorders>
              <w:top w:val="single" w:sz="4" w:space="0" w:color="000000"/>
            </w:tcBorders>
          </w:tcPr>
          <w:p>
            <w:pPr>
              <w:pStyle w:val="TableParagraph"/>
              <w:spacing w:line="265" w:lineRule="exact"/>
              <w:ind w:left="525"/>
              <w:rPr>
                <w:sz w:val="22"/>
              </w:rPr>
            </w:pPr>
            <w:r>
              <w:rPr>
                <w:spacing w:val="-5"/>
                <w:sz w:val="22"/>
              </w:rPr>
              <w:t>NS</w:t>
            </w:r>
          </w:p>
        </w:tc>
      </w:tr>
      <w:tr>
        <w:trPr>
          <w:trHeight w:val="450" w:hRule="atLeast"/>
        </w:trPr>
        <w:tc>
          <w:tcPr>
            <w:tcW w:w="1555" w:type="dxa"/>
          </w:tcPr>
          <w:p>
            <w:pPr>
              <w:pStyle w:val="TableParagraph"/>
              <w:rPr>
                <w:rFonts w:ascii="Times New Roman"/>
                <w:sz w:val="22"/>
              </w:rPr>
            </w:pPr>
          </w:p>
        </w:tc>
        <w:tc>
          <w:tcPr>
            <w:tcW w:w="2146" w:type="dxa"/>
          </w:tcPr>
          <w:p>
            <w:pPr>
              <w:pStyle w:val="TableParagraph"/>
              <w:spacing w:before="70"/>
              <w:ind w:left="302"/>
              <w:rPr>
                <w:sz w:val="22"/>
              </w:rPr>
            </w:pPr>
            <w:r>
              <w:rPr>
                <w:spacing w:val="-5"/>
                <w:sz w:val="22"/>
              </w:rPr>
              <w:t>CN</w:t>
            </w:r>
          </w:p>
        </w:tc>
        <w:tc>
          <w:tcPr>
            <w:tcW w:w="2184" w:type="dxa"/>
          </w:tcPr>
          <w:p>
            <w:pPr>
              <w:pStyle w:val="TableParagraph"/>
              <w:spacing w:before="70"/>
              <w:ind w:right="368"/>
              <w:jc w:val="right"/>
              <w:rPr>
                <w:sz w:val="22"/>
              </w:rPr>
            </w:pPr>
            <w:r>
              <w:rPr>
                <w:spacing w:val="-2"/>
                <w:sz w:val="22"/>
              </w:rPr>
              <w:t>20.429±1.556</w:t>
            </w:r>
          </w:p>
        </w:tc>
        <w:tc>
          <w:tcPr>
            <w:tcW w:w="1398" w:type="dxa"/>
          </w:tcPr>
          <w:p>
            <w:pPr>
              <w:pStyle w:val="TableParagraph"/>
              <w:spacing w:before="70"/>
              <w:ind w:left="370"/>
              <w:rPr>
                <w:sz w:val="22"/>
              </w:rPr>
            </w:pPr>
            <w:r>
              <w:rPr>
                <w:spacing w:val="-2"/>
                <w:sz w:val="22"/>
              </w:rPr>
              <w:t>0.263</w:t>
            </w:r>
          </w:p>
        </w:tc>
        <w:tc>
          <w:tcPr>
            <w:tcW w:w="1451" w:type="dxa"/>
          </w:tcPr>
          <w:p>
            <w:pPr>
              <w:pStyle w:val="TableParagraph"/>
              <w:spacing w:before="70"/>
              <w:ind w:left="525"/>
              <w:rPr>
                <w:sz w:val="22"/>
              </w:rPr>
            </w:pPr>
            <w:r>
              <w:rPr>
                <w:spacing w:val="-5"/>
                <w:sz w:val="22"/>
              </w:rPr>
              <w:t>NS</w:t>
            </w:r>
          </w:p>
        </w:tc>
      </w:tr>
      <w:tr>
        <w:trPr>
          <w:trHeight w:val="450" w:hRule="atLeast"/>
        </w:trPr>
        <w:tc>
          <w:tcPr>
            <w:tcW w:w="1555" w:type="dxa"/>
          </w:tcPr>
          <w:p>
            <w:pPr>
              <w:pStyle w:val="TableParagraph"/>
              <w:rPr>
                <w:rFonts w:ascii="Times New Roman"/>
                <w:sz w:val="22"/>
              </w:rPr>
            </w:pPr>
          </w:p>
        </w:tc>
        <w:tc>
          <w:tcPr>
            <w:tcW w:w="2146" w:type="dxa"/>
          </w:tcPr>
          <w:p>
            <w:pPr>
              <w:pStyle w:val="TableParagraph"/>
              <w:spacing w:before="71"/>
              <w:ind w:left="302"/>
              <w:rPr>
                <w:sz w:val="22"/>
              </w:rPr>
            </w:pPr>
            <w:r>
              <w:rPr>
                <w:spacing w:val="-5"/>
                <w:sz w:val="22"/>
              </w:rPr>
              <w:t>AMC</w:t>
            </w:r>
          </w:p>
        </w:tc>
        <w:tc>
          <w:tcPr>
            <w:tcW w:w="2184" w:type="dxa"/>
          </w:tcPr>
          <w:p>
            <w:pPr>
              <w:pStyle w:val="TableParagraph"/>
              <w:spacing w:before="71"/>
              <w:ind w:right="368"/>
              <w:jc w:val="right"/>
              <w:rPr>
                <w:sz w:val="22"/>
              </w:rPr>
            </w:pPr>
            <w:r>
              <w:rPr>
                <w:spacing w:val="-2"/>
                <w:sz w:val="22"/>
              </w:rPr>
              <w:t>19.286±2.067</w:t>
            </w:r>
          </w:p>
        </w:tc>
        <w:tc>
          <w:tcPr>
            <w:tcW w:w="1398" w:type="dxa"/>
          </w:tcPr>
          <w:p>
            <w:pPr>
              <w:pStyle w:val="TableParagraph"/>
              <w:spacing w:before="71"/>
              <w:ind w:left="370"/>
              <w:rPr>
                <w:sz w:val="22"/>
              </w:rPr>
            </w:pPr>
            <w:r>
              <w:rPr>
                <w:spacing w:val="-2"/>
                <w:sz w:val="22"/>
              </w:rPr>
              <w:t>0.588</w:t>
            </w:r>
          </w:p>
        </w:tc>
        <w:tc>
          <w:tcPr>
            <w:tcW w:w="1451" w:type="dxa"/>
          </w:tcPr>
          <w:p>
            <w:pPr>
              <w:pStyle w:val="TableParagraph"/>
              <w:spacing w:before="71"/>
              <w:ind w:left="525"/>
              <w:rPr>
                <w:sz w:val="22"/>
              </w:rPr>
            </w:pPr>
            <w:r>
              <w:rPr>
                <w:spacing w:val="-5"/>
                <w:sz w:val="22"/>
              </w:rPr>
              <w:t>NS</w:t>
            </w:r>
          </w:p>
        </w:tc>
      </w:tr>
      <w:tr>
        <w:trPr>
          <w:trHeight w:val="450" w:hRule="atLeast"/>
        </w:trPr>
        <w:tc>
          <w:tcPr>
            <w:tcW w:w="1555" w:type="dxa"/>
          </w:tcPr>
          <w:p>
            <w:pPr>
              <w:pStyle w:val="TableParagraph"/>
              <w:spacing w:before="70"/>
              <w:ind w:left="108"/>
              <w:rPr>
                <w:sz w:val="22"/>
              </w:rPr>
            </w:pPr>
            <w:r>
              <w:rPr>
                <w:sz w:val="22"/>
              </w:rPr>
              <w:t>Honey</w:t>
            </w:r>
            <w:r>
              <w:rPr>
                <w:spacing w:val="-2"/>
                <w:sz w:val="22"/>
              </w:rPr>
              <w:t> (50%)</w:t>
            </w:r>
          </w:p>
        </w:tc>
        <w:tc>
          <w:tcPr>
            <w:tcW w:w="2146" w:type="dxa"/>
          </w:tcPr>
          <w:p>
            <w:pPr>
              <w:pStyle w:val="TableParagraph"/>
              <w:spacing w:before="70"/>
              <w:ind w:left="302"/>
              <w:rPr>
                <w:sz w:val="22"/>
              </w:rPr>
            </w:pPr>
            <w:r>
              <w:rPr>
                <w:spacing w:val="-5"/>
                <w:sz w:val="22"/>
              </w:rPr>
              <w:t>LEV</w:t>
            </w:r>
          </w:p>
        </w:tc>
        <w:tc>
          <w:tcPr>
            <w:tcW w:w="2184" w:type="dxa"/>
          </w:tcPr>
          <w:p>
            <w:pPr>
              <w:pStyle w:val="TableParagraph"/>
              <w:spacing w:before="70"/>
              <w:ind w:right="368"/>
              <w:jc w:val="right"/>
              <w:rPr>
                <w:sz w:val="22"/>
              </w:rPr>
            </w:pPr>
            <w:r>
              <w:rPr>
                <w:spacing w:val="-2"/>
                <w:sz w:val="22"/>
              </w:rPr>
              <w:t>21.286±1.322</w:t>
            </w:r>
          </w:p>
        </w:tc>
        <w:tc>
          <w:tcPr>
            <w:tcW w:w="1398" w:type="dxa"/>
          </w:tcPr>
          <w:p>
            <w:pPr>
              <w:pStyle w:val="TableParagraph"/>
              <w:spacing w:before="70"/>
              <w:ind w:left="370"/>
              <w:rPr>
                <w:sz w:val="22"/>
              </w:rPr>
            </w:pPr>
            <w:r>
              <w:rPr>
                <w:spacing w:val="-2"/>
                <w:sz w:val="22"/>
              </w:rPr>
              <w:t>0.115</w:t>
            </w:r>
          </w:p>
        </w:tc>
        <w:tc>
          <w:tcPr>
            <w:tcW w:w="1451" w:type="dxa"/>
          </w:tcPr>
          <w:p>
            <w:pPr>
              <w:pStyle w:val="TableParagraph"/>
              <w:spacing w:before="70"/>
              <w:ind w:left="525"/>
              <w:rPr>
                <w:sz w:val="22"/>
              </w:rPr>
            </w:pPr>
            <w:r>
              <w:rPr>
                <w:spacing w:val="-5"/>
                <w:sz w:val="22"/>
              </w:rPr>
              <w:t>NS</w:t>
            </w:r>
          </w:p>
        </w:tc>
      </w:tr>
      <w:tr>
        <w:trPr>
          <w:trHeight w:val="450" w:hRule="atLeast"/>
        </w:trPr>
        <w:tc>
          <w:tcPr>
            <w:tcW w:w="1555" w:type="dxa"/>
          </w:tcPr>
          <w:p>
            <w:pPr>
              <w:pStyle w:val="TableParagraph"/>
              <w:rPr>
                <w:rFonts w:ascii="Times New Roman"/>
                <w:sz w:val="22"/>
              </w:rPr>
            </w:pPr>
          </w:p>
        </w:tc>
        <w:tc>
          <w:tcPr>
            <w:tcW w:w="2146" w:type="dxa"/>
          </w:tcPr>
          <w:p>
            <w:pPr>
              <w:pStyle w:val="TableParagraph"/>
              <w:spacing w:before="71"/>
              <w:ind w:left="302"/>
              <w:rPr>
                <w:sz w:val="22"/>
              </w:rPr>
            </w:pPr>
            <w:r>
              <w:rPr>
                <w:spacing w:val="-5"/>
                <w:sz w:val="22"/>
              </w:rPr>
              <w:t>AZM</w:t>
            </w:r>
          </w:p>
        </w:tc>
        <w:tc>
          <w:tcPr>
            <w:tcW w:w="2184" w:type="dxa"/>
          </w:tcPr>
          <w:p>
            <w:pPr>
              <w:pStyle w:val="TableParagraph"/>
              <w:spacing w:before="71"/>
              <w:ind w:right="368"/>
              <w:jc w:val="right"/>
              <w:rPr>
                <w:sz w:val="22"/>
              </w:rPr>
            </w:pPr>
            <w:r>
              <w:rPr>
                <w:spacing w:val="-2"/>
                <w:sz w:val="22"/>
              </w:rPr>
              <w:t>16.143±1.945</w:t>
            </w:r>
          </w:p>
        </w:tc>
        <w:tc>
          <w:tcPr>
            <w:tcW w:w="1398" w:type="dxa"/>
          </w:tcPr>
          <w:p>
            <w:pPr>
              <w:pStyle w:val="TableParagraph"/>
              <w:spacing w:before="71"/>
              <w:ind w:left="370"/>
              <w:rPr>
                <w:sz w:val="22"/>
              </w:rPr>
            </w:pPr>
            <w:r>
              <w:rPr>
                <w:spacing w:val="-2"/>
                <w:sz w:val="22"/>
              </w:rPr>
              <w:t>1.000</w:t>
            </w:r>
          </w:p>
        </w:tc>
        <w:tc>
          <w:tcPr>
            <w:tcW w:w="1451" w:type="dxa"/>
          </w:tcPr>
          <w:p>
            <w:pPr>
              <w:pStyle w:val="TableParagraph"/>
              <w:spacing w:before="71"/>
              <w:ind w:left="525"/>
              <w:rPr>
                <w:sz w:val="22"/>
              </w:rPr>
            </w:pPr>
            <w:r>
              <w:rPr>
                <w:spacing w:val="-5"/>
                <w:sz w:val="22"/>
              </w:rPr>
              <w:t>NS</w:t>
            </w:r>
          </w:p>
        </w:tc>
      </w:tr>
      <w:tr>
        <w:trPr>
          <w:trHeight w:val="450" w:hRule="atLeast"/>
        </w:trPr>
        <w:tc>
          <w:tcPr>
            <w:tcW w:w="1555" w:type="dxa"/>
          </w:tcPr>
          <w:p>
            <w:pPr>
              <w:pStyle w:val="TableParagraph"/>
              <w:rPr>
                <w:rFonts w:ascii="Times New Roman"/>
                <w:sz w:val="22"/>
              </w:rPr>
            </w:pPr>
          </w:p>
        </w:tc>
        <w:tc>
          <w:tcPr>
            <w:tcW w:w="2146" w:type="dxa"/>
          </w:tcPr>
          <w:p>
            <w:pPr>
              <w:pStyle w:val="TableParagraph"/>
              <w:spacing w:before="70"/>
              <w:ind w:left="302"/>
              <w:rPr>
                <w:sz w:val="22"/>
              </w:rPr>
            </w:pPr>
            <w:r>
              <w:rPr>
                <w:sz w:val="22"/>
              </w:rPr>
              <w:t>Honey</w:t>
            </w:r>
            <w:r>
              <w:rPr>
                <w:spacing w:val="-4"/>
                <w:sz w:val="22"/>
              </w:rPr>
              <w:t> </w:t>
            </w:r>
            <w:r>
              <w:rPr>
                <w:spacing w:val="-2"/>
                <w:sz w:val="22"/>
              </w:rPr>
              <w:t>(100%)</w:t>
            </w:r>
          </w:p>
        </w:tc>
        <w:tc>
          <w:tcPr>
            <w:tcW w:w="2184" w:type="dxa"/>
          </w:tcPr>
          <w:p>
            <w:pPr>
              <w:pStyle w:val="TableParagraph"/>
              <w:spacing w:before="70"/>
              <w:ind w:right="368"/>
              <w:jc w:val="right"/>
              <w:rPr>
                <w:sz w:val="22"/>
              </w:rPr>
            </w:pPr>
            <w:r>
              <w:rPr>
                <w:spacing w:val="-2"/>
                <w:sz w:val="22"/>
              </w:rPr>
              <w:t>19.714±0.808</w:t>
            </w:r>
          </w:p>
        </w:tc>
        <w:tc>
          <w:tcPr>
            <w:tcW w:w="1398" w:type="dxa"/>
          </w:tcPr>
          <w:p>
            <w:pPr>
              <w:pStyle w:val="TableParagraph"/>
              <w:spacing w:before="70"/>
              <w:ind w:left="370"/>
              <w:rPr>
                <w:sz w:val="22"/>
              </w:rPr>
            </w:pPr>
            <w:r>
              <w:rPr>
                <w:spacing w:val="-2"/>
                <w:sz w:val="22"/>
              </w:rPr>
              <w:t>0.455</w:t>
            </w:r>
          </w:p>
        </w:tc>
        <w:tc>
          <w:tcPr>
            <w:tcW w:w="1451" w:type="dxa"/>
          </w:tcPr>
          <w:p>
            <w:pPr>
              <w:pStyle w:val="TableParagraph"/>
              <w:spacing w:before="70"/>
              <w:ind w:left="525"/>
              <w:rPr>
                <w:sz w:val="22"/>
              </w:rPr>
            </w:pPr>
            <w:r>
              <w:rPr>
                <w:spacing w:val="-5"/>
                <w:sz w:val="22"/>
              </w:rPr>
              <w:t>NS</w:t>
            </w:r>
          </w:p>
        </w:tc>
      </w:tr>
      <w:tr>
        <w:trPr>
          <w:trHeight w:val="523" w:hRule="atLeast"/>
        </w:trPr>
        <w:tc>
          <w:tcPr>
            <w:tcW w:w="1555" w:type="dxa"/>
            <w:tcBorders>
              <w:bottom w:val="single" w:sz="4" w:space="0" w:color="000000"/>
            </w:tcBorders>
          </w:tcPr>
          <w:p>
            <w:pPr>
              <w:pStyle w:val="TableParagraph"/>
              <w:rPr>
                <w:rFonts w:ascii="Times New Roman"/>
                <w:sz w:val="22"/>
              </w:rPr>
            </w:pPr>
          </w:p>
        </w:tc>
        <w:tc>
          <w:tcPr>
            <w:tcW w:w="2146" w:type="dxa"/>
            <w:tcBorders>
              <w:bottom w:val="single" w:sz="4" w:space="0" w:color="000000"/>
            </w:tcBorders>
          </w:tcPr>
          <w:p>
            <w:pPr>
              <w:pStyle w:val="TableParagraph"/>
              <w:spacing w:before="71"/>
              <w:ind w:left="302"/>
              <w:rPr>
                <w:sz w:val="22"/>
              </w:rPr>
            </w:pPr>
            <w:r>
              <w:rPr>
                <w:sz w:val="22"/>
              </w:rPr>
              <w:t>Honey</w:t>
            </w:r>
            <w:r>
              <w:rPr>
                <w:spacing w:val="-2"/>
                <w:sz w:val="22"/>
              </w:rPr>
              <w:t> (25%)</w:t>
            </w:r>
          </w:p>
        </w:tc>
        <w:tc>
          <w:tcPr>
            <w:tcW w:w="2184" w:type="dxa"/>
            <w:tcBorders>
              <w:bottom w:val="single" w:sz="4" w:space="0" w:color="000000"/>
            </w:tcBorders>
          </w:tcPr>
          <w:p>
            <w:pPr>
              <w:pStyle w:val="TableParagraph"/>
              <w:spacing w:before="71"/>
              <w:ind w:right="368"/>
              <w:jc w:val="right"/>
              <w:rPr>
                <w:sz w:val="22"/>
              </w:rPr>
            </w:pPr>
            <w:r>
              <w:rPr>
                <w:spacing w:val="-2"/>
                <w:sz w:val="22"/>
              </w:rPr>
              <w:t>11.286±0.680</w:t>
            </w:r>
          </w:p>
        </w:tc>
        <w:tc>
          <w:tcPr>
            <w:tcW w:w="1398" w:type="dxa"/>
            <w:tcBorders>
              <w:bottom w:val="single" w:sz="4" w:space="0" w:color="000000"/>
            </w:tcBorders>
          </w:tcPr>
          <w:p>
            <w:pPr>
              <w:pStyle w:val="TableParagraph"/>
              <w:spacing w:before="71"/>
              <w:ind w:left="370"/>
              <w:rPr>
                <w:sz w:val="22"/>
              </w:rPr>
            </w:pPr>
            <w:r>
              <w:rPr>
                <w:spacing w:val="-2"/>
                <w:sz w:val="22"/>
              </w:rPr>
              <w:t>0.498</w:t>
            </w:r>
          </w:p>
        </w:tc>
        <w:tc>
          <w:tcPr>
            <w:tcW w:w="1451" w:type="dxa"/>
            <w:tcBorders>
              <w:bottom w:val="single" w:sz="4" w:space="0" w:color="000000"/>
            </w:tcBorders>
          </w:tcPr>
          <w:p>
            <w:pPr>
              <w:pStyle w:val="TableParagraph"/>
              <w:spacing w:before="71"/>
              <w:ind w:left="525"/>
              <w:rPr>
                <w:sz w:val="22"/>
              </w:rPr>
            </w:pPr>
            <w:r>
              <w:rPr>
                <w:spacing w:val="-5"/>
                <w:sz w:val="22"/>
              </w:rPr>
              <w:t>NS</w:t>
            </w:r>
          </w:p>
        </w:tc>
      </w:tr>
      <w:tr>
        <w:trPr>
          <w:trHeight w:val="376" w:hRule="atLeast"/>
        </w:trPr>
        <w:tc>
          <w:tcPr>
            <w:tcW w:w="1555" w:type="dxa"/>
            <w:tcBorders>
              <w:top w:val="single" w:sz="4" w:space="0" w:color="000000"/>
            </w:tcBorders>
          </w:tcPr>
          <w:p>
            <w:pPr>
              <w:pStyle w:val="TableParagraph"/>
              <w:rPr>
                <w:rFonts w:ascii="Times New Roman"/>
                <w:sz w:val="22"/>
              </w:rPr>
            </w:pPr>
          </w:p>
        </w:tc>
        <w:tc>
          <w:tcPr>
            <w:tcW w:w="2146" w:type="dxa"/>
            <w:tcBorders>
              <w:top w:val="single" w:sz="4" w:space="0" w:color="000000"/>
            </w:tcBorders>
          </w:tcPr>
          <w:p>
            <w:pPr>
              <w:pStyle w:val="TableParagraph"/>
              <w:spacing w:line="265" w:lineRule="exact"/>
              <w:ind w:left="302"/>
              <w:rPr>
                <w:sz w:val="22"/>
              </w:rPr>
            </w:pPr>
            <w:r>
              <w:rPr>
                <w:spacing w:val="-5"/>
                <w:sz w:val="22"/>
              </w:rPr>
              <w:t>CRO</w:t>
            </w:r>
          </w:p>
        </w:tc>
        <w:tc>
          <w:tcPr>
            <w:tcW w:w="2184" w:type="dxa"/>
            <w:tcBorders>
              <w:top w:val="single" w:sz="4" w:space="0" w:color="000000"/>
            </w:tcBorders>
          </w:tcPr>
          <w:p>
            <w:pPr>
              <w:pStyle w:val="TableParagraph"/>
              <w:spacing w:line="265" w:lineRule="exact"/>
              <w:ind w:right="368"/>
              <w:jc w:val="right"/>
              <w:rPr>
                <w:sz w:val="22"/>
              </w:rPr>
            </w:pPr>
            <w:r>
              <w:rPr>
                <w:spacing w:val="-2"/>
                <w:sz w:val="22"/>
              </w:rPr>
              <w:t>21.714±1.924</w:t>
            </w:r>
          </w:p>
        </w:tc>
        <w:tc>
          <w:tcPr>
            <w:tcW w:w="1398" w:type="dxa"/>
            <w:tcBorders>
              <w:top w:val="single" w:sz="4" w:space="0" w:color="000000"/>
            </w:tcBorders>
          </w:tcPr>
          <w:p>
            <w:pPr>
              <w:pStyle w:val="TableParagraph"/>
              <w:spacing w:line="265" w:lineRule="exact"/>
              <w:ind w:left="370"/>
              <w:rPr>
                <w:sz w:val="22"/>
              </w:rPr>
            </w:pPr>
            <w:r>
              <w:rPr>
                <w:spacing w:val="-2"/>
                <w:sz w:val="22"/>
              </w:rPr>
              <w:t>0.000</w:t>
            </w:r>
          </w:p>
        </w:tc>
        <w:tc>
          <w:tcPr>
            <w:tcW w:w="1451" w:type="dxa"/>
            <w:tcBorders>
              <w:top w:val="single" w:sz="4" w:space="0" w:color="000000"/>
            </w:tcBorders>
          </w:tcPr>
          <w:p>
            <w:pPr>
              <w:pStyle w:val="TableParagraph"/>
              <w:spacing w:line="265" w:lineRule="exact"/>
              <w:ind w:left="547"/>
              <w:rPr>
                <w:sz w:val="22"/>
              </w:rPr>
            </w:pPr>
            <w:r>
              <w:rPr>
                <w:spacing w:val="-5"/>
                <w:sz w:val="22"/>
              </w:rPr>
              <w:t>SF</w:t>
            </w:r>
          </w:p>
        </w:tc>
      </w:tr>
      <w:tr>
        <w:trPr>
          <w:trHeight w:val="450" w:hRule="atLeast"/>
        </w:trPr>
        <w:tc>
          <w:tcPr>
            <w:tcW w:w="1555" w:type="dxa"/>
          </w:tcPr>
          <w:p>
            <w:pPr>
              <w:pStyle w:val="TableParagraph"/>
              <w:rPr>
                <w:rFonts w:ascii="Times New Roman"/>
                <w:sz w:val="22"/>
              </w:rPr>
            </w:pPr>
          </w:p>
        </w:tc>
        <w:tc>
          <w:tcPr>
            <w:tcW w:w="2146" w:type="dxa"/>
          </w:tcPr>
          <w:p>
            <w:pPr>
              <w:pStyle w:val="TableParagraph"/>
              <w:spacing w:before="71"/>
              <w:ind w:left="302"/>
              <w:rPr>
                <w:sz w:val="22"/>
              </w:rPr>
            </w:pPr>
            <w:r>
              <w:rPr>
                <w:spacing w:val="-5"/>
                <w:sz w:val="22"/>
              </w:rPr>
              <w:t>CN</w:t>
            </w:r>
          </w:p>
        </w:tc>
        <w:tc>
          <w:tcPr>
            <w:tcW w:w="2184" w:type="dxa"/>
          </w:tcPr>
          <w:p>
            <w:pPr>
              <w:pStyle w:val="TableParagraph"/>
              <w:spacing w:before="71"/>
              <w:ind w:right="368"/>
              <w:jc w:val="right"/>
              <w:rPr>
                <w:sz w:val="22"/>
              </w:rPr>
            </w:pPr>
            <w:r>
              <w:rPr>
                <w:spacing w:val="-2"/>
                <w:sz w:val="22"/>
              </w:rPr>
              <w:t>20.429±1.556</w:t>
            </w:r>
          </w:p>
        </w:tc>
        <w:tc>
          <w:tcPr>
            <w:tcW w:w="1398" w:type="dxa"/>
          </w:tcPr>
          <w:p>
            <w:pPr>
              <w:pStyle w:val="TableParagraph"/>
              <w:spacing w:before="71"/>
              <w:ind w:left="370"/>
              <w:rPr>
                <w:sz w:val="22"/>
              </w:rPr>
            </w:pPr>
            <w:r>
              <w:rPr>
                <w:spacing w:val="-2"/>
                <w:sz w:val="22"/>
              </w:rPr>
              <w:t>0.001</w:t>
            </w:r>
          </w:p>
        </w:tc>
        <w:tc>
          <w:tcPr>
            <w:tcW w:w="1451" w:type="dxa"/>
          </w:tcPr>
          <w:p>
            <w:pPr>
              <w:pStyle w:val="TableParagraph"/>
              <w:spacing w:before="71"/>
              <w:ind w:left="547"/>
              <w:rPr>
                <w:sz w:val="22"/>
              </w:rPr>
            </w:pPr>
            <w:r>
              <w:rPr>
                <w:spacing w:val="-5"/>
                <w:sz w:val="22"/>
              </w:rPr>
              <w:t>SF</w:t>
            </w:r>
          </w:p>
        </w:tc>
      </w:tr>
      <w:tr>
        <w:trPr>
          <w:trHeight w:val="448" w:hRule="atLeast"/>
        </w:trPr>
        <w:tc>
          <w:tcPr>
            <w:tcW w:w="1555" w:type="dxa"/>
          </w:tcPr>
          <w:p>
            <w:pPr>
              <w:pStyle w:val="TableParagraph"/>
              <w:rPr>
                <w:rFonts w:ascii="Times New Roman"/>
                <w:sz w:val="22"/>
              </w:rPr>
            </w:pPr>
          </w:p>
        </w:tc>
        <w:tc>
          <w:tcPr>
            <w:tcW w:w="2146" w:type="dxa"/>
          </w:tcPr>
          <w:p>
            <w:pPr>
              <w:pStyle w:val="TableParagraph"/>
              <w:spacing w:before="70"/>
              <w:ind w:left="302"/>
              <w:rPr>
                <w:sz w:val="22"/>
              </w:rPr>
            </w:pPr>
            <w:r>
              <w:rPr>
                <w:spacing w:val="-5"/>
                <w:sz w:val="22"/>
              </w:rPr>
              <w:t>AMC</w:t>
            </w:r>
          </w:p>
        </w:tc>
        <w:tc>
          <w:tcPr>
            <w:tcW w:w="2184" w:type="dxa"/>
          </w:tcPr>
          <w:p>
            <w:pPr>
              <w:pStyle w:val="TableParagraph"/>
              <w:spacing w:before="70"/>
              <w:ind w:right="368"/>
              <w:jc w:val="right"/>
              <w:rPr>
                <w:sz w:val="22"/>
              </w:rPr>
            </w:pPr>
            <w:r>
              <w:rPr>
                <w:spacing w:val="-2"/>
                <w:sz w:val="22"/>
              </w:rPr>
              <w:t>19.286±2.067</w:t>
            </w:r>
          </w:p>
        </w:tc>
        <w:tc>
          <w:tcPr>
            <w:tcW w:w="1398" w:type="dxa"/>
          </w:tcPr>
          <w:p>
            <w:pPr>
              <w:pStyle w:val="TableParagraph"/>
              <w:spacing w:before="70"/>
              <w:ind w:left="370"/>
              <w:rPr>
                <w:sz w:val="22"/>
              </w:rPr>
            </w:pPr>
            <w:r>
              <w:rPr>
                <w:spacing w:val="-2"/>
                <w:sz w:val="22"/>
              </w:rPr>
              <w:t>0.008</w:t>
            </w:r>
          </w:p>
        </w:tc>
        <w:tc>
          <w:tcPr>
            <w:tcW w:w="1451" w:type="dxa"/>
          </w:tcPr>
          <w:p>
            <w:pPr>
              <w:pStyle w:val="TableParagraph"/>
              <w:spacing w:before="70"/>
              <w:ind w:left="547"/>
              <w:rPr>
                <w:sz w:val="22"/>
              </w:rPr>
            </w:pPr>
            <w:r>
              <w:rPr>
                <w:spacing w:val="-5"/>
                <w:sz w:val="22"/>
              </w:rPr>
              <w:t>SF</w:t>
            </w:r>
          </w:p>
        </w:tc>
      </w:tr>
      <w:tr>
        <w:trPr>
          <w:trHeight w:val="450" w:hRule="atLeast"/>
        </w:trPr>
        <w:tc>
          <w:tcPr>
            <w:tcW w:w="1555" w:type="dxa"/>
          </w:tcPr>
          <w:p>
            <w:pPr>
              <w:pStyle w:val="TableParagraph"/>
              <w:spacing w:before="70"/>
              <w:ind w:left="108"/>
              <w:rPr>
                <w:sz w:val="22"/>
              </w:rPr>
            </w:pPr>
            <w:r>
              <w:rPr>
                <w:sz w:val="22"/>
              </w:rPr>
              <w:t>Honey</w:t>
            </w:r>
            <w:r>
              <w:rPr>
                <w:spacing w:val="-2"/>
                <w:sz w:val="22"/>
              </w:rPr>
              <w:t> (25%)</w:t>
            </w:r>
          </w:p>
        </w:tc>
        <w:tc>
          <w:tcPr>
            <w:tcW w:w="2146" w:type="dxa"/>
          </w:tcPr>
          <w:p>
            <w:pPr>
              <w:pStyle w:val="TableParagraph"/>
              <w:spacing w:before="70"/>
              <w:ind w:left="302"/>
              <w:rPr>
                <w:sz w:val="22"/>
              </w:rPr>
            </w:pPr>
            <w:r>
              <w:rPr>
                <w:spacing w:val="-5"/>
                <w:sz w:val="22"/>
              </w:rPr>
              <w:t>LEV</w:t>
            </w:r>
          </w:p>
        </w:tc>
        <w:tc>
          <w:tcPr>
            <w:tcW w:w="2184" w:type="dxa"/>
          </w:tcPr>
          <w:p>
            <w:pPr>
              <w:pStyle w:val="TableParagraph"/>
              <w:spacing w:before="70"/>
              <w:ind w:right="368"/>
              <w:jc w:val="right"/>
              <w:rPr>
                <w:sz w:val="22"/>
              </w:rPr>
            </w:pPr>
            <w:r>
              <w:rPr>
                <w:spacing w:val="-2"/>
                <w:sz w:val="22"/>
              </w:rPr>
              <w:t>21.286±1.322</w:t>
            </w:r>
          </w:p>
        </w:tc>
        <w:tc>
          <w:tcPr>
            <w:tcW w:w="1398" w:type="dxa"/>
          </w:tcPr>
          <w:p>
            <w:pPr>
              <w:pStyle w:val="TableParagraph"/>
              <w:spacing w:before="70"/>
              <w:ind w:left="370"/>
              <w:rPr>
                <w:sz w:val="22"/>
              </w:rPr>
            </w:pPr>
            <w:r>
              <w:rPr>
                <w:spacing w:val="-2"/>
                <w:sz w:val="22"/>
              </w:rPr>
              <w:t>0.000</w:t>
            </w:r>
          </w:p>
        </w:tc>
        <w:tc>
          <w:tcPr>
            <w:tcW w:w="1451" w:type="dxa"/>
          </w:tcPr>
          <w:p>
            <w:pPr>
              <w:pStyle w:val="TableParagraph"/>
              <w:spacing w:before="70"/>
              <w:ind w:left="547"/>
              <w:rPr>
                <w:sz w:val="22"/>
              </w:rPr>
            </w:pPr>
            <w:r>
              <w:rPr>
                <w:spacing w:val="-5"/>
                <w:sz w:val="22"/>
              </w:rPr>
              <w:t>SF</w:t>
            </w:r>
          </w:p>
        </w:tc>
      </w:tr>
      <w:tr>
        <w:trPr>
          <w:trHeight w:val="450" w:hRule="atLeast"/>
        </w:trPr>
        <w:tc>
          <w:tcPr>
            <w:tcW w:w="1555" w:type="dxa"/>
          </w:tcPr>
          <w:p>
            <w:pPr>
              <w:pStyle w:val="TableParagraph"/>
              <w:rPr>
                <w:rFonts w:ascii="Times New Roman"/>
                <w:sz w:val="22"/>
              </w:rPr>
            </w:pPr>
          </w:p>
        </w:tc>
        <w:tc>
          <w:tcPr>
            <w:tcW w:w="2146" w:type="dxa"/>
          </w:tcPr>
          <w:p>
            <w:pPr>
              <w:pStyle w:val="TableParagraph"/>
              <w:spacing w:before="71"/>
              <w:ind w:left="302"/>
              <w:rPr>
                <w:sz w:val="22"/>
              </w:rPr>
            </w:pPr>
            <w:r>
              <w:rPr>
                <w:spacing w:val="-5"/>
                <w:sz w:val="22"/>
              </w:rPr>
              <w:t>AZM</w:t>
            </w:r>
          </w:p>
        </w:tc>
        <w:tc>
          <w:tcPr>
            <w:tcW w:w="2184" w:type="dxa"/>
          </w:tcPr>
          <w:p>
            <w:pPr>
              <w:pStyle w:val="TableParagraph"/>
              <w:spacing w:before="71"/>
              <w:ind w:right="368"/>
              <w:jc w:val="right"/>
              <w:rPr>
                <w:sz w:val="22"/>
              </w:rPr>
            </w:pPr>
            <w:r>
              <w:rPr>
                <w:spacing w:val="-2"/>
                <w:sz w:val="22"/>
              </w:rPr>
              <w:t>16.143±1.945</w:t>
            </w:r>
          </w:p>
        </w:tc>
        <w:tc>
          <w:tcPr>
            <w:tcW w:w="1398" w:type="dxa"/>
          </w:tcPr>
          <w:p>
            <w:pPr>
              <w:pStyle w:val="TableParagraph"/>
              <w:spacing w:before="71"/>
              <w:ind w:left="370"/>
              <w:rPr>
                <w:sz w:val="22"/>
              </w:rPr>
            </w:pPr>
            <w:r>
              <w:rPr>
                <w:spacing w:val="-2"/>
                <w:sz w:val="22"/>
              </w:rPr>
              <w:t>0.297</w:t>
            </w:r>
          </w:p>
        </w:tc>
        <w:tc>
          <w:tcPr>
            <w:tcW w:w="1451" w:type="dxa"/>
          </w:tcPr>
          <w:p>
            <w:pPr>
              <w:pStyle w:val="TableParagraph"/>
              <w:spacing w:before="71"/>
              <w:ind w:left="525"/>
              <w:rPr>
                <w:sz w:val="22"/>
              </w:rPr>
            </w:pPr>
            <w:r>
              <w:rPr>
                <w:spacing w:val="-5"/>
                <w:sz w:val="22"/>
              </w:rPr>
              <w:t>NS</w:t>
            </w:r>
          </w:p>
        </w:tc>
      </w:tr>
      <w:tr>
        <w:trPr>
          <w:trHeight w:val="450" w:hRule="atLeast"/>
        </w:trPr>
        <w:tc>
          <w:tcPr>
            <w:tcW w:w="1555" w:type="dxa"/>
          </w:tcPr>
          <w:p>
            <w:pPr>
              <w:pStyle w:val="TableParagraph"/>
              <w:rPr>
                <w:rFonts w:ascii="Times New Roman"/>
                <w:sz w:val="22"/>
              </w:rPr>
            </w:pPr>
          </w:p>
        </w:tc>
        <w:tc>
          <w:tcPr>
            <w:tcW w:w="2146" w:type="dxa"/>
          </w:tcPr>
          <w:p>
            <w:pPr>
              <w:pStyle w:val="TableParagraph"/>
              <w:spacing w:before="70"/>
              <w:ind w:left="302"/>
              <w:rPr>
                <w:sz w:val="22"/>
              </w:rPr>
            </w:pPr>
            <w:r>
              <w:rPr>
                <w:sz w:val="22"/>
              </w:rPr>
              <w:t>Honey</w:t>
            </w:r>
            <w:r>
              <w:rPr>
                <w:spacing w:val="-4"/>
                <w:sz w:val="22"/>
              </w:rPr>
              <w:t> </w:t>
            </w:r>
            <w:r>
              <w:rPr>
                <w:spacing w:val="-2"/>
                <w:sz w:val="22"/>
              </w:rPr>
              <w:t>(100%)</w:t>
            </w:r>
          </w:p>
        </w:tc>
        <w:tc>
          <w:tcPr>
            <w:tcW w:w="2184" w:type="dxa"/>
          </w:tcPr>
          <w:p>
            <w:pPr>
              <w:pStyle w:val="TableParagraph"/>
              <w:spacing w:before="70"/>
              <w:ind w:right="368"/>
              <w:jc w:val="right"/>
              <w:rPr>
                <w:sz w:val="22"/>
              </w:rPr>
            </w:pPr>
            <w:r>
              <w:rPr>
                <w:spacing w:val="-2"/>
                <w:sz w:val="22"/>
              </w:rPr>
              <w:t>19.714±0.808</w:t>
            </w:r>
          </w:p>
        </w:tc>
        <w:tc>
          <w:tcPr>
            <w:tcW w:w="1398" w:type="dxa"/>
          </w:tcPr>
          <w:p>
            <w:pPr>
              <w:pStyle w:val="TableParagraph"/>
              <w:spacing w:before="70"/>
              <w:ind w:left="370"/>
              <w:rPr>
                <w:sz w:val="22"/>
              </w:rPr>
            </w:pPr>
            <w:r>
              <w:rPr>
                <w:spacing w:val="-2"/>
                <w:sz w:val="22"/>
              </w:rPr>
              <w:t>0.004</w:t>
            </w:r>
          </w:p>
        </w:tc>
        <w:tc>
          <w:tcPr>
            <w:tcW w:w="1451" w:type="dxa"/>
          </w:tcPr>
          <w:p>
            <w:pPr>
              <w:pStyle w:val="TableParagraph"/>
              <w:spacing w:before="70"/>
              <w:ind w:left="547"/>
              <w:rPr>
                <w:sz w:val="22"/>
              </w:rPr>
            </w:pPr>
            <w:r>
              <w:rPr>
                <w:spacing w:val="-5"/>
                <w:sz w:val="22"/>
              </w:rPr>
              <w:t>SF</w:t>
            </w:r>
          </w:p>
        </w:tc>
      </w:tr>
      <w:tr>
        <w:trPr>
          <w:trHeight w:val="523" w:hRule="atLeast"/>
        </w:trPr>
        <w:tc>
          <w:tcPr>
            <w:tcW w:w="1555" w:type="dxa"/>
            <w:tcBorders>
              <w:bottom w:val="single" w:sz="4" w:space="0" w:color="000000"/>
            </w:tcBorders>
          </w:tcPr>
          <w:p>
            <w:pPr>
              <w:pStyle w:val="TableParagraph"/>
              <w:rPr>
                <w:rFonts w:ascii="Times New Roman"/>
                <w:sz w:val="22"/>
              </w:rPr>
            </w:pPr>
          </w:p>
        </w:tc>
        <w:tc>
          <w:tcPr>
            <w:tcW w:w="2146" w:type="dxa"/>
            <w:tcBorders>
              <w:bottom w:val="single" w:sz="4" w:space="0" w:color="000000"/>
            </w:tcBorders>
          </w:tcPr>
          <w:p>
            <w:pPr>
              <w:pStyle w:val="TableParagraph"/>
              <w:spacing w:before="71"/>
              <w:ind w:left="302"/>
              <w:rPr>
                <w:sz w:val="22"/>
              </w:rPr>
            </w:pPr>
            <w:r>
              <w:rPr>
                <w:sz w:val="22"/>
              </w:rPr>
              <w:t>Honey</w:t>
            </w:r>
            <w:r>
              <w:rPr>
                <w:spacing w:val="-2"/>
                <w:sz w:val="22"/>
              </w:rPr>
              <w:t> (50%)</w:t>
            </w:r>
          </w:p>
        </w:tc>
        <w:tc>
          <w:tcPr>
            <w:tcW w:w="2184" w:type="dxa"/>
            <w:tcBorders>
              <w:bottom w:val="single" w:sz="4" w:space="0" w:color="000000"/>
            </w:tcBorders>
          </w:tcPr>
          <w:p>
            <w:pPr>
              <w:pStyle w:val="TableParagraph"/>
              <w:spacing w:before="71"/>
              <w:ind w:right="368"/>
              <w:jc w:val="right"/>
              <w:rPr>
                <w:sz w:val="22"/>
              </w:rPr>
            </w:pPr>
            <w:r>
              <w:rPr>
                <w:spacing w:val="-2"/>
                <w:sz w:val="22"/>
              </w:rPr>
              <w:t>15.429±0.528</w:t>
            </w:r>
          </w:p>
        </w:tc>
        <w:tc>
          <w:tcPr>
            <w:tcW w:w="1398" w:type="dxa"/>
            <w:tcBorders>
              <w:bottom w:val="single" w:sz="4" w:space="0" w:color="000000"/>
            </w:tcBorders>
          </w:tcPr>
          <w:p>
            <w:pPr>
              <w:pStyle w:val="TableParagraph"/>
              <w:spacing w:before="71"/>
              <w:ind w:left="370"/>
              <w:rPr>
                <w:sz w:val="22"/>
              </w:rPr>
            </w:pPr>
            <w:r>
              <w:rPr>
                <w:spacing w:val="-2"/>
                <w:sz w:val="22"/>
              </w:rPr>
              <w:t>0.498</w:t>
            </w:r>
          </w:p>
        </w:tc>
        <w:tc>
          <w:tcPr>
            <w:tcW w:w="1451" w:type="dxa"/>
            <w:tcBorders>
              <w:bottom w:val="single" w:sz="4" w:space="0" w:color="000000"/>
            </w:tcBorders>
          </w:tcPr>
          <w:p>
            <w:pPr>
              <w:pStyle w:val="TableParagraph"/>
              <w:spacing w:before="71"/>
              <w:ind w:left="525"/>
              <w:rPr>
                <w:sz w:val="22"/>
              </w:rPr>
            </w:pPr>
            <w:r>
              <w:rPr>
                <w:spacing w:val="-5"/>
                <w:sz w:val="22"/>
              </w:rPr>
              <w:t>NS</w:t>
            </w:r>
          </w:p>
        </w:tc>
      </w:tr>
    </w:tbl>
    <w:p>
      <w:pPr>
        <w:pStyle w:val="BodyText"/>
        <w:spacing w:line="403" w:lineRule="auto" w:before="22"/>
        <w:ind w:left="430" w:right="3485" w:hanging="51"/>
      </w:pPr>
      <w:r>
        <w:rPr/>
        <w:t>Key</w:t>
      </w:r>
      <w:r>
        <w:rPr>
          <w:b/>
        </w:rPr>
        <w:t>:</w:t>
      </w:r>
      <w:r>
        <w:rPr>
          <w:b/>
          <w:spacing w:val="-7"/>
        </w:rPr>
        <w:t> </w:t>
      </w:r>
      <w:r>
        <w:rPr/>
        <w:t>LOS=Level</w:t>
      </w:r>
      <w:r>
        <w:rPr>
          <w:spacing w:val="-6"/>
        </w:rPr>
        <w:t> </w:t>
      </w:r>
      <w:r>
        <w:rPr/>
        <w:t>of</w:t>
      </w:r>
      <w:r>
        <w:rPr>
          <w:spacing w:val="-5"/>
        </w:rPr>
        <w:t> </w:t>
      </w:r>
      <w:r>
        <w:rPr/>
        <w:t>Significance;</w:t>
      </w:r>
      <w:r>
        <w:rPr>
          <w:spacing w:val="-5"/>
        </w:rPr>
        <w:t> </w:t>
      </w:r>
      <w:r>
        <w:rPr/>
        <w:t>NS=Not</w:t>
      </w:r>
      <w:r>
        <w:rPr>
          <w:spacing w:val="-5"/>
        </w:rPr>
        <w:t> </w:t>
      </w:r>
      <w:r>
        <w:rPr/>
        <w:t>significantly</w:t>
      </w:r>
      <w:r>
        <w:rPr>
          <w:spacing w:val="-5"/>
        </w:rPr>
        <w:t> </w:t>
      </w:r>
      <w:r>
        <w:rPr/>
        <w:t>different; SF=Significantly different.</w:t>
      </w:r>
    </w:p>
    <w:p>
      <w:pPr>
        <w:spacing w:after="0" w:line="403" w:lineRule="auto"/>
        <w:sectPr>
          <w:type w:val="continuous"/>
          <w:pgSz w:w="11910" w:h="16840"/>
          <w:pgMar w:header="0" w:footer="1055" w:top="1440" w:bottom="1240" w:left="1060" w:right="460"/>
        </w:sectPr>
      </w:pPr>
    </w:p>
    <w:p>
      <w:pPr>
        <w:pStyle w:val="BodyText"/>
      </w:pPr>
    </w:p>
    <w:p>
      <w:pPr>
        <w:pStyle w:val="BodyText"/>
      </w:pPr>
    </w:p>
    <w:p>
      <w:pPr>
        <w:pStyle w:val="BodyText"/>
        <w:spacing w:before="42"/>
      </w:pPr>
    </w:p>
    <w:p>
      <w:pPr>
        <w:pStyle w:val="Heading3"/>
        <w:spacing w:line="259" w:lineRule="auto"/>
        <w:ind w:left="1513" w:right="975" w:hanging="1133"/>
        <w:rPr>
          <w:i/>
        </w:rPr>
      </w:pPr>
      <w:r>
        <w:rPr/>
        <w:t>Table</w:t>
      </w:r>
      <w:r>
        <w:rPr>
          <w:spacing w:val="-3"/>
        </w:rPr>
        <w:t> </w:t>
      </w:r>
      <w:r>
        <w:rPr/>
        <w:t>4.15:</w:t>
      </w:r>
      <w:r>
        <w:rPr>
          <w:spacing w:val="-3"/>
        </w:rPr>
        <w:t> </w:t>
      </w:r>
      <w:r>
        <w:rPr/>
        <w:t>Comparing</w:t>
      </w:r>
      <w:r>
        <w:rPr>
          <w:spacing w:val="-4"/>
        </w:rPr>
        <w:t> </w:t>
      </w:r>
      <w:r>
        <w:rPr/>
        <w:t>the</w:t>
      </w:r>
      <w:r>
        <w:rPr>
          <w:spacing w:val="-5"/>
        </w:rPr>
        <w:t> </w:t>
      </w:r>
      <w:r>
        <w:rPr/>
        <w:t>Mean</w:t>
      </w:r>
      <w:r>
        <w:rPr>
          <w:spacing w:val="-3"/>
        </w:rPr>
        <w:t> </w:t>
      </w:r>
      <w:r>
        <w:rPr/>
        <w:t>zone</w:t>
      </w:r>
      <w:r>
        <w:rPr>
          <w:spacing w:val="-3"/>
        </w:rPr>
        <w:t> </w:t>
      </w:r>
      <w:r>
        <w:rPr/>
        <w:t>of</w:t>
      </w:r>
      <w:r>
        <w:rPr>
          <w:spacing w:val="-2"/>
        </w:rPr>
        <w:t> </w:t>
      </w:r>
      <w:r>
        <w:rPr/>
        <w:t>inhibition</w:t>
      </w:r>
      <w:r>
        <w:rPr>
          <w:spacing w:val="-3"/>
        </w:rPr>
        <w:t> </w:t>
      </w:r>
      <w:r>
        <w:rPr/>
        <w:t>of</w:t>
      </w:r>
      <w:r>
        <w:rPr>
          <w:spacing w:val="-5"/>
        </w:rPr>
        <w:t> </w:t>
      </w:r>
      <w:r>
        <w:rPr/>
        <w:t>Honey</w:t>
      </w:r>
      <w:r>
        <w:rPr>
          <w:spacing w:val="-2"/>
        </w:rPr>
        <w:t> </w:t>
      </w:r>
      <w:r>
        <w:rPr/>
        <w:t>and</w:t>
      </w:r>
      <w:r>
        <w:rPr>
          <w:spacing w:val="-3"/>
        </w:rPr>
        <w:t> </w:t>
      </w:r>
      <w:r>
        <w:rPr/>
        <w:t>the</w:t>
      </w:r>
      <w:r>
        <w:rPr>
          <w:spacing w:val="-3"/>
        </w:rPr>
        <w:t> </w:t>
      </w:r>
      <w:r>
        <w:rPr/>
        <w:t>Standard</w:t>
      </w:r>
      <w:r>
        <w:rPr>
          <w:spacing w:val="-3"/>
        </w:rPr>
        <w:t> </w:t>
      </w:r>
      <w:r>
        <w:rPr/>
        <w:t>antibiotic formulations against </w:t>
      </w:r>
      <w:r>
        <w:rPr>
          <w:i/>
        </w:rPr>
        <w:t>Strept</w:t>
      </w:r>
      <w:r>
        <w:rPr/>
        <w:t>ococcus </w:t>
      </w:r>
      <w:r>
        <w:rPr>
          <w:i/>
        </w:rPr>
        <w:t>pyogenes</w:t>
      </w:r>
    </w:p>
    <w:p>
      <w:pPr>
        <w:pStyle w:val="BodyText"/>
        <w:spacing w:before="3"/>
        <w:rPr>
          <w:b/>
          <w:i/>
          <w:sz w:val="11"/>
        </w:rPr>
      </w:pPr>
      <w:r>
        <w:rPr/>
        <mc:AlternateContent>
          <mc:Choice Requires="wps">
            <w:drawing>
              <wp:anchor distT="0" distB="0" distL="0" distR="0" allowOverlap="1" layoutInCell="1" locked="0" behindDoc="1" simplePos="0" relativeHeight="487673856">
                <wp:simplePos x="0" y="0"/>
                <wp:positionH relativeFrom="page">
                  <wp:posOffset>846124</wp:posOffset>
                </wp:positionH>
                <wp:positionV relativeFrom="paragraph">
                  <wp:posOffset>103033</wp:posOffset>
                </wp:positionV>
                <wp:extent cx="5573395" cy="6350"/>
                <wp:effectExtent l="0" t="0" r="0" b="0"/>
                <wp:wrapTopAndBottom/>
                <wp:docPr id="488" name="Graphic 488"/>
                <wp:cNvGraphicFramePr>
                  <a:graphicFrameLocks/>
                </wp:cNvGraphicFramePr>
                <a:graphic>
                  <a:graphicData uri="http://schemas.microsoft.com/office/word/2010/wordprocessingShape">
                    <wps:wsp>
                      <wps:cNvPr id="488" name="Graphic 488"/>
                      <wps:cNvSpPr/>
                      <wps:spPr>
                        <a:xfrm>
                          <a:off x="0" y="0"/>
                          <a:ext cx="5573395" cy="6350"/>
                        </a:xfrm>
                        <a:custGeom>
                          <a:avLst/>
                          <a:gdLst/>
                          <a:ahLst/>
                          <a:cxnLst/>
                          <a:rect l="l" t="t" r="r" b="b"/>
                          <a:pathLst>
                            <a:path w="5573395" h="6350">
                              <a:moveTo>
                                <a:pt x="1932686" y="0"/>
                              </a:moveTo>
                              <a:lnTo>
                                <a:pt x="780237" y="0"/>
                              </a:lnTo>
                              <a:lnTo>
                                <a:pt x="774192" y="0"/>
                              </a:lnTo>
                              <a:lnTo>
                                <a:pt x="0" y="0"/>
                              </a:lnTo>
                              <a:lnTo>
                                <a:pt x="0" y="6096"/>
                              </a:lnTo>
                              <a:lnTo>
                                <a:pt x="774141" y="6096"/>
                              </a:lnTo>
                              <a:lnTo>
                                <a:pt x="780237" y="6096"/>
                              </a:lnTo>
                              <a:lnTo>
                                <a:pt x="1932686" y="6096"/>
                              </a:lnTo>
                              <a:lnTo>
                                <a:pt x="1932686" y="0"/>
                              </a:lnTo>
                              <a:close/>
                            </a:path>
                            <a:path w="5573395" h="6350">
                              <a:moveTo>
                                <a:pt x="3095815" y="0"/>
                              </a:moveTo>
                              <a:lnTo>
                                <a:pt x="3089783" y="0"/>
                              </a:lnTo>
                              <a:lnTo>
                                <a:pt x="1938858" y="0"/>
                              </a:lnTo>
                              <a:lnTo>
                                <a:pt x="1932762" y="0"/>
                              </a:lnTo>
                              <a:lnTo>
                                <a:pt x="1932762" y="6096"/>
                              </a:lnTo>
                              <a:lnTo>
                                <a:pt x="1938858" y="6096"/>
                              </a:lnTo>
                              <a:lnTo>
                                <a:pt x="3089732" y="6096"/>
                              </a:lnTo>
                              <a:lnTo>
                                <a:pt x="3095815" y="6096"/>
                              </a:lnTo>
                              <a:lnTo>
                                <a:pt x="3095815" y="0"/>
                              </a:lnTo>
                              <a:close/>
                            </a:path>
                            <a:path w="5573395" h="6350">
                              <a:moveTo>
                                <a:pt x="4100449" y="0"/>
                              </a:moveTo>
                              <a:lnTo>
                                <a:pt x="3095828" y="0"/>
                              </a:lnTo>
                              <a:lnTo>
                                <a:pt x="3095828" y="6096"/>
                              </a:lnTo>
                              <a:lnTo>
                                <a:pt x="4100449" y="6096"/>
                              </a:lnTo>
                              <a:lnTo>
                                <a:pt x="4100449" y="0"/>
                              </a:lnTo>
                              <a:close/>
                            </a:path>
                            <a:path w="5573395" h="6350">
                              <a:moveTo>
                                <a:pt x="4751260" y="0"/>
                              </a:moveTo>
                              <a:lnTo>
                                <a:pt x="4745177" y="0"/>
                              </a:lnTo>
                              <a:lnTo>
                                <a:pt x="4106621" y="0"/>
                              </a:lnTo>
                              <a:lnTo>
                                <a:pt x="4100525" y="0"/>
                              </a:lnTo>
                              <a:lnTo>
                                <a:pt x="4100525" y="6096"/>
                              </a:lnTo>
                              <a:lnTo>
                                <a:pt x="4106621" y="6096"/>
                              </a:lnTo>
                              <a:lnTo>
                                <a:pt x="4745177" y="6096"/>
                              </a:lnTo>
                              <a:lnTo>
                                <a:pt x="4751260" y="6096"/>
                              </a:lnTo>
                              <a:lnTo>
                                <a:pt x="4751260" y="0"/>
                              </a:lnTo>
                              <a:close/>
                            </a:path>
                            <a:path w="5573395" h="6350">
                              <a:moveTo>
                                <a:pt x="5573014" y="0"/>
                              </a:moveTo>
                              <a:lnTo>
                                <a:pt x="4751273" y="0"/>
                              </a:lnTo>
                              <a:lnTo>
                                <a:pt x="4751273" y="6096"/>
                              </a:lnTo>
                              <a:lnTo>
                                <a:pt x="5573014" y="6096"/>
                              </a:lnTo>
                              <a:lnTo>
                                <a:pt x="55730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8.112859pt;width:438.85pt;height:.5pt;mso-position-horizontal-relative:page;mso-position-vertical-relative:paragraph;z-index:-15642624;mso-wrap-distance-left:0;mso-wrap-distance-right:0" id="docshape433" coordorigin="1332,162" coordsize="8777,10" path="m4376,162l2561,162,2552,162,2552,162,1332,162,1332,172,2552,172,2552,172,2561,172,4376,172,4376,162xm6208,162l6198,162,6198,162,4386,162,4376,162,4376,172,4386,172,6198,172,6198,172,6208,172,6208,162xm7790,162l6208,162,6208,172,7790,172,7790,162xm8815,162l8805,162,7800,162,7790,162,7790,172,7800,172,8805,172,8815,172,8815,162xm10109,162l8815,162,8815,172,10109,172,10109,162xe" filled="true" fillcolor="#000000" stroked="false">
                <v:path arrowok="t"/>
                <v:fill type="solid"/>
                <w10:wrap type="topAndBottom"/>
              </v:shape>
            </w:pict>
          </mc:Fallback>
        </mc:AlternateContent>
      </w:r>
    </w:p>
    <w:p>
      <w:pPr>
        <w:pStyle w:val="BodyText"/>
        <w:spacing w:before="243"/>
        <w:rPr>
          <w:b/>
          <w:i/>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1"/>
        <w:gridCol w:w="2696"/>
        <w:gridCol w:w="1727"/>
        <w:gridCol w:w="1171"/>
        <w:gridCol w:w="1150"/>
      </w:tblGrid>
      <w:tr>
        <w:trPr>
          <w:trHeight w:val="858" w:hRule="atLeast"/>
        </w:trPr>
        <w:tc>
          <w:tcPr>
            <w:tcW w:w="2031" w:type="dxa"/>
            <w:tcBorders>
              <w:bottom w:val="single" w:sz="4" w:space="0" w:color="000000"/>
            </w:tcBorders>
          </w:tcPr>
          <w:p>
            <w:pPr>
              <w:pStyle w:val="TableParagraph"/>
              <w:spacing w:line="225" w:lineRule="exact"/>
              <w:ind w:left="108"/>
              <w:rPr>
                <w:sz w:val="22"/>
              </w:rPr>
            </w:pPr>
            <w:r>
              <w:rPr>
                <w:sz w:val="22"/>
              </w:rPr>
              <w:t>(I)</w:t>
            </w:r>
            <w:r>
              <w:rPr>
                <w:spacing w:val="-2"/>
                <w:sz w:val="22"/>
              </w:rPr>
              <w:t> Group</w:t>
            </w:r>
          </w:p>
        </w:tc>
        <w:tc>
          <w:tcPr>
            <w:tcW w:w="2696" w:type="dxa"/>
            <w:tcBorders>
              <w:bottom w:val="single" w:sz="4" w:space="0" w:color="000000"/>
            </w:tcBorders>
          </w:tcPr>
          <w:p>
            <w:pPr>
              <w:pStyle w:val="TableParagraph"/>
              <w:spacing w:line="225" w:lineRule="exact"/>
              <w:ind w:left="1118"/>
              <w:rPr>
                <w:sz w:val="22"/>
              </w:rPr>
            </w:pPr>
            <w:r>
              <w:rPr>
                <w:sz w:val="22"/>
              </w:rPr>
              <w:t>(J)</w:t>
            </w:r>
            <w:r>
              <w:rPr>
                <w:spacing w:val="-2"/>
                <w:sz w:val="22"/>
              </w:rPr>
              <w:t> Group</w:t>
            </w:r>
          </w:p>
        </w:tc>
        <w:tc>
          <w:tcPr>
            <w:tcW w:w="1727" w:type="dxa"/>
            <w:tcBorders>
              <w:bottom w:val="single" w:sz="4" w:space="0" w:color="000000"/>
            </w:tcBorders>
          </w:tcPr>
          <w:p>
            <w:pPr>
              <w:pStyle w:val="TableParagraph"/>
              <w:spacing w:line="225" w:lineRule="exact"/>
              <w:ind w:left="145" w:right="2"/>
              <w:jc w:val="center"/>
              <w:rPr>
                <w:sz w:val="22"/>
              </w:rPr>
            </w:pPr>
            <w:r>
              <w:rPr>
                <w:spacing w:val="-2"/>
                <w:sz w:val="22"/>
              </w:rPr>
              <w:t>Mean±SEM</w:t>
            </w:r>
          </w:p>
        </w:tc>
        <w:tc>
          <w:tcPr>
            <w:tcW w:w="1171" w:type="dxa"/>
            <w:tcBorders>
              <w:bottom w:val="single" w:sz="4" w:space="0" w:color="000000"/>
            </w:tcBorders>
          </w:tcPr>
          <w:p>
            <w:pPr>
              <w:pStyle w:val="TableParagraph"/>
              <w:spacing w:line="225" w:lineRule="exact"/>
              <w:ind w:left="3" w:right="150"/>
              <w:jc w:val="center"/>
              <w:rPr>
                <w:sz w:val="22"/>
              </w:rPr>
            </w:pPr>
            <w:r>
              <w:rPr>
                <w:sz w:val="22"/>
              </w:rPr>
              <w:t>P-</w:t>
            </w:r>
            <w:r>
              <w:rPr>
                <w:spacing w:val="-2"/>
                <w:sz w:val="22"/>
              </w:rPr>
              <w:t>value</w:t>
            </w:r>
          </w:p>
        </w:tc>
        <w:tc>
          <w:tcPr>
            <w:tcW w:w="1150" w:type="dxa"/>
            <w:tcBorders>
              <w:bottom w:val="single" w:sz="4" w:space="0" w:color="000000"/>
            </w:tcBorders>
          </w:tcPr>
          <w:p>
            <w:pPr>
              <w:pStyle w:val="TableParagraph"/>
              <w:spacing w:line="225" w:lineRule="exact"/>
              <w:ind w:left="330"/>
              <w:rPr>
                <w:sz w:val="22"/>
              </w:rPr>
            </w:pPr>
            <w:r>
              <w:rPr>
                <w:spacing w:val="-5"/>
                <w:sz w:val="22"/>
              </w:rPr>
              <w:t>LOS</w:t>
            </w:r>
          </w:p>
        </w:tc>
      </w:tr>
      <w:tr>
        <w:trPr>
          <w:trHeight w:val="375" w:hRule="atLeast"/>
        </w:trPr>
        <w:tc>
          <w:tcPr>
            <w:tcW w:w="2031" w:type="dxa"/>
            <w:tcBorders>
              <w:top w:val="single" w:sz="4" w:space="0" w:color="000000"/>
            </w:tcBorders>
          </w:tcPr>
          <w:p>
            <w:pPr>
              <w:pStyle w:val="TableParagraph"/>
              <w:rPr>
                <w:rFonts w:ascii="Times New Roman"/>
                <w:sz w:val="22"/>
              </w:rPr>
            </w:pPr>
          </w:p>
        </w:tc>
        <w:tc>
          <w:tcPr>
            <w:tcW w:w="2696" w:type="dxa"/>
            <w:tcBorders>
              <w:top w:val="single" w:sz="4" w:space="0" w:color="000000"/>
            </w:tcBorders>
          </w:tcPr>
          <w:p>
            <w:pPr>
              <w:pStyle w:val="TableParagraph"/>
              <w:spacing w:line="266" w:lineRule="exact"/>
              <w:ind w:left="1118"/>
              <w:rPr>
                <w:sz w:val="22"/>
              </w:rPr>
            </w:pPr>
            <w:r>
              <w:rPr>
                <w:spacing w:val="-5"/>
                <w:sz w:val="22"/>
              </w:rPr>
              <w:t>CRO</w:t>
            </w:r>
          </w:p>
        </w:tc>
        <w:tc>
          <w:tcPr>
            <w:tcW w:w="1727" w:type="dxa"/>
            <w:tcBorders>
              <w:top w:val="single" w:sz="4" w:space="0" w:color="000000"/>
            </w:tcBorders>
          </w:tcPr>
          <w:p>
            <w:pPr>
              <w:pStyle w:val="TableParagraph"/>
              <w:spacing w:line="266" w:lineRule="exact"/>
              <w:ind w:left="145" w:right="1"/>
              <w:jc w:val="center"/>
              <w:rPr>
                <w:sz w:val="22"/>
              </w:rPr>
            </w:pPr>
            <w:r>
              <w:rPr>
                <w:spacing w:val="-2"/>
                <w:sz w:val="22"/>
              </w:rPr>
              <w:t>20.667±2.275</w:t>
            </w:r>
          </w:p>
        </w:tc>
        <w:tc>
          <w:tcPr>
            <w:tcW w:w="1171" w:type="dxa"/>
            <w:tcBorders>
              <w:top w:val="single" w:sz="4" w:space="0" w:color="000000"/>
            </w:tcBorders>
          </w:tcPr>
          <w:p>
            <w:pPr>
              <w:pStyle w:val="TableParagraph"/>
              <w:spacing w:line="266" w:lineRule="exact"/>
              <w:ind w:right="150"/>
              <w:jc w:val="center"/>
              <w:rPr>
                <w:sz w:val="22"/>
              </w:rPr>
            </w:pPr>
            <w:r>
              <w:rPr>
                <w:spacing w:val="-2"/>
                <w:sz w:val="22"/>
              </w:rPr>
              <w:t>0.996</w:t>
            </w:r>
          </w:p>
        </w:tc>
        <w:tc>
          <w:tcPr>
            <w:tcW w:w="1150" w:type="dxa"/>
            <w:tcBorders>
              <w:top w:val="single" w:sz="4" w:space="0" w:color="000000"/>
            </w:tcBorders>
          </w:tcPr>
          <w:p>
            <w:pPr>
              <w:pStyle w:val="TableParagraph"/>
              <w:spacing w:line="266" w:lineRule="exact"/>
              <w:ind w:left="378"/>
              <w:rPr>
                <w:sz w:val="22"/>
              </w:rPr>
            </w:pPr>
            <w:r>
              <w:rPr>
                <w:spacing w:val="-5"/>
                <w:sz w:val="22"/>
              </w:rPr>
              <w:t>NS</w:t>
            </w:r>
          </w:p>
        </w:tc>
      </w:tr>
      <w:tr>
        <w:trPr>
          <w:trHeight w:val="450" w:hRule="atLeast"/>
        </w:trPr>
        <w:tc>
          <w:tcPr>
            <w:tcW w:w="2031" w:type="dxa"/>
          </w:tcPr>
          <w:p>
            <w:pPr>
              <w:pStyle w:val="TableParagraph"/>
              <w:rPr>
                <w:rFonts w:ascii="Times New Roman"/>
                <w:sz w:val="22"/>
              </w:rPr>
            </w:pPr>
          </w:p>
        </w:tc>
        <w:tc>
          <w:tcPr>
            <w:tcW w:w="2696" w:type="dxa"/>
          </w:tcPr>
          <w:p>
            <w:pPr>
              <w:pStyle w:val="TableParagraph"/>
              <w:spacing w:before="70"/>
              <w:ind w:left="1118"/>
              <w:rPr>
                <w:sz w:val="22"/>
              </w:rPr>
            </w:pPr>
            <w:r>
              <w:rPr>
                <w:spacing w:val="-5"/>
                <w:sz w:val="22"/>
              </w:rPr>
              <w:t>CN</w:t>
            </w:r>
          </w:p>
        </w:tc>
        <w:tc>
          <w:tcPr>
            <w:tcW w:w="1727" w:type="dxa"/>
          </w:tcPr>
          <w:p>
            <w:pPr>
              <w:pStyle w:val="TableParagraph"/>
              <w:spacing w:before="70"/>
              <w:ind w:left="145" w:right="1"/>
              <w:jc w:val="center"/>
              <w:rPr>
                <w:sz w:val="22"/>
              </w:rPr>
            </w:pPr>
            <w:r>
              <w:rPr>
                <w:spacing w:val="-2"/>
                <w:sz w:val="22"/>
              </w:rPr>
              <w:t>21.833±0.946</w:t>
            </w:r>
          </w:p>
        </w:tc>
        <w:tc>
          <w:tcPr>
            <w:tcW w:w="1171" w:type="dxa"/>
          </w:tcPr>
          <w:p>
            <w:pPr>
              <w:pStyle w:val="TableParagraph"/>
              <w:spacing w:before="70"/>
              <w:ind w:right="150"/>
              <w:jc w:val="center"/>
              <w:rPr>
                <w:sz w:val="22"/>
              </w:rPr>
            </w:pPr>
            <w:r>
              <w:rPr>
                <w:spacing w:val="-2"/>
                <w:sz w:val="22"/>
              </w:rPr>
              <w:t>0.911</w:t>
            </w:r>
          </w:p>
        </w:tc>
        <w:tc>
          <w:tcPr>
            <w:tcW w:w="1150" w:type="dxa"/>
          </w:tcPr>
          <w:p>
            <w:pPr>
              <w:pStyle w:val="TableParagraph"/>
              <w:spacing w:before="70"/>
              <w:ind w:left="378"/>
              <w:rPr>
                <w:sz w:val="22"/>
              </w:rPr>
            </w:pPr>
            <w:r>
              <w:rPr>
                <w:spacing w:val="-5"/>
                <w:sz w:val="22"/>
              </w:rPr>
              <w:t>NS</w:t>
            </w:r>
          </w:p>
        </w:tc>
      </w:tr>
      <w:tr>
        <w:trPr>
          <w:trHeight w:val="378" w:hRule="atLeast"/>
        </w:trPr>
        <w:tc>
          <w:tcPr>
            <w:tcW w:w="2031" w:type="dxa"/>
          </w:tcPr>
          <w:p>
            <w:pPr>
              <w:pStyle w:val="TableParagraph"/>
              <w:rPr>
                <w:rFonts w:ascii="Times New Roman"/>
                <w:sz w:val="22"/>
              </w:rPr>
            </w:pPr>
          </w:p>
        </w:tc>
        <w:tc>
          <w:tcPr>
            <w:tcW w:w="2696" w:type="dxa"/>
          </w:tcPr>
          <w:p>
            <w:pPr>
              <w:pStyle w:val="TableParagraph"/>
              <w:spacing w:before="71"/>
              <w:ind w:left="1118"/>
              <w:rPr>
                <w:sz w:val="22"/>
              </w:rPr>
            </w:pPr>
            <w:r>
              <w:rPr>
                <w:spacing w:val="-5"/>
                <w:sz w:val="22"/>
              </w:rPr>
              <w:t>AMC</w:t>
            </w:r>
          </w:p>
        </w:tc>
        <w:tc>
          <w:tcPr>
            <w:tcW w:w="1727" w:type="dxa"/>
          </w:tcPr>
          <w:p>
            <w:pPr>
              <w:pStyle w:val="TableParagraph"/>
              <w:spacing w:before="71"/>
              <w:ind w:left="145" w:right="1"/>
              <w:jc w:val="center"/>
              <w:rPr>
                <w:sz w:val="22"/>
              </w:rPr>
            </w:pPr>
            <w:r>
              <w:rPr>
                <w:spacing w:val="-2"/>
                <w:sz w:val="22"/>
              </w:rPr>
              <w:t>16.333±2.431</w:t>
            </w:r>
          </w:p>
        </w:tc>
        <w:tc>
          <w:tcPr>
            <w:tcW w:w="1171" w:type="dxa"/>
          </w:tcPr>
          <w:p>
            <w:pPr>
              <w:pStyle w:val="TableParagraph"/>
              <w:spacing w:before="71"/>
              <w:ind w:right="150"/>
              <w:jc w:val="center"/>
              <w:rPr>
                <w:sz w:val="22"/>
              </w:rPr>
            </w:pPr>
            <w:r>
              <w:rPr>
                <w:spacing w:val="-2"/>
                <w:sz w:val="22"/>
              </w:rPr>
              <w:t>0.882</w:t>
            </w:r>
          </w:p>
        </w:tc>
        <w:tc>
          <w:tcPr>
            <w:tcW w:w="1150" w:type="dxa"/>
          </w:tcPr>
          <w:p>
            <w:pPr>
              <w:pStyle w:val="TableParagraph"/>
              <w:spacing w:before="71"/>
              <w:ind w:left="378"/>
              <w:rPr>
                <w:sz w:val="22"/>
              </w:rPr>
            </w:pPr>
            <w:r>
              <w:rPr>
                <w:spacing w:val="-5"/>
                <w:sz w:val="22"/>
              </w:rPr>
              <w:t>NS</w:t>
            </w:r>
          </w:p>
        </w:tc>
      </w:tr>
      <w:tr>
        <w:trPr>
          <w:trHeight w:val="595" w:hRule="atLeast"/>
        </w:trPr>
        <w:tc>
          <w:tcPr>
            <w:tcW w:w="2031" w:type="dxa"/>
          </w:tcPr>
          <w:p>
            <w:pPr>
              <w:pStyle w:val="TableParagraph"/>
              <w:spacing w:line="267" w:lineRule="exact"/>
              <w:ind w:left="108"/>
              <w:rPr>
                <w:sz w:val="22"/>
              </w:rPr>
            </w:pPr>
            <w:r>
              <w:rPr>
                <w:spacing w:val="-4"/>
                <w:sz w:val="22"/>
              </w:rPr>
              <w:t>Honey</w:t>
            </w:r>
          </w:p>
          <w:p>
            <w:pPr>
              <w:pStyle w:val="TableParagraph"/>
              <w:spacing w:before="22"/>
              <w:ind w:left="108"/>
              <w:rPr>
                <w:sz w:val="22"/>
              </w:rPr>
            </w:pPr>
            <w:r>
              <w:rPr>
                <w:spacing w:val="-2"/>
                <w:sz w:val="22"/>
              </w:rPr>
              <w:t>(100%)</w:t>
            </w:r>
          </w:p>
        </w:tc>
        <w:tc>
          <w:tcPr>
            <w:tcW w:w="2696" w:type="dxa"/>
          </w:tcPr>
          <w:p>
            <w:pPr>
              <w:pStyle w:val="TableParagraph"/>
              <w:spacing w:before="142"/>
              <w:ind w:left="1118"/>
              <w:rPr>
                <w:sz w:val="22"/>
              </w:rPr>
            </w:pPr>
            <w:r>
              <w:rPr>
                <w:spacing w:val="-5"/>
                <w:sz w:val="22"/>
              </w:rPr>
              <w:t>LEV</w:t>
            </w:r>
          </w:p>
        </w:tc>
        <w:tc>
          <w:tcPr>
            <w:tcW w:w="1727" w:type="dxa"/>
          </w:tcPr>
          <w:p>
            <w:pPr>
              <w:pStyle w:val="TableParagraph"/>
              <w:spacing w:before="142"/>
              <w:ind w:left="145" w:right="1"/>
              <w:jc w:val="center"/>
              <w:rPr>
                <w:sz w:val="22"/>
              </w:rPr>
            </w:pPr>
            <w:r>
              <w:rPr>
                <w:spacing w:val="-2"/>
                <w:sz w:val="22"/>
              </w:rPr>
              <w:t>19.500±1.803</w:t>
            </w:r>
          </w:p>
        </w:tc>
        <w:tc>
          <w:tcPr>
            <w:tcW w:w="1171" w:type="dxa"/>
          </w:tcPr>
          <w:p>
            <w:pPr>
              <w:pStyle w:val="TableParagraph"/>
              <w:spacing w:before="142"/>
              <w:ind w:right="150"/>
              <w:jc w:val="center"/>
              <w:rPr>
                <w:sz w:val="22"/>
              </w:rPr>
            </w:pPr>
            <w:r>
              <w:rPr>
                <w:spacing w:val="-2"/>
                <w:sz w:val="22"/>
              </w:rPr>
              <w:t>1.000</w:t>
            </w:r>
          </w:p>
        </w:tc>
        <w:tc>
          <w:tcPr>
            <w:tcW w:w="1150" w:type="dxa"/>
          </w:tcPr>
          <w:p>
            <w:pPr>
              <w:pStyle w:val="TableParagraph"/>
              <w:spacing w:before="142"/>
              <w:ind w:left="378"/>
              <w:rPr>
                <w:sz w:val="22"/>
              </w:rPr>
            </w:pPr>
            <w:r>
              <w:rPr>
                <w:spacing w:val="-5"/>
                <w:sz w:val="22"/>
              </w:rPr>
              <w:t>NS</w:t>
            </w:r>
          </w:p>
        </w:tc>
      </w:tr>
      <w:tr>
        <w:trPr>
          <w:trHeight w:val="376" w:hRule="atLeast"/>
        </w:trPr>
        <w:tc>
          <w:tcPr>
            <w:tcW w:w="2031" w:type="dxa"/>
          </w:tcPr>
          <w:p>
            <w:pPr>
              <w:pStyle w:val="TableParagraph"/>
              <w:rPr>
                <w:rFonts w:ascii="Times New Roman"/>
                <w:sz w:val="22"/>
              </w:rPr>
            </w:pPr>
          </w:p>
        </w:tc>
        <w:tc>
          <w:tcPr>
            <w:tcW w:w="2696" w:type="dxa"/>
          </w:tcPr>
          <w:p>
            <w:pPr>
              <w:pStyle w:val="TableParagraph"/>
              <w:spacing w:line="267" w:lineRule="exact"/>
              <w:ind w:left="1118"/>
              <w:rPr>
                <w:sz w:val="22"/>
              </w:rPr>
            </w:pPr>
            <w:r>
              <w:rPr>
                <w:spacing w:val="-5"/>
                <w:sz w:val="22"/>
              </w:rPr>
              <w:t>AZM</w:t>
            </w:r>
          </w:p>
        </w:tc>
        <w:tc>
          <w:tcPr>
            <w:tcW w:w="1727" w:type="dxa"/>
          </w:tcPr>
          <w:p>
            <w:pPr>
              <w:pStyle w:val="TableParagraph"/>
              <w:spacing w:line="267" w:lineRule="exact"/>
              <w:ind w:left="145" w:right="1"/>
              <w:jc w:val="center"/>
              <w:rPr>
                <w:sz w:val="22"/>
              </w:rPr>
            </w:pPr>
            <w:r>
              <w:rPr>
                <w:spacing w:val="-2"/>
                <w:sz w:val="22"/>
              </w:rPr>
              <w:t>15.667±1.430</w:t>
            </w:r>
          </w:p>
        </w:tc>
        <w:tc>
          <w:tcPr>
            <w:tcW w:w="1171" w:type="dxa"/>
          </w:tcPr>
          <w:p>
            <w:pPr>
              <w:pStyle w:val="TableParagraph"/>
              <w:spacing w:line="267" w:lineRule="exact"/>
              <w:ind w:right="150"/>
              <w:jc w:val="center"/>
              <w:rPr>
                <w:sz w:val="22"/>
              </w:rPr>
            </w:pPr>
            <w:r>
              <w:rPr>
                <w:spacing w:val="-2"/>
                <w:sz w:val="22"/>
              </w:rPr>
              <w:t>0.723</w:t>
            </w:r>
          </w:p>
        </w:tc>
        <w:tc>
          <w:tcPr>
            <w:tcW w:w="1150" w:type="dxa"/>
          </w:tcPr>
          <w:p>
            <w:pPr>
              <w:pStyle w:val="TableParagraph"/>
              <w:spacing w:line="267" w:lineRule="exact"/>
              <w:ind w:left="378"/>
              <w:rPr>
                <w:sz w:val="22"/>
              </w:rPr>
            </w:pPr>
            <w:r>
              <w:rPr>
                <w:spacing w:val="-5"/>
                <w:sz w:val="22"/>
              </w:rPr>
              <w:t>NS</w:t>
            </w:r>
          </w:p>
        </w:tc>
      </w:tr>
      <w:tr>
        <w:trPr>
          <w:trHeight w:val="450" w:hRule="atLeast"/>
        </w:trPr>
        <w:tc>
          <w:tcPr>
            <w:tcW w:w="2031" w:type="dxa"/>
          </w:tcPr>
          <w:p>
            <w:pPr>
              <w:pStyle w:val="TableParagraph"/>
              <w:rPr>
                <w:rFonts w:ascii="Times New Roman"/>
                <w:sz w:val="22"/>
              </w:rPr>
            </w:pPr>
          </w:p>
        </w:tc>
        <w:tc>
          <w:tcPr>
            <w:tcW w:w="2696" w:type="dxa"/>
          </w:tcPr>
          <w:p>
            <w:pPr>
              <w:pStyle w:val="TableParagraph"/>
              <w:spacing w:before="70"/>
              <w:ind w:left="1118"/>
              <w:rPr>
                <w:sz w:val="22"/>
              </w:rPr>
            </w:pPr>
            <w:r>
              <w:rPr>
                <w:sz w:val="22"/>
              </w:rPr>
              <w:t>Honey</w:t>
            </w:r>
            <w:r>
              <w:rPr>
                <w:spacing w:val="-2"/>
                <w:sz w:val="22"/>
              </w:rPr>
              <w:t> (50%)</w:t>
            </w:r>
          </w:p>
        </w:tc>
        <w:tc>
          <w:tcPr>
            <w:tcW w:w="1727" w:type="dxa"/>
          </w:tcPr>
          <w:p>
            <w:pPr>
              <w:pStyle w:val="TableParagraph"/>
              <w:spacing w:before="70"/>
              <w:ind w:left="145" w:right="1"/>
              <w:jc w:val="center"/>
              <w:rPr>
                <w:sz w:val="22"/>
              </w:rPr>
            </w:pPr>
            <w:r>
              <w:rPr>
                <w:spacing w:val="-2"/>
                <w:sz w:val="22"/>
              </w:rPr>
              <w:t>15.833±0.477</w:t>
            </w:r>
          </w:p>
        </w:tc>
        <w:tc>
          <w:tcPr>
            <w:tcW w:w="1171" w:type="dxa"/>
          </w:tcPr>
          <w:p>
            <w:pPr>
              <w:pStyle w:val="TableParagraph"/>
              <w:spacing w:before="70"/>
              <w:ind w:right="150"/>
              <w:jc w:val="center"/>
              <w:rPr>
                <w:sz w:val="22"/>
              </w:rPr>
            </w:pPr>
            <w:r>
              <w:rPr>
                <w:spacing w:val="-2"/>
                <w:sz w:val="22"/>
              </w:rPr>
              <w:t>0.768</w:t>
            </w:r>
          </w:p>
        </w:tc>
        <w:tc>
          <w:tcPr>
            <w:tcW w:w="1150" w:type="dxa"/>
          </w:tcPr>
          <w:p>
            <w:pPr>
              <w:pStyle w:val="TableParagraph"/>
              <w:spacing w:before="70"/>
              <w:ind w:left="378"/>
              <w:rPr>
                <w:sz w:val="22"/>
              </w:rPr>
            </w:pPr>
            <w:r>
              <w:rPr>
                <w:spacing w:val="-5"/>
                <w:sz w:val="22"/>
              </w:rPr>
              <w:t>NS</w:t>
            </w:r>
          </w:p>
        </w:tc>
      </w:tr>
      <w:tr>
        <w:trPr>
          <w:trHeight w:val="522" w:hRule="atLeast"/>
        </w:trPr>
        <w:tc>
          <w:tcPr>
            <w:tcW w:w="2031" w:type="dxa"/>
            <w:tcBorders>
              <w:bottom w:val="single" w:sz="4" w:space="0" w:color="000000"/>
            </w:tcBorders>
          </w:tcPr>
          <w:p>
            <w:pPr>
              <w:pStyle w:val="TableParagraph"/>
              <w:rPr>
                <w:rFonts w:ascii="Times New Roman"/>
                <w:sz w:val="22"/>
              </w:rPr>
            </w:pPr>
          </w:p>
        </w:tc>
        <w:tc>
          <w:tcPr>
            <w:tcW w:w="2696" w:type="dxa"/>
            <w:tcBorders>
              <w:bottom w:val="single" w:sz="4" w:space="0" w:color="000000"/>
            </w:tcBorders>
          </w:tcPr>
          <w:p>
            <w:pPr>
              <w:pStyle w:val="TableParagraph"/>
              <w:spacing w:before="71"/>
              <w:ind w:left="1118"/>
              <w:rPr>
                <w:sz w:val="22"/>
              </w:rPr>
            </w:pPr>
            <w:r>
              <w:rPr>
                <w:sz w:val="22"/>
              </w:rPr>
              <w:t>Honey</w:t>
            </w:r>
            <w:r>
              <w:rPr>
                <w:spacing w:val="-2"/>
                <w:sz w:val="22"/>
              </w:rPr>
              <w:t> (25%)</w:t>
            </w:r>
          </w:p>
        </w:tc>
        <w:tc>
          <w:tcPr>
            <w:tcW w:w="1727" w:type="dxa"/>
            <w:tcBorders>
              <w:bottom w:val="single" w:sz="4" w:space="0" w:color="000000"/>
            </w:tcBorders>
          </w:tcPr>
          <w:p>
            <w:pPr>
              <w:pStyle w:val="TableParagraph"/>
              <w:spacing w:before="71"/>
              <w:ind w:left="145" w:right="1"/>
              <w:jc w:val="center"/>
              <w:rPr>
                <w:sz w:val="22"/>
              </w:rPr>
            </w:pPr>
            <w:r>
              <w:rPr>
                <w:spacing w:val="-2"/>
                <w:sz w:val="22"/>
              </w:rPr>
              <w:t>11.500±0.619</w:t>
            </w:r>
          </w:p>
        </w:tc>
        <w:tc>
          <w:tcPr>
            <w:tcW w:w="1171" w:type="dxa"/>
            <w:tcBorders>
              <w:bottom w:val="single" w:sz="4" w:space="0" w:color="000000"/>
            </w:tcBorders>
          </w:tcPr>
          <w:p>
            <w:pPr>
              <w:pStyle w:val="TableParagraph"/>
              <w:spacing w:before="71"/>
              <w:ind w:right="150"/>
              <w:jc w:val="center"/>
              <w:rPr>
                <w:sz w:val="22"/>
              </w:rPr>
            </w:pPr>
            <w:r>
              <w:rPr>
                <w:spacing w:val="-2"/>
                <w:sz w:val="22"/>
              </w:rPr>
              <w:t>0.018</w:t>
            </w:r>
          </w:p>
        </w:tc>
        <w:tc>
          <w:tcPr>
            <w:tcW w:w="1150" w:type="dxa"/>
            <w:tcBorders>
              <w:bottom w:val="single" w:sz="4" w:space="0" w:color="000000"/>
            </w:tcBorders>
          </w:tcPr>
          <w:p>
            <w:pPr>
              <w:pStyle w:val="TableParagraph"/>
              <w:spacing w:before="71"/>
              <w:ind w:left="397"/>
              <w:rPr>
                <w:sz w:val="22"/>
              </w:rPr>
            </w:pPr>
            <w:r>
              <w:rPr>
                <w:spacing w:val="-5"/>
                <w:sz w:val="22"/>
              </w:rPr>
              <w:t>SF</w:t>
            </w:r>
          </w:p>
        </w:tc>
      </w:tr>
      <w:tr>
        <w:trPr>
          <w:trHeight w:val="376" w:hRule="atLeast"/>
        </w:trPr>
        <w:tc>
          <w:tcPr>
            <w:tcW w:w="2031" w:type="dxa"/>
            <w:tcBorders>
              <w:top w:val="single" w:sz="4" w:space="0" w:color="000000"/>
            </w:tcBorders>
          </w:tcPr>
          <w:p>
            <w:pPr>
              <w:pStyle w:val="TableParagraph"/>
              <w:rPr>
                <w:rFonts w:ascii="Times New Roman"/>
                <w:sz w:val="22"/>
              </w:rPr>
            </w:pPr>
          </w:p>
        </w:tc>
        <w:tc>
          <w:tcPr>
            <w:tcW w:w="2696" w:type="dxa"/>
            <w:tcBorders>
              <w:top w:val="single" w:sz="4" w:space="0" w:color="000000"/>
            </w:tcBorders>
          </w:tcPr>
          <w:p>
            <w:pPr>
              <w:pStyle w:val="TableParagraph"/>
              <w:spacing w:line="265" w:lineRule="exact"/>
              <w:ind w:left="1118"/>
              <w:rPr>
                <w:sz w:val="22"/>
              </w:rPr>
            </w:pPr>
            <w:r>
              <w:rPr>
                <w:spacing w:val="-5"/>
                <w:sz w:val="22"/>
              </w:rPr>
              <w:t>CRO</w:t>
            </w:r>
          </w:p>
        </w:tc>
        <w:tc>
          <w:tcPr>
            <w:tcW w:w="1727" w:type="dxa"/>
            <w:tcBorders>
              <w:top w:val="single" w:sz="4" w:space="0" w:color="000000"/>
            </w:tcBorders>
          </w:tcPr>
          <w:p>
            <w:pPr>
              <w:pStyle w:val="TableParagraph"/>
              <w:spacing w:line="265" w:lineRule="exact"/>
              <w:ind w:left="145" w:right="1"/>
              <w:jc w:val="center"/>
              <w:rPr>
                <w:sz w:val="22"/>
              </w:rPr>
            </w:pPr>
            <w:r>
              <w:rPr>
                <w:spacing w:val="-2"/>
                <w:sz w:val="22"/>
              </w:rPr>
              <w:t>20.667±2.275</w:t>
            </w:r>
          </w:p>
        </w:tc>
        <w:tc>
          <w:tcPr>
            <w:tcW w:w="1171" w:type="dxa"/>
            <w:tcBorders>
              <w:top w:val="single" w:sz="4" w:space="0" w:color="000000"/>
            </w:tcBorders>
          </w:tcPr>
          <w:p>
            <w:pPr>
              <w:pStyle w:val="TableParagraph"/>
              <w:spacing w:line="265" w:lineRule="exact"/>
              <w:ind w:right="150"/>
              <w:jc w:val="center"/>
              <w:rPr>
                <w:sz w:val="22"/>
              </w:rPr>
            </w:pPr>
            <w:r>
              <w:rPr>
                <w:spacing w:val="-2"/>
                <w:sz w:val="22"/>
              </w:rPr>
              <w:t>0.336</w:t>
            </w:r>
          </w:p>
        </w:tc>
        <w:tc>
          <w:tcPr>
            <w:tcW w:w="1150" w:type="dxa"/>
            <w:tcBorders>
              <w:top w:val="single" w:sz="4" w:space="0" w:color="000000"/>
            </w:tcBorders>
          </w:tcPr>
          <w:p>
            <w:pPr>
              <w:pStyle w:val="TableParagraph"/>
              <w:spacing w:line="265" w:lineRule="exact"/>
              <w:ind w:left="378"/>
              <w:rPr>
                <w:sz w:val="22"/>
              </w:rPr>
            </w:pPr>
            <w:r>
              <w:rPr>
                <w:spacing w:val="-5"/>
                <w:sz w:val="22"/>
              </w:rPr>
              <w:t>NS</w:t>
            </w:r>
          </w:p>
        </w:tc>
      </w:tr>
      <w:tr>
        <w:trPr>
          <w:trHeight w:val="450" w:hRule="atLeast"/>
        </w:trPr>
        <w:tc>
          <w:tcPr>
            <w:tcW w:w="2031" w:type="dxa"/>
          </w:tcPr>
          <w:p>
            <w:pPr>
              <w:pStyle w:val="TableParagraph"/>
              <w:rPr>
                <w:rFonts w:ascii="Times New Roman"/>
                <w:sz w:val="22"/>
              </w:rPr>
            </w:pPr>
          </w:p>
        </w:tc>
        <w:tc>
          <w:tcPr>
            <w:tcW w:w="2696" w:type="dxa"/>
          </w:tcPr>
          <w:p>
            <w:pPr>
              <w:pStyle w:val="TableParagraph"/>
              <w:spacing w:before="71"/>
              <w:ind w:left="1118"/>
              <w:rPr>
                <w:sz w:val="22"/>
              </w:rPr>
            </w:pPr>
            <w:r>
              <w:rPr>
                <w:spacing w:val="-5"/>
                <w:sz w:val="22"/>
              </w:rPr>
              <w:t>CN</w:t>
            </w:r>
          </w:p>
        </w:tc>
        <w:tc>
          <w:tcPr>
            <w:tcW w:w="1727" w:type="dxa"/>
          </w:tcPr>
          <w:p>
            <w:pPr>
              <w:pStyle w:val="TableParagraph"/>
              <w:spacing w:before="71"/>
              <w:ind w:left="145" w:right="1"/>
              <w:jc w:val="center"/>
              <w:rPr>
                <w:sz w:val="22"/>
              </w:rPr>
            </w:pPr>
            <w:r>
              <w:rPr>
                <w:spacing w:val="-2"/>
                <w:sz w:val="22"/>
              </w:rPr>
              <w:t>21.833±0.946</w:t>
            </w:r>
          </w:p>
        </w:tc>
        <w:tc>
          <w:tcPr>
            <w:tcW w:w="1171" w:type="dxa"/>
          </w:tcPr>
          <w:p>
            <w:pPr>
              <w:pStyle w:val="TableParagraph"/>
              <w:spacing w:before="71"/>
              <w:ind w:right="150"/>
              <w:jc w:val="center"/>
              <w:rPr>
                <w:sz w:val="22"/>
              </w:rPr>
            </w:pPr>
            <w:r>
              <w:rPr>
                <w:spacing w:val="-2"/>
                <w:sz w:val="22"/>
              </w:rPr>
              <w:t>0.120</w:t>
            </w:r>
          </w:p>
        </w:tc>
        <w:tc>
          <w:tcPr>
            <w:tcW w:w="1150" w:type="dxa"/>
          </w:tcPr>
          <w:p>
            <w:pPr>
              <w:pStyle w:val="TableParagraph"/>
              <w:spacing w:before="71"/>
              <w:ind w:left="378"/>
              <w:rPr>
                <w:sz w:val="22"/>
              </w:rPr>
            </w:pPr>
            <w:r>
              <w:rPr>
                <w:spacing w:val="-5"/>
                <w:sz w:val="22"/>
              </w:rPr>
              <w:t>NS</w:t>
            </w:r>
          </w:p>
        </w:tc>
      </w:tr>
      <w:tr>
        <w:trPr>
          <w:trHeight w:val="376" w:hRule="atLeast"/>
        </w:trPr>
        <w:tc>
          <w:tcPr>
            <w:tcW w:w="2031" w:type="dxa"/>
          </w:tcPr>
          <w:p>
            <w:pPr>
              <w:pStyle w:val="TableParagraph"/>
              <w:rPr>
                <w:rFonts w:ascii="Times New Roman"/>
                <w:sz w:val="22"/>
              </w:rPr>
            </w:pPr>
          </w:p>
        </w:tc>
        <w:tc>
          <w:tcPr>
            <w:tcW w:w="2696" w:type="dxa"/>
          </w:tcPr>
          <w:p>
            <w:pPr>
              <w:pStyle w:val="TableParagraph"/>
              <w:spacing w:before="70"/>
              <w:ind w:left="1118"/>
              <w:rPr>
                <w:sz w:val="22"/>
              </w:rPr>
            </w:pPr>
            <w:r>
              <w:rPr>
                <w:spacing w:val="-5"/>
                <w:sz w:val="22"/>
              </w:rPr>
              <w:t>AMC</w:t>
            </w:r>
          </w:p>
        </w:tc>
        <w:tc>
          <w:tcPr>
            <w:tcW w:w="1727" w:type="dxa"/>
          </w:tcPr>
          <w:p>
            <w:pPr>
              <w:pStyle w:val="TableParagraph"/>
              <w:spacing w:before="70"/>
              <w:ind w:left="145" w:right="1"/>
              <w:jc w:val="center"/>
              <w:rPr>
                <w:sz w:val="22"/>
              </w:rPr>
            </w:pPr>
            <w:r>
              <w:rPr>
                <w:spacing w:val="-2"/>
                <w:sz w:val="22"/>
              </w:rPr>
              <w:t>16.333±2.431</w:t>
            </w:r>
          </w:p>
        </w:tc>
        <w:tc>
          <w:tcPr>
            <w:tcW w:w="1171" w:type="dxa"/>
          </w:tcPr>
          <w:p>
            <w:pPr>
              <w:pStyle w:val="TableParagraph"/>
              <w:spacing w:before="70"/>
              <w:ind w:right="150"/>
              <w:jc w:val="center"/>
              <w:rPr>
                <w:sz w:val="22"/>
              </w:rPr>
            </w:pPr>
            <w:r>
              <w:rPr>
                <w:spacing w:val="-2"/>
                <w:sz w:val="22"/>
              </w:rPr>
              <w:t>1.000</w:t>
            </w:r>
          </w:p>
        </w:tc>
        <w:tc>
          <w:tcPr>
            <w:tcW w:w="1150" w:type="dxa"/>
          </w:tcPr>
          <w:p>
            <w:pPr>
              <w:pStyle w:val="TableParagraph"/>
              <w:spacing w:before="70"/>
              <w:ind w:left="378"/>
              <w:rPr>
                <w:sz w:val="22"/>
              </w:rPr>
            </w:pPr>
            <w:r>
              <w:rPr>
                <w:spacing w:val="-5"/>
                <w:sz w:val="22"/>
              </w:rPr>
              <w:t>NS</w:t>
            </w:r>
          </w:p>
        </w:tc>
      </w:tr>
      <w:tr>
        <w:trPr>
          <w:trHeight w:val="595" w:hRule="atLeast"/>
        </w:trPr>
        <w:tc>
          <w:tcPr>
            <w:tcW w:w="2031" w:type="dxa"/>
          </w:tcPr>
          <w:p>
            <w:pPr>
              <w:pStyle w:val="TableParagraph"/>
              <w:spacing w:line="267" w:lineRule="exact"/>
              <w:ind w:left="108"/>
              <w:rPr>
                <w:sz w:val="22"/>
              </w:rPr>
            </w:pPr>
            <w:r>
              <w:rPr>
                <w:spacing w:val="-4"/>
                <w:sz w:val="22"/>
              </w:rPr>
              <w:t>Honey</w:t>
            </w:r>
          </w:p>
          <w:p>
            <w:pPr>
              <w:pStyle w:val="TableParagraph"/>
              <w:spacing w:before="22"/>
              <w:ind w:left="108"/>
              <w:rPr>
                <w:sz w:val="22"/>
              </w:rPr>
            </w:pPr>
            <w:r>
              <w:rPr>
                <w:spacing w:val="-2"/>
                <w:sz w:val="22"/>
              </w:rPr>
              <w:t>(50%)</w:t>
            </w:r>
          </w:p>
        </w:tc>
        <w:tc>
          <w:tcPr>
            <w:tcW w:w="2696" w:type="dxa"/>
          </w:tcPr>
          <w:p>
            <w:pPr>
              <w:pStyle w:val="TableParagraph"/>
              <w:spacing w:before="142"/>
              <w:ind w:left="1118"/>
              <w:rPr>
                <w:sz w:val="22"/>
              </w:rPr>
            </w:pPr>
            <w:r>
              <w:rPr>
                <w:spacing w:val="-5"/>
                <w:sz w:val="22"/>
              </w:rPr>
              <w:t>LEV</w:t>
            </w:r>
          </w:p>
        </w:tc>
        <w:tc>
          <w:tcPr>
            <w:tcW w:w="1727" w:type="dxa"/>
          </w:tcPr>
          <w:p>
            <w:pPr>
              <w:pStyle w:val="TableParagraph"/>
              <w:spacing w:before="142"/>
              <w:ind w:left="145" w:right="1"/>
              <w:jc w:val="center"/>
              <w:rPr>
                <w:sz w:val="22"/>
              </w:rPr>
            </w:pPr>
            <w:r>
              <w:rPr>
                <w:spacing w:val="-2"/>
                <w:sz w:val="22"/>
              </w:rPr>
              <w:t>19.500±1.803</w:t>
            </w:r>
          </w:p>
        </w:tc>
        <w:tc>
          <w:tcPr>
            <w:tcW w:w="1171" w:type="dxa"/>
          </w:tcPr>
          <w:p>
            <w:pPr>
              <w:pStyle w:val="TableParagraph"/>
              <w:spacing w:before="142"/>
              <w:ind w:right="150"/>
              <w:jc w:val="center"/>
              <w:rPr>
                <w:sz w:val="22"/>
              </w:rPr>
            </w:pPr>
            <w:r>
              <w:rPr>
                <w:spacing w:val="-2"/>
                <w:sz w:val="22"/>
              </w:rPr>
              <w:t>0.675</w:t>
            </w:r>
          </w:p>
        </w:tc>
        <w:tc>
          <w:tcPr>
            <w:tcW w:w="1150" w:type="dxa"/>
          </w:tcPr>
          <w:p>
            <w:pPr>
              <w:pStyle w:val="TableParagraph"/>
              <w:spacing w:before="142"/>
              <w:ind w:left="378"/>
              <w:rPr>
                <w:sz w:val="22"/>
              </w:rPr>
            </w:pPr>
            <w:r>
              <w:rPr>
                <w:spacing w:val="-5"/>
                <w:sz w:val="22"/>
              </w:rPr>
              <w:t>NS</w:t>
            </w:r>
          </w:p>
        </w:tc>
      </w:tr>
      <w:tr>
        <w:trPr>
          <w:trHeight w:val="376" w:hRule="atLeast"/>
        </w:trPr>
        <w:tc>
          <w:tcPr>
            <w:tcW w:w="2031" w:type="dxa"/>
          </w:tcPr>
          <w:p>
            <w:pPr>
              <w:pStyle w:val="TableParagraph"/>
              <w:rPr>
                <w:rFonts w:ascii="Times New Roman"/>
                <w:sz w:val="22"/>
              </w:rPr>
            </w:pPr>
          </w:p>
        </w:tc>
        <w:tc>
          <w:tcPr>
            <w:tcW w:w="2696" w:type="dxa"/>
          </w:tcPr>
          <w:p>
            <w:pPr>
              <w:pStyle w:val="TableParagraph"/>
              <w:spacing w:line="267" w:lineRule="exact"/>
              <w:ind w:left="1118"/>
              <w:rPr>
                <w:sz w:val="22"/>
              </w:rPr>
            </w:pPr>
            <w:r>
              <w:rPr>
                <w:spacing w:val="-5"/>
                <w:sz w:val="22"/>
              </w:rPr>
              <w:t>AZM</w:t>
            </w:r>
          </w:p>
        </w:tc>
        <w:tc>
          <w:tcPr>
            <w:tcW w:w="1727" w:type="dxa"/>
          </w:tcPr>
          <w:p>
            <w:pPr>
              <w:pStyle w:val="TableParagraph"/>
              <w:spacing w:line="267" w:lineRule="exact"/>
              <w:ind w:left="145" w:right="1"/>
              <w:jc w:val="center"/>
              <w:rPr>
                <w:sz w:val="22"/>
              </w:rPr>
            </w:pPr>
            <w:r>
              <w:rPr>
                <w:spacing w:val="-2"/>
                <w:sz w:val="22"/>
              </w:rPr>
              <w:t>15.667±1.430</w:t>
            </w:r>
          </w:p>
        </w:tc>
        <w:tc>
          <w:tcPr>
            <w:tcW w:w="1171" w:type="dxa"/>
          </w:tcPr>
          <w:p>
            <w:pPr>
              <w:pStyle w:val="TableParagraph"/>
              <w:spacing w:line="267" w:lineRule="exact"/>
              <w:ind w:right="150"/>
              <w:jc w:val="center"/>
              <w:rPr>
                <w:sz w:val="22"/>
              </w:rPr>
            </w:pPr>
            <w:r>
              <w:rPr>
                <w:spacing w:val="-2"/>
                <w:sz w:val="22"/>
              </w:rPr>
              <w:t>1.000</w:t>
            </w:r>
          </w:p>
        </w:tc>
        <w:tc>
          <w:tcPr>
            <w:tcW w:w="1150" w:type="dxa"/>
          </w:tcPr>
          <w:p>
            <w:pPr>
              <w:pStyle w:val="TableParagraph"/>
              <w:spacing w:line="267" w:lineRule="exact"/>
              <w:ind w:left="378"/>
              <w:rPr>
                <w:sz w:val="22"/>
              </w:rPr>
            </w:pPr>
            <w:r>
              <w:rPr>
                <w:spacing w:val="-5"/>
                <w:sz w:val="22"/>
              </w:rPr>
              <w:t>NS</w:t>
            </w:r>
          </w:p>
        </w:tc>
      </w:tr>
      <w:tr>
        <w:trPr>
          <w:trHeight w:val="450" w:hRule="atLeast"/>
        </w:trPr>
        <w:tc>
          <w:tcPr>
            <w:tcW w:w="2031" w:type="dxa"/>
          </w:tcPr>
          <w:p>
            <w:pPr>
              <w:pStyle w:val="TableParagraph"/>
              <w:rPr>
                <w:rFonts w:ascii="Times New Roman"/>
                <w:sz w:val="22"/>
              </w:rPr>
            </w:pPr>
          </w:p>
        </w:tc>
        <w:tc>
          <w:tcPr>
            <w:tcW w:w="2696" w:type="dxa"/>
          </w:tcPr>
          <w:p>
            <w:pPr>
              <w:pStyle w:val="TableParagraph"/>
              <w:spacing w:before="70"/>
              <w:ind w:left="1118"/>
              <w:rPr>
                <w:sz w:val="22"/>
              </w:rPr>
            </w:pPr>
            <w:r>
              <w:rPr>
                <w:sz w:val="22"/>
              </w:rPr>
              <w:t>Honey</w:t>
            </w:r>
            <w:r>
              <w:rPr>
                <w:spacing w:val="-4"/>
                <w:sz w:val="22"/>
              </w:rPr>
              <w:t> </w:t>
            </w:r>
            <w:r>
              <w:rPr>
                <w:spacing w:val="-2"/>
                <w:sz w:val="22"/>
              </w:rPr>
              <w:t>(100%)</w:t>
            </w:r>
          </w:p>
        </w:tc>
        <w:tc>
          <w:tcPr>
            <w:tcW w:w="1727" w:type="dxa"/>
          </w:tcPr>
          <w:p>
            <w:pPr>
              <w:pStyle w:val="TableParagraph"/>
              <w:spacing w:before="70"/>
              <w:ind w:left="145" w:right="1"/>
              <w:jc w:val="center"/>
              <w:rPr>
                <w:sz w:val="22"/>
              </w:rPr>
            </w:pPr>
            <w:r>
              <w:rPr>
                <w:spacing w:val="-2"/>
                <w:sz w:val="22"/>
              </w:rPr>
              <w:t>19.167±0.543</w:t>
            </w:r>
          </w:p>
        </w:tc>
        <w:tc>
          <w:tcPr>
            <w:tcW w:w="1171" w:type="dxa"/>
          </w:tcPr>
          <w:p>
            <w:pPr>
              <w:pStyle w:val="TableParagraph"/>
              <w:spacing w:before="70"/>
              <w:ind w:right="150"/>
              <w:jc w:val="center"/>
              <w:rPr>
                <w:sz w:val="22"/>
              </w:rPr>
            </w:pPr>
            <w:r>
              <w:rPr>
                <w:spacing w:val="-2"/>
                <w:sz w:val="22"/>
              </w:rPr>
              <w:t>0.768</w:t>
            </w:r>
          </w:p>
        </w:tc>
        <w:tc>
          <w:tcPr>
            <w:tcW w:w="1150" w:type="dxa"/>
          </w:tcPr>
          <w:p>
            <w:pPr>
              <w:pStyle w:val="TableParagraph"/>
              <w:spacing w:before="70"/>
              <w:ind w:left="378"/>
              <w:rPr>
                <w:sz w:val="22"/>
              </w:rPr>
            </w:pPr>
            <w:r>
              <w:rPr>
                <w:spacing w:val="-5"/>
                <w:sz w:val="22"/>
              </w:rPr>
              <w:t>NS</w:t>
            </w:r>
          </w:p>
        </w:tc>
      </w:tr>
      <w:tr>
        <w:trPr>
          <w:trHeight w:val="522" w:hRule="atLeast"/>
        </w:trPr>
        <w:tc>
          <w:tcPr>
            <w:tcW w:w="2031" w:type="dxa"/>
            <w:tcBorders>
              <w:bottom w:val="single" w:sz="4" w:space="0" w:color="000000"/>
            </w:tcBorders>
          </w:tcPr>
          <w:p>
            <w:pPr>
              <w:pStyle w:val="TableParagraph"/>
              <w:rPr>
                <w:rFonts w:ascii="Times New Roman"/>
                <w:sz w:val="22"/>
              </w:rPr>
            </w:pPr>
          </w:p>
        </w:tc>
        <w:tc>
          <w:tcPr>
            <w:tcW w:w="2696" w:type="dxa"/>
            <w:tcBorders>
              <w:bottom w:val="single" w:sz="4" w:space="0" w:color="000000"/>
            </w:tcBorders>
          </w:tcPr>
          <w:p>
            <w:pPr>
              <w:pStyle w:val="TableParagraph"/>
              <w:spacing w:before="71"/>
              <w:ind w:left="1118"/>
              <w:rPr>
                <w:sz w:val="22"/>
              </w:rPr>
            </w:pPr>
            <w:r>
              <w:rPr>
                <w:sz w:val="22"/>
              </w:rPr>
              <w:t>Honey</w:t>
            </w:r>
            <w:r>
              <w:rPr>
                <w:spacing w:val="-2"/>
                <w:sz w:val="22"/>
              </w:rPr>
              <w:t> (25%)</w:t>
            </w:r>
          </w:p>
        </w:tc>
        <w:tc>
          <w:tcPr>
            <w:tcW w:w="1727" w:type="dxa"/>
            <w:tcBorders>
              <w:bottom w:val="single" w:sz="4" w:space="0" w:color="000000"/>
            </w:tcBorders>
          </w:tcPr>
          <w:p>
            <w:pPr>
              <w:pStyle w:val="TableParagraph"/>
              <w:spacing w:before="71"/>
              <w:ind w:left="145" w:right="1"/>
              <w:jc w:val="center"/>
              <w:rPr>
                <w:sz w:val="22"/>
              </w:rPr>
            </w:pPr>
            <w:r>
              <w:rPr>
                <w:spacing w:val="-2"/>
                <w:sz w:val="22"/>
              </w:rPr>
              <w:t>11.500±0.619</w:t>
            </w:r>
          </w:p>
        </w:tc>
        <w:tc>
          <w:tcPr>
            <w:tcW w:w="1171" w:type="dxa"/>
            <w:tcBorders>
              <w:bottom w:val="single" w:sz="4" w:space="0" w:color="000000"/>
            </w:tcBorders>
          </w:tcPr>
          <w:p>
            <w:pPr>
              <w:pStyle w:val="TableParagraph"/>
              <w:spacing w:before="71"/>
              <w:ind w:right="150"/>
              <w:jc w:val="center"/>
              <w:rPr>
                <w:sz w:val="22"/>
              </w:rPr>
            </w:pPr>
            <w:r>
              <w:rPr>
                <w:spacing w:val="-2"/>
                <w:sz w:val="22"/>
              </w:rPr>
              <w:t>0.474</w:t>
            </w:r>
          </w:p>
        </w:tc>
        <w:tc>
          <w:tcPr>
            <w:tcW w:w="1150" w:type="dxa"/>
            <w:tcBorders>
              <w:bottom w:val="single" w:sz="4" w:space="0" w:color="000000"/>
            </w:tcBorders>
          </w:tcPr>
          <w:p>
            <w:pPr>
              <w:pStyle w:val="TableParagraph"/>
              <w:spacing w:before="71"/>
              <w:ind w:left="378"/>
              <w:rPr>
                <w:sz w:val="22"/>
              </w:rPr>
            </w:pPr>
            <w:r>
              <w:rPr>
                <w:spacing w:val="-5"/>
                <w:sz w:val="22"/>
              </w:rPr>
              <w:t>NS</w:t>
            </w:r>
          </w:p>
        </w:tc>
      </w:tr>
      <w:tr>
        <w:trPr>
          <w:trHeight w:val="376" w:hRule="atLeast"/>
        </w:trPr>
        <w:tc>
          <w:tcPr>
            <w:tcW w:w="2031" w:type="dxa"/>
            <w:tcBorders>
              <w:top w:val="single" w:sz="4" w:space="0" w:color="000000"/>
            </w:tcBorders>
          </w:tcPr>
          <w:p>
            <w:pPr>
              <w:pStyle w:val="TableParagraph"/>
              <w:rPr>
                <w:rFonts w:ascii="Times New Roman"/>
                <w:sz w:val="22"/>
              </w:rPr>
            </w:pPr>
          </w:p>
        </w:tc>
        <w:tc>
          <w:tcPr>
            <w:tcW w:w="2696" w:type="dxa"/>
            <w:tcBorders>
              <w:top w:val="single" w:sz="4" w:space="0" w:color="000000"/>
            </w:tcBorders>
          </w:tcPr>
          <w:p>
            <w:pPr>
              <w:pStyle w:val="TableParagraph"/>
              <w:spacing w:line="265" w:lineRule="exact"/>
              <w:ind w:left="1118"/>
              <w:rPr>
                <w:sz w:val="22"/>
              </w:rPr>
            </w:pPr>
            <w:r>
              <w:rPr>
                <w:spacing w:val="-5"/>
                <w:sz w:val="22"/>
              </w:rPr>
              <w:t>CRO</w:t>
            </w:r>
          </w:p>
        </w:tc>
        <w:tc>
          <w:tcPr>
            <w:tcW w:w="1727" w:type="dxa"/>
            <w:tcBorders>
              <w:top w:val="single" w:sz="4" w:space="0" w:color="000000"/>
            </w:tcBorders>
          </w:tcPr>
          <w:p>
            <w:pPr>
              <w:pStyle w:val="TableParagraph"/>
              <w:spacing w:line="265" w:lineRule="exact"/>
              <w:ind w:left="145"/>
              <w:jc w:val="center"/>
              <w:rPr>
                <w:sz w:val="22"/>
              </w:rPr>
            </w:pPr>
            <w:r>
              <w:rPr>
                <w:spacing w:val="-2"/>
                <w:sz w:val="22"/>
              </w:rPr>
              <w:t>20.667±2.275</w:t>
            </w:r>
          </w:p>
        </w:tc>
        <w:tc>
          <w:tcPr>
            <w:tcW w:w="1171" w:type="dxa"/>
            <w:tcBorders>
              <w:top w:val="single" w:sz="4" w:space="0" w:color="000000"/>
            </w:tcBorders>
          </w:tcPr>
          <w:p>
            <w:pPr>
              <w:pStyle w:val="TableParagraph"/>
              <w:spacing w:line="265" w:lineRule="exact"/>
              <w:ind w:right="150"/>
              <w:jc w:val="center"/>
              <w:rPr>
                <w:sz w:val="22"/>
              </w:rPr>
            </w:pPr>
            <w:r>
              <w:rPr>
                <w:spacing w:val="-2"/>
                <w:sz w:val="22"/>
              </w:rPr>
              <w:t>0.002</w:t>
            </w:r>
          </w:p>
        </w:tc>
        <w:tc>
          <w:tcPr>
            <w:tcW w:w="1150" w:type="dxa"/>
            <w:tcBorders>
              <w:top w:val="single" w:sz="4" w:space="0" w:color="000000"/>
            </w:tcBorders>
          </w:tcPr>
          <w:p>
            <w:pPr>
              <w:pStyle w:val="TableParagraph"/>
              <w:spacing w:line="265" w:lineRule="exact"/>
              <w:ind w:left="397"/>
              <w:rPr>
                <w:sz w:val="22"/>
              </w:rPr>
            </w:pPr>
            <w:r>
              <w:rPr>
                <w:spacing w:val="-5"/>
                <w:sz w:val="22"/>
              </w:rPr>
              <w:t>SF</w:t>
            </w:r>
          </w:p>
        </w:tc>
      </w:tr>
      <w:tr>
        <w:trPr>
          <w:trHeight w:val="450" w:hRule="atLeast"/>
        </w:trPr>
        <w:tc>
          <w:tcPr>
            <w:tcW w:w="2031" w:type="dxa"/>
          </w:tcPr>
          <w:p>
            <w:pPr>
              <w:pStyle w:val="TableParagraph"/>
              <w:rPr>
                <w:rFonts w:ascii="Times New Roman"/>
                <w:sz w:val="22"/>
              </w:rPr>
            </w:pPr>
          </w:p>
        </w:tc>
        <w:tc>
          <w:tcPr>
            <w:tcW w:w="2696" w:type="dxa"/>
          </w:tcPr>
          <w:p>
            <w:pPr>
              <w:pStyle w:val="TableParagraph"/>
              <w:spacing w:before="71"/>
              <w:ind w:left="1118"/>
              <w:rPr>
                <w:sz w:val="22"/>
              </w:rPr>
            </w:pPr>
            <w:r>
              <w:rPr>
                <w:spacing w:val="-5"/>
                <w:sz w:val="22"/>
              </w:rPr>
              <w:t>CN</w:t>
            </w:r>
          </w:p>
        </w:tc>
        <w:tc>
          <w:tcPr>
            <w:tcW w:w="1727" w:type="dxa"/>
          </w:tcPr>
          <w:p>
            <w:pPr>
              <w:pStyle w:val="TableParagraph"/>
              <w:spacing w:before="71"/>
              <w:ind w:left="145" w:right="1"/>
              <w:jc w:val="center"/>
              <w:rPr>
                <w:sz w:val="22"/>
              </w:rPr>
            </w:pPr>
            <w:r>
              <w:rPr>
                <w:spacing w:val="-2"/>
                <w:sz w:val="22"/>
              </w:rPr>
              <w:t>21.833±0.946</w:t>
            </w:r>
          </w:p>
        </w:tc>
        <w:tc>
          <w:tcPr>
            <w:tcW w:w="1171" w:type="dxa"/>
          </w:tcPr>
          <w:p>
            <w:pPr>
              <w:pStyle w:val="TableParagraph"/>
              <w:spacing w:before="71"/>
              <w:ind w:right="150"/>
              <w:jc w:val="center"/>
              <w:rPr>
                <w:sz w:val="22"/>
              </w:rPr>
            </w:pPr>
            <w:r>
              <w:rPr>
                <w:spacing w:val="-2"/>
                <w:sz w:val="22"/>
              </w:rPr>
              <w:t>0.000</w:t>
            </w:r>
          </w:p>
        </w:tc>
        <w:tc>
          <w:tcPr>
            <w:tcW w:w="1150" w:type="dxa"/>
          </w:tcPr>
          <w:p>
            <w:pPr>
              <w:pStyle w:val="TableParagraph"/>
              <w:spacing w:before="71"/>
              <w:ind w:left="397"/>
              <w:rPr>
                <w:sz w:val="22"/>
              </w:rPr>
            </w:pPr>
            <w:r>
              <w:rPr>
                <w:spacing w:val="-5"/>
                <w:sz w:val="22"/>
              </w:rPr>
              <w:t>SF</w:t>
            </w:r>
          </w:p>
        </w:tc>
      </w:tr>
      <w:tr>
        <w:trPr>
          <w:trHeight w:val="376" w:hRule="atLeast"/>
        </w:trPr>
        <w:tc>
          <w:tcPr>
            <w:tcW w:w="2031" w:type="dxa"/>
          </w:tcPr>
          <w:p>
            <w:pPr>
              <w:pStyle w:val="TableParagraph"/>
              <w:rPr>
                <w:rFonts w:ascii="Times New Roman"/>
                <w:sz w:val="22"/>
              </w:rPr>
            </w:pPr>
          </w:p>
        </w:tc>
        <w:tc>
          <w:tcPr>
            <w:tcW w:w="2696" w:type="dxa"/>
          </w:tcPr>
          <w:p>
            <w:pPr>
              <w:pStyle w:val="TableParagraph"/>
              <w:spacing w:before="70"/>
              <w:ind w:left="1118"/>
              <w:rPr>
                <w:sz w:val="22"/>
              </w:rPr>
            </w:pPr>
            <w:r>
              <w:rPr>
                <w:spacing w:val="-5"/>
                <w:sz w:val="22"/>
              </w:rPr>
              <w:t>AMC</w:t>
            </w:r>
          </w:p>
        </w:tc>
        <w:tc>
          <w:tcPr>
            <w:tcW w:w="1727" w:type="dxa"/>
          </w:tcPr>
          <w:p>
            <w:pPr>
              <w:pStyle w:val="TableParagraph"/>
              <w:spacing w:before="70"/>
              <w:ind w:left="145" w:right="1"/>
              <w:jc w:val="center"/>
              <w:rPr>
                <w:sz w:val="22"/>
              </w:rPr>
            </w:pPr>
            <w:r>
              <w:rPr>
                <w:spacing w:val="-2"/>
                <w:sz w:val="22"/>
              </w:rPr>
              <w:t>16.333±2.431</w:t>
            </w:r>
          </w:p>
        </w:tc>
        <w:tc>
          <w:tcPr>
            <w:tcW w:w="1171" w:type="dxa"/>
          </w:tcPr>
          <w:p>
            <w:pPr>
              <w:pStyle w:val="TableParagraph"/>
              <w:spacing w:before="70"/>
              <w:ind w:right="150"/>
              <w:jc w:val="center"/>
              <w:rPr>
                <w:sz w:val="22"/>
              </w:rPr>
            </w:pPr>
            <w:r>
              <w:rPr>
                <w:spacing w:val="-2"/>
                <w:sz w:val="22"/>
              </w:rPr>
              <w:t>0.336</w:t>
            </w:r>
          </w:p>
        </w:tc>
        <w:tc>
          <w:tcPr>
            <w:tcW w:w="1150" w:type="dxa"/>
          </w:tcPr>
          <w:p>
            <w:pPr>
              <w:pStyle w:val="TableParagraph"/>
              <w:spacing w:before="70"/>
              <w:ind w:left="378"/>
              <w:rPr>
                <w:sz w:val="22"/>
              </w:rPr>
            </w:pPr>
            <w:r>
              <w:rPr>
                <w:spacing w:val="-5"/>
                <w:sz w:val="22"/>
              </w:rPr>
              <w:t>NS</w:t>
            </w:r>
          </w:p>
        </w:tc>
      </w:tr>
      <w:tr>
        <w:trPr>
          <w:trHeight w:val="595" w:hRule="atLeast"/>
        </w:trPr>
        <w:tc>
          <w:tcPr>
            <w:tcW w:w="2031" w:type="dxa"/>
          </w:tcPr>
          <w:p>
            <w:pPr>
              <w:pStyle w:val="TableParagraph"/>
              <w:spacing w:line="267" w:lineRule="exact"/>
              <w:ind w:left="108"/>
              <w:rPr>
                <w:sz w:val="22"/>
              </w:rPr>
            </w:pPr>
            <w:r>
              <w:rPr>
                <w:spacing w:val="-4"/>
                <w:sz w:val="22"/>
              </w:rPr>
              <w:t>Honey</w:t>
            </w:r>
          </w:p>
          <w:p>
            <w:pPr>
              <w:pStyle w:val="TableParagraph"/>
              <w:spacing w:before="22"/>
              <w:ind w:left="108"/>
              <w:rPr>
                <w:sz w:val="22"/>
              </w:rPr>
            </w:pPr>
            <w:r>
              <w:rPr>
                <w:spacing w:val="-2"/>
                <w:sz w:val="22"/>
              </w:rPr>
              <w:t>(25%)</w:t>
            </w:r>
          </w:p>
        </w:tc>
        <w:tc>
          <w:tcPr>
            <w:tcW w:w="2696" w:type="dxa"/>
          </w:tcPr>
          <w:p>
            <w:pPr>
              <w:pStyle w:val="TableParagraph"/>
              <w:spacing w:before="144"/>
              <w:ind w:left="1118"/>
              <w:rPr>
                <w:sz w:val="22"/>
              </w:rPr>
            </w:pPr>
            <w:r>
              <w:rPr>
                <w:spacing w:val="-5"/>
                <w:sz w:val="22"/>
              </w:rPr>
              <w:t>LEV</w:t>
            </w:r>
          </w:p>
        </w:tc>
        <w:tc>
          <w:tcPr>
            <w:tcW w:w="1727" w:type="dxa"/>
          </w:tcPr>
          <w:p>
            <w:pPr>
              <w:pStyle w:val="TableParagraph"/>
              <w:spacing w:before="144"/>
              <w:ind w:left="145" w:right="1"/>
              <w:jc w:val="center"/>
              <w:rPr>
                <w:sz w:val="22"/>
              </w:rPr>
            </w:pPr>
            <w:r>
              <w:rPr>
                <w:spacing w:val="-2"/>
                <w:sz w:val="22"/>
              </w:rPr>
              <w:t>19.500±1.803</w:t>
            </w:r>
          </w:p>
        </w:tc>
        <w:tc>
          <w:tcPr>
            <w:tcW w:w="1171" w:type="dxa"/>
          </w:tcPr>
          <w:p>
            <w:pPr>
              <w:pStyle w:val="TableParagraph"/>
              <w:spacing w:before="144"/>
              <w:ind w:right="150"/>
              <w:jc w:val="center"/>
              <w:rPr>
                <w:sz w:val="22"/>
              </w:rPr>
            </w:pPr>
            <w:r>
              <w:rPr>
                <w:spacing w:val="-2"/>
                <w:sz w:val="22"/>
              </w:rPr>
              <w:t>0.012</w:t>
            </w:r>
          </w:p>
        </w:tc>
        <w:tc>
          <w:tcPr>
            <w:tcW w:w="1150" w:type="dxa"/>
          </w:tcPr>
          <w:p>
            <w:pPr>
              <w:pStyle w:val="TableParagraph"/>
              <w:spacing w:before="144"/>
              <w:ind w:left="397"/>
              <w:rPr>
                <w:sz w:val="22"/>
              </w:rPr>
            </w:pPr>
            <w:r>
              <w:rPr>
                <w:spacing w:val="-5"/>
                <w:sz w:val="22"/>
              </w:rPr>
              <w:t>SF</w:t>
            </w:r>
          </w:p>
        </w:tc>
      </w:tr>
      <w:tr>
        <w:trPr>
          <w:trHeight w:val="376" w:hRule="atLeast"/>
        </w:trPr>
        <w:tc>
          <w:tcPr>
            <w:tcW w:w="2031" w:type="dxa"/>
          </w:tcPr>
          <w:p>
            <w:pPr>
              <w:pStyle w:val="TableParagraph"/>
              <w:rPr>
                <w:rFonts w:ascii="Times New Roman"/>
                <w:sz w:val="22"/>
              </w:rPr>
            </w:pPr>
          </w:p>
        </w:tc>
        <w:tc>
          <w:tcPr>
            <w:tcW w:w="2696" w:type="dxa"/>
          </w:tcPr>
          <w:p>
            <w:pPr>
              <w:pStyle w:val="TableParagraph"/>
              <w:spacing w:line="267" w:lineRule="exact"/>
              <w:ind w:left="1118"/>
              <w:rPr>
                <w:sz w:val="22"/>
              </w:rPr>
            </w:pPr>
            <w:r>
              <w:rPr>
                <w:spacing w:val="-5"/>
                <w:sz w:val="22"/>
              </w:rPr>
              <w:t>AZM</w:t>
            </w:r>
          </w:p>
        </w:tc>
        <w:tc>
          <w:tcPr>
            <w:tcW w:w="1727" w:type="dxa"/>
          </w:tcPr>
          <w:p>
            <w:pPr>
              <w:pStyle w:val="TableParagraph"/>
              <w:spacing w:line="267" w:lineRule="exact"/>
              <w:ind w:left="145" w:right="1"/>
              <w:jc w:val="center"/>
              <w:rPr>
                <w:sz w:val="22"/>
              </w:rPr>
            </w:pPr>
            <w:r>
              <w:rPr>
                <w:spacing w:val="-2"/>
                <w:sz w:val="22"/>
              </w:rPr>
              <w:t>15.667±1.430</w:t>
            </w:r>
          </w:p>
        </w:tc>
        <w:tc>
          <w:tcPr>
            <w:tcW w:w="1171" w:type="dxa"/>
          </w:tcPr>
          <w:p>
            <w:pPr>
              <w:pStyle w:val="TableParagraph"/>
              <w:spacing w:line="267" w:lineRule="exact"/>
              <w:ind w:right="150"/>
              <w:jc w:val="center"/>
              <w:rPr>
                <w:sz w:val="22"/>
              </w:rPr>
            </w:pPr>
            <w:r>
              <w:rPr>
                <w:spacing w:val="-2"/>
                <w:sz w:val="22"/>
              </w:rPr>
              <w:t>0.524</w:t>
            </w:r>
          </w:p>
        </w:tc>
        <w:tc>
          <w:tcPr>
            <w:tcW w:w="1150" w:type="dxa"/>
          </w:tcPr>
          <w:p>
            <w:pPr>
              <w:pStyle w:val="TableParagraph"/>
              <w:spacing w:line="267" w:lineRule="exact"/>
              <w:ind w:left="378"/>
              <w:rPr>
                <w:sz w:val="22"/>
              </w:rPr>
            </w:pPr>
            <w:r>
              <w:rPr>
                <w:spacing w:val="-5"/>
                <w:sz w:val="22"/>
              </w:rPr>
              <w:t>NS</w:t>
            </w:r>
          </w:p>
        </w:tc>
      </w:tr>
      <w:tr>
        <w:trPr>
          <w:trHeight w:val="450" w:hRule="atLeast"/>
        </w:trPr>
        <w:tc>
          <w:tcPr>
            <w:tcW w:w="2031" w:type="dxa"/>
          </w:tcPr>
          <w:p>
            <w:pPr>
              <w:pStyle w:val="TableParagraph"/>
              <w:rPr>
                <w:rFonts w:ascii="Times New Roman"/>
                <w:sz w:val="22"/>
              </w:rPr>
            </w:pPr>
          </w:p>
        </w:tc>
        <w:tc>
          <w:tcPr>
            <w:tcW w:w="2696" w:type="dxa"/>
          </w:tcPr>
          <w:p>
            <w:pPr>
              <w:pStyle w:val="TableParagraph"/>
              <w:spacing w:before="70"/>
              <w:ind w:left="1118"/>
              <w:rPr>
                <w:sz w:val="22"/>
              </w:rPr>
            </w:pPr>
            <w:r>
              <w:rPr>
                <w:sz w:val="22"/>
              </w:rPr>
              <w:t>Honey</w:t>
            </w:r>
            <w:r>
              <w:rPr>
                <w:spacing w:val="-4"/>
                <w:sz w:val="22"/>
              </w:rPr>
              <w:t> </w:t>
            </w:r>
            <w:r>
              <w:rPr>
                <w:spacing w:val="-2"/>
                <w:sz w:val="22"/>
              </w:rPr>
              <w:t>(100%)</w:t>
            </w:r>
          </w:p>
        </w:tc>
        <w:tc>
          <w:tcPr>
            <w:tcW w:w="1727" w:type="dxa"/>
          </w:tcPr>
          <w:p>
            <w:pPr>
              <w:pStyle w:val="TableParagraph"/>
              <w:spacing w:before="70"/>
              <w:ind w:left="145" w:right="1"/>
              <w:jc w:val="center"/>
              <w:rPr>
                <w:sz w:val="22"/>
              </w:rPr>
            </w:pPr>
            <w:r>
              <w:rPr>
                <w:spacing w:val="-2"/>
                <w:sz w:val="22"/>
              </w:rPr>
              <w:t>19.167±0.543</w:t>
            </w:r>
          </w:p>
        </w:tc>
        <w:tc>
          <w:tcPr>
            <w:tcW w:w="1171" w:type="dxa"/>
          </w:tcPr>
          <w:p>
            <w:pPr>
              <w:pStyle w:val="TableParagraph"/>
              <w:spacing w:before="70"/>
              <w:ind w:right="150"/>
              <w:jc w:val="center"/>
              <w:rPr>
                <w:sz w:val="22"/>
              </w:rPr>
            </w:pPr>
            <w:r>
              <w:rPr>
                <w:spacing w:val="-2"/>
                <w:sz w:val="22"/>
              </w:rPr>
              <w:t>0.018</w:t>
            </w:r>
          </w:p>
        </w:tc>
        <w:tc>
          <w:tcPr>
            <w:tcW w:w="1150" w:type="dxa"/>
          </w:tcPr>
          <w:p>
            <w:pPr>
              <w:pStyle w:val="TableParagraph"/>
              <w:spacing w:before="70"/>
              <w:ind w:left="397"/>
              <w:rPr>
                <w:sz w:val="22"/>
              </w:rPr>
            </w:pPr>
            <w:r>
              <w:rPr>
                <w:spacing w:val="-5"/>
                <w:sz w:val="22"/>
              </w:rPr>
              <w:t>SF</w:t>
            </w:r>
          </w:p>
        </w:tc>
      </w:tr>
      <w:tr>
        <w:trPr>
          <w:trHeight w:val="523" w:hRule="atLeast"/>
        </w:trPr>
        <w:tc>
          <w:tcPr>
            <w:tcW w:w="2031" w:type="dxa"/>
            <w:tcBorders>
              <w:bottom w:val="single" w:sz="4" w:space="0" w:color="000000"/>
            </w:tcBorders>
          </w:tcPr>
          <w:p>
            <w:pPr>
              <w:pStyle w:val="TableParagraph"/>
              <w:rPr>
                <w:rFonts w:ascii="Times New Roman"/>
                <w:sz w:val="22"/>
              </w:rPr>
            </w:pPr>
          </w:p>
        </w:tc>
        <w:tc>
          <w:tcPr>
            <w:tcW w:w="2696" w:type="dxa"/>
            <w:tcBorders>
              <w:bottom w:val="single" w:sz="4" w:space="0" w:color="000000"/>
            </w:tcBorders>
          </w:tcPr>
          <w:p>
            <w:pPr>
              <w:pStyle w:val="TableParagraph"/>
              <w:spacing w:before="71"/>
              <w:ind w:left="1118"/>
              <w:rPr>
                <w:sz w:val="22"/>
              </w:rPr>
            </w:pPr>
            <w:r>
              <w:rPr>
                <w:sz w:val="22"/>
              </w:rPr>
              <w:t>Honey</w:t>
            </w:r>
            <w:r>
              <w:rPr>
                <w:spacing w:val="-2"/>
                <w:sz w:val="22"/>
              </w:rPr>
              <w:t> (50%)</w:t>
            </w:r>
          </w:p>
        </w:tc>
        <w:tc>
          <w:tcPr>
            <w:tcW w:w="1727" w:type="dxa"/>
            <w:tcBorders>
              <w:bottom w:val="single" w:sz="4" w:space="0" w:color="000000"/>
            </w:tcBorders>
          </w:tcPr>
          <w:p>
            <w:pPr>
              <w:pStyle w:val="TableParagraph"/>
              <w:spacing w:before="71"/>
              <w:ind w:left="145" w:right="1"/>
              <w:jc w:val="center"/>
              <w:rPr>
                <w:sz w:val="22"/>
              </w:rPr>
            </w:pPr>
            <w:r>
              <w:rPr>
                <w:spacing w:val="-2"/>
                <w:sz w:val="22"/>
              </w:rPr>
              <w:t>15.833±0.477</w:t>
            </w:r>
          </w:p>
        </w:tc>
        <w:tc>
          <w:tcPr>
            <w:tcW w:w="1171" w:type="dxa"/>
            <w:tcBorders>
              <w:bottom w:val="single" w:sz="4" w:space="0" w:color="000000"/>
            </w:tcBorders>
          </w:tcPr>
          <w:p>
            <w:pPr>
              <w:pStyle w:val="TableParagraph"/>
              <w:spacing w:before="71"/>
              <w:ind w:right="150"/>
              <w:jc w:val="center"/>
              <w:rPr>
                <w:sz w:val="22"/>
              </w:rPr>
            </w:pPr>
            <w:r>
              <w:rPr>
                <w:spacing w:val="-2"/>
                <w:sz w:val="22"/>
              </w:rPr>
              <w:t>0.474</w:t>
            </w:r>
          </w:p>
        </w:tc>
        <w:tc>
          <w:tcPr>
            <w:tcW w:w="1150" w:type="dxa"/>
            <w:tcBorders>
              <w:bottom w:val="single" w:sz="4" w:space="0" w:color="000000"/>
            </w:tcBorders>
          </w:tcPr>
          <w:p>
            <w:pPr>
              <w:pStyle w:val="TableParagraph"/>
              <w:spacing w:before="71"/>
              <w:ind w:left="378"/>
              <w:rPr>
                <w:sz w:val="22"/>
              </w:rPr>
            </w:pPr>
            <w:r>
              <w:rPr>
                <w:spacing w:val="-5"/>
                <w:sz w:val="22"/>
              </w:rPr>
              <w:t>NS</w:t>
            </w:r>
          </w:p>
        </w:tc>
      </w:tr>
    </w:tbl>
    <w:p>
      <w:pPr>
        <w:pStyle w:val="BodyText"/>
        <w:spacing w:line="403" w:lineRule="auto" w:before="12"/>
        <w:ind w:left="430" w:right="3485" w:hanging="51"/>
      </w:pPr>
      <w:r>
        <w:rPr/>
        <w:t>Key</w:t>
      </w:r>
      <w:r>
        <w:rPr>
          <w:b/>
        </w:rPr>
        <w:t>:</w:t>
      </w:r>
      <w:r>
        <w:rPr>
          <w:b/>
          <w:spacing w:val="-7"/>
        </w:rPr>
        <w:t> </w:t>
      </w:r>
      <w:r>
        <w:rPr/>
        <w:t>LOS=Level</w:t>
      </w:r>
      <w:r>
        <w:rPr>
          <w:spacing w:val="-6"/>
        </w:rPr>
        <w:t> </w:t>
      </w:r>
      <w:r>
        <w:rPr/>
        <w:t>of</w:t>
      </w:r>
      <w:r>
        <w:rPr>
          <w:spacing w:val="-4"/>
        </w:rPr>
        <w:t> </w:t>
      </w:r>
      <w:r>
        <w:rPr/>
        <w:t>Significance;</w:t>
      </w:r>
      <w:r>
        <w:rPr>
          <w:spacing w:val="-4"/>
        </w:rPr>
        <w:t> </w:t>
      </w:r>
      <w:r>
        <w:rPr/>
        <w:t>NS=Not</w:t>
      </w:r>
      <w:r>
        <w:rPr>
          <w:spacing w:val="-4"/>
        </w:rPr>
        <w:t> </w:t>
      </w:r>
      <w:r>
        <w:rPr/>
        <w:t>significantly</w:t>
      </w:r>
      <w:r>
        <w:rPr>
          <w:spacing w:val="-4"/>
        </w:rPr>
        <w:t> </w:t>
      </w:r>
      <w:r>
        <w:rPr/>
        <w:t>different; SF=Significantly different.</w:t>
      </w:r>
    </w:p>
    <w:p>
      <w:pPr>
        <w:spacing w:after="0" w:line="403"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2"/>
      </w:pPr>
    </w:p>
    <w:p>
      <w:pPr>
        <w:pStyle w:val="Heading3"/>
        <w:spacing w:line="259" w:lineRule="auto"/>
        <w:ind w:left="1513" w:right="975" w:hanging="1133"/>
        <w:rPr>
          <w:i/>
        </w:rPr>
      </w:pPr>
      <w:r>
        <w:rPr/>
        <w:t>Table</w:t>
      </w:r>
      <w:r>
        <w:rPr>
          <w:spacing w:val="-3"/>
        </w:rPr>
        <w:t> </w:t>
      </w:r>
      <w:r>
        <w:rPr/>
        <w:t>4.16:</w:t>
      </w:r>
      <w:r>
        <w:rPr>
          <w:spacing w:val="-3"/>
        </w:rPr>
        <w:t> </w:t>
      </w:r>
      <w:r>
        <w:rPr/>
        <w:t>Comparing</w:t>
      </w:r>
      <w:r>
        <w:rPr>
          <w:spacing w:val="-4"/>
        </w:rPr>
        <w:t> </w:t>
      </w:r>
      <w:r>
        <w:rPr/>
        <w:t>the</w:t>
      </w:r>
      <w:r>
        <w:rPr>
          <w:spacing w:val="-5"/>
        </w:rPr>
        <w:t> </w:t>
      </w:r>
      <w:r>
        <w:rPr/>
        <w:t>Mean</w:t>
      </w:r>
      <w:r>
        <w:rPr>
          <w:spacing w:val="-3"/>
        </w:rPr>
        <w:t> </w:t>
      </w:r>
      <w:r>
        <w:rPr/>
        <w:t>zone</w:t>
      </w:r>
      <w:r>
        <w:rPr>
          <w:spacing w:val="-3"/>
        </w:rPr>
        <w:t> </w:t>
      </w:r>
      <w:r>
        <w:rPr/>
        <w:t>of</w:t>
      </w:r>
      <w:r>
        <w:rPr>
          <w:spacing w:val="-2"/>
        </w:rPr>
        <w:t> </w:t>
      </w:r>
      <w:r>
        <w:rPr/>
        <w:t>inhibition</w:t>
      </w:r>
      <w:r>
        <w:rPr>
          <w:spacing w:val="-3"/>
        </w:rPr>
        <w:t> </w:t>
      </w:r>
      <w:r>
        <w:rPr/>
        <w:t>of</w:t>
      </w:r>
      <w:r>
        <w:rPr>
          <w:spacing w:val="-5"/>
        </w:rPr>
        <w:t> </w:t>
      </w:r>
      <w:r>
        <w:rPr/>
        <w:t>Lemon</w:t>
      </w:r>
      <w:r>
        <w:rPr>
          <w:spacing w:val="-1"/>
        </w:rPr>
        <w:t> </w:t>
      </w:r>
      <w:r>
        <w:rPr/>
        <w:t>juice</w:t>
      </w:r>
      <w:r>
        <w:rPr>
          <w:spacing w:val="-2"/>
        </w:rPr>
        <w:t> </w:t>
      </w:r>
      <w:r>
        <w:rPr/>
        <w:t>and</w:t>
      </w:r>
      <w:r>
        <w:rPr>
          <w:spacing w:val="-3"/>
        </w:rPr>
        <w:t> </w:t>
      </w:r>
      <w:r>
        <w:rPr/>
        <w:t>the</w:t>
      </w:r>
      <w:r>
        <w:rPr>
          <w:spacing w:val="-3"/>
        </w:rPr>
        <w:t> </w:t>
      </w:r>
      <w:r>
        <w:rPr/>
        <w:t>Standard</w:t>
      </w:r>
      <w:r>
        <w:rPr>
          <w:spacing w:val="-3"/>
        </w:rPr>
        <w:t> </w:t>
      </w:r>
      <w:r>
        <w:rPr/>
        <w:t>antibiotic formulations against </w:t>
      </w:r>
      <w:r>
        <w:rPr>
          <w:i/>
        </w:rPr>
        <w:t>Klebsiella pneumoniae</w:t>
      </w:r>
    </w:p>
    <w:p>
      <w:pPr>
        <w:pStyle w:val="BodyText"/>
        <w:spacing w:before="4"/>
        <w:rPr>
          <w:b/>
          <w:i/>
          <w:sz w:val="11"/>
        </w:rPr>
      </w:pPr>
      <w:r>
        <w:rPr/>
        <mc:AlternateContent>
          <mc:Choice Requires="wps">
            <w:drawing>
              <wp:anchor distT="0" distB="0" distL="0" distR="0" allowOverlap="1" layoutInCell="1" locked="0" behindDoc="1" simplePos="0" relativeHeight="487674368">
                <wp:simplePos x="0" y="0"/>
                <wp:positionH relativeFrom="page">
                  <wp:posOffset>846124</wp:posOffset>
                </wp:positionH>
                <wp:positionV relativeFrom="paragraph">
                  <wp:posOffset>103142</wp:posOffset>
                </wp:positionV>
                <wp:extent cx="5500370" cy="6350"/>
                <wp:effectExtent l="0" t="0" r="0" b="0"/>
                <wp:wrapTopAndBottom/>
                <wp:docPr id="489" name="Graphic 489"/>
                <wp:cNvGraphicFramePr>
                  <a:graphicFrameLocks/>
                </wp:cNvGraphicFramePr>
                <a:graphic>
                  <a:graphicData uri="http://schemas.microsoft.com/office/word/2010/wordprocessingShape">
                    <wps:wsp>
                      <wps:cNvPr id="489" name="Graphic 489"/>
                      <wps:cNvSpPr/>
                      <wps:spPr>
                        <a:xfrm>
                          <a:off x="0" y="0"/>
                          <a:ext cx="5500370" cy="6350"/>
                        </a:xfrm>
                        <a:custGeom>
                          <a:avLst/>
                          <a:gdLst/>
                          <a:ahLst/>
                          <a:cxnLst/>
                          <a:rect l="l" t="t" r="r" b="b"/>
                          <a:pathLst>
                            <a:path w="5500370" h="6350">
                              <a:moveTo>
                                <a:pt x="1069784" y="0"/>
                              </a:moveTo>
                              <a:lnTo>
                                <a:pt x="1063752" y="0"/>
                              </a:lnTo>
                              <a:lnTo>
                                <a:pt x="0" y="0"/>
                              </a:lnTo>
                              <a:lnTo>
                                <a:pt x="0" y="6083"/>
                              </a:lnTo>
                              <a:lnTo>
                                <a:pt x="1063701" y="6083"/>
                              </a:lnTo>
                              <a:lnTo>
                                <a:pt x="1069784" y="6083"/>
                              </a:lnTo>
                              <a:lnTo>
                                <a:pt x="1069784" y="0"/>
                              </a:lnTo>
                              <a:close/>
                            </a:path>
                            <a:path w="5500370" h="6350">
                              <a:moveTo>
                                <a:pt x="2435555" y="0"/>
                              </a:moveTo>
                              <a:lnTo>
                                <a:pt x="1069797" y="0"/>
                              </a:lnTo>
                              <a:lnTo>
                                <a:pt x="1069797" y="6083"/>
                              </a:lnTo>
                              <a:lnTo>
                                <a:pt x="2435555" y="6083"/>
                              </a:lnTo>
                              <a:lnTo>
                                <a:pt x="2435555" y="0"/>
                              </a:lnTo>
                              <a:close/>
                            </a:path>
                            <a:path w="5500370" h="6350">
                              <a:moveTo>
                                <a:pt x="3754183" y="0"/>
                              </a:moveTo>
                              <a:lnTo>
                                <a:pt x="3748100" y="0"/>
                              </a:lnTo>
                              <a:lnTo>
                                <a:pt x="2441778" y="0"/>
                              </a:lnTo>
                              <a:lnTo>
                                <a:pt x="2435682" y="0"/>
                              </a:lnTo>
                              <a:lnTo>
                                <a:pt x="2435682" y="6083"/>
                              </a:lnTo>
                              <a:lnTo>
                                <a:pt x="2441778" y="6083"/>
                              </a:lnTo>
                              <a:lnTo>
                                <a:pt x="3748100" y="6083"/>
                              </a:lnTo>
                              <a:lnTo>
                                <a:pt x="3754183" y="6083"/>
                              </a:lnTo>
                              <a:lnTo>
                                <a:pt x="3754183" y="0"/>
                              </a:lnTo>
                              <a:close/>
                            </a:path>
                            <a:path w="5500370" h="6350">
                              <a:moveTo>
                                <a:pt x="4514977" y="0"/>
                              </a:moveTo>
                              <a:lnTo>
                                <a:pt x="3754196" y="0"/>
                              </a:lnTo>
                              <a:lnTo>
                                <a:pt x="3754196" y="6083"/>
                              </a:lnTo>
                              <a:lnTo>
                                <a:pt x="4514977" y="6083"/>
                              </a:lnTo>
                              <a:lnTo>
                                <a:pt x="4514977" y="0"/>
                              </a:lnTo>
                              <a:close/>
                            </a:path>
                            <a:path w="5500370" h="6350">
                              <a:moveTo>
                                <a:pt x="4521136" y="0"/>
                              </a:moveTo>
                              <a:lnTo>
                                <a:pt x="4515053" y="0"/>
                              </a:lnTo>
                              <a:lnTo>
                                <a:pt x="4515053" y="6083"/>
                              </a:lnTo>
                              <a:lnTo>
                                <a:pt x="4521136" y="6083"/>
                              </a:lnTo>
                              <a:lnTo>
                                <a:pt x="4521136" y="0"/>
                              </a:lnTo>
                              <a:close/>
                            </a:path>
                            <a:path w="5500370" h="6350">
                              <a:moveTo>
                                <a:pt x="5499849" y="0"/>
                              </a:moveTo>
                              <a:lnTo>
                                <a:pt x="4521149" y="0"/>
                              </a:lnTo>
                              <a:lnTo>
                                <a:pt x="4521149" y="6083"/>
                              </a:lnTo>
                              <a:lnTo>
                                <a:pt x="5499849" y="6083"/>
                              </a:lnTo>
                              <a:lnTo>
                                <a:pt x="54998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8.121451pt;width:433.1pt;height:.5pt;mso-position-horizontal-relative:page;mso-position-vertical-relative:paragraph;z-index:-15642112;mso-wrap-distance-left:0;mso-wrap-distance-right:0" id="docshape434" coordorigin="1332,162" coordsize="8662,10" path="m3017,162l3008,162,3008,162,1332,162,1332,172,3008,172,3008,172,3017,172,3017,162xm5168,162l3017,162,3017,172,5168,172,5168,162xm7245,162l7235,162,5178,162,5168,162,5168,172,5178,172,7235,172,7245,172,7245,162xm8443,162l7245,162,7245,172,8443,172,8443,162xm8452,162l8443,162,8443,172,8452,172,8452,162xm9994,162l8452,162,8452,172,9994,172,9994,162xe" filled="true" fillcolor="#000000" stroked="false">
                <v:path arrowok="t"/>
                <v:fill type="solid"/>
                <w10:wrap type="topAndBottom"/>
              </v:shape>
            </w:pict>
          </mc:Fallback>
        </mc:AlternateContent>
      </w:r>
    </w:p>
    <w:p>
      <w:pPr>
        <w:pStyle w:val="BodyText"/>
        <w:rPr>
          <w:b/>
          <w:i/>
          <w:sz w:val="20"/>
        </w:rPr>
      </w:pPr>
    </w:p>
    <w:p>
      <w:pPr>
        <w:pStyle w:val="BodyText"/>
        <w:spacing w:before="3"/>
        <w:rPr>
          <w:b/>
          <w:i/>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7"/>
        <w:gridCol w:w="2019"/>
        <w:gridCol w:w="2222"/>
        <w:gridCol w:w="1449"/>
        <w:gridCol w:w="1384"/>
      </w:tblGrid>
      <w:tr>
        <w:trPr>
          <w:trHeight w:val="856" w:hRule="atLeast"/>
        </w:trPr>
        <w:tc>
          <w:tcPr>
            <w:tcW w:w="1587" w:type="dxa"/>
            <w:tcBorders>
              <w:bottom w:val="single" w:sz="4" w:space="0" w:color="000000"/>
            </w:tcBorders>
          </w:tcPr>
          <w:p>
            <w:pPr>
              <w:pStyle w:val="TableParagraph"/>
              <w:spacing w:line="225" w:lineRule="exact"/>
              <w:ind w:left="108"/>
              <w:rPr>
                <w:sz w:val="22"/>
              </w:rPr>
            </w:pPr>
            <w:r>
              <w:rPr>
                <w:sz w:val="22"/>
              </w:rPr>
              <w:t>(I)</w:t>
            </w:r>
            <w:r>
              <w:rPr>
                <w:spacing w:val="-2"/>
                <w:sz w:val="22"/>
              </w:rPr>
              <w:t> Group</w:t>
            </w:r>
          </w:p>
        </w:tc>
        <w:tc>
          <w:tcPr>
            <w:tcW w:w="2019" w:type="dxa"/>
            <w:tcBorders>
              <w:bottom w:val="single" w:sz="4" w:space="0" w:color="000000"/>
            </w:tcBorders>
          </w:tcPr>
          <w:p>
            <w:pPr>
              <w:pStyle w:val="TableParagraph"/>
              <w:spacing w:line="225" w:lineRule="exact"/>
              <w:ind w:left="193"/>
              <w:rPr>
                <w:sz w:val="22"/>
              </w:rPr>
            </w:pPr>
            <w:r>
              <w:rPr>
                <w:sz w:val="22"/>
              </w:rPr>
              <w:t>(J)</w:t>
            </w:r>
            <w:r>
              <w:rPr>
                <w:spacing w:val="-2"/>
                <w:sz w:val="22"/>
              </w:rPr>
              <w:t> Group</w:t>
            </w:r>
          </w:p>
        </w:tc>
        <w:tc>
          <w:tcPr>
            <w:tcW w:w="2222" w:type="dxa"/>
            <w:tcBorders>
              <w:bottom w:val="single" w:sz="4" w:space="0" w:color="000000"/>
            </w:tcBorders>
          </w:tcPr>
          <w:p>
            <w:pPr>
              <w:pStyle w:val="TableParagraph"/>
              <w:spacing w:line="225" w:lineRule="exact"/>
              <w:ind w:right="445"/>
              <w:jc w:val="right"/>
              <w:rPr>
                <w:sz w:val="22"/>
              </w:rPr>
            </w:pPr>
            <w:r>
              <w:rPr>
                <w:spacing w:val="-2"/>
                <w:sz w:val="22"/>
              </w:rPr>
              <w:t>Mean±SEM</w:t>
            </w:r>
          </w:p>
        </w:tc>
        <w:tc>
          <w:tcPr>
            <w:tcW w:w="1449" w:type="dxa"/>
            <w:tcBorders>
              <w:bottom w:val="single" w:sz="4" w:space="0" w:color="000000"/>
            </w:tcBorders>
          </w:tcPr>
          <w:p>
            <w:pPr>
              <w:pStyle w:val="TableParagraph"/>
              <w:spacing w:line="225" w:lineRule="exact"/>
              <w:ind w:right="91"/>
              <w:jc w:val="center"/>
              <w:rPr>
                <w:sz w:val="22"/>
              </w:rPr>
            </w:pPr>
            <w:r>
              <w:rPr>
                <w:sz w:val="22"/>
              </w:rPr>
              <w:t>P-</w:t>
            </w:r>
            <w:r>
              <w:rPr>
                <w:spacing w:val="-2"/>
                <w:sz w:val="22"/>
              </w:rPr>
              <w:t>value</w:t>
            </w:r>
          </w:p>
        </w:tc>
        <w:tc>
          <w:tcPr>
            <w:tcW w:w="1384" w:type="dxa"/>
            <w:tcBorders>
              <w:bottom w:val="single" w:sz="4" w:space="0" w:color="000000"/>
            </w:tcBorders>
          </w:tcPr>
          <w:p>
            <w:pPr>
              <w:pStyle w:val="TableParagraph"/>
              <w:spacing w:line="225" w:lineRule="exact"/>
              <w:ind w:left="438"/>
              <w:rPr>
                <w:sz w:val="22"/>
              </w:rPr>
            </w:pPr>
            <w:r>
              <w:rPr>
                <w:spacing w:val="-5"/>
                <w:sz w:val="22"/>
              </w:rPr>
              <w:t>LOS</w:t>
            </w:r>
          </w:p>
        </w:tc>
      </w:tr>
      <w:tr>
        <w:trPr>
          <w:trHeight w:val="377" w:hRule="atLeast"/>
        </w:trPr>
        <w:tc>
          <w:tcPr>
            <w:tcW w:w="1587" w:type="dxa"/>
            <w:tcBorders>
              <w:top w:val="single" w:sz="4" w:space="0" w:color="000000"/>
            </w:tcBorders>
          </w:tcPr>
          <w:p>
            <w:pPr>
              <w:pStyle w:val="TableParagraph"/>
              <w:rPr>
                <w:rFonts w:ascii="Times New Roman"/>
                <w:sz w:val="22"/>
              </w:rPr>
            </w:pPr>
          </w:p>
        </w:tc>
        <w:tc>
          <w:tcPr>
            <w:tcW w:w="2019" w:type="dxa"/>
            <w:tcBorders>
              <w:top w:val="single" w:sz="4" w:space="0" w:color="000000"/>
            </w:tcBorders>
          </w:tcPr>
          <w:p>
            <w:pPr>
              <w:pStyle w:val="TableParagraph"/>
              <w:spacing w:line="268" w:lineRule="exact"/>
              <w:ind w:left="193"/>
              <w:rPr>
                <w:sz w:val="22"/>
              </w:rPr>
            </w:pPr>
            <w:r>
              <w:rPr>
                <w:spacing w:val="-5"/>
                <w:sz w:val="22"/>
              </w:rPr>
              <w:t>CRO</w:t>
            </w:r>
          </w:p>
        </w:tc>
        <w:tc>
          <w:tcPr>
            <w:tcW w:w="2222" w:type="dxa"/>
            <w:tcBorders>
              <w:top w:val="single" w:sz="4" w:space="0" w:color="000000"/>
            </w:tcBorders>
          </w:tcPr>
          <w:p>
            <w:pPr>
              <w:pStyle w:val="TableParagraph"/>
              <w:spacing w:line="268" w:lineRule="exact"/>
              <w:ind w:right="345"/>
              <w:jc w:val="right"/>
              <w:rPr>
                <w:sz w:val="22"/>
              </w:rPr>
            </w:pPr>
            <w:r>
              <w:rPr>
                <w:spacing w:val="-2"/>
                <w:sz w:val="22"/>
              </w:rPr>
              <w:t>20.667±1.511</w:t>
            </w:r>
          </w:p>
        </w:tc>
        <w:tc>
          <w:tcPr>
            <w:tcW w:w="1449" w:type="dxa"/>
            <w:tcBorders>
              <w:top w:val="single" w:sz="4" w:space="0" w:color="000000"/>
            </w:tcBorders>
          </w:tcPr>
          <w:p>
            <w:pPr>
              <w:pStyle w:val="TableParagraph"/>
              <w:spacing w:line="268" w:lineRule="exact"/>
              <w:ind w:left="2" w:right="91"/>
              <w:jc w:val="center"/>
              <w:rPr>
                <w:sz w:val="22"/>
              </w:rPr>
            </w:pPr>
            <w:r>
              <w:rPr>
                <w:spacing w:val="-2"/>
                <w:sz w:val="22"/>
              </w:rPr>
              <w:t>1.000</w:t>
            </w:r>
          </w:p>
        </w:tc>
        <w:tc>
          <w:tcPr>
            <w:tcW w:w="1384" w:type="dxa"/>
            <w:tcBorders>
              <w:top w:val="single" w:sz="4" w:space="0" w:color="000000"/>
            </w:tcBorders>
          </w:tcPr>
          <w:p>
            <w:pPr>
              <w:pStyle w:val="TableParagraph"/>
              <w:spacing w:line="268" w:lineRule="exact"/>
              <w:ind w:left="486"/>
              <w:rPr>
                <w:sz w:val="22"/>
              </w:rPr>
            </w:pPr>
            <w:r>
              <w:rPr>
                <w:spacing w:val="-5"/>
                <w:sz w:val="22"/>
              </w:rPr>
              <w:t>NS</w:t>
            </w:r>
          </w:p>
        </w:tc>
      </w:tr>
      <w:tr>
        <w:trPr>
          <w:trHeight w:val="449" w:hRule="atLeast"/>
        </w:trPr>
        <w:tc>
          <w:tcPr>
            <w:tcW w:w="1587" w:type="dxa"/>
          </w:tcPr>
          <w:p>
            <w:pPr>
              <w:pStyle w:val="TableParagraph"/>
              <w:rPr>
                <w:rFonts w:ascii="Times New Roman"/>
                <w:sz w:val="22"/>
              </w:rPr>
            </w:pPr>
          </w:p>
        </w:tc>
        <w:tc>
          <w:tcPr>
            <w:tcW w:w="2019" w:type="dxa"/>
          </w:tcPr>
          <w:p>
            <w:pPr>
              <w:pStyle w:val="TableParagraph"/>
              <w:spacing w:before="70"/>
              <w:ind w:left="193"/>
              <w:rPr>
                <w:sz w:val="22"/>
              </w:rPr>
            </w:pPr>
            <w:r>
              <w:rPr>
                <w:spacing w:val="-5"/>
                <w:sz w:val="22"/>
              </w:rPr>
              <w:t>CN</w:t>
            </w:r>
          </w:p>
        </w:tc>
        <w:tc>
          <w:tcPr>
            <w:tcW w:w="2222" w:type="dxa"/>
          </w:tcPr>
          <w:p>
            <w:pPr>
              <w:pStyle w:val="TableParagraph"/>
              <w:spacing w:before="70"/>
              <w:ind w:right="345"/>
              <w:jc w:val="right"/>
              <w:rPr>
                <w:sz w:val="22"/>
              </w:rPr>
            </w:pPr>
            <w:r>
              <w:rPr>
                <w:spacing w:val="-2"/>
                <w:sz w:val="22"/>
              </w:rPr>
              <w:t>19.267±1.523</w:t>
            </w:r>
          </w:p>
        </w:tc>
        <w:tc>
          <w:tcPr>
            <w:tcW w:w="1449" w:type="dxa"/>
          </w:tcPr>
          <w:p>
            <w:pPr>
              <w:pStyle w:val="TableParagraph"/>
              <w:spacing w:before="70"/>
              <w:ind w:left="2" w:right="91"/>
              <w:jc w:val="center"/>
              <w:rPr>
                <w:sz w:val="22"/>
              </w:rPr>
            </w:pPr>
            <w:r>
              <w:rPr>
                <w:spacing w:val="-2"/>
                <w:sz w:val="22"/>
              </w:rPr>
              <w:t>0.902</w:t>
            </w:r>
          </w:p>
        </w:tc>
        <w:tc>
          <w:tcPr>
            <w:tcW w:w="1384" w:type="dxa"/>
          </w:tcPr>
          <w:p>
            <w:pPr>
              <w:pStyle w:val="TableParagraph"/>
              <w:spacing w:before="70"/>
              <w:ind w:left="486"/>
              <w:rPr>
                <w:sz w:val="22"/>
              </w:rPr>
            </w:pPr>
            <w:r>
              <w:rPr>
                <w:spacing w:val="-5"/>
                <w:sz w:val="22"/>
              </w:rPr>
              <w:t>NS</w:t>
            </w:r>
          </w:p>
        </w:tc>
      </w:tr>
      <w:tr>
        <w:trPr>
          <w:trHeight w:val="450" w:hRule="atLeast"/>
        </w:trPr>
        <w:tc>
          <w:tcPr>
            <w:tcW w:w="1587" w:type="dxa"/>
          </w:tcPr>
          <w:p>
            <w:pPr>
              <w:pStyle w:val="TableParagraph"/>
              <w:rPr>
                <w:rFonts w:ascii="Times New Roman"/>
                <w:sz w:val="22"/>
              </w:rPr>
            </w:pPr>
          </w:p>
        </w:tc>
        <w:tc>
          <w:tcPr>
            <w:tcW w:w="2019" w:type="dxa"/>
          </w:tcPr>
          <w:p>
            <w:pPr>
              <w:pStyle w:val="TableParagraph"/>
              <w:spacing w:before="70"/>
              <w:ind w:left="193"/>
              <w:rPr>
                <w:sz w:val="22"/>
              </w:rPr>
            </w:pPr>
            <w:r>
              <w:rPr>
                <w:spacing w:val="-5"/>
                <w:sz w:val="22"/>
              </w:rPr>
              <w:t>AMC</w:t>
            </w:r>
          </w:p>
        </w:tc>
        <w:tc>
          <w:tcPr>
            <w:tcW w:w="2222" w:type="dxa"/>
          </w:tcPr>
          <w:p>
            <w:pPr>
              <w:pStyle w:val="TableParagraph"/>
              <w:spacing w:before="70"/>
              <w:ind w:right="345"/>
              <w:jc w:val="right"/>
              <w:rPr>
                <w:sz w:val="22"/>
              </w:rPr>
            </w:pPr>
            <w:r>
              <w:rPr>
                <w:spacing w:val="-2"/>
                <w:sz w:val="22"/>
              </w:rPr>
              <w:t>17.667±1.670</w:t>
            </w:r>
          </w:p>
        </w:tc>
        <w:tc>
          <w:tcPr>
            <w:tcW w:w="1449" w:type="dxa"/>
          </w:tcPr>
          <w:p>
            <w:pPr>
              <w:pStyle w:val="TableParagraph"/>
              <w:spacing w:before="70"/>
              <w:ind w:left="2" w:right="91"/>
              <w:jc w:val="center"/>
              <w:rPr>
                <w:sz w:val="22"/>
              </w:rPr>
            </w:pPr>
            <w:r>
              <w:rPr>
                <w:spacing w:val="-2"/>
                <w:sz w:val="22"/>
              </w:rPr>
              <w:t>0.313</w:t>
            </w:r>
          </w:p>
        </w:tc>
        <w:tc>
          <w:tcPr>
            <w:tcW w:w="1384" w:type="dxa"/>
          </w:tcPr>
          <w:p>
            <w:pPr>
              <w:pStyle w:val="TableParagraph"/>
              <w:spacing w:before="70"/>
              <w:ind w:left="486"/>
              <w:rPr>
                <w:sz w:val="22"/>
              </w:rPr>
            </w:pPr>
            <w:r>
              <w:rPr>
                <w:spacing w:val="-5"/>
                <w:sz w:val="22"/>
              </w:rPr>
              <w:t>NS</w:t>
            </w:r>
          </w:p>
        </w:tc>
      </w:tr>
      <w:tr>
        <w:trPr>
          <w:trHeight w:val="450" w:hRule="atLeast"/>
        </w:trPr>
        <w:tc>
          <w:tcPr>
            <w:tcW w:w="1587" w:type="dxa"/>
          </w:tcPr>
          <w:p>
            <w:pPr>
              <w:pStyle w:val="TableParagraph"/>
              <w:spacing w:before="71"/>
              <w:ind w:left="108"/>
              <w:rPr>
                <w:sz w:val="22"/>
              </w:rPr>
            </w:pPr>
            <w:r>
              <w:rPr>
                <w:sz w:val="22"/>
              </w:rPr>
              <w:t>Lemon</w:t>
            </w:r>
            <w:r>
              <w:rPr>
                <w:spacing w:val="-6"/>
                <w:sz w:val="22"/>
              </w:rPr>
              <w:t> </w:t>
            </w:r>
            <w:r>
              <w:rPr>
                <w:spacing w:val="-2"/>
                <w:sz w:val="22"/>
              </w:rPr>
              <w:t>(100%)</w:t>
            </w:r>
          </w:p>
        </w:tc>
        <w:tc>
          <w:tcPr>
            <w:tcW w:w="2019" w:type="dxa"/>
          </w:tcPr>
          <w:p>
            <w:pPr>
              <w:pStyle w:val="TableParagraph"/>
              <w:spacing w:before="71"/>
              <w:ind w:left="193"/>
              <w:rPr>
                <w:sz w:val="22"/>
              </w:rPr>
            </w:pPr>
            <w:r>
              <w:rPr>
                <w:spacing w:val="-5"/>
                <w:sz w:val="22"/>
              </w:rPr>
              <w:t>LEV</w:t>
            </w:r>
          </w:p>
        </w:tc>
        <w:tc>
          <w:tcPr>
            <w:tcW w:w="2222" w:type="dxa"/>
          </w:tcPr>
          <w:p>
            <w:pPr>
              <w:pStyle w:val="TableParagraph"/>
              <w:spacing w:before="71"/>
              <w:ind w:right="345"/>
              <w:jc w:val="right"/>
              <w:rPr>
                <w:sz w:val="22"/>
              </w:rPr>
            </w:pPr>
            <w:r>
              <w:rPr>
                <w:spacing w:val="-2"/>
                <w:sz w:val="22"/>
              </w:rPr>
              <w:t>19.867±1.171</w:t>
            </w:r>
          </w:p>
        </w:tc>
        <w:tc>
          <w:tcPr>
            <w:tcW w:w="1449" w:type="dxa"/>
          </w:tcPr>
          <w:p>
            <w:pPr>
              <w:pStyle w:val="TableParagraph"/>
              <w:spacing w:before="71"/>
              <w:ind w:left="2" w:right="91"/>
              <w:jc w:val="center"/>
              <w:rPr>
                <w:sz w:val="22"/>
              </w:rPr>
            </w:pPr>
            <w:r>
              <w:rPr>
                <w:spacing w:val="-2"/>
                <w:sz w:val="22"/>
              </w:rPr>
              <w:t>0.984</w:t>
            </w:r>
          </w:p>
        </w:tc>
        <w:tc>
          <w:tcPr>
            <w:tcW w:w="1384" w:type="dxa"/>
          </w:tcPr>
          <w:p>
            <w:pPr>
              <w:pStyle w:val="TableParagraph"/>
              <w:spacing w:before="71"/>
              <w:ind w:left="486"/>
              <w:rPr>
                <w:sz w:val="22"/>
              </w:rPr>
            </w:pPr>
            <w:r>
              <w:rPr>
                <w:spacing w:val="-5"/>
                <w:sz w:val="22"/>
              </w:rPr>
              <w:t>NS</w:t>
            </w:r>
          </w:p>
        </w:tc>
      </w:tr>
      <w:tr>
        <w:trPr>
          <w:trHeight w:val="450" w:hRule="atLeast"/>
        </w:trPr>
        <w:tc>
          <w:tcPr>
            <w:tcW w:w="1587" w:type="dxa"/>
          </w:tcPr>
          <w:p>
            <w:pPr>
              <w:pStyle w:val="TableParagraph"/>
              <w:rPr>
                <w:rFonts w:ascii="Times New Roman"/>
                <w:sz w:val="22"/>
              </w:rPr>
            </w:pPr>
          </w:p>
        </w:tc>
        <w:tc>
          <w:tcPr>
            <w:tcW w:w="2019" w:type="dxa"/>
          </w:tcPr>
          <w:p>
            <w:pPr>
              <w:pStyle w:val="TableParagraph"/>
              <w:spacing w:before="70"/>
              <w:ind w:left="193"/>
              <w:rPr>
                <w:sz w:val="22"/>
              </w:rPr>
            </w:pPr>
            <w:r>
              <w:rPr>
                <w:spacing w:val="-5"/>
                <w:sz w:val="22"/>
              </w:rPr>
              <w:t>AZM</w:t>
            </w:r>
          </w:p>
        </w:tc>
        <w:tc>
          <w:tcPr>
            <w:tcW w:w="2222" w:type="dxa"/>
          </w:tcPr>
          <w:p>
            <w:pPr>
              <w:pStyle w:val="TableParagraph"/>
              <w:spacing w:before="70"/>
              <w:ind w:right="345"/>
              <w:jc w:val="right"/>
              <w:rPr>
                <w:sz w:val="22"/>
              </w:rPr>
            </w:pPr>
            <w:r>
              <w:rPr>
                <w:spacing w:val="-2"/>
                <w:sz w:val="22"/>
              </w:rPr>
              <w:t>15.467±1.050</w:t>
            </w:r>
          </w:p>
        </w:tc>
        <w:tc>
          <w:tcPr>
            <w:tcW w:w="1449" w:type="dxa"/>
          </w:tcPr>
          <w:p>
            <w:pPr>
              <w:pStyle w:val="TableParagraph"/>
              <w:spacing w:before="70"/>
              <w:ind w:left="2" w:right="91"/>
              <w:jc w:val="center"/>
              <w:rPr>
                <w:sz w:val="22"/>
              </w:rPr>
            </w:pPr>
            <w:r>
              <w:rPr>
                <w:spacing w:val="-2"/>
                <w:sz w:val="22"/>
              </w:rPr>
              <w:t>0.009</w:t>
            </w:r>
          </w:p>
        </w:tc>
        <w:tc>
          <w:tcPr>
            <w:tcW w:w="1384" w:type="dxa"/>
          </w:tcPr>
          <w:p>
            <w:pPr>
              <w:pStyle w:val="TableParagraph"/>
              <w:spacing w:before="70"/>
              <w:ind w:left="507"/>
              <w:rPr>
                <w:sz w:val="22"/>
              </w:rPr>
            </w:pPr>
            <w:r>
              <w:rPr>
                <w:spacing w:val="-5"/>
                <w:sz w:val="22"/>
              </w:rPr>
              <w:t>SF</w:t>
            </w:r>
          </w:p>
        </w:tc>
      </w:tr>
      <w:tr>
        <w:trPr>
          <w:trHeight w:val="450" w:hRule="atLeast"/>
        </w:trPr>
        <w:tc>
          <w:tcPr>
            <w:tcW w:w="1587" w:type="dxa"/>
          </w:tcPr>
          <w:p>
            <w:pPr>
              <w:pStyle w:val="TableParagraph"/>
              <w:rPr>
                <w:rFonts w:ascii="Times New Roman"/>
                <w:sz w:val="22"/>
              </w:rPr>
            </w:pPr>
          </w:p>
        </w:tc>
        <w:tc>
          <w:tcPr>
            <w:tcW w:w="2019" w:type="dxa"/>
          </w:tcPr>
          <w:p>
            <w:pPr>
              <w:pStyle w:val="TableParagraph"/>
              <w:spacing w:before="71"/>
              <w:ind w:left="193"/>
              <w:rPr>
                <w:sz w:val="22"/>
              </w:rPr>
            </w:pPr>
            <w:r>
              <w:rPr>
                <w:sz w:val="22"/>
              </w:rPr>
              <w:t>Lemon</w:t>
            </w:r>
            <w:r>
              <w:rPr>
                <w:spacing w:val="-4"/>
                <w:sz w:val="22"/>
              </w:rPr>
              <w:t> </w:t>
            </w:r>
            <w:r>
              <w:rPr>
                <w:spacing w:val="-2"/>
                <w:sz w:val="22"/>
              </w:rPr>
              <w:t>(50%)</w:t>
            </w:r>
          </w:p>
        </w:tc>
        <w:tc>
          <w:tcPr>
            <w:tcW w:w="2222" w:type="dxa"/>
          </w:tcPr>
          <w:p>
            <w:pPr>
              <w:pStyle w:val="TableParagraph"/>
              <w:spacing w:before="71"/>
              <w:ind w:right="345"/>
              <w:jc w:val="right"/>
              <w:rPr>
                <w:sz w:val="22"/>
              </w:rPr>
            </w:pPr>
            <w:r>
              <w:rPr>
                <w:spacing w:val="-2"/>
                <w:sz w:val="22"/>
              </w:rPr>
              <w:t>18.333±0.374</w:t>
            </w:r>
          </w:p>
        </w:tc>
        <w:tc>
          <w:tcPr>
            <w:tcW w:w="1449" w:type="dxa"/>
          </w:tcPr>
          <w:p>
            <w:pPr>
              <w:pStyle w:val="TableParagraph"/>
              <w:spacing w:before="71"/>
              <w:ind w:left="2" w:right="91"/>
              <w:jc w:val="center"/>
              <w:rPr>
                <w:sz w:val="22"/>
              </w:rPr>
            </w:pPr>
            <w:r>
              <w:rPr>
                <w:spacing w:val="-2"/>
                <w:sz w:val="22"/>
              </w:rPr>
              <w:t>0.576</w:t>
            </w:r>
          </w:p>
        </w:tc>
        <w:tc>
          <w:tcPr>
            <w:tcW w:w="1384" w:type="dxa"/>
          </w:tcPr>
          <w:p>
            <w:pPr>
              <w:pStyle w:val="TableParagraph"/>
              <w:spacing w:before="71"/>
              <w:ind w:left="486"/>
              <w:rPr>
                <w:sz w:val="22"/>
              </w:rPr>
            </w:pPr>
            <w:r>
              <w:rPr>
                <w:spacing w:val="-5"/>
                <w:sz w:val="22"/>
              </w:rPr>
              <w:t>NS</w:t>
            </w:r>
          </w:p>
        </w:tc>
      </w:tr>
      <w:tr>
        <w:trPr>
          <w:trHeight w:val="524" w:hRule="atLeast"/>
        </w:trPr>
        <w:tc>
          <w:tcPr>
            <w:tcW w:w="1587" w:type="dxa"/>
            <w:tcBorders>
              <w:bottom w:val="single" w:sz="4" w:space="0" w:color="000000"/>
            </w:tcBorders>
          </w:tcPr>
          <w:p>
            <w:pPr>
              <w:pStyle w:val="TableParagraph"/>
              <w:rPr>
                <w:rFonts w:ascii="Times New Roman"/>
                <w:sz w:val="22"/>
              </w:rPr>
            </w:pPr>
          </w:p>
        </w:tc>
        <w:tc>
          <w:tcPr>
            <w:tcW w:w="2019" w:type="dxa"/>
            <w:tcBorders>
              <w:bottom w:val="single" w:sz="4" w:space="0" w:color="000000"/>
            </w:tcBorders>
          </w:tcPr>
          <w:p>
            <w:pPr>
              <w:pStyle w:val="TableParagraph"/>
              <w:spacing w:before="70"/>
              <w:ind w:left="193"/>
              <w:rPr>
                <w:sz w:val="22"/>
              </w:rPr>
            </w:pPr>
            <w:r>
              <w:rPr>
                <w:sz w:val="22"/>
              </w:rPr>
              <w:t>Lemon</w:t>
            </w:r>
            <w:r>
              <w:rPr>
                <w:spacing w:val="-4"/>
                <w:sz w:val="22"/>
              </w:rPr>
              <w:t> </w:t>
            </w:r>
            <w:r>
              <w:rPr>
                <w:spacing w:val="-2"/>
                <w:sz w:val="22"/>
              </w:rPr>
              <w:t>(25%)</w:t>
            </w:r>
          </w:p>
        </w:tc>
        <w:tc>
          <w:tcPr>
            <w:tcW w:w="2222" w:type="dxa"/>
            <w:tcBorders>
              <w:bottom w:val="single" w:sz="4" w:space="0" w:color="000000"/>
            </w:tcBorders>
          </w:tcPr>
          <w:p>
            <w:pPr>
              <w:pStyle w:val="TableParagraph"/>
              <w:spacing w:before="70"/>
              <w:ind w:right="345"/>
              <w:jc w:val="right"/>
              <w:rPr>
                <w:sz w:val="22"/>
              </w:rPr>
            </w:pPr>
            <w:r>
              <w:rPr>
                <w:spacing w:val="-2"/>
                <w:sz w:val="22"/>
              </w:rPr>
              <w:t>15.133±0.435</w:t>
            </w:r>
          </w:p>
        </w:tc>
        <w:tc>
          <w:tcPr>
            <w:tcW w:w="1449" w:type="dxa"/>
            <w:tcBorders>
              <w:bottom w:val="single" w:sz="4" w:space="0" w:color="000000"/>
            </w:tcBorders>
          </w:tcPr>
          <w:p>
            <w:pPr>
              <w:pStyle w:val="TableParagraph"/>
              <w:spacing w:before="70"/>
              <w:ind w:left="2" w:right="91"/>
              <w:jc w:val="center"/>
              <w:rPr>
                <w:sz w:val="22"/>
              </w:rPr>
            </w:pPr>
            <w:r>
              <w:rPr>
                <w:spacing w:val="-2"/>
                <w:sz w:val="22"/>
              </w:rPr>
              <w:t>0.005</w:t>
            </w:r>
          </w:p>
        </w:tc>
        <w:tc>
          <w:tcPr>
            <w:tcW w:w="1384" w:type="dxa"/>
            <w:tcBorders>
              <w:bottom w:val="single" w:sz="4" w:space="0" w:color="000000"/>
            </w:tcBorders>
          </w:tcPr>
          <w:p>
            <w:pPr>
              <w:pStyle w:val="TableParagraph"/>
              <w:spacing w:before="70"/>
              <w:ind w:left="507"/>
              <w:rPr>
                <w:sz w:val="22"/>
              </w:rPr>
            </w:pPr>
            <w:r>
              <w:rPr>
                <w:spacing w:val="-5"/>
                <w:sz w:val="22"/>
              </w:rPr>
              <w:t>SF</w:t>
            </w:r>
          </w:p>
        </w:tc>
      </w:tr>
      <w:tr>
        <w:trPr>
          <w:trHeight w:val="375" w:hRule="atLeast"/>
        </w:trPr>
        <w:tc>
          <w:tcPr>
            <w:tcW w:w="1587" w:type="dxa"/>
            <w:tcBorders>
              <w:top w:val="single" w:sz="4" w:space="0" w:color="000000"/>
            </w:tcBorders>
          </w:tcPr>
          <w:p>
            <w:pPr>
              <w:pStyle w:val="TableParagraph"/>
              <w:rPr>
                <w:rFonts w:ascii="Times New Roman"/>
                <w:sz w:val="22"/>
              </w:rPr>
            </w:pPr>
          </w:p>
        </w:tc>
        <w:tc>
          <w:tcPr>
            <w:tcW w:w="2019" w:type="dxa"/>
            <w:tcBorders>
              <w:top w:val="single" w:sz="4" w:space="0" w:color="000000"/>
            </w:tcBorders>
          </w:tcPr>
          <w:p>
            <w:pPr>
              <w:pStyle w:val="TableParagraph"/>
              <w:spacing w:line="265" w:lineRule="exact"/>
              <w:ind w:left="193"/>
              <w:rPr>
                <w:sz w:val="22"/>
              </w:rPr>
            </w:pPr>
            <w:r>
              <w:rPr>
                <w:spacing w:val="-5"/>
                <w:sz w:val="22"/>
              </w:rPr>
              <w:t>CRO</w:t>
            </w:r>
          </w:p>
        </w:tc>
        <w:tc>
          <w:tcPr>
            <w:tcW w:w="2222" w:type="dxa"/>
            <w:tcBorders>
              <w:top w:val="single" w:sz="4" w:space="0" w:color="000000"/>
            </w:tcBorders>
          </w:tcPr>
          <w:p>
            <w:pPr>
              <w:pStyle w:val="TableParagraph"/>
              <w:spacing w:line="265" w:lineRule="exact"/>
              <w:ind w:right="345"/>
              <w:jc w:val="right"/>
              <w:rPr>
                <w:sz w:val="22"/>
              </w:rPr>
            </w:pPr>
            <w:r>
              <w:rPr>
                <w:spacing w:val="-2"/>
                <w:sz w:val="22"/>
              </w:rPr>
              <w:t>20.667±1.511</w:t>
            </w:r>
          </w:p>
        </w:tc>
        <w:tc>
          <w:tcPr>
            <w:tcW w:w="1449" w:type="dxa"/>
            <w:tcBorders>
              <w:top w:val="single" w:sz="4" w:space="0" w:color="000000"/>
            </w:tcBorders>
          </w:tcPr>
          <w:p>
            <w:pPr>
              <w:pStyle w:val="TableParagraph"/>
              <w:spacing w:line="265" w:lineRule="exact"/>
              <w:ind w:left="2" w:right="91"/>
              <w:jc w:val="center"/>
              <w:rPr>
                <w:sz w:val="22"/>
              </w:rPr>
            </w:pPr>
            <w:r>
              <w:rPr>
                <w:spacing w:val="-2"/>
                <w:sz w:val="22"/>
              </w:rPr>
              <w:t>0.831</w:t>
            </w:r>
          </w:p>
        </w:tc>
        <w:tc>
          <w:tcPr>
            <w:tcW w:w="1384" w:type="dxa"/>
            <w:tcBorders>
              <w:top w:val="single" w:sz="4" w:space="0" w:color="000000"/>
            </w:tcBorders>
          </w:tcPr>
          <w:p>
            <w:pPr>
              <w:pStyle w:val="TableParagraph"/>
              <w:spacing w:line="265" w:lineRule="exact"/>
              <w:ind w:left="486"/>
              <w:rPr>
                <w:sz w:val="22"/>
              </w:rPr>
            </w:pPr>
            <w:r>
              <w:rPr>
                <w:spacing w:val="-5"/>
                <w:sz w:val="22"/>
              </w:rPr>
              <w:t>NS</w:t>
            </w:r>
          </w:p>
        </w:tc>
      </w:tr>
      <w:tr>
        <w:trPr>
          <w:trHeight w:val="450" w:hRule="atLeast"/>
        </w:trPr>
        <w:tc>
          <w:tcPr>
            <w:tcW w:w="1587" w:type="dxa"/>
          </w:tcPr>
          <w:p>
            <w:pPr>
              <w:pStyle w:val="TableParagraph"/>
              <w:spacing w:before="70"/>
              <w:ind w:left="108"/>
              <w:rPr>
                <w:sz w:val="22"/>
              </w:rPr>
            </w:pPr>
            <w:r>
              <w:rPr>
                <w:sz w:val="22"/>
              </w:rPr>
              <w:t>Lemon</w:t>
            </w:r>
            <w:r>
              <w:rPr>
                <w:spacing w:val="-4"/>
                <w:sz w:val="22"/>
              </w:rPr>
              <w:t> </w:t>
            </w:r>
            <w:r>
              <w:rPr>
                <w:spacing w:val="-2"/>
                <w:sz w:val="22"/>
              </w:rPr>
              <w:t>(50%)</w:t>
            </w:r>
          </w:p>
        </w:tc>
        <w:tc>
          <w:tcPr>
            <w:tcW w:w="2019" w:type="dxa"/>
          </w:tcPr>
          <w:p>
            <w:pPr>
              <w:pStyle w:val="TableParagraph"/>
              <w:spacing w:before="70"/>
              <w:ind w:left="193"/>
              <w:rPr>
                <w:sz w:val="22"/>
              </w:rPr>
            </w:pPr>
            <w:r>
              <w:rPr>
                <w:spacing w:val="-5"/>
                <w:sz w:val="22"/>
              </w:rPr>
              <w:t>CN</w:t>
            </w:r>
          </w:p>
        </w:tc>
        <w:tc>
          <w:tcPr>
            <w:tcW w:w="2222" w:type="dxa"/>
          </w:tcPr>
          <w:p>
            <w:pPr>
              <w:pStyle w:val="TableParagraph"/>
              <w:spacing w:before="70"/>
              <w:ind w:right="344"/>
              <w:jc w:val="right"/>
              <w:rPr>
                <w:sz w:val="22"/>
              </w:rPr>
            </w:pPr>
            <w:r>
              <w:rPr>
                <w:spacing w:val="-2"/>
                <w:sz w:val="22"/>
              </w:rPr>
              <w:t>19.267±1.523</w:t>
            </w:r>
          </w:p>
        </w:tc>
        <w:tc>
          <w:tcPr>
            <w:tcW w:w="1449" w:type="dxa"/>
          </w:tcPr>
          <w:p>
            <w:pPr>
              <w:pStyle w:val="TableParagraph"/>
              <w:spacing w:before="70"/>
              <w:ind w:left="2" w:right="91"/>
              <w:jc w:val="center"/>
              <w:rPr>
                <w:sz w:val="22"/>
              </w:rPr>
            </w:pPr>
            <w:r>
              <w:rPr>
                <w:spacing w:val="-2"/>
                <w:sz w:val="22"/>
              </w:rPr>
              <w:t>0.999</w:t>
            </w:r>
          </w:p>
        </w:tc>
        <w:tc>
          <w:tcPr>
            <w:tcW w:w="1384" w:type="dxa"/>
          </w:tcPr>
          <w:p>
            <w:pPr>
              <w:pStyle w:val="TableParagraph"/>
              <w:spacing w:before="70"/>
              <w:ind w:left="486"/>
              <w:rPr>
                <w:sz w:val="22"/>
              </w:rPr>
            </w:pPr>
            <w:r>
              <w:rPr>
                <w:spacing w:val="-5"/>
                <w:sz w:val="22"/>
              </w:rPr>
              <w:t>NS</w:t>
            </w:r>
          </w:p>
        </w:tc>
      </w:tr>
      <w:tr>
        <w:trPr>
          <w:trHeight w:val="336" w:hRule="atLeast"/>
        </w:trPr>
        <w:tc>
          <w:tcPr>
            <w:tcW w:w="1587" w:type="dxa"/>
          </w:tcPr>
          <w:p>
            <w:pPr>
              <w:pStyle w:val="TableParagraph"/>
              <w:rPr>
                <w:rFonts w:ascii="Times New Roman"/>
                <w:sz w:val="22"/>
              </w:rPr>
            </w:pPr>
          </w:p>
        </w:tc>
        <w:tc>
          <w:tcPr>
            <w:tcW w:w="2019" w:type="dxa"/>
          </w:tcPr>
          <w:p>
            <w:pPr>
              <w:pStyle w:val="TableParagraph"/>
              <w:spacing w:line="245" w:lineRule="exact" w:before="71"/>
              <w:ind w:left="193"/>
              <w:rPr>
                <w:sz w:val="22"/>
              </w:rPr>
            </w:pPr>
            <w:r>
              <w:rPr>
                <w:spacing w:val="-5"/>
                <w:sz w:val="22"/>
              </w:rPr>
              <w:t>AMC</w:t>
            </w:r>
          </w:p>
        </w:tc>
        <w:tc>
          <w:tcPr>
            <w:tcW w:w="2222" w:type="dxa"/>
          </w:tcPr>
          <w:p>
            <w:pPr>
              <w:pStyle w:val="TableParagraph"/>
              <w:spacing w:line="245" w:lineRule="exact" w:before="71"/>
              <w:ind w:right="345"/>
              <w:jc w:val="right"/>
              <w:rPr>
                <w:sz w:val="22"/>
              </w:rPr>
            </w:pPr>
            <w:r>
              <w:rPr>
                <w:spacing w:val="-2"/>
                <w:sz w:val="22"/>
              </w:rPr>
              <w:t>17.667±1.670</w:t>
            </w:r>
          </w:p>
        </w:tc>
        <w:tc>
          <w:tcPr>
            <w:tcW w:w="1449" w:type="dxa"/>
          </w:tcPr>
          <w:p>
            <w:pPr>
              <w:pStyle w:val="TableParagraph"/>
              <w:spacing w:line="245" w:lineRule="exact" w:before="71"/>
              <w:ind w:left="2" w:right="91"/>
              <w:jc w:val="center"/>
              <w:rPr>
                <w:sz w:val="22"/>
              </w:rPr>
            </w:pPr>
            <w:r>
              <w:rPr>
                <w:spacing w:val="-2"/>
                <w:sz w:val="22"/>
              </w:rPr>
              <w:t>1.000</w:t>
            </w:r>
          </w:p>
        </w:tc>
        <w:tc>
          <w:tcPr>
            <w:tcW w:w="1384" w:type="dxa"/>
          </w:tcPr>
          <w:p>
            <w:pPr>
              <w:pStyle w:val="TableParagraph"/>
              <w:spacing w:line="245" w:lineRule="exact" w:before="71"/>
              <w:ind w:left="486"/>
              <w:rPr>
                <w:sz w:val="22"/>
              </w:rPr>
            </w:pPr>
            <w:r>
              <w:rPr>
                <w:spacing w:val="-5"/>
                <w:sz w:val="22"/>
              </w:rPr>
              <w:t>NS</w:t>
            </w:r>
          </w:p>
        </w:tc>
      </w:tr>
    </w:tbl>
    <w:p>
      <w:pPr>
        <w:spacing w:after="0" w:line="245" w:lineRule="exact"/>
        <w:rPr>
          <w:sz w:val="22"/>
        </w:rPr>
        <w:sectPr>
          <w:pgSz w:w="11910" w:h="16840"/>
          <w:pgMar w:header="0" w:footer="1055" w:top="1920" w:bottom="1624" w:left="1060" w:right="460"/>
        </w:sect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1"/>
        <w:gridCol w:w="2129"/>
        <w:gridCol w:w="2207"/>
        <w:gridCol w:w="1392"/>
        <w:gridCol w:w="1400"/>
      </w:tblGrid>
      <w:tr>
        <w:trPr>
          <w:trHeight w:val="335" w:hRule="atLeast"/>
        </w:trPr>
        <w:tc>
          <w:tcPr>
            <w:tcW w:w="1531" w:type="dxa"/>
          </w:tcPr>
          <w:p>
            <w:pPr>
              <w:pStyle w:val="TableParagraph"/>
              <w:rPr>
                <w:rFonts w:ascii="Times New Roman"/>
                <w:sz w:val="22"/>
              </w:rPr>
            </w:pPr>
          </w:p>
        </w:tc>
        <w:tc>
          <w:tcPr>
            <w:tcW w:w="2129" w:type="dxa"/>
          </w:tcPr>
          <w:p>
            <w:pPr>
              <w:pStyle w:val="TableParagraph"/>
              <w:spacing w:line="225" w:lineRule="exact"/>
              <w:ind w:left="249"/>
              <w:rPr>
                <w:sz w:val="22"/>
              </w:rPr>
            </w:pPr>
            <w:r>
              <w:rPr>
                <w:spacing w:val="-5"/>
                <w:sz w:val="22"/>
              </w:rPr>
              <w:t>LEV</w:t>
            </w:r>
          </w:p>
        </w:tc>
        <w:tc>
          <w:tcPr>
            <w:tcW w:w="2207" w:type="dxa"/>
          </w:tcPr>
          <w:p>
            <w:pPr>
              <w:pStyle w:val="TableParagraph"/>
              <w:spacing w:line="225" w:lineRule="exact"/>
              <w:ind w:right="384"/>
              <w:jc w:val="right"/>
              <w:rPr>
                <w:sz w:val="22"/>
              </w:rPr>
            </w:pPr>
            <w:r>
              <w:rPr>
                <w:spacing w:val="-2"/>
                <w:sz w:val="22"/>
              </w:rPr>
              <w:t>19.867±1.171</w:t>
            </w:r>
          </w:p>
        </w:tc>
        <w:tc>
          <w:tcPr>
            <w:tcW w:w="1392" w:type="dxa"/>
          </w:tcPr>
          <w:p>
            <w:pPr>
              <w:pStyle w:val="TableParagraph"/>
              <w:spacing w:line="225" w:lineRule="exact"/>
              <w:ind w:right="110"/>
              <w:jc w:val="center"/>
              <w:rPr>
                <w:sz w:val="22"/>
              </w:rPr>
            </w:pPr>
            <w:r>
              <w:rPr>
                <w:spacing w:val="-2"/>
                <w:sz w:val="22"/>
              </w:rPr>
              <w:t>0.980</w:t>
            </w:r>
          </w:p>
        </w:tc>
        <w:tc>
          <w:tcPr>
            <w:tcW w:w="1400" w:type="dxa"/>
          </w:tcPr>
          <w:p>
            <w:pPr>
              <w:pStyle w:val="TableParagraph"/>
              <w:spacing w:line="225" w:lineRule="exact"/>
              <w:ind w:left="504"/>
              <w:rPr>
                <w:sz w:val="22"/>
              </w:rPr>
            </w:pPr>
            <w:r>
              <w:rPr>
                <w:spacing w:val="-5"/>
                <w:sz w:val="22"/>
              </w:rPr>
              <w:t>NS</w:t>
            </w:r>
          </w:p>
        </w:tc>
      </w:tr>
      <w:tr>
        <w:trPr>
          <w:trHeight w:val="450" w:hRule="atLeast"/>
        </w:trPr>
        <w:tc>
          <w:tcPr>
            <w:tcW w:w="1531" w:type="dxa"/>
          </w:tcPr>
          <w:p>
            <w:pPr>
              <w:pStyle w:val="TableParagraph"/>
              <w:rPr>
                <w:rFonts w:ascii="Times New Roman"/>
                <w:sz w:val="22"/>
              </w:rPr>
            </w:pPr>
          </w:p>
        </w:tc>
        <w:tc>
          <w:tcPr>
            <w:tcW w:w="2129" w:type="dxa"/>
          </w:tcPr>
          <w:p>
            <w:pPr>
              <w:pStyle w:val="TableParagraph"/>
              <w:spacing w:before="70"/>
              <w:ind w:left="249"/>
              <w:rPr>
                <w:sz w:val="22"/>
              </w:rPr>
            </w:pPr>
            <w:r>
              <w:rPr>
                <w:spacing w:val="-5"/>
                <w:sz w:val="22"/>
              </w:rPr>
              <w:t>AZM</w:t>
            </w:r>
          </w:p>
        </w:tc>
        <w:tc>
          <w:tcPr>
            <w:tcW w:w="2207" w:type="dxa"/>
          </w:tcPr>
          <w:p>
            <w:pPr>
              <w:pStyle w:val="TableParagraph"/>
              <w:spacing w:before="70"/>
              <w:ind w:right="384"/>
              <w:jc w:val="right"/>
              <w:rPr>
                <w:sz w:val="22"/>
              </w:rPr>
            </w:pPr>
            <w:r>
              <w:rPr>
                <w:spacing w:val="-2"/>
                <w:sz w:val="22"/>
              </w:rPr>
              <w:t>15.467±1.050</w:t>
            </w:r>
          </w:p>
        </w:tc>
        <w:tc>
          <w:tcPr>
            <w:tcW w:w="1392" w:type="dxa"/>
          </w:tcPr>
          <w:p>
            <w:pPr>
              <w:pStyle w:val="TableParagraph"/>
              <w:spacing w:before="70"/>
              <w:ind w:right="110"/>
              <w:jc w:val="center"/>
              <w:rPr>
                <w:sz w:val="22"/>
              </w:rPr>
            </w:pPr>
            <w:r>
              <w:rPr>
                <w:spacing w:val="-2"/>
                <w:sz w:val="22"/>
              </w:rPr>
              <w:t>0.632</w:t>
            </w:r>
          </w:p>
        </w:tc>
        <w:tc>
          <w:tcPr>
            <w:tcW w:w="1400" w:type="dxa"/>
          </w:tcPr>
          <w:p>
            <w:pPr>
              <w:pStyle w:val="TableParagraph"/>
              <w:spacing w:before="70"/>
              <w:ind w:left="504"/>
              <w:rPr>
                <w:sz w:val="22"/>
              </w:rPr>
            </w:pPr>
            <w:r>
              <w:rPr>
                <w:spacing w:val="-5"/>
                <w:sz w:val="22"/>
              </w:rPr>
              <w:t>NS</w:t>
            </w:r>
          </w:p>
        </w:tc>
      </w:tr>
      <w:tr>
        <w:trPr>
          <w:trHeight w:val="450" w:hRule="atLeast"/>
        </w:trPr>
        <w:tc>
          <w:tcPr>
            <w:tcW w:w="1531" w:type="dxa"/>
          </w:tcPr>
          <w:p>
            <w:pPr>
              <w:pStyle w:val="TableParagraph"/>
              <w:rPr>
                <w:rFonts w:ascii="Times New Roman"/>
                <w:sz w:val="22"/>
              </w:rPr>
            </w:pPr>
          </w:p>
        </w:tc>
        <w:tc>
          <w:tcPr>
            <w:tcW w:w="2129" w:type="dxa"/>
          </w:tcPr>
          <w:p>
            <w:pPr>
              <w:pStyle w:val="TableParagraph"/>
              <w:spacing w:before="71"/>
              <w:ind w:left="249"/>
              <w:rPr>
                <w:sz w:val="22"/>
              </w:rPr>
            </w:pPr>
            <w:r>
              <w:rPr>
                <w:sz w:val="22"/>
              </w:rPr>
              <w:t>Lemon</w:t>
            </w:r>
            <w:r>
              <w:rPr>
                <w:spacing w:val="-6"/>
                <w:sz w:val="22"/>
              </w:rPr>
              <w:t> </w:t>
            </w:r>
            <w:r>
              <w:rPr>
                <w:spacing w:val="-2"/>
                <w:sz w:val="22"/>
              </w:rPr>
              <w:t>(100%)</w:t>
            </w:r>
          </w:p>
        </w:tc>
        <w:tc>
          <w:tcPr>
            <w:tcW w:w="2207" w:type="dxa"/>
          </w:tcPr>
          <w:p>
            <w:pPr>
              <w:pStyle w:val="TableParagraph"/>
              <w:spacing w:before="71"/>
              <w:ind w:right="384"/>
              <w:jc w:val="right"/>
              <w:rPr>
                <w:sz w:val="22"/>
              </w:rPr>
            </w:pPr>
            <w:r>
              <w:rPr>
                <w:spacing w:val="-2"/>
                <w:sz w:val="22"/>
              </w:rPr>
              <w:t>21.333±0.374</w:t>
            </w:r>
          </w:p>
        </w:tc>
        <w:tc>
          <w:tcPr>
            <w:tcW w:w="1392" w:type="dxa"/>
          </w:tcPr>
          <w:p>
            <w:pPr>
              <w:pStyle w:val="TableParagraph"/>
              <w:spacing w:before="71"/>
              <w:ind w:right="110"/>
              <w:jc w:val="center"/>
              <w:rPr>
                <w:sz w:val="22"/>
              </w:rPr>
            </w:pPr>
            <w:r>
              <w:rPr>
                <w:spacing w:val="-2"/>
                <w:sz w:val="22"/>
              </w:rPr>
              <w:t>0.576</w:t>
            </w:r>
          </w:p>
        </w:tc>
        <w:tc>
          <w:tcPr>
            <w:tcW w:w="1400" w:type="dxa"/>
          </w:tcPr>
          <w:p>
            <w:pPr>
              <w:pStyle w:val="TableParagraph"/>
              <w:spacing w:before="71"/>
              <w:ind w:left="504"/>
              <w:rPr>
                <w:sz w:val="22"/>
              </w:rPr>
            </w:pPr>
            <w:r>
              <w:rPr>
                <w:spacing w:val="-5"/>
                <w:sz w:val="22"/>
              </w:rPr>
              <w:t>NS</w:t>
            </w:r>
          </w:p>
        </w:tc>
      </w:tr>
      <w:tr>
        <w:trPr>
          <w:trHeight w:val="524" w:hRule="atLeast"/>
        </w:trPr>
        <w:tc>
          <w:tcPr>
            <w:tcW w:w="1531" w:type="dxa"/>
            <w:tcBorders>
              <w:bottom w:val="single" w:sz="4" w:space="0" w:color="000000"/>
            </w:tcBorders>
          </w:tcPr>
          <w:p>
            <w:pPr>
              <w:pStyle w:val="TableParagraph"/>
              <w:rPr>
                <w:rFonts w:ascii="Times New Roman"/>
                <w:sz w:val="22"/>
              </w:rPr>
            </w:pPr>
          </w:p>
        </w:tc>
        <w:tc>
          <w:tcPr>
            <w:tcW w:w="2129" w:type="dxa"/>
            <w:tcBorders>
              <w:bottom w:val="single" w:sz="4" w:space="0" w:color="000000"/>
            </w:tcBorders>
          </w:tcPr>
          <w:p>
            <w:pPr>
              <w:pStyle w:val="TableParagraph"/>
              <w:spacing w:before="70"/>
              <w:ind w:left="249"/>
              <w:rPr>
                <w:sz w:val="22"/>
              </w:rPr>
            </w:pPr>
            <w:r>
              <w:rPr>
                <w:sz w:val="22"/>
              </w:rPr>
              <w:t>Lemon</w:t>
            </w:r>
            <w:r>
              <w:rPr>
                <w:spacing w:val="-4"/>
                <w:sz w:val="22"/>
              </w:rPr>
              <w:t> </w:t>
            </w:r>
            <w:r>
              <w:rPr>
                <w:spacing w:val="-2"/>
                <w:sz w:val="22"/>
              </w:rPr>
              <w:t>(25%)</w:t>
            </w:r>
          </w:p>
        </w:tc>
        <w:tc>
          <w:tcPr>
            <w:tcW w:w="2207" w:type="dxa"/>
            <w:tcBorders>
              <w:bottom w:val="single" w:sz="4" w:space="0" w:color="000000"/>
            </w:tcBorders>
          </w:tcPr>
          <w:p>
            <w:pPr>
              <w:pStyle w:val="TableParagraph"/>
              <w:spacing w:before="70"/>
              <w:ind w:right="384"/>
              <w:jc w:val="right"/>
              <w:rPr>
                <w:sz w:val="22"/>
              </w:rPr>
            </w:pPr>
            <w:r>
              <w:rPr>
                <w:spacing w:val="-2"/>
                <w:sz w:val="22"/>
              </w:rPr>
              <w:t>15.133±0.435</w:t>
            </w:r>
          </w:p>
        </w:tc>
        <w:tc>
          <w:tcPr>
            <w:tcW w:w="1392" w:type="dxa"/>
            <w:tcBorders>
              <w:bottom w:val="single" w:sz="4" w:space="0" w:color="000000"/>
            </w:tcBorders>
          </w:tcPr>
          <w:p>
            <w:pPr>
              <w:pStyle w:val="TableParagraph"/>
              <w:spacing w:before="70"/>
              <w:ind w:right="110"/>
              <w:jc w:val="center"/>
              <w:rPr>
                <w:sz w:val="22"/>
              </w:rPr>
            </w:pPr>
            <w:r>
              <w:rPr>
                <w:spacing w:val="-2"/>
                <w:sz w:val="22"/>
              </w:rPr>
              <w:t>0.492</w:t>
            </w:r>
          </w:p>
        </w:tc>
        <w:tc>
          <w:tcPr>
            <w:tcW w:w="1400" w:type="dxa"/>
            <w:tcBorders>
              <w:bottom w:val="single" w:sz="4" w:space="0" w:color="000000"/>
            </w:tcBorders>
          </w:tcPr>
          <w:p>
            <w:pPr>
              <w:pStyle w:val="TableParagraph"/>
              <w:spacing w:before="70"/>
              <w:ind w:left="504"/>
              <w:rPr>
                <w:sz w:val="22"/>
              </w:rPr>
            </w:pPr>
            <w:r>
              <w:rPr>
                <w:spacing w:val="-5"/>
                <w:sz w:val="22"/>
              </w:rPr>
              <w:t>NS</w:t>
            </w:r>
          </w:p>
        </w:tc>
      </w:tr>
      <w:tr>
        <w:trPr>
          <w:trHeight w:val="375" w:hRule="atLeast"/>
        </w:trPr>
        <w:tc>
          <w:tcPr>
            <w:tcW w:w="1531" w:type="dxa"/>
            <w:tcBorders>
              <w:top w:val="single" w:sz="4" w:space="0" w:color="000000"/>
            </w:tcBorders>
          </w:tcPr>
          <w:p>
            <w:pPr>
              <w:pStyle w:val="TableParagraph"/>
              <w:rPr>
                <w:rFonts w:ascii="Times New Roman"/>
                <w:sz w:val="22"/>
              </w:rPr>
            </w:pPr>
          </w:p>
        </w:tc>
        <w:tc>
          <w:tcPr>
            <w:tcW w:w="2129" w:type="dxa"/>
            <w:tcBorders>
              <w:top w:val="single" w:sz="4" w:space="0" w:color="000000"/>
            </w:tcBorders>
          </w:tcPr>
          <w:p>
            <w:pPr>
              <w:pStyle w:val="TableParagraph"/>
              <w:spacing w:line="265" w:lineRule="exact"/>
              <w:ind w:left="249"/>
              <w:rPr>
                <w:sz w:val="22"/>
              </w:rPr>
            </w:pPr>
            <w:r>
              <w:rPr>
                <w:spacing w:val="-5"/>
                <w:sz w:val="22"/>
              </w:rPr>
              <w:t>CRO</w:t>
            </w:r>
          </w:p>
        </w:tc>
        <w:tc>
          <w:tcPr>
            <w:tcW w:w="2207" w:type="dxa"/>
            <w:tcBorders>
              <w:top w:val="single" w:sz="4" w:space="0" w:color="000000"/>
            </w:tcBorders>
          </w:tcPr>
          <w:p>
            <w:pPr>
              <w:pStyle w:val="TableParagraph"/>
              <w:spacing w:line="265" w:lineRule="exact"/>
              <w:ind w:right="384"/>
              <w:jc w:val="right"/>
              <w:rPr>
                <w:sz w:val="22"/>
              </w:rPr>
            </w:pPr>
            <w:r>
              <w:rPr>
                <w:spacing w:val="-2"/>
                <w:sz w:val="22"/>
              </w:rPr>
              <w:t>20.667±1.511</w:t>
            </w:r>
          </w:p>
        </w:tc>
        <w:tc>
          <w:tcPr>
            <w:tcW w:w="1392" w:type="dxa"/>
            <w:tcBorders>
              <w:top w:val="single" w:sz="4" w:space="0" w:color="000000"/>
            </w:tcBorders>
          </w:tcPr>
          <w:p>
            <w:pPr>
              <w:pStyle w:val="TableParagraph"/>
              <w:spacing w:line="265" w:lineRule="exact"/>
              <w:ind w:right="110"/>
              <w:jc w:val="center"/>
              <w:rPr>
                <w:sz w:val="22"/>
              </w:rPr>
            </w:pPr>
            <w:r>
              <w:rPr>
                <w:spacing w:val="-2"/>
                <w:sz w:val="22"/>
              </w:rPr>
              <w:t>0.018</w:t>
            </w:r>
          </w:p>
        </w:tc>
        <w:tc>
          <w:tcPr>
            <w:tcW w:w="1400" w:type="dxa"/>
            <w:tcBorders>
              <w:top w:val="single" w:sz="4" w:space="0" w:color="000000"/>
            </w:tcBorders>
          </w:tcPr>
          <w:p>
            <w:pPr>
              <w:pStyle w:val="TableParagraph"/>
              <w:spacing w:line="265" w:lineRule="exact"/>
              <w:ind w:left="525"/>
              <w:rPr>
                <w:sz w:val="22"/>
              </w:rPr>
            </w:pPr>
            <w:r>
              <w:rPr>
                <w:spacing w:val="-5"/>
                <w:sz w:val="22"/>
              </w:rPr>
              <w:t>SF</w:t>
            </w:r>
          </w:p>
        </w:tc>
      </w:tr>
      <w:tr>
        <w:trPr>
          <w:trHeight w:val="450" w:hRule="atLeast"/>
        </w:trPr>
        <w:tc>
          <w:tcPr>
            <w:tcW w:w="1531" w:type="dxa"/>
          </w:tcPr>
          <w:p>
            <w:pPr>
              <w:pStyle w:val="TableParagraph"/>
              <w:rPr>
                <w:rFonts w:ascii="Times New Roman"/>
                <w:sz w:val="22"/>
              </w:rPr>
            </w:pPr>
          </w:p>
        </w:tc>
        <w:tc>
          <w:tcPr>
            <w:tcW w:w="2129" w:type="dxa"/>
          </w:tcPr>
          <w:p>
            <w:pPr>
              <w:pStyle w:val="TableParagraph"/>
              <w:spacing w:before="70"/>
              <w:ind w:left="249"/>
              <w:rPr>
                <w:sz w:val="22"/>
              </w:rPr>
            </w:pPr>
            <w:r>
              <w:rPr>
                <w:spacing w:val="-5"/>
                <w:sz w:val="22"/>
              </w:rPr>
              <w:t>CN</w:t>
            </w:r>
          </w:p>
        </w:tc>
        <w:tc>
          <w:tcPr>
            <w:tcW w:w="2207" w:type="dxa"/>
          </w:tcPr>
          <w:p>
            <w:pPr>
              <w:pStyle w:val="TableParagraph"/>
              <w:spacing w:before="70"/>
              <w:ind w:right="384"/>
              <w:jc w:val="right"/>
              <w:rPr>
                <w:sz w:val="22"/>
              </w:rPr>
            </w:pPr>
            <w:r>
              <w:rPr>
                <w:spacing w:val="-2"/>
                <w:sz w:val="22"/>
              </w:rPr>
              <w:t>19.267±1.523</w:t>
            </w:r>
          </w:p>
        </w:tc>
        <w:tc>
          <w:tcPr>
            <w:tcW w:w="1392" w:type="dxa"/>
          </w:tcPr>
          <w:p>
            <w:pPr>
              <w:pStyle w:val="TableParagraph"/>
              <w:spacing w:before="70"/>
              <w:ind w:right="110"/>
              <w:jc w:val="center"/>
              <w:rPr>
                <w:sz w:val="22"/>
              </w:rPr>
            </w:pPr>
            <w:r>
              <w:rPr>
                <w:spacing w:val="-2"/>
                <w:sz w:val="22"/>
              </w:rPr>
              <w:t>0.177</w:t>
            </w:r>
          </w:p>
        </w:tc>
        <w:tc>
          <w:tcPr>
            <w:tcW w:w="1400" w:type="dxa"/>
          </w:tcPr>
          <w:p>
            <w:pPr>
              <w:pStyle w:val="TableParagraph"/>
              <w:spacing w:before="70"/>
              <w:ind w:left="504"/>
              <w:rPr>
                <w:sz w:val="22"/>
              </w:rPr>
            </w:pPr>
            <w:r>
              <w:rPr>
                <w:spacing w:val="-5"/>
                <w:sz w:val="22"/>
              </w:rPr>
              <w:t>NS</w:t>
            </w:r>
          </w:p>
        </w:tc>
      </w:tr>
      <w:tr>
        <w:trPr>
          <w:trHeight w:val="450" w:hRule="atLeast"/>
        </w:trPr>
        <w:tc>
          <w:tcPr>
            <w:tcW w:w="1531" w:type="dxa"/>
          </w:tcPr>
          <w:p>
            <w:pPr>
              <w:pStyle w:val="TableParagraph"/>
              <w:rPr>
                <w:rFonts w:ascii="Times New Roman"/>
                <w:sz w:val="22"/>
              </w:rPr>
            </w:pPr>
          </w:p>
        </w:tc>
        <w:tc>
          <w:tcPr>
            <w:tcW w:w="2129" w:type="dxa"/>
          </w:tcPr>
          <w:p>
            <w:pPr>
              <w:pStyle w:val="TableParagraph"/>
              <w:spacing w:before="71"/>
              <w:ind w:left="249"/>
              <w:rPr>
                <w:sz w:val="22"/>
              </w:rPr>
            </w:pPr>
            <w:r>
              <w:rPr>
                <w:spacing w:val="-5"/>
                <w:sz w:val="22"/>
              </w:rPr>
              <w:t>AMC</w:t>
            </w:r>
          </w:p>
        </w:tc>
        <w:tc>
          <w:tcPr>
            <w:tcW w:w="2207" w:type="dxa"/>
          </w:tcPr>
          <w:p>
            <w:pPr>
              <w:pStyle w:val="TableParagraph"/>
              <w:spacing w:before="71"/>
              <w:ind w:right="383"/>
              <w:jc w:val="right"/>
              <w:rPr>
                <w:sz w:val="22"/>
              </w:rPr>
            </w:pPr>
            <w:r>
              <w:rPr>
                <w:spacing w:val="-2"/>
                <w:sz w:val="22"/>
              </w:rPr>
              <w:t>17.667±1.670</w:t>
            </w:r>
          </w:p>
        </w:tc>
        <w:tc>
          <w:tcPr>
            <w:tcW w:w="1392" w:type="dxa"/>
          </w:tcPr>
          <w:p>
            <w:pPr>
              <w:pStyle w:val="TableParagraph"/>
              <w:spacing w:before="71"/>
              <w:ind w:right="110"/>
              <w:jc w:val="center"/>
              <w:rPr>
                <w:sz w:val="22"/>
              </w:rPr>
            </w:pPr>
            <w:r>
              <w:rPr>
                <w:spacing w:val="-2"/>
                <w:sz w:val="22"/>
              </w:rPr>
              <w:t>0.763</w:t>
            </w:r>
          </w:p>
        </w:tc>
        <w:tc>
          <w:tcPr>
            <w:tcW w:w="1400" w:type="dxa"/>
          </w:tcPr>
          <w:p>
            <w:pPr>
              <w:pStyle w:val="TableParagraph"/>
              <w:spacing w:before="71"/>
              <w:ind w:left="504"/>
              <w:rPr>
                <w:sz w:val="22"/>
              </w:rPr>
            </w:pPr>
            <w:r>
              <w:rPr>
                <w:spacing w:val="-5"/>
                <w:sz w:val="22"/>
              </w:rPr>
              <w:t>NS</w:t>
            </w:r>
          </w:p>
        </w:tc>
      </w:tr>
      <w:tr>
        <w:trPr>
          <w:trHeight w:val="450" w:hRule="atLeast"/>
        </w:trPr>
        <w:tc>
          <w:tcPr>
            <w:tcW w:w="1531" w:type="dxa"/>
          </w:tcPr>
          <w:p>
            <w:pPr>
              <w:pStyle w:val="TableParagraph"/>
              <w:spacing w:before="70"/>
              <w:ind w:left="108"/>
              <w:rPr>
                <w:sz w:val="22"/>
              </w:rPr>
            </w:pPr>
            <w:r>
              <w:rPr>
                <w:sz w:val="22"/>
              </w:rPr>
              <w:t>Lemon</w:t>
            </w:r>
            <w:r>
              <w:rPr>
                <w:spacing w:val="-4"/>
                <w:sz w:val="22"/>
              </w:rPr>
              <w:t> </w:t>
            </w:r>
            <w:r>
              <w:rPr>
                <w:spacing w:val="-2"/>
                <w:sz w:val="22"/>
              </w:rPr>
              <w:t>(25%)</w:t>
            </w:r>
          </w:p>
        </w:tc>
        <w:tc>
          <w:tcPr>
            <w:tcW w:w="2129" w:type="dxa"/>
          </w:tcPr>
          <w:p>
            <w:pPr>
              <w:pStyle w:val="TableParagraph"/>
              <w:spacing w:before="70"/>
              <w:ind w:left="249"/>
              <w:rPr>
                <w:sz w:val="22"/>
              </w:rPr>
            </w:pPr>
            <w:r>
              <w:rPr>
                <w:spacing w:val="-5"/>
                <w:sz w:val="22"/>
              </w:rPr>
              <w:t>LEV</w:t>
            </w:r>
          </w:p>
        </w:tc>
        <w:tc>
          <w:tcPr>
            <w:tcW w:w="2207" w:type="dxa"/>
          </w:tcPr>
          <w:p>
            <w:pPr>
              <w:pStyle w:val="TableParagraph"/>
              <w:spacing w:before="70"/>
              <w:ind w:right="384"/>
              <w:jc w:val="right"/>
              <w:rPr>
                <w:sz w:val="22"/>
              </w:rPr>
            </w:pPr>
            <w:r>
              <w:rPr>
                <w:spacing w:val="-2"/>
                <w:sz w:val="22"/>
              </w:rPr>
              <w:t>19.867±1.171</w:t>
            </w:r>
          </w:p>
        </w:tc>
        <w:tc>
          <w:tcPr>
            <w:tcW w:w="1392" w:type="dxa"/>
          </w:tcPr>
          <w:p>
            <w:pPr>
              <w:pStyle w:val="TableParagraph"/>
              <w:spacing w:before="70"/>
              <w:ind w:right="110"/>
              <w:jc w:val="center"/>
              <w:rPr>
                <w:sz w:val="22"/>
              </w:rPr>
            </w:pPr>
            <w:r>
              <w:rPr>
                <w:spacing w:val="-2"/>
                <w:sz w:val="22"/>
              </w:rPr>
              <w:t>0.073</w:t>
            </w:r>
          </w:p>
        </w:tc>
        <w:tc>
          <w:tcPr>
            <w:tcW w:w="1400" w:type="dxa"/>
          </w:tcPr>
          <w:p>
            <w:pPr>
              <w:pStyle w:val="TableParagraph"/>
              <w:spacing w:before="70"/>
              <w:ind w:left="504"/>
              <w:rPr>
                <w:sz w:val="22"/>
              </w:rPr>
            </w:pPr>
            <w:r>
              <w:rPr>
                <w:spacing w:val="-5"/>
                <w:sz w:val="22"/>
              </w:rPr>
              <w:t>NS</w:t>
            </w:r>
          </w:p>
        </w:tc>
      </w:tr>
      <w:tr>
        <w:trPr>
          <w:trHeight w:val="450" w:hRule="atLeast"/>
        </w:trPr>
        <w:tc>
          <w:tcPr>
            <w:tcW w:w="1531" w:type="dxa"/>
          </w:tcPr>
          <w:p>
            <w:pPr>
              <w:pStyle w:val="TableParagraph"/>
              <w:rPr>
                <w:rFonts w:ascii="Times New Roman"/>
                <w:sz w:val="22"/>
              </w:rPr>
            </w:pPr>
          </w:p>
        </w:tc>
        <w:tc>
          <w:tcPr>
            <w:tcW w:w="2129" w:type="dxa"/>
          </w:tcPr>
          <w:p>
            <w:pPr>
              <w:pStyle w:val="TableParagraph"/>
              <w:spacing w:before="71"/>
              <w:ind w:left="249"/>
              <w:rPr>
                <w:sz w:val="22"/>
              </w:rPr>
            </w:pPr>
            <w:r>
              <w:rPr>
                <w:spacing w:val="-5"/>
                <w:sz w:val="22"/>
              </w:rPr>
              <w:t>AZM</w:t>
            </w:r>
          </w:p>
        </w:tc>
        <w:tc>
          <w:tcPr>
            <w:tcW w:w="2207" w:type="dxa"/>
          </w:tcPr>
          <w:p>
            <w:pPr>
              <w:pStyle w:val="TableParagraph"/>
              <w:spacing w:before="71"/>
              <w:ind w:right="384"/>
              <w:jc w:val="right"/>
              <w:rPr>
                <w:sz w:val="22"/>
              </w:rPr>
            </w:pPr>
            <w:r>
              <w:rPr>
                <w:spacing w:val="-2"/>
                <w:sz w:val="22"/>
              </w:rPr>
              <w:t>15.467±1.050</w:t>
            </w:r>
          </w:p>
        </w:tc>
        <w:tc>
          <w:tcPr>
            <w:tcW w:w="1392" w:type="dxa"/>
          </w:tcPr>
          <w:p>
            <w:pPr>
              <w:pStyle w:val="TableParagraph"/>
              <w:spacing w:before="71"/>
              <w:ind w:right="110"/>
              <w:jc w:val="center"/>
              <w:rPr>
                <w:sz w:val="22"/>
              </w:rPr>
            </w:pPr>
            <w:r>
              <w:rPr>
                <w:spacing w:val="-2"/>
                <w:sz w:val="22"/>
              </w:rPr>
              <w:t>1.000</w:t>
            </w:r>
          </w:p>
        </w:tc>
        <w:tc>
          <w:tcPr>
            <w:tcW w:w="1400" w:type="dxa"/>
          </w:tcPr>
          <w:p>
            <w:pPr>
              <w:pStyle w:val="TableParagraph"/>
              <w:spacing w:before="71"/>
              <w:ind w:left="504"/>
              <w:rPr>
                <w:sz w:val="22"/>
              </w:rPr>
            </w:pPr>
            <w:r>
              <w:rPr>
                <w:spacing w:val="-5"/>
                <w:sz w:val="22"/>
              </w:rPr>
              <w:t>NS</w:t>
            </w:r>
          </w:p>
        </w:tc>
      </w:tr>
      <w:tr>
        <w:trPr>
          <w:trHeight w:val="448" w:hRule="atLeast"/>
        </w:trPr>
        <w:tc>
          <w:tcPr>
            <w:tcW w:w="1531" w:type="dxa"/>
          </w:tcPr>
          <w:p>
            <w:pPr>
              <w:pStyle w:val="TableParagraph"/>
              <w:rPr>
                <w:rFonts w:ascii="Times New Roman"/>
                <w:sz w:val="22"/>
              </w:rPr>
            </w:pPr>
          </w:p>
        </w:tc>
        <w:tc>
          <w:tcPr>
            <w:tcW w:w="2129" w:type="dxa"/>
          </w:tcPr>
          <w:p>
            <w:pPr>
              <w:pStyle w:val="TableParagraph"/>
              <w:spacing w:before="70"/>
              <w:ind w:left="249"/>
              <w:rPr>
                <w:sz w:val="22"/>
              </w:rPr>
            </w:pPr>
            <w:r>
              <w:rPr>
                <w:sz w:val="22"/>
              </w:rPr>
              <w:t>Lemon</w:t>
            </w:r>
            <w:r>
              <w:rPr>
                <w:spacing w:val="-6"/>
                <w:sz w:val="22"/>
              </w:rPr>
              <w:t> </w:t>
            </w:r>
            <w:r>
              <w:rPr>
                <w:spacing w:val="-2"/>
                <w:sz w:val="22"/>
              </w:rPr>
              <w:t>(100%)</w:t>
            </w:r>
          </w:p>
        </w:tc>
        <w:tc>
          <w:tcPr>
            <w:tcW w:w="2207" w:type="dxa"/>
          </w:tcPr>
          <w:p>
            <w:pPr>
              <w:pStyle w:val="TableParagraph"/>
              <w:spacing w:before="70"/>
              <w:ind w:right="384"/>
              <w:jc w:val="right"/>
              <w:rPr>
                <w:sz w:val="22"/>
              </w:rPr>
            </w:pPr>
            <w:r>
              <w:rPr>
                <w:spacing w:val="-2"/>
                <w:sz w:val="22"/>
              </w:rPr>
              <w:t>21.333±0.374</w:t>
            </w:r>
          </w:p>
        </w:tc>
        <w:tc>
          <w:tcPr>
            <w:tcW w:w="1392" w:type="dxa"/>
          </w:tcPr>
          <w:p>
            <w:pPr>
              <w:pStyle w:val="TableParagraph"/>
              <w:spacing w:before="70"/>
              <w:ind w:right="110"/>
              <w:jc w:val="center"/>
              <w:rPr>
                <w:sz w:val="22"/>
              </w:rPr>
            </w:pPr>
            <w:r>
              <w:rPr>
                <w:spacing w:val="-2"/>
                <w:sz w:val="22"/>
              </w:rPr>
              <w:t>0.005</w:t>
            </w:r>
          </w:p>
        </w:tc>
        <w:tc>
          <w:tcPr>
            <w:tcW w:w="1400" w:type="dxa"/>
          </w:tcPr>
          <w:p>
            <w:pPr>
              <w:pStyle w:val="TableParagraph"/>
              <w:spacing w:before="70"/>
              <w:ind w:left="525"/>
              <w:rPr>
                <w:sz w:val="22"/>
              </w:rPr>
            </w:pPr>
            <w:r>
              <w:rPr>
                <w:spacing w:val="-5"/>
                <w:sz w:val="22"/>
              </w:rPr>
              <w:t>SF</w:t>
            </w:r>
          </w:p>
        </w:tc>
      </w:tr>
      <w:tr>
        <w:trPr>
          <w:trHeight w:val="524" w:hRule="atLeast"/>
        </w:trPr>
        <w:tc>
          <w:tcPr>
            <w:tcW w:w="1531" w:type="dxa"/>
            <w:tcBorders>
              <w:bottom w:val="single" w:sz="4" w:space="0" w:color="000000"/>
            </w:tcBorders>
          </w:tcPr>
          <w:p>
            <w:pPr>
              <w:pStyle w:val="TableParagraph"/>
              <w:rPr>
                <w:rFonts w:ascii="Times New Roman"/>
                <w:sz w:val="22"/>
              </w:rPr>
            </w:pPr>
          </w:p>
        </w:tc>
        <w:tc>
          <w:tcPr>
            <w:tcW w:w="2129" w:type="dxa"/>
            <w:tcBorders>
              <w:bottom w:val="single" w:sz="4" w:space="0" w:color="000000"/>
            </w:tcBorders>
          </w:tcPr>
          <w:p>
            <w:pPr>
              <w:pStyle w:val="TableParagraph"/>
              <w:spacing w:before="70"/>
              <w:ind w:left="249"/>
              <w:rPr>
                <w:sz w:val="22"/>
              </w:rPr>
            </w:pPr>
            <w:r>
              <w:rPr>
                <w:sz w:val="22"/>
              </w:rPr>
              <w:t>Lemon</w:t>
            </w:r>
            <w:r>
              <w:rPr>
                <w:spacing w:val="-4"/>
                <w:sz w:val="22"/>
              </w:rPr>
              <w:t> </w:t>
            </w:r>
            <w:r>
              <w:rPr>
                <w:spacing w:val="-2"/>
                <w:sz w:val="22"/>
              </w:rPr>
              <w:t>(50%)</w:t>
            </w:r>
          </w:p>
        </w:tc>
        <w:tc>
          <w:tcPr>
            <w:tcW w:w="2207" w:type="dxa"/>
            <w:tcBorders>
              <w:bottom w:val="single" w:sz="4" w:space="0" w:color="000000"/>
            </w:tcBorders>
          </w:tcPr>
          <w:p>
            <w:pPr>
              <w:pStyle w:val="TableParagraph"/>
              <w:spacing w:before="70"/>
              <w:ind w:right="384"/>
              <w:jc w:val="right"/>
              <w:rPr>
                <w:sz w:val="22"/>
              </w:rPr>
            </w:pPr>
            <w:r>
              <w:rPr>
                <w:spacing w:val="-2"/>
                <w:sz w:val="22"/>
              </w:rPr>
              <w:t>18.333±0.374</w:t>
            </w:r>
          </w:p>
        </w:tc>
        <w:tc>
          <w:tcPr>
            <w:tcW w:w="1392" w:type="dxa"/>
            <w:tcBorders>
              <w:bottom w:val="single" w:sz="4" w:space="0" w:color="000000"/>
            </w:tcBorders>
          </w:tcPr>
          <w:p>
            <w:pPr>
              <w:pStyle w:val="TableParagraph"/>
              <w:spacing w:before="70"/>
              <w:ind w:right="110"/>
              <w:jc w:val="center"/>
              <w:rPr>
                <w:sz w:val="22"/>
              </w:rPr>
            </w:pPr>
            <w:r>
              <w:rPr>
                <w:spacing w:val="-2"/>
                <w:sz w:val="22"/>
              </w:rPr>
              <w:t>0.492</w:t>
            </w:r>
          </w:p>
        </w:tc>
        <w:tc>
          <w:tcPr>
            <w:tcW w:w="1400" w:type="dxa"/>
            <w:tcBorders>
              <w:bottom w:val="single" w:sz="4" w:space="0" w:color="000000"/>
            </w:tcBorders>
          </w:tcPr>
          <w:p>
            <w:pPr>
              <w:pStyle w:val="TableParagraph"/>
              <w:spacing w:before="70"/>
              <w:ind w:left="504"/>
              <w:rPr>
                <w:sz w:val="22"/>
              </w:rPr>
            </w:pPr>
            <w:r>
              <w:rPr>
                <w:spacing w:val="-5"/>
                <w:sz w:val="22"/>
              </w:rPr>
              <w:t>NS</w:t>
            </w:r>
          </w:p>
        </w:tc>
      </w:tr>
    </w:tbl>
    <w:p>
      <w:pPr>
        <w:pStyle w:val="BodyText"/>
        <w:spacing w:line="400" w:lineRule="auto" w:before="21"/>
        <w:ind w:left="430" w:right="3485" w:hanging="51"/>
      </w:pPr>
      <w:r>
        <w:rPr/>
        <w:t>Key</w:t>
      </w:r>
      <w:r>
        <w:rPr>
          <w:b/>
        </w:rPr>
        <w:t>:</w:t>
      </w:r>
      <w:r>
        <w:rPr>
          <w:b/>
          <w:spacing w:val="-7"/>
        </w:rPr>
        <w:t> </w:t>
      </w:r>
      <w:r>
        <w:rPr/>
        <w:t>LOS=Level</w:t>
      </w:r>
      <w:r>
        <w:rPr>
          <w:spacing w:val="-6"/>
        </w:rPr>
        <w:t> </w:t>
      </w:r>
      <w:r>
        <w:rPr/>
        <w:t>of</w:t>
      </w:r>
      <w:r>
        <w:rPr>
          <w:spacing w:val="-5"/>
        </w:rPr>
        <w:t> </w:t>
      </w:r>
      <w:r>
        <w:rPr/>
        <w:t>Significance;</w:t>
      </w:r>
      <w:r>
        <w:rPr>
          <w:spacing w:val="-5"/>
        </w:rPr>
        <w:t> </w:t>
      </w:r>
      <w:r>
        <w:rPr/>
        <w:t>NS=Not</w:t>
      </w:r>
      <w:r>
        <w:rPr>
          <w:spacing w:val="-5"/>
        </w:rPr>
        <w:t> </w:t>
      </w:r>
      <w:r>
        <w:rPr/>
        <w:t>significantly</w:t>
      </w:r>
      <w:r>
        <w:rPr>
          <w:spacing w:val="-5"/>
        </w:rPr>
        <w:t> </w:t>
      </w:r>
      <w:r>
        <w:rPr/>
        <w:t>different; SF=Significantly different.</w:t>
      </w:r>
    </w:p>
    <w:p>
      <w:pPr>
        <w:spacing w:after="0" w:line="400" w:lineRule="auto"/>
        <w:sectPr>
          <w:type w:val="continuous"/>
          <w:pgSz w:w="11910" w:h="16840"/>
          <w:pgMar w:header="0" w:footer="1055" w:top="1440" w:bottom="1240" w:left="1060" w:right="460"/>
        </w:sectPr>
      </w:pPr>
    </w:p>
    <w:p>
      <w:pPr>
        <w:pStyle w:val="Heading3"/>
        <w:spacing w:line="259" w:lineRule="auto" w:before="38"/>
        <w:ind w:left="1513" w:right="975" w:hanging="1133"/>
        <w:rPr>
          <w:i/>
        </w:rPr>
      </w:pPr>
      <w:r>
        <w:rPr/>
        <w:t>Table</w:t>
      </w:r>
      <w:r>
        <w:rPr>
          <w:spacing w:val="-3"/>
        </w:rPr>
        <w:t> </w:t>
      </w:r>
      <w:r>
        <w:rPr/>
        <w:t>4.17:</w:t>
      </w:r>
      <w:r>
        <w:rPr>
          <w:spacing w:val="-3"/>
        </w:rPr>
        <w:t> </w:t>
      </w:r>
      <w:r>
        <w:rPr/>
        <w:t>Comparing</w:t>
      </w:r>
      <w:r>
        <w:rPr>
          <w:spacing w:val="-4"/>
        </w:rPr>
        <w:t> </w:t>
      </w:r>
      <w:r>
        <w:rPr/>
        <w:t>the</w:t>
      </w:r>
      <w:r>
        <w:rPr>
          <w:spacing w:val="-5"/>
        </w:rPr>
        <w:t> </w:t>
      </w:r>
      <w:r>
        <w:rPr/>
        <w:t>Mean</w:t>
      </w:r>
      <w:r>
        <w:rPr>
          <w:spacing w:val="-3"/>
        </w:rPr>
        <w:t> </w:t>
      </w:r>
      <w:r>
        <w:rPr/>
        <w:t>zone</w:t>
      </w:r>
      <w:r>
        <w:rPr>
          <w:spacing w:val="-3"/>
        </w:rPr>
        <w:t> </w:t>
      </w:r>
      <w:r>
        <w:rPr/>
        <w:t>of</w:t>
      </w:r>
      <w:r>
        <w:rPr>
          <w:spacing w:val="-2"/>
        </w:rPr>
        <w:t> </w:t>
      </w:r>
      <w:r>
        <w:rPr/>
        <w:t>inhibition</w:t>
      </w:r>
      <w:r>
        <w:rPr>
          <w:spacing w:val="-3"/>
        </w:rPr>
        <w:t> </w:t>
      </w:r>
      <w:r>
        <w:rPr/>
        <w:t>of</w:t>
      </w:r>
      <w:r>
        <w:rPr>
          <w:spacing w:val="-5"/>
        </w:rPr>
        <w:t> </w:t>
      </w:r>
      <w:r>
        <w:rPr/>
        <w:t>Lemon</w:t>
      </w:r>
      <w:r>
        <w:rPr>
          <w:spacing w:val="-1"/>
        </w:rPr>
        <w:t> </w:t>
      </w:r>
      <w:r>
        <w:rPr/>
        <w:t>juice</w:t>
      </w:r>
      <w:r>
        <w:rPr>
          <w:spacing w:val="-2"/>
        </w:rPr>
        <w:t> </w:t>
      </w:r>
      <w:r>
        <w:rPr/>
        <w:t>and</w:t>
      </w:r>
      <w:r>
        <w:rPr>
          <w:spacing w:val="-3"/>
        </w:rPr>
        <w:t> </w:t>
      </w:r>
      <w:r>
        <w:rPr/>
        <w:t>the</w:t>
      </w:r>
      <w:r>
        <w:rPr>
          <w:spacing w:val="-3"/>
        </w:rPr>
        <w:t> </w:t>
      </w:r>
      <w:r>
        <w:rPr/>
        <w:t>Standard</w:t>
      </w:r>
      <w:r>
        <w:rPr>
          <w:spacing w:val="-3"/>
        </w:rPr>
        <w:t> </w:t>
      </w:r>
      <w:r>
        <w:rPr/>
        <w:t>antibiotic formulations against </w:t>
      </w:r>
      <w:r>
        <w:rPr>
          <w:i/>
        </w:rPr>
        <w:t>Staphylococcus aureus</w:t>
      </w:r>
    </w:p>
    <w:p>
      <w:pPr>
        <w:pStyle w:val="BodyText"/>
        <w:rPr>
          <w:b/>
          <w:i/>
          <w:sz w:val="20"/>
        </w:rPr>
      </w:pPr>
    </w:p>
    <w:p>
      <w:pPr>
        <w:pStyle w:val="BodyText"/>
        <w:spacing w:before="102"/>
        <w:rPr>
          <w:b/>
          <w:i/>
          <w:sz w:val="20"/>
        </w:rPr>
      </w:pPr>
      <w:r>
        <w:rPr/>
        <mc:AlternateContent>
          <mc:Choice Requires="wps">
            <w:drawing>
              <wp:anchor distT="0" distB="0" distL="0" distR="0" allowOverlap="1" layoutInCell="1" locked="0" behindDoc="1" simplePos="0" relativeHeight="487674880">
                <wp:simplePos x="0" y="0"/>
                <wp:positionH relativeFrom="page">
                  <wp:posOffset>846124</wp:posOffset>
                </wp:positionH>
                <wp:positionV relativeFrom="paragraph">
                  <wp:posOffset>235064</wp:posOffset>
                </wp:positionV>
                <wp:extent cx="5509260" cy="6350"/>
                <wp:effectExtent l="0" t="0" r="0" b="0"/>
                <wp:wrapTopAndBottom/>
                <wp:docPr id="490" name="Graphic 490"/>
                <wp:cNvGraphicFramePr>
                  <a:graphicFrameLocks/>
                </wp:cNvGraphicFramePr>
                <a:graphic>
                  <a:graphicData uri="http://schemas.microsoft.com/office/word/2010/wordprocessingShape">
                    <wps:wsp>
                      <wps:cNvPr id="490" name="Graphic 490"/>
                      <wps:cNvSpPr/>
                      <wps:spPr>
                        <a:xfrm>
                          <a:off x="0" y="0"/>
                          <a:ext cx="5509260" cy="6350"/>
                        </a:xfrm>
                        <a:custGeom>
                          <a:avLst/>
                          <a:gdLst/>
                          <a:ahLst/>
                          <a:cxnLst/>
                          <a:rect l="l" t="t" r="r" b="b"/>
                          <a:pathLst>
                            <a:path w="5509260" h="6350">
                              <a:moveTo>
                                <a:pt x="2409647" y="0"/>
                              </a:moveTo>
                              <a:lnTo>
                                <a:pt x="984453" y="0"/>
                              </a:lnTo>
                              <a:lnTo>
                                <a:pt x="978408" y="0"/>
                              </a:lnTo>
                              <a:lnTo>
                                <a:pt x="0" y="0"/>
                              </a:lnTo>
                              <a:lnTo>
                                <a:pt x="0" y="6096"/>
                              </a:lnTo>
                              <a:lnTo>
                                <a:pt x="978357" y="6096"/>
                              </a:lnTo>
                              <a:lnTo>
                                <a:pt x="984453" y="6096"/>
                              </a:lnTo>
                              <a:lnTo>
                                <a:pt x="2409647" y="6096"/>
                              </a:lnTo>
                              <a:lnTo>
                                <a:pt x="2409647" y="0"/>
                              </a:lnTo>
                              <a:close/>
                            </a:path>
                            <a:path w="5509260" h="6350">
                              <a:moveTo>
                                <a:pt x="2415857" y="0"/>
                              </a:moveTo>
                              <a:lnTo>
                                <a:pt x="2409774" y="0"/>
                              </a:lnTo>
                              <a:lnTo>
                                <a:pt x="2409774" y="6096"/>
                              </a:lnTo>
                              <a:lnTo>
                                <a:pt x="2415857" y="6096"/>
                              </a:lnTo>
                              <a:lnTo>
                                <a:pt x="2415857" y="0"/>
                              </a:lnTo>
                              <a:close/>
                            </a:path>
                            <a:path w="5509260" h="6350">
                              <a:moveTo>
                                <a:pt x="3677983" y="0"/>
                              </a:moveTo>
                              <a:lnTo>
                                <a:pt x="3671951" y="0"/>
                              </a:lnTo>
                              <a:lnTo>
                                <a:pt x="2415870" y="0"/>
                              </a:lnTo>
                              <a:lnTo>
                                <a:pt x="2415870" y="6096"/>
                              </a:lnTo>
                              <a:lnTo>
                                <a:pt x="3671900" y="6096"/>
                              </a:lnTo>
                              <a:lnTo>
                                <a:pt x="3677983" y="6096"/>
                              </a:lnTo>
                              <a:lnTo>
                                <a:pt x="3677983" y="0"/>
                              </a:lnTo>
                              <a:close/>
                            </a:path>
                            <a:path w="5509260" h="6350">
                              <a:moveTo>
                                <a:pt x="4476877" y="0"/>
                              </a:moveTo>
                              <a:lnTo>
                                <a:pt x="3677996" y="0"/>
                              </a:lnTo>
                              <a:lnTo>
                                <a:pt x="3677996" y="6096"/>
                              </a:lnTo>
                              <a:lnTo>
                                <a:pt x="4476877" y="6096"/>
                              </a:lnTo>
                              <a:lnTo>
                                <a:pt x="4476877" y="0"/>
                              </a:lnTo>
                              <a:close/>
                            </a:path>
                            <a:path w="5509260" h="6350">
                              <a:moveTo>
                                <a:pt x="4483036" y="0"/>
                              </a:moveTo>
                              <a:lnTo>
                                <a:pt x="4476953" y="0"/>
                              </a:lnTo>
                              <a:lnTo>
                                <a:pt x="4476953" y="6096"/>
                              </a:lnTo>
                              <a:lnTo>
                                <a:pt x="4483036" y="6096"/>
                              </a:lnTo>
                              <a:lnTo>
                                <a:pt x="4483036" y="0"/>
                              </a:lnTo>
                              <a:close/>
                            </a:path>
                            <a:path w="5509260" h="6350">
                              <a:moveTo>
                                <a:pt x="5509006" y="0"/>
                              </a:moveTo>
                              <a:lnTo>
                                <a:pt x="4483049" y="0"/>
                              </a:lnTo>
                              <a:lnTo>
                                <a:pt x="4483049" y="6096"/>
                              </a:lnTo>
                              <a:lnTo>
                                <a:pt x="5509006" y="6096"/>
                              </a:lnTo>
                              <a:lnTo>
                                <a:pt x="5509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18.509029pt;width:433.8pt;height:.5pt;mso-position-horizontal-relative:page;mso-position-vertical-relative:paragraph;z-index:-15641600;mso-wrap-distance-left:0;mso-wrap-distance-right:0" id="docshape435" coordorigin="1332,370" coordsize="8676,10" path="m5127,370l2883,370,2873,370,2873,370,1332,370,1332,380,2873,380,2873,380,2883,380,5127,380,5127,370xm5137,370l5127,370,5127,380,5137,380,5137,370xm7125,370l7115,370,7115,370,5137,370,5137,380,7115,380,7115,380,7125,380,7125,370xm8383,370l7125,370,7125,380,8383,380,8383,370xm8392,370l8383,370,8383,380,8392,380,8392,370xm10008,370l8392,370,8392,380,10008,380,10008,370xe" filled="true" fillcolor="#000000" stroked="false">
                <v:path arrowok="t"/>
                <v:fill type="solid"/>
                <w10:wrap type="topAndBottom"/>
              </v:shape>
            </w:pict>
          </mc:Fallback>
        </mc:AlternateContent>
      </w:r>
    </w:p>
    <w:p>
      <w:pPr>
        <w:pStyle w:val="BodyText"/>
        <w:spacing w:before="240"/>
        <w:rPr>
          <w:b/>
          <w:i/>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1"/>
        <w:gridCol w:w="2035"/>
        <w:gridCol w:w="2189"/>
        <w:gridCol w:w="1478"/>
        <w:gridCol w:w="1455"/>
      </w:tblGrid>
      <w:tr>
        <w:trPr>
          <w:trHeight w:val="858" w:hRule="atLeast"/>
        </w:trPr>
        <w:tc>
          <w:tcPr>
            <w:tcW w:w="1521" w:type="dxa"/>
            <w:tcBorders>
              <w:bottom w:val="single" w:sz="4" w:space="0" w:color="000000"/>
            </w:tcBorders>
          </w:tcPr>
          <w:p>
            <w:pPr>
              <w:pStyle w:val="TableParagraph"/>
              <w:spacing w:line="225" w:lineRule="exact"/>
              <w:ind w:left="108"/>
              <w:rPr>
                <w:sz w:val="22"/>
              </w:rPr>
            </w:pPr>
            <w:r>
              <w:rPr>
                <w:sz w:val="22"/>
              </w:rPr>
              <w:t>(I)</w:t>
            </w:r>
            <w:r>
              <w:rPr>
                <w:spacing w:val="-2"/>
                <w:sz w:val="22"/>
              </w:rPr>
              <w:t> Group</w:t>
            </w:r>
          </w:p>
        </w:tc>
        <w:tc>
          <w:tcPr>
            <w:tcW w:w="2035" w:type="dxa"/>
            <w:tcBorders>
              <w:bottom w:val="single" w:sz="4" w:space="0" w:color="000000"/>
            </w:tcBorders>
          </w:tcPr>
          <w:p>
            <w:pPr>
              <w:pStyle w:val="TableParagraph"/>
              <w:spacing w:line="225" w:lineRule="exact"/>
              <w:ind w:left="127"/>
              <w:rPr>
                <w:sz w:val="22"/>
              </w:rPr>
            </w:pPr>
            <w:r>
              <w:rPr>
                <w:sz w:val="22"/>
              </w:rPr>
              <w:t>(J)</w:t>
            </w:r>
            <w:r>
              <w:rPr>
                <w:spacing w:val="-2"/>
                <w:sz w:val="22"/>
              </w:rPr>
              <w:t> Group</w:t>
            </w:r>
          </w:p>
        </w:tc>
        <w:tc>
          <w:tcPr>
            <w:tcW w:w="2189" w:type="dxa"/>
            <w:tcBorders>
              <w:bottom w:val="single" w:sz="4" w:space="0" w:color="000000"/>
            </w:tcBorders>
          </w:tcPr>
          <w:p>
            <w:pPr>
              <w:pStyle w:val="TableParagraph"/>
              <w:spacing w:line="225" w:lineRule="exact"/>
              <w:ind w:right="441"/>
              <w:jc w:val="right"/>
              <w:rPr>
                <w:sz w:val="22"/>
              </w:rPr>
            </w:pPr>
            <w:r>
              <w:rPr>
                <w:spacing w:val="-2"/>
                <w:sz w:val="22"/>
              </w:rPr>
              <w:t>Mean±SEM</w:t>
            </w:r>
          </w:p>
        </w:tc>
        <w:tc>
          <w:tcPr>
            <w:tcW w:w="1478" w:type="dxa"/>
            <w:tcBorders>
              <w:bottom w:val="single" w:sz="4" w:space="0" w:color="000000"/>
            </w:tcBorders>
          </w:tcPr>
          <w:p>
            <w:pPr>
              <w:pStyle w:val="TableParagraph"/>
              <w:spacing w:line="225" w:lineRule="exact"/>
              <w:ind w:left="2" w:right="134"/>
              <w:jc w:val="center"/>
              <w:rPr>
                <w:sz w:val="22"/>
              </w:rPr>
            </w:pPr>
            <w:r>
              <w:rPr>
                <w:sz w:val="22"/>
              </w:rPr>
              <w:t>P-</w:t>
            </w:r>
            <w:r>
              <w:rPr>
                <w:spacing w:val="-2"/>
                <w:sz w:val="22"/>
              </w:rPr>
              <w:t>value</w:t>
            </w:r>
          </w:p>
        </w:tc>
        <w:tc>
          <w:tcPr>
            <w:tcW w:w="1455" w:type="dxa"/>
            <w:tcBorders>
              <w:bottom w:val="single" w:sz="4" w:space="0" w:color="000000"/>
            </w:tcBorders>
          </w:tcPr>
          <w:p>
            <w:pPr>
              <w:pStyle w:val="TableParagraph"/>
              <w:spacing w:line="225" w:lineRule="exact"/>
              <w:ind w:left="470"/>
              <w:rPr>
                <w:sz w:val="22"/>
              </w:rPr>
            </w:pPr>
            <w:r>
              <w:rPr>
                <w:spacing w:val="-5"/>
                <w:sz w:val="22"/>
              </w:rPr>
              <w:t>LOS</w:t>
            </w:r>
          </w:p>
        </w:tc>
      </w:tr>
      <w:tr>
        <w:trPr>
          <w:trHeight w:val="376" w:hRule="atLeast"/>
        </w:trPr>
        <w:tc>
          <w:tcPr>
            <w:tcW w:w="1521" w:type="dxa"/>
            <w:tcBorders>
              <w:top w:val="single" w:sz="4" w:space="0" w:color="000000"/>
            </w:tcBorders>
          </w:tcPr>
          <w:p>
            <w:pPr>
              <w:pStyle w:val="TableParagraph"/>
              <w:rPr>
                <w:rFonts w:ascii="Times New Roman"/>
                <w:sz w:val="22"/>
              </w:rPr>
            </w:pPr>
          </w:p>
        </w:tc>
        <w:tc>
          <w:tcPr>
            <w:tcW w:w="2035" w:type="dxa"/>
            <w:tcBorders>
              <w:top w:val="single" w:sz="4" w:space="0" w:color="000000"/>
            </w:tcBorders>
          </w:tcPr>
          <w:p>
            <w:pPr>
              <w:pStyle w:val="TableParagraph"/>
              <w:spacing w:line="265" w:lineRule="exact"/>
              <w:ind w:left="127"/>
              <w:rPr>
                <w:sz w:val="22"/>
              </w:rPr>
            </w:pPr>
            <w:r>
              <w:rPr>
                <w:spacing w:val="-5"/>
                <w:sz w:val="22"/>
              </w:rPr>
              <w:t>CRO</w:t>
            </w:r>
          </w:p>
        </w:tc>
        <w:tc>
          <w:tcPr>
            <w:tcW w:w="2189" w:type="dxa"/>
            <w:tcBorders>
              <w:top w:val="single" w:sz="4" w:space="0" w:color="000000"/>
            </w:tcBorders>
          </w:tcPr>
          <w:p>
            <w:pPr>
              <w:pStyle w:val="TableParagraph"/>
              <w:spacing w:line="265" w:lineRule="exact"/>
              <w:ind w:right="341"/>
              <w:jc w:val="right"/>
              <w:rPr>
                <w:sz w:val="22"/>
              </w:rPr>
            </w:pPr>
            <w:r>
              <w:rPr>
                <w:spacing w:val="-2"/>
                <w:sz w:val="22"/>
              </w:rPr>
              <w:t>20.000±1.129</w:t>
            </w:r>
          </w:p>
        </w:tc>
        <w:tc>
          <w:tcPr>
            <w:tcW w:w="1478" w:type="dxa"/>
            <w:tcBorders>
              <w:top w:val="single" w:sz="4" w:space="0" w:color="000000"/>
            </w:tcBorders>
          </w:tcPr>
          <w:p>
            <w:pPr>
              <w:pStyle w:val="TableParagraph"/>
              <w:spacing w:line="265" w:lineRule="exact"/>
              <w:ind w:right="134"/>
              <w:jc w:val="center"/>
              <w:rPr>
                <w:sz w:val="22"/>
              </w:rPr>
            </w:pPr>
            <w:r>
              <w:rPr>
                <w:spacing w:val="-2"/>
                <w:sz w:val="22"/>
              </w:rPr>
              <w:t>1.000</w:t>
            </w:r>
          </w:p>
        </w:tc>
        <w:tc>
          <w:tcPr>
            <w:tcW w:w="1455" w:type="dxa"/>
            <w:tcBorders>
              <w:top w:val="single" w:sz="4" w:space="0" w:color="000000"/>
            </w:tcBorders>
          </w:tcPr>
          <w:p>
            <w:pPr>
              <w:pStyle w:val="TableParagraph"/>
              <w:spacing w:line="265" w:lineRule="exact"/>
              <w:ind w:left="518"/>
              <w:rPr>
                <w:sz w:val="22"/>
              </w:rPr>
            </w:pPr>
            <w:r>
              <w:rPr>
                <w:spacing w:val="-5"/>
                <w:sz w:val="22"/>
              </w:rPr>
              <w:t>NS</w:t>
            </w:r>
          </w:p>
        </w:tc>
      </w:tr>
      <w:tr>
        <w:trPr>
          <w:trHeight w:val="450" w:hRule="atLeast"/>
        </w:trPr>
        <w:tc>
          <w:tcPr>
            <w:tcW w:w="1521" w:type="dxa"/>
          </w:tcPr>
          <w:p>
            <w:pPr>
              <w:pStyle w:val="TableParagraph"/>
              <w:rPr>
                <w:rFonts w:ascii="Times New Roman"/>
                <w:sz w:val="22"/>
              </w:rPr>
            </w:pPr>
          </w:p>
        </w:tc>
        <w:tc>
          <w:tcPr>
            <w:tcW w:w="2035" w:type="dxa"/>
          </w:tcPr>
          <w:p>
            <w:pPr>
              <w:pStyle w:val="TableParagraph"/>
              <w:spacing w:before="71"/>
              <w:ind w:left="127"/>
              <w:rPr>
                <w:sz w:val="22"/>
              </w:rPr>
            </w:pPr>
            <w:r>
              <w:rPr>
                <w:spacing w:val="-5"/>
                <w:sz w:val="22"/>
              </w:rPr>
              <w:t>CN</w:t>
            </w:r>
          </w:p>
        </w:tc>
        <w:tc>
          <w:tcPr>
            <w:tcW w:w="2189" w:type="dxa"/>
          </w:tcPr>
          <w:p>
            <w:pPr>
              <w:pStyle w:val="TableParagraph"/>
              <w:spacing w:before="71"/>
              <w:ind w:right="341"/>
              <w:jc w:val="right"/>
              <w:rPr>
                <w:sz w:val="22"/>
              </w:rPr>
            </w:pPr>
            <w:r>
              <w:rPr>
                <w:spacing w:val="-2"/>
                <w:sz w:val="22"/>
              </w:rPr>
              <w:t>21.571±1.073</w:t>
            </w:r>
          </w:p>
        </w:tc>
        <w:tc>
          <w:tcPr>
            <w:tcW w:w="1478" w:type="dxa"/>
          </w:tcPr>
          <w:p>
            <w:pPr>
              <w:pStyle w:val="TableParagraph"/>
              <w:spacing w:before="71"/>
              <w:ind w:right="134"/>
              <w:jc w:val="center"/>
              <w:rPr>
                <w:sz w:val="22"/>
              </w:rPr>
            </w:pPr>
            <w:r>
              <w:rPr>
                <w:spacing w:val="-2"/>
                <w:sz w:val="22"/>
              </w:rPr>
              <w:t>0.980</w:t>
            </w:r>
          </w:p>
        </w:tc>
        <w:tc>
          <w:tcPr>
            <w:tcW w:w="1455" w:type="dxa"/>
          </w:tcPr>
          <w:p>
            <w:pPr>
              <w:pStyle w:val="TableParagraph"/>
              <w:spacing w:before="71"/>
              <w:ind w:left="518"/>
              <w:rPr>
                <w:sz w:val="22"/>
              </w:rPr>
            </w:pPr>
            <w:r>
              <w:rPr>
                <w:spacing w:val="-5"/>
                <w:sz w:val="22"/>
              </w:rPr>
              <w:t>NS</w:t>
            </w:r>
          </w:p>
        </w:tc>
      </w:tr>
      <w:tr>
        <w:trPr>
          <w:trHeight w:val="449" w:hRule="atLeast"/>
        </w:trPr>
        <w:tc>
          <w:tcPr>
            <w:tcW w:w="1521" w:type="dxa"/>
          </w:tcPr>
          <w:p>
            <w:pPr>
              <w:pStyle w:val="TableParagraph"/>
              <w:rPr>
                <w:rFonts w:ascii="Times New Roman"/>
                <w:sz w:val="22"/>
              </w:rPr>
            </w:pPr>
          </w:p>
        </w:tc>
        <w:tc>
          <w:tcPr>
            <w:tcW w:w="2035" w:type="dxa"/>
          </w:tcPr>
          <w:p>
            <w:pPr>
              <w:pStyle w:val="TableParagraph"/>
              <w:spacing w:before="70"/>
              <w:ind w:left="127"/>
              <w:rPr>
                <w:sz w:val="22"/>
              </w:rPr>
            </w:pPr>
            <w:r>
              <w:rPr>
                <w:spacing w:val="-5"/>
                <w:sz w:val="22"/>
              </w:rPr>
              <w:t>AMC</w:t>
            </w:r>
          </w:p>
        </w:tc>
        <w:tc>
          <w:tcPr>
            <w:tcW w:w="2189" w:type="dxa"/>
          </w:tcPr>
          <w:p>
            <w:pPr>
              <w:pStyle w:val="TableParagraph"/>
              <w:spacing w:before="70"/>
              <w:ind w:right="341"/>
              <w:jc w:val="right"/>
              <w:rPr>
                <w:sz w:val="22"/>
              </w:rPr>
            </w:pPr>
            <w:r>
              <w:rPr>
                <w:spacing w:val="-2"/>
                <w:sz w:val="22"/>
              </w:rPr>
              <w:t>20.286±1.669</w:t>
            </w:r>
          </w:p>
        </w:tc>
        <w:tc>
          <w:tcPr>
            <w:tcW w:w="1478" w:type="dxa"/>
          </w:tcPr>
          <w:p>
            <w:pPr>
              <w:pStyle w:val="TableParagraph"/>
              <w:spacing w:before="70"/>
              <w:ind w:right="134"/>
              <w:jc w:val="center"/>
              <w:rPr>
                <w:sz w:val="22"/>
              </w:rPr>
            </w:pPr>
            <w:r>
              <w:rPr>
                <w:spacing w:val="-2"/>
                <w:sz w:val="22"/>
              </w:rPr>
              <w:t>1.000</w:t>
            </w:r>
          </w:p>
        </w:tc>
        <w:tc>
          <w:tcPr>
            <w:tcW w:w="1455" w:type="dxa"/>
          </w:tcPr>
          <w:p>
            <w:pPr>
              <w:pStyle w:val="TableParagraph"/>
              <w:spacing w:before="70"/>
              <w:ind w:left="518"/>
              <w:rPr>
                <w:sz w:val="22"/>
              </w:rPr>
            </w:pPr>
            <w:r>
              <w:rPr>
                <w:spacing w:val="-5"/>
                <w:sz w:val="22"/>
              </w:rPr>
              <w:t>NS</w:t>
            </w:r>
          </w:p>
        </w:tc>
      </w:tr>
      <w:tr>
        <w:trPr>
          <w:trHeight w:val="450" w:hRule="atLeast"/>
        </w:trPr>
        <w:tc>
          <w:tcPr>
            <w:tcW w:w="1521" w:type="dxa"/>
          </w:tcPr>
          <w:p>
            <w:pPr>
              <w:pStyle w:val="TableParagraph"/>
              <w:spacing w:before="70"/>
              <w:ind w:left="108"/>
              <w:rPr>
                <w:sz w:val="22"/>
              </w:rPr>
            </w:pPr>
            <w:r>
              <w:rPr>
                <w:sz w:val="22"/>
              </w:rPr>
              <w:t>Lemon</w:t>
            </w:r>
            <w:r>
              <w:rPr>
                <w:spacing w:val="-6"/>
                <w:sz w:val="22"/>
              </w:rPr>
              <w:t> </w:t>
            </w:r>
            <w:r>
              <w:rPr>
                <w:spacing w:val="-2"/>
                <w:sz w:val="22"/>
              </w:rPr>
              <w:t>(100%)</w:t>
            </w:r>
          </w:p>
        </w:tc>
        <w:tc>
          <w:tcPr>
            <w:tcW w:w="2035" w:type="dxa"/>
          </w:tcPr>
          <w:p>
            <w:pPr>
              <w:pStyle w:val="TableParagraph"/>
              <w:spacing w:before="70"/>
              <w:ind w:left="127"/>
              <w:rPr>
                <w:sz w:val="22"/>
              </w:rPr>
            </w:pPr>
            <w:r>
              <w:rPr>
                <w:spacing w:val="-5"/>
                <w:sz w:val="22"/>
              </w:rPr>
              <w:t>LEV</w:t>
            </w:r>
          </w:p>
        </w:tc>
        <w:tc>
          <w:tcPr>
            <w:tcW w:w="2189" w:type="dxa"/>
          </w:tcPr>
          <w:p>
            <w:pPr>
              <w:pStyle w:val="TableParagraph"/>
              <w:spacing w:before="70"/>
              <w:ind w:right="341"/>
              <w:jc w:val="right"/>
              <w:rPr>
                <w:sz w:val="22"/>
              </w:rPr>
            </w:pPr>
            <w:r>
              <w:rPr>
                <w:spacing w:val="-2"/>
                <w:sz w:val="22"/>
              </w:rPr>
              <w:t>25.857±1.148</w:t>
            </w:r>
          </w:p>
        </w:tc>
        <w:tc>
          <w:tcPr>
            <w:tcW w:w="1478" w:type="dxa"/>
          </w:tcPr>
          <w:p>
            <w:pPr>
              <w:pStyle w:val="TableParagraph"/>
              <w:spacing w:before="70"/>
              <w:ind w:right="134"/>
              <w:jc w:val="center"/>
              <w:rPr>
                <w:sz w:val="22"/>
              </w:rPr>
            </w:pPr>
            <w:r>
              <w:rPr>
                <w:spacing w:val="-2"/>
                <w:sz w:val="22"/>
              </w:rPr>
              <w:t>0.009</w:t>
            </w:r>
          </w:p>
        </w:tc>
        <w:tc>
          <w:tcPr>
            <w:tcW w:w="1455" w:type="dxa"/>
          </w:tcPr>
          <w:p>
            <w:pPr>
              <w:pStyle w:val="TableParagraph"/>
              <w:spacing w:before="70"/>
              <w:ind w:left="537"/>
              <w:rPr>
                <w:sz w:val="22"/>
              </w:rPr>
            </w:pPr>
            <w:r>
              <w:rPr>
                <w:spacing w:val="-5"/>
                <w:sz w:val="22"/>
              </w:rPr>
              <w:t>SF</w:t>
            </w:r>
          </w:p>
        </w:tc>
      </w:tr>
      <w:tr>
        <w:trPr>
          <w:trHeight w:val="450" w:hRule="atLeast"/>
        </w:trPr>
        <w:tc>
          <w:tcPr>
            <w:tcW w:w="1521" w:type="dxa"/>
          </w:tcPr>
          <w:p>
            <w:pPr>
              <w:pStyle w:val="TableParagraph"/>
              <w:rPr>
                <w:rFonts w:ascii="Times New Roman"/>
                <w:sz w:val="22"/>
              </w:rPr>
            </w:pPr>
          </w:p>
        </w:tc>
        <w:tc>
          <w:tcPr>
            <w:tcW w:w="2035" w:type="dxa"/>
          </w:tcPr>
          <w:p>
            <w:pPr>
              <w:pStyle w:val="TableParagraph"/>
              <w:spacing w:before="71"/>
              <w:ind w:left="127"/>
              <w:rPr>
                <w:sz w:val="22"/>
              </w:rPr>
            </w:pPr>
            <w:r>
              <w:rPr>
                <w:spacing w:val="-5"/>
                <w:sz w:val="22"/>
              </w:rPr>
              <w:t>AZM</w:t>
            </w:r>
          </w:p>
        </w:tc>
        <w:tc>
          <w:tcPr>
            <w:tcW w:w="2189" w:type="dxa"/>
          </w:tcPr>
          <w:p>
            <w:pPr>
              <w:pStyle w:val="TableParagraph"/>
              <w:spacing w:before="71"/>
              <w:ind w:right="341"/>
              <w:jc w:val="right"/>
              <w:rPr>
                <w:sz w:val="22"/>
              </w:rPr>
            </w:pPr>
            <w:r>
              <w:rPr>
                <w:spacing w:val="-2"/>
                <w:sz w:val="22"/>
              </w:rPr>
              <w:t>19.643±1.243</w:t>
            </w:r>
          </w:p>
        </w:tc>
        <w:tc>
          <w:tcPr>
            <w:tcW w:w="1478" w:type="dxa"/>
          </w:tcPr>
          <w:p>
            <w:pPr>
              <w:pStyle w:val="TableParagraph"/>
              <w:spacing w:before="71"/>
              <w:ind w:right="134"/>
              <w:jc w:val="center"/>
              <w:rPr>
                <w:sz w:val="22"/>
              </w:rPr>
            </w:pPr>
            <w:r>
              <w:rPr>
                <w:spacing w:val="-2"/>
                <w:sz w:val="22"/>
              </w:rPr>
              <w:t>1.000</w:t>
            </w:r>
          </w:p>
        </w:tc>
        <w:tc>
          <w:tcPr>
            <w:tcW w:w="1455" w:type="dxa"/>
          </w:tcPr>
          <w:p>
            <w:pPr>
              <w:pStyle w:val="TableParagraph"/>
              <w:spacing w:before="71"/>
              <w:ind w:left="518"/>
              <w:rPr>
                <w:sz w:val="22"/>
              </w:rPr>
            </w:pPr>
            <w:r>
              <w:rPr>
                <w:spacing w:val="-5"/>
                <w:sz w:val="22"/>
              </w:rPr>
              <w:t>NS</w:t>
            </w:r>
          </w:p>
        </w:tc>
      </w:tr>
      <w:tr>
        <w:trPr>
          <w:trHeight w:val="450" w:hRule="atLeast"/>
        </w:trPr>
        <w:tc>
          <w:tcPr>
            <w:tcW w:w="1521" w:type="dxa"/>
          </w:tcPr>
          <w:p>
            <w:pPr>
              <w:pStyle w:val="TableParagraph"/>
              <w:rPr>
                <w:rFonts w:ascii="Times New Roman"/>
                <w:sz w:val="22"/>
              </w:rPr>
            </w:pPr>
          </w:p>
        </w:tc>
        <w:tc>
          <w:tcPr>
            <w:tcW w:w="2035" w:type="dxa"/>
          </w:tcPr>
          <w:p>
            <w:pPr>
              <w:pStyle w:val="TableParagraph"/>
              <w:spacing w:before="70"/>
              <w:ind w:left="127"/>
              <w:rPr>
                <w:sz w:val="22"/>
              </w:rPr>
            </w:pPr>
            <w:r>
              <w:rPr>
                <w:sz w:val="22"/>
              </w:rPr>
              <w:t>Lemon</w:t>
            </w:r>
            <w:r>
              <w:rPr>
                <w:spacing w:val="-4"/>
                <w:sz w:val="22"/>
              </w:rPr>
              <w:t> </w:t>
            </w:r>
            <w:r>
              <w:rPr>
                <w:spacing w:val="-2"/>
                <w:sz w:val="22"/>
              </w:rPr>
              <w:t>(50%)</w:t>
            </w:r>
          </w:p>
        </w:tc>
        <w:tc>
          <w:tcPr>
            <w:tcW w:w="2189" w:type="dxa"/>
          </w:tcPr>
          <w:p>
            <w:pPr>
              <w:pStyle w:val="TableParagraph"/>
              <w:spacing w:before="70"/>
              <w:ind w:right="341"/>
              <w:jc w:val="right"/>
              <w:rPr>
                <w:sz w:val="22"/>
              </w:rPr>
            </w:pPr>
            <w:r>
              <w:rPr>
                <w:spacing w:val="-2"/>
                <w:sz w:val="22"/>
              </w:rPr>
              <w:t>17.500±0.918</w:t>
            </w:r>
          </w:p>
        </w:tc>
        <w:tc>
          <w:tcPr>
            <w:tcW w:w="1478" w:type="dxa"/>
          </w:tcPr>
          <w:p>
            <w:pPr>
              <w:pStyle w:val="TableParagraph"/>
              <w:spacing w:before="70"/>
              <w:ind w:right="134"/>
              <w:jc w:val="center"/>
              <w:rPr>
                <w:sz w:val="22"/>
              </w:rPr>
            </w:pPr>
            <w:r>
              <w:rPr>
                <w:spacing w:val="-2"/>
                <w:sz w:val="22"/>
              </w:rPr>
              <w:t>0.734</w:t>
            </w:r>
          </w:p>
        </w:tc>
        <w:tc>
          <w:tcPr>
            <w:tcW w:w="1455" w:type="dxa"/>
          </w:tcPr>
          <w:p>
            <w:pPr>
              <w:pStyle w:val="TableParagraph"/>
              <w:spacing w:before="70"/>
              <w:ind w:left="518"/>
              <w:rPr>
                <w:sz w:val="22"/>
              </w:rPr>
            </w:pPr>
            <w:r>
              <w:rPr>
                <w:spacing w:val="-5"/>
                <w:sz w:val="22"/>
              </w:rPr>
              <w:t>NS</w:t>
            </w:r>
          </w:p>
        </w:tc>
      </w:tr>
      <w:tr>
        <w:trPr>
          <w:trHeight w:val="522" w:hRule="atLeast"/>
        </w:trPr>
        <w:tc>
          <w:tcPr>
            <w:tcW w:w="1521" w:type="dxa"/>
            <w:tcBorders>
              <w:bottom w:val="single" w:sz="4" w:space="0" w:color="000000"/>
            </w:tcBorders>
          </w:tcPr>
          <w:p>
            <w:pPr>
              <w:pStyle w:val="TableParagraph"/>
              <w:rPr>
                <w:rFonts w:ascii="Times New Roman"/>
                <w:sz w:val="22"/>
              </w:rPr>
            </w:pPr>
          </w:p>
        </w:tc>
        <w:tc>
          <w:tcPr>
            <w:tcW w:w="2035" w:type="dxa"/>
            <w:tcBorders>
              <w:bottom w:val="single" w:sz="4" w:space="0" w:color="000000"/>
            </w:tcBorders>
          </w:tcPr>
          <w:p>
            <w:pPr>
              <w:pStyle w:val="TableParagraph"/>
              <w:spacing w:before="71"/>
              <w:ind w:left="127"/>
              <w:rPr>
                <w:sz w:val="22"/>
              </w:rPr>
            </w:pPr>
            <w:r>
              <w:rPr>
                <w:sz w:val="22"/>
              </w:rPr>
              <w:t>Lemon</w:t>
            </w:r>
            <w:r>
              <w:rPr>
                <w:spacing w:val="-4"/>
                <w:sz w:val="22"/>
              </w:rPr>
              <w:t> </w:t>
            </w:r>
            <w:r>
              <w:rPr>
                <w:spacing w:val="-2"/>
                <w:sz w:val="22"/>
              </w:rPr>
              <w:t>(25%)</w:t>
            </w:r>
          </w:p>
        </w:tc>
        <w:tc>
          <w:tcPr>
            <w:tcW w:w="2189" w:type="dxa"/>
            <w:tcBorders>
              <w:bottom w:val="single" w:sz="4" w:space="0" w:color="000000"/>
            </w:tcBorders>
          </w:tcPr>
          <w:p>
            <w:pPr>
              <w:pStyle w:val="TableParagraph"/>
              <w:spacing w:before="71"/>
              <w:ind w:right="341"/>
              <w:jc w:val="right"/>
              <w:rPr>
                <w:sz w:val="22"/>
              </w:rPr>
            </w:pPr>
            <w:r>
              <w:rPr>
                <w:spacing w:val="-2"/>
                <w:sz w:val="22"/>
              </w:rPr>
              <w:t>13.714±0.615</w:t>
            </w:r>
          </w:p>
        </w:tc>
        <w:tc>
          <w:tcPr>
            <w:tcW w:w="1478" w:type="dxa"/>
            <w:tcBorders>
              <w:bottom w:val="single" w:sz="4" w:space="0" w:color="000000"/>
            </w:tcBorders>
          </w:tcPr>
          <w:p>
            <w:pPr>
              <w:pStyle w:val="TableParagraph"/>
              <w:spacing w:before="71"/>
              <w:ind w:right="134"/>
              <w:jc w:val="center"/>
              <w:rPr>
                <w:sz w:val="22"/>
              </w:rPr>
            </w:pPr>
            <w:r>
              <w:rPr>
                <w:spacing w:val="-2"/>
                <w:sz w:val="22"/>
              </w:rPr>
              <w:t>0.003</w:t>
            </w:r>
          </w:p>
        </w:tc>
        <w:tc>
          <w:tcPr>
            <w:tcW w:w="1455" w:type="dxa"/>
            <w:tcBorders>
              <w:bottom w:val="single" w:sz="4" w:space="0" w:color="000000"/>
            </w:tcBorders>
          </w:tcPr>
          <w:p>
            <w:pPr>
              <w:pStyle w:val="TableParagraph"/>
              <w:spacing w:before="71"/>
              <w:ind w:left="537"/>
              <w:rPr>
                <w:sz w:val="22"/>
              </w:rPr>
            </w:pPr>
            <w:r>
              <w:rPr>
                <w:spacing w:val="-5"/>
                <w:sz w:val="22"/>
              </w:rPr>
              <w:t>SF</w:t>
            </w:r>
          </w:p>
        </w:tc>
      </w:tr>
      <w:tr>
        <w:trPr>
          <w:trHeight w:val="376" w:hRule="atLeast"/>
        </w:trPr>
        <w:tc>
          <w:tcPr>
            <w:tcW w:w="1521" w:type="dxa"/>
            <w:tcBorders>
              <w:top w:val="single" w:sz="4" w:space="0" w:color="000000"/>
            </w:tcBorders>
          </w:tcPr>
          <w:p>
            <w:pPr>
              <w:pStyle w:val="TableParagraph"/>
              <w:rPr>
                <w:rFonts w:ascii="Times New Roman"/>
                <w:sz w:val="22"/>
              </w:rPr>
            </w:pPr>
          </w:p>
        </w:tc>
        <w:tc>
          <w:tcPr>
            <w:tcW w:w="2035" w:type="dxa"/>
            <w:tcBorders>
              <w:top w:val="single" w:sz="4" w:space="0" w:color="000000"/>
            </w:tcBorders>
          </w:tcPr>
          <w:p>
            <w:pPr>
              <w:pStyle w:val="TableParagraph"/>
              <w:spacing w:line="265" w:lineRule="exact"/>
              <w:ind w:left="127"/>
              <w:rPr>
                <w:sz w:val="22"/>
              </w:rPr>
            </w:pPr>
            <w:r>
              <w:rPr>
                <w:spacing w:val="-5"/>
                <w:sz w:val="22"/>
              </w:rPr>
              <w:t>CRO</w:t>
            </w:r>
          </w:p>
        </w:tc>
        <w:tc>
          <w:tcPr>
            <w:tcW w:w="2189" w:type="dxa"/>
            <w:tcBorders>
              <w:top w:val="single" w:sz="4" w:space="0" w:color="000000"/>
            </w:tcBorders>
          </w:tcPr>
          <w:p>
            <w:pPr>
              <w:pStyle w:val="TableParagraph"/>
              <w:spacing w:line="265" w:lineRule="exact"/>
              <w:ind w:right="341"/>
              <w:jc w:val="right"/>
              <w:rPr>
                <w:sz w:val="22"/>
              </w:rPr>
            </w:pPr>
            <w:r>
              <w:rPr>
                <w:spacing w:val="-2"/>
                <w:sz w:val="22"/>
              </w:rPr>
              <w:t>20.000±1.129</w:t>
            </w:r>
          </w:p>
        </w:tc>
        <w:tc>
          <w:tcPr>
            <w:tcW w:w="1478" w:type="dxa"/>
            <w:tcBorders>
              <w:top w:val="single" w:sz="4" w:space="0" w:color="000000"/>
            </w:tcBorders>
          </w:tcPr>
          <w:p>
            <w:pPr>
              <w:pStyle w:val="TableParagraph"/>
              <w:spacing w:line="265" w:lineRule="exact"/>
              <w:ind w:right="134"/>
              <w:jc w:val="center"/>
              <w:rPr>
                <w:sz w:val="22"/>
              </w:rPr>
            </w:pPr>
            <w:r>
              <w:rPr>
                <w:spacing w:val="-2"/>
                <w:sz w:val="22"/>
              </w:rPr>
              <w:t>0.761</w:t>
            </w:r>
          </w:p>
        </w:tc>
        <w:tc>
          <w:tcPr>
            <w:tcW w:w="1455" w:type="dxa"/>
            <w:tcBorders>
              <w:top w:val="single" w:sz="4" w:space="0" w:color="000000"/>
            </w:tcBorders>
          </w:tcPr>
          <w:p>
            <w:pPr>
              <w:pStyle w:val="TableParagraph"/>
              <w:spacing w:line="265" w:lineRule="exact"/>
              <w:ind w:left="518"/>
              <w:rPr>
                <w:sz w:val="22"/>
              </w:rPr>
            </w:pPr>
            <w:r>
              <w:rPr>
                <w:spacing w:val="-5"/>
                <w:sz w:val="22"/>
              </w:rPr>
              <w:t>NS</w:t>
            </w:r>
          </w:p>
        </w:tc>
      </w:tr>
      <w:tr>
        <w:trPr>
          <w:trHeight w:val="450" w:hRule="atLeast"/>
        </w:trPr>
        <w:tc>
          <w:tcPr>
            <w:tcW w:w="1521" w:type="dxa"/>
          </w:tcPr>
          <w:p>
            <w:pPr>
              <w:pStyle w:val="TableParagraph"/>
              <w:rPr>
                <w:rFonts w:ascii="Times New Roman"/>
                <w:sz w:val="22"/>
              </w:rPr>
            </w:pPr>
          </w:p>
        </w:tc>
        <w:tc>
          <w:tcPr>
            <w:tcW w:w="2035" w:type="dxa"/>
          </w:tcPr>
          <w:p>
            <w:pPr>
              <w:pStyle w:val="TableParagraph"/>
              <w:spacing w:before="71"/>
              <w:ind w:left="127"/>
              <w:rPr>
                <w:sz w:val="22"/>
              </w:rPr>
            </w:pPr>
            <w:r>
              <w:rPr>
                <w:spacing w:val="-5"/>
                <w:sz w:val="22"/>
              </w:rPr>
              <w:t>CN</w:t>
            </w:r>
          </w:p>
        </w:tc>
        <w:tc>
          <w:tcPr>
            <w:tcW w:w="2189" w:type="dxa"/>
          </w:tcPr>
          <w:p>
            <w:pPr>
              <w:pStyle w:val="TableParagraph"/>
              <w:spacing w:before="71"/>
              <w:ind w:right="341"/>
              <w:jc w:val="right"/>
              <w:rPr>
                <w:sz w:val="22"/>
              </w:rPr>
            </w:pPr>
            <w:r>
              <w:rPr>
                <w:spacing w:val="-2"/>
                <w:sz w:val="22"/>
              </w:rPr>
              <w:t>21.571±1.073</w:t>
            </w:r>
          </w:p>
        </w:tc>
        <w:tc>
          <w:tcPr>
            <w:tcW w:w="1478" w:type="dxa"/>
          </w:tcPr>
          <w:p>
            <w:pPr>
              <w:pStyle w:val="TableParagraph"/>
              <w:spacing w:before="71"/>
              <w:ind w:right="134"/>
              <w:jc w:val="center"/>
              <w:rPr>
                <w:sz w:val="22"/>
              </w:rPr>
            </w:pPr>
            <w:r>
              <w:rPr>
                <w:spacing w:val="-2"/>
                <w:sz w:val="22"/>
              </w:rPr>
              <w:t>0.178</w:t>
            </w:r>
          </w:p>
        </w:tc>
        <w:tc>
          <w:tcPr>
            <w:tcW w:w="1455" w:type="dxa"/>
          </w:tcPr>
          <w:p>
            <w:pPr>
              <w:pStyle w:val="TableParagraph"/>
              <w:spacing w:before="71"/>
              <w:ind w:left="518"/>
              <w:rPr>
                <w:sz w:val="22"/>
              </w:rPr>
            </w:pPr>
            <w:r>
              <w:rPr>
                <w:spacing w:val="-5"/>
                <w:sz w:val="22"/>
              </w:rPr>
              <w:t>NS</w:t>
            </w:r>
          </w:p>
        </w:tc>
      </w:tr>
      <w:tr>
        <w:trPr>
          <w:trHeight w:val="450" w:hRule="atLeast"/>
        </w:trPr>
        <w:tc>
          <w:tcPr>
            <w:tcW w:w="1521" w:type="dxa"/>
          </w:tcPr>
          <w:p>
            <w:pPr>
              <w:pStyle w:val="TableParagraph"/>
              <w:rPr>
                <w:rFonts w:ascii="Times New Roman"/>
                <w:sz w:val="22"/>
              </w:rPr>
            </w:pPr>
          </w:p>
        </w:tc>
        <w:tc>
          <w:tcPr>
            <w:tcW w:w="2035" w:type="dxa"/>
          </w:tcPr>
          <w:p>
            <w:pPr>
              <w:pStyle w:val="TableParagraph"/>
              <w:spacing w:before="70"/>
              <w:ind w:left="127"/>
              <w:rPr>
                <w:sz w:val="22"/>
              </w:rPr>
            </w:pPr>
            <w:r>
              <w:rPr>
                <w:spacing w:val="-5"/>
                <w:sz w:val="22"/>
              </w:rPr>
              <w:t>AMC</w:t>
            </w:r>
          </w:p>
        </w:tc>
        <w:tc>
          <w:tcPr>
            <w:tcW w:w="2189" w:type="dxa"/>
          </w:tcPr>
          <w:p>
            <w:pPr>
              <w:pStyle w:val="TableParagraph"/>
              <w:spacing w:before="70"/>
              <w:ind w:right="341"/>
              <w:jc w:val="right"/>
              <w:rPr>
                <w:sz w:val="22"/>
              </w:rPr>
            </w:pPr>
            <w:r>
              <w:rPr>
                <w:spacing w:val="-2"/>
                <w:sz w:val="22"/>
              </w:rPr>
              <w:t>20.286±1.669</w:t>
            </w:r>
          </w:p>
        </w:tc>
        <w:tc>
          <w:tcPr>
            <w:tcW w:w="1478" w:type="dxa"/>
          </w:tcPr>
          <w:p>
            <w:pPr>
              <w:pStyle w:val="TableParagraph"/>
              <w:spacing w:before="70"/>
              <w:ind w:right="134"/>
              <w:jc w:val="center"/>
              <w:rPr>
                <w:sz w:val="22"/>
              </w:rPr>
            </w:pPr>
            <w:r>
              <w:rPr>
                <w:spacing w:val="-2"/>
                <w:sz w:val="22"/>
              </w:rPr>
              <w:t>0.648</w:t>
            </w:r>
          </w:p>
        </w:tc>
        <w:tc>
          <w:tcPr>
            <w:tcW w:w="1455" w:type="dxa"/>
          </w:tcPr>
          <w:p>
            <w:pPr>
              <w:pStyle w:val="TableParagraph"/>
              <w:spacing w:before="70"/>
              <w:ind w:left="518"/>
              <w:rPr>
                <w:sz w:val="22"/>
              </w:rPr>
            </w:pPr>
            <w:r>
              <w:rPr>
                <w:spacing w:val="-5"/>
                <w:sz w:val="22"/>
              </w:rPr>
              <w:t>NS</w:t>
            </w:r>
          </w:p>
        </w:tc>
      </w:tr>
      <w:tr>
        <w:trPr>
          <w:trHeight w:val="450" w:hRule="atLeast"/>
        </w:trPr>
        <w:tc>
          <w:tcPr>
            <w:tcW w:w="1521" w:type="dxa"/>
          </w:tcPr>
          <w:p>
            <w:pPr>
              <w:pStyle w:val="TableParagraph"/>
              <w:spacing w:before="71"/>
              <w:ind w:left="108"/>
              <w:rPr>
                <w:sz w:val="22"/>
              </w:rPr>
            </w:pPr>
            <w:r>
              <w:rPr>
                <w:sz w:val="22"/>
              </w:rPr>
              <w:t>Lemon</w:t>
            </w:r>
            <w:r>
              <w:rPr>
                <w:spacing w:val="-4"/>
                <w:sz w:val="22"/>
              </w:rPr>
              <w:t> </w:t>
            </w:r>
            <w:r>
              <w:rPr>
                <w:spacing w:val="-2"/>
                <w:sz w:val="22"/>
              </w:rPr>
              <w:t>(50%)</w:t>
            </w:r>
          </w:p>
        </w:tc>
        <w:tc>
          <w:tcPr>
            <w:tcW w:w="2035" w:type="dxa"/>
          </w:tcPr>
          <w:p>
            <w:pPr>
              <w:pStyle w:val="TableParagraph"/>
              <w:spacing w:before="71"/>
              <w:ind w:left="127"/>
              <w:rPr>
                <w:sz w:val="22"/>
              </w:rPr>
            </w:pPr>
            <w:r>
              <w:rPr>
                <w:spacing w:val="-5"/>
                <w:sz w:val="22"/>
              </w:rPr>
              <w:t>LEV</w:t>
            </w:r>
          </w:p>
        </w:tc>
        <w:tc>
          <w:tcPr>
            <w:tcW w:w="2189" w:type="dxa"/>
          </w:tcPr>
          <w:p>
            <w:pPr>
              <w:pStyle w:val="TableParagraph"/>
              <w:spacing w:before="71"/>
              <w:ind w:right="341"/>
              <w:jc w:val="right"/>
              <w:rPr>
                <w:sz w:val="22"/>
              </w:rPr>
            </w:pPr>
            <w:r>
              <w:rPr>
                <w:spacing w:val="-2"/>
                <w:sz w:val="22"/>
              </w:rPr>
              <w:t>25.857±1.148</w:t>
            </w:r>
          </w:p>
        </w:tc>
        <w:tc>
          <w:tcPr>
            <w:tcW w:w="1478" w:type="dxa"/>
          </w:tcPr>
          <w:p>
            <w:pPr>
              <w:pStyle w:val="TableParagraph"/>
              <w:spacing w:before="71"/>
              <w:ind w:right="134"/>
              <w:jc w:val="center"/>
              <w:rPr>
                <w:sz w:val="22"/>
              </w:rPr>
            </w:pPr>
            <w:r>
              <w:rPr>
                <w:spacing w:val="-2"/>
                <w:sz w:val="22"/>
              </w:rPr>
              <w:t>0.000</w:t>
            </w:r>
          </w:p>
        </w:tc>
        <w:tc>
          <w:tcPr>
            <w:tcW w:w="1455" w:type="dxa"/>
          </w:tcPr>
          <w:p>
            <w:pPr>
              <w:pStyle w:val="TableParagraph"/>
              <w:spacing w:before="71"/>
              <w:ind w:left="537"/>
              <w:rPr>
                <w:sz w:val="22"/>
              </w:rPr>
            </w:pPr>
            <w:r>
              <w:rPr>
                <w:spacing w:val="-5"/>
                <w:sz w:val="22"/>
              </w:rPr>
              <w:t>SF</w:t>
            </w:r>
          </w:p>
        </w:tc>
      </w:tr>
      <w:tr>
        <w:trPr>
          <w:trHeight w:val="448" w:hRule="atLeast"/>
        </w:trPr>
        <w:tc>
          <w:tcPr>
            <w:tcW w:w="1521" w:type="dxa"/>
          </w:tcPr>
          <w:p>
            <w:pPr>
              <w:pStyle w:val="TableParagraph"/>
              <w:rPr>
                <w:rFonts w:ascii="Times New Roman"/>
                <w:sz w:val="22"/>
              </w:rPr>
            </w:pPr>
          </w:p>
        </w:tc>
        <w:tc>
          <w:tcPr>
            <w:tcW w:w="2035" w:type="dxa"/>
          </w:tcPr>
          <w:p>
            <w:pPr>
              <w:pStyle w:val="TableParagraph"/>
              <w:spacing w:before="70"/>
              <w:ind w:left="127"/>
              <w:rPr>
                <w:sz w:val="22"/>
              </w:rPr>
            </w:pPr>
            <w:r>
              <w:rPr>
                <w:spacing w:val="-5"/>
                <w:sz w:val="22"/>
              </w:rPr>
              <w:t>AZM</w:t>
            </w:r>
          </w:p>
        </w:tc>
        <w:tc>
          <w:tcPr>
            <w:tcW w:w="2189" w:type="dxa"/>
          </w:tcPr>
          <w:p>
            <w:pPr>
              <w:pStyle w:val="TableParagraph"/>
              <w:spacing w:before="70"/>
              <w:ind w:right="341"/>
              <w:jc w:val="right"/>
              <w:rPr>
                <w:sz w:val="22"/>
              </w:rPr>
            </w:pPr>
            <w:r>
              <w:rPr>
                <w:spacing w:val="-2"/>
                <w:sz w:val="22"/>
              </w:rPr>
              <w:t>19.643±1.243</w:t>
            </w:r>
          </w:p>
        </w:tc>
        <w:tc>
          <w:tcPr>
            <w:tcW w:w="1478" w:type="dxa"/>
          </w:tcPr>
          <w:p>
            <w:pPr>
              <w:pStyle w:val="TableParagraph"/>
              <w:spacing w:before="70"/>
              <w:ind w:right="134"/>
              <w:jc w:val="center"/>
              <w:rPr>
                <w:sz w:val="22"/>
              </w:rPr>
            </w:pPr>
            <w:r>
              <w:rPr>
                <w:spacing w:val="-2"/>
                <w:sz w:val="22"/>
              </w:rPr>
              <w:t>0.875</w:t>
            </w:r>
          </w:p>
        </w:tc>
        <w:tc>
          <w:tcPr>
            <w:tcW w:w="1455" w:type="dxa"/>
          </w:tcPr>
          <w:p>
            <w:pPr>
              <w:pStyle w:val="TableParagraph"/>
              <w:spacing w:before="70"/>
              <w:ind w:left="518"/>
              <w:rPr>
                <w:sz w:val="22"/>
              </w:rPr>
            </w:pPr>
            <w:r>
              <w:rPr>
                <w:spacing w:val="-5"/>
                <w:sz w:val="22"/>
              </w:rPr>
              <w:t>NS</w:t>
            </w:r>
          </w:p>
        </w:tc>
      </w:tr>
      <w:tr>
        <w:trPr>
          <w:trHeight w:val="450" w:hRule="atLeast"/>
        </w:trPr>
        <w:tc>
          <w:tcPr>
            <w:tcW w:w="1521" w:type="dxa"/>
          </w:tcPr>
          <w:p>
            <w:pPr>
              <w:pStyle w:val="TableParagraph"/>
              <w:rPr>
                <w:rFonts w:ascii="Times New Roman"/>
                <w:sz w:val="22"/>
              </w:rPr>
            </w:pPr>
          </w:p>
        </w:tc>
        <w:tc>
          <w:tcPr>
            <w:tcW w:w="2035" w:type="dxa"/>
          </w:tcPr>
          <w:p>
            <w:pPr>
              <w:pStyle w:val="TableParagraph"/>
              <w:spacing w:before="70"/>
              <w:ind w:left="127"/>
              <w:rPr>
                <w:sz w:val="22"/>
              </w:rPr>
            </w:pPr>
            <w:r>
              <w:rPr>
                <w:sz w:val="22"/>
              </w:rPr>
              <w:t>Lemon</w:t>
            </w:r>
            <w:r>
              <w:rPr>
                <w:spacing w:val="-6"/>
                <w:sz w:val="22"/>
              </w:rPr>
              <w:t> </w:t>
            </w:r>
            <w:r>
              <w:rPr>
                <w:spacing w:val="-2"/>
                <w:sz w:val="22"/>
              </w:rPr>
              <w:t>(100%)</w:t>
            </w:r>
          </w:p>
        </w:tc>
        <w:tc>
          <w:tcPr>
            <w:tcW w:w="2189" w:type="dxa"/>
          </w:tcPr>
          <w:p>
            <w:pPr>
              <w:pStyle w:val="TableParagraph"/>
              <w:spacing w:before="70"/>
              <w:ind w:right="341"/>
              <w:jc w:val="right"/>
              <w:rPr>
                <w:sz w:val="22"/>
              </w:rPr>
            </w:pPr>
            <w:r>
              <w:rPr>
                <w:spacing w:val="-2"/>
                <w:sz w:val="22"/>
              </w:rPr>
              <w:t>20.071±0.843</w:t>
            </w:r>
          </w:p>
        </w:tc>
        <w:tc>
          <w:tcPr>
            <w:tcW w:w="1478" w:type="dxa"/>
          </w:tcPr>
          <w:p>
            <w:pPr>
              <w:pStyle w:val="TableParagraph"/>
              <w:spacing w:before="70"/>
              <w:ind w:right="134"/>
              <w:jc w:val="center"/>
              <w:rPr>
                <w:sz w:val="22"/>
              </w:rPr>
            </w:pPr>
            <w:r>
              <w:rPr>
                <w:spacing w:val="-2"/>
                <w:sz w:val="22"/>
              </w:rPr>
              <w:t>0.734</w:t>
            </w:r>
          </w:p>
        </w:tc>
        <w:tc>
          <w:tcPr>
            <w:tcW w:w="1455" w:type="dxa"/>
          </w:tcPr>
          <w:p>
            <w:pPr>
              <w:pStyle w:val="TableParagraph"/>
              <w:spacing w:before="70"/>
              <w:ind w:left="518"/>
              <w:rPr>
                <w:sz w:val="22"/>
              </w:rPr>
            </w:pPr>
            <w:r>
              <w:rPr>
                <w:spacing w:val="-5"/>
                <w:sz w:val="22"/>
              </w:rPr>
              <w:t>NS</w:t>
            </w:r>
          </w:p>
        </w:tc>
      </w:tr>
      <w:tr>
        <w:trPr>
          <w:trHeight w:val="522" w:hRule="atLeast"/>
        </w:trPr>
        <w:tc>
          <w:tcPr>
            <w:tcW w:w="1521" w:type="dxa"/>
            <w:tcBorders>
              <w:bottom w:val="single" w:sz="4" w:space="0" w:color="000000"/>
            </w:tcBorders>
          </w:tcPr>
          <w:p>
            <w:pPr>
              <w:pStyle w:val="TableParagraph"/>
              <w:rPr>
                <w:rFonts w:ascii="Times New Roman"/>
                <w:sz w:val="22"/>
              </w:rPr>
            </w:pPr>
          </w:p>
        </w:tc>
        <w:tc>
          <w:tcPr>
            <w:tcW w:w="2035" w:type="dxa"/>
            <w:tcBorders>
              <w:bottom w:val="single" w:sz="4" w:space="0" w:color="000000"/>
            </w:tcBorders>
          </w:tcPr>
          <w:p>
            <w:pPr>
              <w:pStyle w:val="TableParagraph"/>
              <w:spacing w:before="71"/>
              <w:ind w:left="127"/>
              <w:rPr>
                <w:sz w:val="22"/>
              </w:rPr>
            </w:pPr>
            <w:r>
              <w:rPr>
                <w:sz w:val="22"/>
              </w:rPr>
              <w:t>Lemon</w:t>
            </w:r>
            <w:r>
              <w:rPr>
                <w:spacing w:val="-4"/>
                <w:sz w:val="22"/>
              </w:rPr>
              <w:t> </w:t>
            </w:r>
            <w:r>
              <w:rPr>
                <w:spacing w:val="-2"/>
                <w:sz w:val="22"/>
              </w:rPr>
              <w:t>(25%)</w:t>
            </w:r>
          </w:p>
        </w:tc>
        <w:tc>
          <w:tcPr>
            <w:tcW w:w="2189" w:type="dxa"/>
            <w:tcBorders>
              <w:bottom w:val="single" w:sz="4" w:space="0" w:color="000000"/>
            </w:tcBorders>
          </w:tcPr>
          <w:p>
            <w:pPr>
              <w:pStyle w:val="TableParagraph"/>
              <w:spacing w:before="71"/>
              <w:ind w:right="341"/>
              <w:jc w:val="right"/>
              <w:rPr>
                <w:sz w:val="22"/>
              </w:rPr>
            </w:pPr>
            <w:r>
              <w:rPr>
                <w:spacing w:val="-2"/>
                <w:sz w:val="22"/>
              </w:rPr>
              <w:t>13.714±0.615</w:t>
            </w:r>
          </w:p>
        </w:tc>
        <w:tc>
          <w:tcPr>
            <w:tcW w:w="1478" w:type="dxa"/>
            <w:tcBorders>
              <w:bottom w:val="single" w:sz="4" w:space="0" w:color="000000"/>
            </w:tcBorders>
          </w:tcPr>
          <w:p>
            <w:pPr>
              <w:pStyle w:val="TableParagraph"/>
              <w:spacing w:before="71"/>
              <w:ind w:right="134"/>
              <w:jc w:val="center"/>
              <w:rPr>
                <w:sz w:val="22"/>
              </w:rPr>
            </w:pPr>
            <w:r>
              <w:rPr>
                <w:spacing w:val="-2"/>
                <w:sz w:val="22"/>
              </w:rPr>
              <w:t>0.256</w:t>
            </w:r>
          </w:p>
        </w:tc>
        <w:tc>
          <w:tcPr>
            <w:tcW w:w="1455" w:type="dxa"/>
            <w:tcBorders>
              <w:bottom w:val="single" w:sz="4" w:space="0" w:color="000000"/>
            </w:tcBorders>
          </w:tcPr>
          <w:p>
            <w:pPr>
              <w:pStyle w:val="TableParagraph"/>
              <w:spacing w:before="71"/>
              <w:ind w:left="518"/>
              <w:rPr>
                <w:sz w:val="22"/>
              </w:rPr>
            </w:pPr>
            <w:r>
              <w:rPr>
                <w:spacing w:val="-5"/>
                <w:sz w:val="22"/>
              </w:rPr>
              <w:t>NS</w:t>
            </w:r>
          </w:p>
        </w:tc>
      </w:tr>
      <w:tr>
        <w:trPr>
          <w:trHeight w:val="376" w:hRule="atLeast"/>
        </w:trPr>
        <w:tc>
          <w:tcPr>
            <w:tcW w:w="1521" w:type="dxa"/>
            <w:tcBorders>
              <w:top w:val="single" w:sz="4" w:space="0" w:color="000000"/>
            </w:tcBorders>
          </w:tcPr>
          <w:p>
            <w:pPr>
              <w:pStyle w:val="TableParagraph"/>
              <w:rPr>
                <w:rFonts w:ascii="Times New Roman"/>
                <w:sz w:val="22"/>
              </w:rPr>
            </w:pPr>
          </w:p>
        </w:tc>
        <w:tc>
          <w:tcPr>
            <w:tcW w:w="2035" w:type="dxa"/>
            <w:tcBorders>
              <w:top w:val="single" w:sz="4" w:space="0" w:color="000000"/>
            </w:tcBorders>
          </w:tcPr>
          <w:p>
            <w:pPr>
              <w:pStyle w:val="TableParagraph"/>
              <w:spacing w:line="265" w:lineRule="exact"/>
              <w:ind w:left="127"/>
              <w:rPr>
                <w:sz w:val="22"/>
              </w:rPr>
            </w:pPr>
            <w:r>
              <w:rPr>
                <w:spacing w:val="-5"/>
                <w:sz w:val="22"/>
              </w:rPr>
              <w:t>CRO</w:t>
            </w:r>
          </w:p>
        </w:tc>
        <w:tc>
          <w:tcPr>
            <w:tcW w:w="2189" w:type="dxa"/>
            <w:tcBorders>
              <w:top w:val="single" w:sz="4" w:space="0" w:color="000000"/>
            </w:tcBorders>
          </w:tcPr>
          <w:p>
            <w:pPr>
              <w:pStyle w:val="TableParagraph"/>
              <w:spacing w:line="265" w:lineRule="exact"/>
              <w:ind w:right="341"/>
              <w:jc w:val="right"/>
              <w:rPr>
                <w:sz w:val="22"/>
              </w:rPr>
            </w:pPr>
            <w:r>
              <w:rPr>
                <w:spacing w:val="-2"/>
                <w:sz w:val="22"/>
              </w:rPr>
              <w:t>20.000±1.129</w:t>
            </w:r>
          </w:p>
        </w:tc>
        <w:tc>
          <w:tcPr>
            <w:tcW w:w="1478" w:type="dxa"/>
            <w:tcBorders>
              <w:top w:val="single" w:sz="4" w:space="0" w:color="000000"/>
            </w:tcBorders>
          </w:tcPr>
          <w:p>
            <w:pPr>
              <w:pStyle w:val="TableParagraph"/>
              <w:spacing w:line="265" w:lineRule="exact"/>
              <w:ind w:right="134"/>
              <w:jc w:val="center"/>
              <w:rPr>
                <w:sz w:val="22"/>
              </w:rPr>
            </w:pPr>
            <w:r>
              <w:rPr>
                <w:spacing w:val="-2"/>
                <w:sz w:val="22"/>
              </w:rPr>
              <w:t>0.003</w:t>
            </w:r>
          </w:p>
        </w:tc>
        <w:tc>
          <w:tcPr>
            <w:tcW w:w="1455" w:type="dxa"/>
            <w:tcBorders>
              <w:top w:val="single" w:sz="4" w:space="0" w:color="000000"/>
            </w:tcBorders>
          </w:tcPr>
          <w:p>
            <w:pPr>
              <w:pStyle w:val="TableParagraph"/>
              <w:spacing w:line="265" w:lineRule="exact"/>
              <w:ind w:left="537"/>
              <w:rPr>
                <w:sz w:val="22"/>
              </w:rPr>
            </w:pPr>
            <w:r>
              <w:rPr>
                <w:spacing w:val="-5"/>
                <w:sz w:val="22"/>
              </w:rPr>
              <w:t>SF</w:t>
            </w:r>
          </w:p>
        </w:tc>
      </w:tr>
      <w:tr>
        <w:trPr>
          <w:trHeight w:val="450" w:hRule="atLeast"/>
        </w:trPr>
        <w:tc>
          <w:tcPr>
            <w:tcW w:w="1521" w:type="dxa"/>
          </w:tcPr>
          <w:p>
            <w:pPr>
              <w:pStyle w:val="TableParagraph"/>
              <w:rPr>
                <w:rFonts w:ascii="Times New Roman"/>
                <w:sz w:val="22"/>
              </w:rPr>
            </w:pPr>
          </w:p>
        </w:tc>
        <w:tc>
          <w:tcPr>
            <w:tcW w:w="2035" w:type="dxa"/>
          </w:tcPr>
          <w:p>
            <w:pPr>
              <w:pStyle w:val="TableParagraph"/>
              <w:spacing w:before="71"/>
              <w:ind w:left="127"/>
              <w:rPr>
                <w:sz w:val="22"/>
              </w:rPr>
            </w:pPr>
            <w:r>
              <w:rPr>
                <w:spacing w:val="-5"/>
                <w:sz w:val="22"/>
              </w:rPr>
              <w:t>CN</w:t>
            </w:r>
          </w:p>
        </w:tc>
        <w:tc>
          <w:tcPr>
            <w:tcW w:w="2189" w:type="dxa"/>
          </w:tcPr>
          <w:p>
            <w:pPr>
              <w:pStyle w:val="TableParagraph"/>
              <w:spacing w:before="71"/>
              <w:ind w:right="341"/>
              <w:jc w:val="right"/>
              <w:rPr>
                <w:sz w:val="22"/>
              </w:rPr>
            </w:pPr>
            <w:r>
              <w:rPr>
                <w:spacing w:val="-2"/>
                <w:sz w:val="22"/>
              </w:rPr>
              <w:t>21.571±1.073</w:t>
            </w:r>
          </w:p>
        </w:tc>
        <w:tc>
          <w:tcPr>
            <w:tcW w:w="1478" w:type="dxa"/>
          </w:tcPr>
          <w:p>
            <w:pPr>
              <w:pStyle w:val="TableParagraph"/>
              <w:spacing w:before="71"/>
              <w:ind w:right="134"/>
              <w:jc w:val="center"/>
              <w:rPr>
                <w:sz w:val="22"/>
              </w:rPr>
            </w:pPr>
            <w:r>
              <w:rPr>
                <w:spacing w:val="-2"/>
                <w:sz w:val="22"/>
              </w:rPr>
              <w:t>0.000</w:t>
            </w:r>
          </w:p>
        </w:tc>
        <w:tc>
          <w:tcPr>
            <w:tcW w:w="1455" w:type="dxa"/>
          </w:tcPr>
          <w:p>
            <w:pPr>
              <w:pStyle w:val="TableParagraph"/>
              <w:spacing w:before="71"/>
              <w:ind w:left="537"/>
              <w:rPr>
                <w:sz w:val="22"/>
              </w:rPr>
            </w:pPr>
            <w:r>
              <w:rPr>
                <w:spacing w:val="-5"/>
                <w:sz w:val="22"/>
              </w:rPr>
              <w:t>SF</w:t>
            </w:r>
          </w:p>
        </w:tc>
      </w:tr>
      <w:tr>
        <w:trPr>
          <w:trHeight w:val="450" w:hRule="atLeast"/>
        </w:trPr>
        <w:tc>
          <w:tcPr>
            <w:tcW w:w="1521" w:type="dxa"/>
          </w:tcPr>
          <w:p>
            <w:pPr>
              <w:pStyle w:val="TableParagraph"/>
              <w:rPr>
                <w:rFonts w:ascii="Times New Roman"/>
                <w:sz w:val="22"/>
              </w:rPr>
            </w:pPr>
          </w:p>
        </w:tc>
        <w:tc>
          <w:tcPr>
            <w:tcW w:w="2035" w:type="dxa"/>
          </w:tcPr>
          <w:p>
            <w:pPr>
              <w:pStyle w:val="TableParagraph"/>
              <w:spacing w:before="70"/>
              <w:ind w:left="127"/>
              <w:rPr>
                <w:sz w:val="22"/>
              </w:rPr>
            </w:pPr>
            <w:r>
              <w:rPr>
                <w:spacing w:val="-5"/>
                <w:sz w:val="22"/>
              </w:rPr>
              <w:t>AMC</w:t>
            </w:r>
          </w:p>
        </w:tc>
        <w:tc>
          <w:tcPr>
            <w:tcW w:w="2189" w:type="dxa"/>
          </w:tcPr>
          <w:p>
            <w:pPr>
              <w:pStyle w:val="TableParagraph"/>
              <w:spacing w:before="70"/>
              <w:ind w:right="341"/>
              <w:jc w:val="right"/>
              <w:rPr>
                <w:sz w:val="22"/>
              </w:rPr>
            </w:pPr>
            <w:r>
              <w:rPr>
                <w:spacing w:val="-2"/>
                <w:sz w:val="22"/>
              </w:rPr>
              <w:t>20.286±1.669</w:t>
            </w:r>
          </w:p>
        </w:tc>
        <w:tc>
          <w:tcPr>
            <w:tcW w:w="1478" w:type="dxa"/>
          </w:tcPr>
          <w:p>
            <w:pPr>
              <w:pStyle w:val="TableParagraph"/>
              <w:spacing w:before="70"/>
              <w:ind w:right="134"/>
              <w:jc w:val="center"/>
              <w:rPr>
                <w:sz w:val="22"/>
              </w:rPr>
            </w:pPr>
            <w:r>
              <w:rPr>
                <w:spacing w:val="-2"/>
                <w:sz w:val="22"/>
              </w:rPr>
              <w:t>0.002</w:t>
            </w:r>
          </w:p>
        </w:tc>
        <w:tc>
          <w:tcPr>
            <w:tcW w:w="1455" w:type="dxa"/>
          </w:tcPr>
          <w:p>
            <w:pPr>
              <w:pStyle w:val="TableParagraph"/>
              <w:spacing w:before="70"/>
              <w:ind w:left="537"/>
              <w:rPr>
                <w:sz w:val="22"/>
              </w:rPr>
            </w:pPr>
            <w:r>
              <w:rPr>
                <w:spacing w:val="-5"/>
                <w:sz w:val="22"/>
              </w:rPr>
              <w:t>SF</w:t>
            </w:r>
          </w:p>
        </w:tc>
      </w:tr>
      <w:tr>
        <w:trPr>
          <w:trHeight w:val="450" w:hRule="atLeast"/>
        </w:trPr>
        <w:tc>
          <w:tcPr>
            <w:tcW w:w="1521" w:type="dxa"/>
          </w:tcPr>
          <w:p>
            <w:pPr>
              <w:pStyle w:val="TableParagraph"/>
              <w:spacing w:before="71"/>
              <w:ind w:left="108"/>
              <w:rPr>
                <w:sz w:val="22"/>
              </w:rPr>
            </w:pPr>
            <w:r>
              <w:rPr>
                <w:sz w:val="22"/>
              </w:rPr>
              <w:t>Lemon</w:t>
            </w:r>
            <w:r>
              <w:rPr>
                <w:spacing w:val="-4"/>
                <w:sz w:val="22"/>
              </w:rPr>
              <w:t> </w:t>
            </w:r>
            <w:r>
              <w:rPr>
                <w:spacing w:val="-2"/>
                <w:sz w:val="22"/>
              </w:rPr>
              <w:t>(25%)</w:t>
            </w:r>
          </w:p>
        </w:tc>
        <w:tc>
          <w:tcPr>
            <w:tcW w:w="2035" w:type="dxa"/>
          </w:tcPr>
          <w:p>
            <w:pPr>
              <w:pStyle w:val="TableParagraph"/>
              <w:spacing w:before="71"/>
              <w:ind w:left="127"/>
              <w:rPr>
                <w:sz w:val="22"/>
              </w:rPr>
            </w:pPr>
            <w:r>
              <w:rPr>
                <w:spacing w:val="-5"/>
                <w:sz w:val="22"/>
              </w:rPr>
              <w:t>LEV</w:t>
            </w:r>
          </w:p>
        </w:tc>
        <w:tc>
          <w:tcPr>
            <w:tcW w:w="2189" w:type="dxa"/>
          </w:tcPr>
          <w:p>
            <w:pPr>
              <w:pStyle w:val="TableParagraph"/>
              <w:spacing w:before="71"/>
              <w:ind w:right="341"/>
              <w:jc w:val="right"/>
              <w:rPr>
                <w:sz w:val="22"/>
              </w:rPr>
            </w:pPr>
            <w:r>
              <w:rPr>
                <w:spacing w:val="-2"/>
                <w:sz w:val="22"/>
              </w:rPr>
              <w:t>25.857±1.148</w:t>
            </w:r>
          </w:p>
        </w:tc>
        <w:tc>
          <w:tcPr>
            <w:tcW w:w="1478" w:type="dxa"/>
          </w:tcPr>
          <w:p>
            <w:pPr>
              <w:pStyle w:val="TableParagraph"/>
              <w:spacing w:before="71"/>
              <w:ind w:right="134"/>
              <w:jc w:val="center"/>
              <w:rPr>
                <w:sz w:val="22"/>
              </w:rPr>
            </w:pPr>
            <w:r>
              <w:rPr>
                <w:spacing w:val="-2"/>
                <w:sz w:val="22"/>
              </w:rPr>
              <w:t>0.000</w:t>
            </w:r>
          </w:p>
        </w:tc>
        <w:tc>
          <w:tcPr>
            <w:tcW w:w="1455" w:type="dxa"/>
          </w:tcPr>
          <w:p>
            <w:pPr>
              <w:pStyle w:val="TableParagraph"/>
              <w:spacing w:before="71"/>
              <w:ind w:left="537"/>
              <w:rPr>
                <w:sz w:val="22"/>
              </w:rPr>
            </w:pPr>
            <w:r>
              <w:rPr>
                <w:spacing w:val="-5"/>
                <w:sz w:val="22"/>
              </w:rPr>
              <w:t>SF</w:t>
            </w:r>
          </w:p>
        </w:tc>
      </w:tr>
      <w:tr>
        <w:trPr>
          <w:trHeight w:val="450" w:hRule="atLeast"/>
        </w:trPr>
        <w:tc>
          <w:tcPr>
            <w:tcW w:w="1521" w:type="dxa"/>
          </w:tcPr>
          <w:p>
            <w:pPr>
              <w:pStyle w:val="TableParagraph"/>
              <w:rPr>
                <w:rFonts w:ascii="Times New Roman"/>
                <w:sz w:val="22"/>
              </w:rPr>
            </w:pPr>
          </w:p>
        </w:tc>
        <w:tc>
          <w:tcPr>
            <w:tcW w:w="2035" w:type="dxa"/>
          </w:tcPr>
          <w:p>
            <w:pPr>
              <w:pStyle w:val="TableParagraph"/>
              <w:spacing w:before="70"/>
              <w:ind w:left="127"/>
              <w:rPr>
                <w:sz w:val="22"/>
              </w:rPr>
            </w:pPr>
            <w:r>
              <w:rPr>
                <w:spacing w:val="-5"/>
                <w:sz w:val="22"/>
              </w:rPr>
              <w:t>AZM</w:t>
            </w:r>
          </w:p>
        </w:tc>
        <w:tc>
          <w:tcPr>
            <w:tcW w:w="2189" w:type="dxa"/>
          </w:tcPr>
          <w:p>
            <w:pPr>
              <w:pStyle w:val="TableParagraph"/>
              <w:spacing w:before="70"/>
              <w:ind w:right="340"/>
              <w:jc w:val="right"/>
              <w:rPr>
                <w:sz w:val="22"/>
              </w:rPr>
            </w:pPr>
            <w:r>
              <w:rPr>
                <w:spacing w:val="-2"/>
                <w:sz w:val="22"/>
              </w:rPr>
              <w:t>19.643±1.243</w:t>
            </w:r>
          </w:p>
        </w:tc>
        <w:tc>
          <w:tcPr>
            <w:tcW w:w="1478" w:type="dxa"/>
          </w:tcPr>
          <w:p>
            <w:pPr>
              <w:pStyle w:val="TableParagraph"/>
              <w:spacing w:before="70"/>
              <w:ind w:right="134"/>
              <w:jc w:val="center"/>
              <w:rPr>
                <w:sz w:val="22"/>
              </w:rPr>
            </w:pPr>
            <w:r>
              <w:rPr>
                <w:spacing w:val="-2"/>
                <w:sz w:val="22"/>
              </w:rPr>
              <w:t>0.007</w:t>
            </w:r>
          </w:p>
        </w:tc>
        <w:tc>
          <w:tcPr>
            <w:tcW w:w="1455" w:type="dxa"/>
          </w:tcPr>
          <w:p>
            <w:pPr>
              <w:pStyle w:val="TableParagraph"/>
              <w:spacing w:before="70"/>
              <w:ind w:left="537"/>
              <w:rPr>
                <w:sz w:val="22"/>
              </w:rPr>
            </w:pPr>
            <w:r>
              <w:rPr>
                <w:spacing w:val="-5"/>
                <w:sz w:val="22"/>
              </w:rPr>
              <w:t>SF</w:t>
            </w:r>
          </w:p>
        </w:tc>
      </w:tr>
      <w:tr>
        <w:trPr>
          <w:trHeight w:val="450" w:hRule="atLeast"/>
        </w:trPr>
        <w:tc>
          <w:tcPr>
            <w:tcW w:w="1521" w:type="dxa"/>
          </w:tcPr>
          <w:p>
            <w:pPr>
              <w:pStyle w:val="TableParagraph"/>
              <w:rPr>
                <w:rFonts w:ascii="Times New Roman"/>
                <w:sz w:val="22"/>
              </w:rPr>
            </w:pPr>
          </w:p>
        </w:tc>
        <w:tc>
          <w:tcPr>
            <w:tcW w:w="2035" w:type="dxa"/>
          </w:tcPr>
          <w:p>
            <w:pPr>
              <w:pStyle w:val="TableParagraph"/>
              <w:spacing w:before="71"/>
              <w:ind w:left="127"/>
              <w:rPr>
                <w:sz w:val="22"/>
              </w:rPr>
            </w:pPr>
            <w:r>
              <w:rPr>
                <w:sz w:val="22"/>
              </w:rPr>
              <w:t>Lemon</w:t>
            </w:r>
            <w:r>
              <w:rPr>
                <w:spacing w:val="-6"/>
                <w:sz w:val="22"/>
              </w:rPr>
              <w:t> </w:t>
            </w:r>
            <w:r>
              <w:rPr>
                <w:spacing w:val="-2"/>
                <w:sz w:val="22"/>
              </w:rPr>
              <w:t>(100%)</w:t>
            </w:r>
          </w:p>
        </w:tc>
        <w:tc>
          <w:tcPr>
            <w:tcW w:w="2189" w:type="dxa"/>
          </w:tcPr>
          <w:p>
            <w:pPr>
              <w:pStyle w:val="TableParagraph"/>
              <w:spacing w:before="71"/>
              <w:ind w:right="341"/>
              <w:jc w:val="right"/>
              <w:rPr>
                <w:sz w:val="22"/>
              </w:rPr>
            </w:pPr>
            <w:r>
              <w:rPr>
                <w:spacing w:val="-2"/>
                <w:sz w:val="22"/>
              </w:rPr>
              <w:t>20.071±0.843</w:t>
            </w:r>
          </w:p>
        </w:tc>
        <w:tc>
          <w:tcPr>
            <w:tcW w:w="1478" w:type="dxa"/>
          </w:tcPr>
          <w:p>
            <w:pPr>
              <w:pStyle w:val="TableParagraph"/>
              <w:spacing w:before="71"/>
              <w:ind w:right="134"/>
              <w:jc w:val="center"/>
              <w:rPr>
                <w:sz w:val="22"/>
              </w:rPr>
            </w:pPr>
            <w:r>
              <w:rPr>
                <w:spacing w:val="-2"/>
                <w:sz w:val="22"/>
              </w:rPr>
              <w:t>0.003</w:t>
            </w:r>
          </w:p>
        </w:tc>
        <w:tc>
          <w:tcPr>
            <w:tcW w:w="1455" w:type="dxa"/>
          </w:tcPr>
          <w:p>
            <w:pPr>
              <w:pStyle w:val="TableParagraph"/>
              <w:spacing w:before="71"/>
              <w:ind w:left="537"/>
              <w:rPr>
                <w:sz w:val="22"/>
              </w:rPr>
            </w:pPr>
            <w:r>
              <w:rPr>
                <w:spacing w:val="-5"/>
                <w:sz w:val="22"/>
              </w:rPr>
              <w:t>SF</w:t>
            </w:r>
          </w:p>
        </w:tc>
      </w:tr>
      <w:tr>
        <w:trPr>
          <w:trHeight w:val="524" w:hRule="atLeast"/>
        </w:trPr>
        <w:tc>
          <w:tcPr>
            <w:tcW w:w="1521" w:type="dxa"/>
            <w:tcBorders>
              <w:bottom w:val="single" w:sz="4" w:space="0" w:color="000000"/>
            </w:tcBorders>
          </w:tcPr>
          <w:p>
            <w:pPr>
              <w:pStyle w:val="TableParagraph"/>
              <w:rPr>
                <w:rFonts w:ascii="Times New Roman"/>
                <w:sz w:val="22"/>
              </w:rPr>
            </w:pPr>
          </w:p>
        </w:tc>
        <w:tc>
          <w:tcPr>
            <w:tcW w:w="2035" w:type="dxa"/>
            <w:tcBorders>
              <w:bottom w:val="single" w:sz="4" w:space="0" w:color="000000"/>
            </w:tcBorders>
          </w:tcPr>
          <w:p>
            <w:pPr>
              <w:pStyle w:val="TableParagraph"/>
              <w:spacing w:before="70"/>
              <w:ind w:left="127"/>
              <w:rPr>
                <w:sz w:val="22"/>
              </w:rPr>
            </w:pPr>
            <w:r>
              <w:rPr>
                <w:sz w:val="22"/>
              </w:rPr>
              <w:t>Lemon</w:t>
            </w:r>
            <w:r>
              <w:rPr>
                <w:spacing w:val="-4"/>
                <w:sz w:val="22"/>
              </w:rPr>
              <w:t> </w:t>
            </w:r>
            <w:r>
              <w:rPr>
                <w:spacing w:val="-2"/>
                <w:sz w:val="22"/>
              </w:rPr>
              <w:t>(50%)</w:t>
            </w:r>
          </w:p>
        </w:tc>
        <w:tc>
          <w:tcPr>
            <w:tcW w:w="2189" w:type="dxa"/>
            <w:tcBorders>
              <w:bottom w:val="single" w:sz="4" w:space="0" w:color="000000"/>
            </w:tcBorders>
          </w:tcPr>
          <w:p>
            <w:pPr>
              <w:pStyle w:val="TableParagraph"/>
              <w:spacing w:before="70"/>
              <w:ind w:right="341"/>
              <w:jc w:val="right"/>
              <w:rPr>
                <w:sz w:val="22"/>
              </w:rPr>
            </w:pPr>
            <w:r>
              <w:rPr>
                <w:spacing w:val="-2"/>
                <w:sz w:val="22"/>
              </w:rPr>
              <w:t>17.500±0.918</w:t>
            </w:r>
          </w:p>
        </w:tc>
        <w:tc>
          <w:tcPr>
            <w:tcW w:w="1478" w:type="dxa"/>
            <w:tcBorders>
              <w:bottom w:val="single" w:sz="4" w:space="0" w:color="000000"/>
            </w:tcBorders>
          </w:tcPr>
          <w:p>
            <w:pPr>
              <w:pStyle w:val="TableParagraph"/>
              <w:spacing w:before="70"/>
              <w:ind w:right="134"/>
              <w:jc w:val="center"/>
              <w:rPr>
                <w:sz w:val="22"/>
              </w:rPr>
            </w:pPr>
            <w:r>
              <w:rPr>
                <w:spacing w:val="-2"/>
                <w:sz w:val="22"/>
              </w:rPr>
              <w:t>0.256</w:t>
            </w:r>
          </w:p>
        </w:tc>
        <w:tc>
          <w:tcPr>
            <w:tcW w:w="1455" w:type="dxa"/>
            <w:tcBorders>
              <w:bottom w:val="single" w:sz="4" w:space="0" w:color="000000"/>
            </w:tcBorders>
          </w:tcPr>
          <w:p>
            <w:pPr>
              <w:pStyle w:val="TableParagraph"/>
              <w:spacing w:before="70"/>
              <w:ind w:left="518"/>
              <w:rPr>
                <w:sz w:val="22"/>
              </w:rPr>
            </w:pPr>
            <w:r>
              <w:rPr>
                <w:spacing w:val="-5"/>
                <w:sz w:val="22"/>
              </w:rPr>
              <w:t>NS</w:t>
            </w:r>
          </w:p>
        </w:tc>
      </w:tr>
    </w:tbl>
    <w:p>
      <w:pPr>
        <w:pStyle w:val="BodyText"/>
        <w:spacing w:line="400" w:lineRule="auto" w:before="8"/>
        <w:ind w:left="430" w:right="3485" w:hanging="51"/>
      </w:pPr>
      <w:r>
        <w:rPr/>
        <w:t>Key:</w:t>
      </w:r>
      <w:r>
        <w:rPr>
          <w:spacing w:val="-4"/>
        </w:rPr>
        <w:t> </w:t>
      </w:r>
      <w:r>
        <w:rPr/>
        <w:t>LOS=Level</w:t>
      </w:r>
      <w:r>
        <w:rPr>
          <w:spacing w:val="-7"/>
        </w:rPr>
        <w:t> </w:t>
      </w:r>
      <w:r>
        <w:rPr/>
        <w:t>of</w:t>
      </w:r>
      <w:r>
        <w:rPr>
          <w:spacing w:val="-5"/>
        </w:rPr>
        <w:t> </w:t>
      </w:r>
      <w:r>
        <w:rPr/>
        <w:t>Significance;</w:t>
      </w:r>
      <w:r>
        <w:rPr>
          <w:spacing w:val="-5"/>
        </w:rPr>
        <w:t> </w:t>
      </w:r>
      <w:r>
        <w:rPr/>
        <w:t>NS=Not</w:t>
      </w:r>
      <w:r>
        <w:rPr>
          <w:spacing w:val="-5"/>
        </w:rPr>
        <w:t> </w:t>
      </w:r>
      <w:r>
        <w:rPr/>
        <w:t>significantly</w:t>
      </w:r>
      <w:r>
        <w:rPr>
          <w:spacing w:val="-5"/>
        </w:rPr>
        <w:t> </w:t>
      </w:r>
      <w:r>
        <w:rPr/>
        <w:t>different; SF=Significantly different.</w:t>
      </w:r>
    </w:p>
    <w:p>
      <w:pPr>
        <w:spacing w:after="0" w:line="400" w:lineRule="auto"/>
        <w:sectPr>
          <w:pgSz w:w="11910" w:h="16840"/>
          <w:pgMar w:header="0" w:footer="1055" w:top="138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3"/>
      </w:pPr>
    </w:p>
    <w:p>
      <w:pPr>
        <w:pStyle w:val="Heading3"/>
        <w:spacing w:line="259" w:lineRule="auto"/>
        <w:ind w:left="1513" w:right="975" w:hanging="1133"/>
        <w:rPr>
          <w:i/>
        </w:rPr>
      </w:pPr>
      <w:r>
        <w:rPr/>
        <w:t>Table</w:t>
      </w:r>
      <w:r>
        <w:rPr>
          <w:spacing w:val="-3"/>
        </w:rPr>
        <w:t> </w:t>
      </w:r>
      <w:r>
        <w:rPr/>
        <w:t>4.18:</w:t>
      </w:r>
      <w:r>
        <w:rPr>
          <w:spacing w:val="-3"/>
        </w:rPr>
        <w:t> </w:t>
      </w:r>
      <w:r>
        <w:rPr/>
        <w:t>Comparing</w:t>
      </w:r>
      <w:r>
        <w:rPr>
          <w:spacing w:val="-4"/>
        </w:rPr>
        <w:t> </w:t>
      </w:r>
      <w:r>
        <w:rPr/>
        <w:t>the</w:t>
      </w:r>
      <w:r>
        <w:rPr>
          <w:spacing w:val="-5"/>
        </w:rPr>
        <w:t> </w:t>
      </w:r>
      <w:r>
        <w:rPr/>
        <w:t>Mean</w:t>
      </w:r>
      <w:r>
        <w:rPr>
          <w:spacing w:val="-3"/>
        </w:rPr>
        <w:t> </w:t>
      </w:r>
      <w:r>
        <w:rPr/>
        <w:t>zone</w:t>
      </w:r>
      <w:r>
        <w:rPr>
          <w:spacing w:val="-3"/>
        </w:rPr>
        <w:t> </w:t>
      </w:r>
      <w:r>
        <w:rPr/>
        <w:t>of</w:t>
      </w:r>
      <w:r>
        <w:rPr>
          <w:spacing w:val="-2"/>
        </w:rPr>
        <w:t> </w:t>
      </w:r>
      <w:r>
        <w:rPr/>
        <w:t>inhibition</w:t>
      </w:r>
      <w:r>
        <w:rPr>
          <w:spacing w:val="-3"/>
        </w:rPr>
        <w:t> </w:t>
      </w:r>
      <w:r>
        <w:rPr/>
        <w:t>of</w:t>
      </w:r>
      <w:r>
        <w:rPr>
          <w:spacing w:val="-5"/>
        </w:rPr>
        <w:t> </w:t>
      </w:r>
      <w:r>
        <w:rPr/>
        <w:t>Lemon</w:t>
      </w:r>
      <w:r>
        <w:rPr>
          <w:spacing w:val="-1"/>
        </w:rPr>
        <w:t> </w:t>
      </w:r>
      <w:r>
        <w:rPr/>
        <w:t>juice</w:t>
      </w:r>
      <w:r>
        <w:rPr>
          <w:spacing w:val="-2"/>
        </w:rPr>
        <w:t> </w:t>
      </w:r>
      <w:r>
        <w:rPr/>
        <w:t>and</w:t>
      </w:r>
      <w:r>
        <w:rPr>
          <w:spacing w:val="-3"/>
        </w:rPr>
        <w:t> </w:t>
      </w:r>
      <w:r>
        <w:rPr/>
        <w:t>the</w:t>
      </w:r>
      <w:r>
        <w:rPr>
          <w:spacing w:val="-3"/>
        </w:rPr>
        <w:t> </w:t>
      </w:r>
      <w:r>
        <w:rPr/>
        <w:t>Standard</w:t>
      </w:r>
      <w:r>
        <w:rPr>
          <w:spacing w:val="-3"/>
        </w:rPr>
        <w:t> </w:t>
      </w:r>
      <w:r>
        <w:rPr/>
        <w:t>antibiotic formulations against </w:t>
      </w:r>
      <w:r>
        <w:rPr>
          <w:i/>
        </w:rPr>
        <w:t>Haemophilus influenzae</w:t>
      </w:r>
    </w:p>
    <w:p>
      <w:pPr>
        <w:pStyle w:val="BodyText"/>
        <w:rPr>
          <w:b/>
          <w:i/>
          <w:sz w:val="20"/>
        </w:rPr>
      </w:pPr>
    </w:p>
    <w:p>
      <w:pPr>
        <w:pStyle w:val="BodyText"/>
        <w:spacing w:before="101"/>
        <w:rPr>
          <w:b/>
          <w:i/>
          <w:sz w:val="20"/>
        </w:rPr>
      </w:pPr>
      <w:r>
        <w:rPr/>
        <mc:AlternateContent>
          <mc:Choice Requires="wps">
            <w:drawing>
              <wp:anchor distT="0" distB="0" distL="0" distR="0" allowOverlap="1" layoutInCell="1" locked="0" behindDoc="1" simplePos="0" relativeHeight="487675392">
                <wp:simplePos x="0" y="0"/>
                <wp:positionH relativeFrom="page">
                  <wp:posOffset>846124</wp:posOffset>
                </wp:positionH>
                <wp:positionV relativeFrom="paragraph">
                  <wp:posOffset>234989</wp:posOffset>
                </wp:positionV>
                <wp:extent cx="5617210" cy="6350"/>
                <wp:effectExtent l="0" t="0" r="0" b="0"/>
                <wp:wrapTopAndBottom/>
                <wp:docPr id="491" name="Graphic 491"/>
                <wp:cNvGraphicFramePr>
                  <a:graphicFrameLocks/>
                </wp:cNvGraphicFramePr>
                <a:graphic>
                  <a:graphicData uri="http://schemas.microsoft.com/office/word/2010/wordprocessingShape">
                    <wps:wsp>
                      <wps:cNvPr id="491" name="Graphic 491"/>
                      <wps:cNvSpPr/>
                      <wps:spPr>
                        <a:xfrm>
                          <a:off x="0" y="0"/>
                          <a:ext cx="5617210" cy="6350"/>
                        </a:xfrm>
                        <a:custGeom>
                          <a:avLst/>
                          <a:gdLst/>
                          <a:ahLst/>
                          <a:cxnLst/>
                          <a:rect l="l" t="t" r="r" b="b"/>
                          <a:pathLst>
                            <a:path w="5617210" h="6350">
                              <a:moveTo>
                                <a:pt x="2472118" y="0"/>
                              </a:moveTo>
                              <a:lnTo>
                                <a:pt x="1056081" y="0"/>
                              </a:lnTo>
                              <a:lnTo>
                                <a:pt x="1050036" y="0"/>
                              </a:lnTo>
                              <a:lnTo>
                                <a:pt x="0" y="0"/>
                              </a:lnTo>
                              <a:lnTo>
                                <a:pt x="0" y="6083"/>
                              </a:lnTo>
                              <a:lnTo>
                                <a:pt x="1049985" y="6083"/>
                              </a:lnTo>
                              <a:lnTo>
                                <a:pt x="1056081" y="6083"/>
                              </a:lnTo>
                              <a:lnTo>
                                <a:pt x="2472118" y="6083"/>
                              </a:lnTo>
                              <a:lnTo>
                                <a:pt x="2472118" y="0"/>
                              </a:lnTo>
                              <a:close/>
                            </a:path>
                            <a:path w="5617210" h="6350">
                              <a:moveTo>
                                <a:pt x="4606417" y="0"/>
                              </a:moveTo>
                              <a:lnTo>
                                <a:pt x="4606417" y="0"/>
                              </a:lnTo>
                              <a:lnTo>
                                <a:pt x="2472258" y="0"/>
                              </a:lnTo>
                              <a:lnTo>
                                <a:pt x="2472258" y="6083"/>
                              </a:lnTo>
                              <a:lnTo>
                                <a:pt x="4606417" y="6083"/>
                              </a:lnTo>
                              <a:lnTo>
                                <a:pt x="4606417" y="0"/>
                              </a:lnTo>
                              <a:close/>
                            </a:path>
                            <a:path w="5617210" h="6350">
                              <a:moveTo>
                                <a:pt x="5617210" y="0"/>
                              </a:moveTo>
                              <a:lnTo>
                                <a:pt x="4612589" y="0"/>
                              </a:lnTo>
                              <a:lnTo>
                                <a:pt x="4606493" y="0"/>
                              </a:lnTo>
                              <a:lnTo>
                                <a:pt x="4606493" y="6083"/>
                              </a:lnTo>
                              <a:lnTo>
                                <a:pt x="4612589" y="6083"/>
                              </a:lnTo>
                              <a:lnTo>
                                <a:pt x="5617210" y="6083"/>
                              </a:lnTo>
                              <a:lnTo>
                                <a:pt x="56172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18.50309pt;width:442.3pt;height:.5pt;mso-position-horizontal-relative:page;mso-position-vertical-relative:paragraph;z-index:-15641088;mso-wrap-distance-left:0;mso-wrap-distance-right:0" id="docshape436" coordorigin="1332,370" coordsize="8846,10" path="m5226,370l2996,370,2986,370,2986,370,1332,370,1332,380,2986,380,2986,380,2996,380,5226,380,5226,370xm8587,370l7357,370,7348,370,5235,370,5235,370,5226,370,5226,380,5235,380,5235,380,7348,380,7357,380,8587,380,8587,370xm10178,370l8596,370,8587,370,8587,380,8596,380,10178,380,10178,370xe" filled="true" fillcolor="#000000" stroked="false">
                <v:path arrowok="t"/>
                <v:fill type="solid"/>
                <w10:wrap type="topAndBottom"/>
              </v:shape>
            </w:pict>
          </mc:Fallback>
        </mc:AlternateContent>
      </w:r>
    </w:p>
    <w:p>
      <w:pPr>
        <w:pStyle w:val="BodyText"/>
        <w:rPr>
          <w:b/>
          <w:i/>
          <w:sz w:val="20"/>
        </w:rPr>
      </w:pPr>
    </w:p>
    <w:p>
      <w:pPr>
        <w:pStyle w:val="BodyText"/>
        <w:spacing w:before="3"/>
        <w:rPr>
          <w:b/>
          <w:i/>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7"/>
        <w:gridCol w:w="2062"/>
        <w:gridCol w:w="2296"/>
        <w:gridCol w:w="1488"/>
        <w:gridCol w:w="1421"/>
      </w:tblGrid>
      <w:tr>
        <w:trPr>
          <w:trHeight w:val="858" w:hRule="atLeast"/>
        </w:trPr>
        <w:tc>
          <w:tcPr>
            <w:tcW w:w="1577" w:type="dxa"/>
            <w:tcBorders>
              <w:bottom w:val="single" w:sz="4" w:space="0" w:color="000000"/>
            </w:tcBorders>
          </w:tcPr>
          <w:p>
            <w:pPr>
              <w:pStyle w:val="TableParagraph"/>
              <w:spacing w:line="225" w:lineRule="exact"/>
              <w:ind w:left="108"/>
              <w:rPr>
                <w:sz w:val="22"/>
              </w:rPr>
            </w:pPr>
            <w:r>
              <w:rPr>
                <w:sz w:val="22"/>
              </w:rPr>
              <w:t>(I)</w:t>
            </w:r>
            <w:r>
              <w:rPr>
                <w:spacing w:val="-2"/>
                <w:sz w:val="22"/>
              </w:rPr>
              <w:t> Group</w:t>
            </w:r>
          </w:p>
        </w:tc>
        <w:tc>
          <w:tcPr>
            <w:tcW w:w="2062" w:type="dxa"/>
            <w:tcBorders>
              <w:bottom w:val="single" w:sz="4" w:space="0" w:color="000000"/>
            </w:tcBorders>
          </w:tcPr>
          <w:p>
            <w:pPr>
              <w:pStyle w:val="TableParagraph"/>
              <w:spacing w:line="225" w:lineRule="exact"/>
              <w:ind w:left="184"/>
              <w:rPr>
                <w:sz w:val="22"/>
              </w:rPr>
            </w:pPr>
            <w:r>
              <w:rPr>
                <w:sz w:val="22"/>
              </w:rPr>
              <w:t>(J)</w:t>
            </w:r>
            <w:r>
              <w:rPr>
                <w:spacing w:val="-2"/>
                <w:sz w:val="22"/>
              </w:rPr>
              <w:t> Group</w:t>
            </w:r>
          </w:p>
        </w:tc>
        <w:tc>
          <w:tcPr>
            <w:tcW w:w="2296" w:type="dxa"/>
            <w:tcBorders>
              <w:bottom w:val="single" w:sz="4" w:space="0" w:color="000000"/>
            </w:tcBorders>
          </w:tcPr>
          <w:p>
            <w:pPr>
              <w:pStyle w:val="TableParagraph"/>
              <w:spacing w:line="225" w:lineRule="exact"/>
              <w:ind w:right="463"/>
              <w:jc w:val="right"/>
              <w:rPr>
                <w:sz w:val="22"/>
              </w:rPr>
            </w:pPr>
            <w:r>
              <w:rPr>
                <w:spacing w:val="-2"/>
                <w:sz w:val="22"/>
              </w:rPr>
              <w:t>Mean±SEM</w:t>
            </w:r>
          </w:p>
        </w:tc>
        <w:tc>
          <w:tcPr>
            <w:tcW w:w="1488" w:type="dxa"/>
            <w:tcBorders>
              <w:bottom w:val="single" w:sz="4" w:space="0" w:color="000000"/>
            </w:tcBorders>
          </w:tcPr>
          <w:p>
            <w:pPr>
              <w:pStyle w:val="TableParagraph"/>
              <w:spacing w:line="225" w:lineRule="exact"/>
              <w:ind w:left="2" w:right="86"/>
              <w:jc w:val="center"/>
              <w:rPr>
                <w:sz w:val="22"/>
              </w:rPr>
            </w:pPr>
            <w:r>
              <w:rPr>
                <w:sz w:val="22"/>
              </w:rPr>
              <w:t>P-</w:t>
            </w:r>
            <w:r>
              <w:rPr>
                <w:spacing w:val="-2"/>
                <w:sz w:val="22"/>
              </w:rPr>
              <w:t>value</w:t>
            </w:r>
          </w:p>
        </w:tc>
        <w:tc>
          <w:tcPr>
            <w:tcW w:w="1421" w:type="dxa"/>
            <w:tcBorders>
              <w:bottom w:val="single" w:sz="4" w:space="0" w:color="000000"/>
            </w:tcBorders>
          </w:tcPr>
          <w:p>
            <w:pPr>
              <w:pStyle w:val="TableParagraph"/>
              <w:spacing w:line="225" w:lineRule="exact"/>
              <w:ind w:right="620"/>
              <w:jc w:val="right"/>
              <w:rPr>
                <w:sz w:val="22"/>
              </w:rPr>
            </w:pPr>
            <w:r>
              <w:rPr>
                <w:spacing w:val="-5"/>
                <w:sz w:val="22"/>
              </w:rPr>
              <w:t>LOS</w:t>
            </w:r>
          </w:p>
        </w:tc>
      </w:tr>
      <w:tr>
        <w:trPr>
          <w:trHeight w:val="375" w:hRule="atLeast"/>
        </w:trPr>
        <w:tc>
          <w:tcPr>
            <w:tcW w:w="1577" w:type="dxa"/>
            <w:tcBorders>
              <w:top w:val="single" w:sz="4" w:space="0" w:color="000000"/>
            </w:tcBorders>
          </w:tcPr>
          <w:p>
            <w:pPr>
              <w:pStyle w:val="TableParagraph"/>
              <w:rPr>
                <w:rFonts w:ascii="Times New Roman"/>
                <w:sz w:val="22"/>
              </w:rPr>
            </w:pPr>
          </w:p>
        </w:tc>
        <w:tc>
          <w:tcPr>
            <w:tcW w:w="2062" w:type="dxa"/>
            <w:tcBorders>
              <w:top w:val="single" w:sz="4" w:space="0" w:color="000000"/>
            </w:tcBorders>
          </w:tcPr>
          <w:p>
            <w:pPr>
              <w:pStyle w:val="TableParagraph"/>
              <w:spacing w:line="265" w:lineRule="exact"/>
              <w:ind w:left="184"/>
              <w:rPr>
                <w:sz w:val="22"/>
              </w:rPr>
            </w:pPr>
            <w:r>
              <w:rPr>
                <w:spacing w:val="-5"/>
                <w:sz w:val="22"/>
              </w:rPr>
              <w:t>CRO</w:t>
            </w:r>
          </w:p>
        </w:tc>
        <w:tc>
          <w:tcPr>
            <w:tcW w:w="2296" w:type="dxa"/>
            <w:tcBorders>
              <w:top w:val="single" w:sz="4" w:space="0" w:color="000000"/>
            </w:tcBorders>
          </w:tcPr>
          <w:p>
            <w:pPr>
              <w:pStyle w:val="TableParagraph"/>
              <w:spacing w:line="265" w:lineRule="exact"/>
              <w:ind w:right="365"/>
              <w:jc w:val="right"/>
              <w:rPr>
                <w:sz w:val="22"/>
              </w:rPr>
            </w:pPr>
            <w:r>
              <w:rPr>
                <w:spacing w:val="-2"/>
                <w:sz w:val="22"/>
              </w:rPr>
              <w:t>25.500±2.500</w:t>
            </w:r>
          </w:p>
        </w:tc>
        <w:tc>
          <w:tcPr>
            <w:tcW w:w="1488" w:type="dxa"/>
            <w:tcBorders>
              <w:top w:val="single" w:sz="4" w:space="0" w:color="000000"/>
            </w:tcBorders>
          </w:tcPr>
          <w:p>
            <w:pPr>
              <w:pStyle w:val="TableParagraph"/>
              <w:spacing w:line="265" w:lineRule="exact"/>
              <w:ind w:right="86"/>
              <w:jc w:val="center"/>
              <w:rPr>
                <w:sz w:val="22"/>
              </w:rPr>
            </w:pPr>
            <w:r>
              <w:rPr>
                <w:spacing w:val="-2"/>
                <w:sz w:val="22"/>
              </w:rPr>
              <w:t>0.152</w:t>
            </w:r>
          </w:p>
        </w:tc>
        <w:tc>
          <w:tcPr>
            <w:tcW w:w="1421" w:type="dxa"/>
            <w:tcBorders>
              <w:top w:val="single" w:sz="4" w:space="0" w:color="000000"/>
            </w:tcBorders>
          </w:tcPr>
          <w:p>
            <w:pPr>
              <w:pStyle w:val="TableParagraph"/>
              <w:spacing w:line="265" w:lineRule="exact"/>
              <w:ind w:right="671"/>
              <w:jc w:val="right"/>
              <w:rPr>
                <w:sz w:val="22"/>
              </w:rPr>
            </w:pPr>
            <w:r>
              <w:rPr>
                <w:spacing w:val="-5"/>
                <w:sz w:val="22"/>
              </w:rPr>
              <w:t>NS</w:t>
            </w:r>
          </w:p>
        </w:tc>
      </w:tr>
      <w:tr>
        <w:trPr>
          <w:trHeight w:val="450" w:hRule="atLeast"/>
        </w:trPr>
        <w:tc>
          <w:tcPr>
            <w:tcW w:w="1577" w:type="dxa"/>
          </w:tcPr>
          <w:p>
            <w:pPr>
              <w:pStyle w:val="TableParagraph"/>
              <w:rPr>
                <w:rFonts w:ascii="Times New Roman"/>
                <w:sz w:val="22"/>
              </w:rPr>
            </w:pPr>
          </w:p>
        </w:tc>
        <w:tc>
          <w:tcPr>
            <w:tcW w:w="2062" w:type="dxa"/>
          </w:tcPr>
          <w:p>
            <w:pPr>
              <w:pStyle w:val="TableParagraph"/>
              <w:spacing w:before="70"/>
              <w:ind w:left="184"/>
              <w:rPr>
                <w:sz w:val="22"/>
              </w:rPr>
            </w:pPr>
            <w:r>
              <w:rPr>
                <w:spacing w:val="-5"/>
                <w:sz w:val="22"/>
              </w:rPr>
              <w:t>CN</w:t>
            </w:r>
          </w:p>
        </w:tc>
        <w:tc>
          <w:tcPr>
            <w:tcW w:w="2296" w:type="dxa"/>
          </w:tcPr>
          <w:p>
            <w:pPr>
              <w:pStyle w:val="TableParagraph"/>
              <w:spacing w:before="70"/>
              <w:ind w:right="365"/>
              <w:jc w:val="right"/>
              <w:rPr>
                <w:sz w:val="22"/>
              </w:rPr>
            </w:pPr>
            <w:r>
              <w:rPr>
                <w:spacing w:val="-2"/>
                <w:sz w:val="22"/>
              </w:rPr>
              <w:t>20.500±0.500</w:t>
            </w:r>
          </w:p>
        </w:tc>
        <w:tc>
          <w:tcPr>
            <w:tcW w:w="1488" w:type="dxa"/>
          </w:tcPr>
          <w:p>
            <w:pPr>
              <w:pStyle w:val="TableParagraph"/>
              <w:spacing w:before="70"/>
              <w:ind w:right="86"/>
              <w:jc w:val="center"/>
              <w:rPr>
                <w:sz w:val="22"/>
              </w:rPr>
            </w:pPr>
            <w:r>
              <w:rPr>
                <w:spacing w:val="-2"/>
                <w:sz w:val="22"/>
              </w:rPr>
              <w:t>1.000</w:t>
            </w:r>
          </w:p>
        </w:tc>
        <w:tc>
          <w:tcPr>
            <w:tcW w:w="1421" w:type="dxa"/>
          </w:tcPr>
          <w:p>
            <w:pPr>
              <w:pStyle w:val="TableParagraph"/>
              <w:spacing w:before="70"/>
              <w:ind w:right="671"/>
              <w:jc w:val="right"/>
              <w:rPr>
                <w:sz w:val="22"/>
              </w:rPr>
            </w:pPr>
            <w:r>
              <w:rPr>
                <w:spacing w:val="-5"/>
                <w:sz w:val="22"/>
              </w:rPr>
              <w:t>NS</w:t>
            </w:r>
          </w:p>
        </w:tc>
      </w:tr>
      <w:tr>
        <w:trPr>
          <w:trHeight w:val="450" w:hRule="atLeast"/>
        </w:trPr>
        <w:tc>
          <w:tcPr>
            <w:tcW w:w="1577" w:type="dxa"/>
          </w:tcPr>
          <w:p>
            <w:pPr>
              <w:pStyle w:val="TableParagraph"/>
              <w:rPr>
                <w:rFonts w:ascii="Times New Roman"/>
                <w:sz w:val="22"/>
              </w:rPr>
            </w:pPr>
          </w:p>
        </w:tc>
        <w:tc>
          <w:tcPr>
            <w:tcW w:w="2062" w:type="dxa"/>
          </w:tcPr>
          <w:p>
            <w:pPr>
              <w:pStyle w:val="TableParagraph"/>
              <w:spacing w:before="71"/>
              <w:ind w:left="184"/>
              <w:rPr>
                <w:sz w:val="22"/>
              </w:rPr>
            </w:pPr>
            <w:r>
              <w:rPr>
                <w:spacing w:val="-5"/>
                <w:sz w:val="22"/>
              </w:rPr>
              <w:t>AMC</w:t>
            </w:r>
          </w:p>
        </w:tc>
        <w:tc>
          <w:tcPr>
            <w:tcW w:w="2296" w:type="dxa"/>
          </w:tcPr>
          <w:p>
            <w:pPr>
              <w:pStyle w:val="TableParagraph"/>
              <w:spacing w:before="71"/>
              <w:ind w:right="365"/>
              <w:jc w:val="right"/>
              <w:rPr>
                <w:sz w:val="22"/>
              </w:rPr>
            </w:pPr>
            <w:r>
              <w:rPr>
                <w:spacing w:val="-2"/>
                <w:sz w:val="22"/>
              </w:rPr>
              <w:t>18.000±0.000</w:t>
            </w:r>
          </w:p>
        </w:tc>
        <w:tc>
          <w:tcPr>
            <w:tcW w:w="1488" w:type="dxa"/>
          </w:tcPr>
          <w:p>
            <w:pPr>
              <w:pStyle w:val="TableParagraph"/>
              <w:spacing w:before="71"/>
              <w:ind w:right="86"/>
              <w:jc w:val="center"/>
              <w:rPr>
                <w:sz w:val="22"/>
              </w:rPr>
            </w:pPr>
            <w:r>
              <w:rPr>
                <w:spacing w:val="-2"/>
                <w:sz w:val="22"/>
              </w:rPr>
              <w:t>0.769</w:t>
            </w:r>
          </w:p>
        </w:tc>
        <w:tc>
          <w:tcPr>
            <w:tcW w:w="1421" w:type="dxa"/>
          </w:tcPr>
          <w:p>
            <w:pPr>
              <w:pStyle w:val="TableParagraph"/>
              <w:spacing w:before="71"/>
              <w:ind w:right="671"/>
              <w:jc w:val="right"/>
              <w:rPr>
                <w:sz w:val="22"/>
              </w:rPr>
            </w:pPr>
            <w:r>
              <w:rPr>
                <w:spacing w:val="-5"/>
                <w:sz w:val="22"/>
              </w:rPr>
              <w:t>NS</w:t>
            </w:r>
          </w:p>
        </w:tc>
      </w:tr>
      <w:tr>
        <w:trPr>
          <w:trHeight w:val="449" w:hRule="atLeast"/>
        </w:trPr>
        <w:tc>
          <w:tcPr>
            <w:tcW w:w="1577" w:type="dxa"/>
          </w:tcPr>
          <w:p>
            <w:pPr>
              <w:pStyle w:val="TableParagraph"/>
              <w:spacing w:before="70"/>
              <w:ind w:left="108"/>
              <w:rPr>
                <w:sz w:val="22"/>
              </w:rPr>
            </w:pPr>
            <w:r>
              <w:rPr>
                <w:sz w:val="22"/>
              </w:rPr>
              <w:t>Lemon</w:t>
            </w:r>
            <w:r>
              <w:rPr>
                <w:spacing w:val="-6"/>
                <w:sz w:val="22"/>
              </w:rPr>
              <w:t> </w:t>
            </w:r>
            <w:r>
              <w:rPr>
                <w:spacing w:val="-2"/>
                <w:sz w:val="22"/>
              </w:rPr>
              <w:t>(100%)</w:t>
            </w:r>
          </w:p>
        </w:tc>
        <w:tc>
          <w:tcPr>
            <w:tcW w:w="2062" w:type="dxa"/>
          </w:tcPr>
          <w:p>
            <w:pPr>
              <w:pStyle w:val="TableParagraph"/>
              <w:spacing w:before="70"/>
              <w:ind w:left="184"/>
              <w:rPr>
                <w:sz w:val="22"/>
              </w:rPr>
            </w:pPr>
            <w:r>
              <w:rPr>
                <w:spacing w:val="-5"/>
                <w:sz w:val="22"/>
              </w:rPr>
              <w:t>LEV</w:t>
            </w:r>
          </w:p>
        </w:tc>
        <w:tc>
          <w:tcPr>
            <w:tcW w:w="2296" w:type="dxa"/>
          </w:tcPr>
          <w:p>
            <w:pPr>
              <w:pStyle w:val="TableParagraph"/>
              <w:spacing w:before="70"/>
              <w:ind w:right="365"/>
              <w:jc w:val="right"/>
              <w:rPr>
                <w:sz w:val="22"/>
              </w:rPr>
            </w:pPr>
            <w:r>
              <w:rPr>
                <w:spacing w:val="-2"/>
                <w:sz w:val="22"/>
              </w:rPr>
              <w:t>22.500±0.500</w:t>
            </w:r>
          </w:p>
        </w:tc>
        <w:tc>
          <w:tcPr>
            <w:tcW w:w="1488" w:type="dxa"/>
          </w:tcPr>
          <w:p>
            <w:pPr>
              <w:pStyle w:val="TableParagraph"/>
              <w:spacing w:before="70"/>
              <w:ind w:right="86"/>
              <w:jc w:val="center"/>
              <w:rPr>
                <w:sz w:val="22"/>
              </w:rPr>
            </w:pPr>
            <w:r>
              <w:rPr>
                <w:spacing w:val="-2"/>
                <w:sz w:val="22"/>
              </w:rPr>
              <w:t>0.900</w:t>
            </w:r>
          </w:p>
        </w:tc>
        <w:tc>
          <w:tcPr>
            <w:tcW w:w="1421" w:type="dxa"/>
          </w:tcPr>
          <w:p>
            <w:pPr>
              <w:pStyle w:val="TableParagraph"/>
              <w:spacing w:before="70"/>
              <w:ind w:right="671"/>
              <w:jc w:val="right"/>
              <w:rPr>
                <w:sz w:val="22"/>
              </w:rPr>
            </w:pPr>
            <w:r>
              <w:rPr>
                <w:spacing w:val="-5"/>
                <w:sz w:val="22"/>
              </w:rPr>
              <w:t>NS</w:t>
            </w:r>
          </w:p>
        </w:tc>
      </w:tr>
      <w:tr>
        <w:trPr>
          <w:trHeight w:val="450" w:hRule="atLeast"/>
        </w:trPr>
        <w:tc>
          <w:tcPr>
            <w:tcW w:w="1577" w:type="dxa"/>
          </w:tcPr>
          <w:p>
            <w:pPr>
              <w:pStyle w:val="TableParagraph"/>
              <w:rPr>
                <w:rFonts w:ascii="Times New Roman"/>
                <w:sz w:val="22"/>
              </w:rPr>
            </w:pPr>
          </w:p>
        </w:tc>
        <w:tc>
          <w:tcPr>
            <w:tcW w:w="2062" w:type="dxa"/>
          </w:tcPr>
          <w:p>
            <w:pPr>
              <w:pStyle w:val="TableParagraph"/>
              <w:spacing w:before="70"/>
              <w:ind w:left="184"/>
              <w:rPr>
                <w:sz w:val="22"/>
              </w:rPr>
            </w:pPr>
            <w:r>
              <w:rPr>
                <w:spacing w:val="-5"/>
                <w:sz w:val="22"/>
              </w:rPr>
              <w:t>AZM</w:t>
            </w:r>
          </w:p>
        </w:tc>
        <w:tc>
          <w:tcPr>
            <w:tcW w:w="2296" w:type="dxa"/>
          </w:tcPr>
          <w:p>
            <w:pPr>
              <w:pStyle w:val="TableParagraph"/>
              <w:spacing w:before="70"/>
              <w:ind w:right="365"/>
              <w:jc w:val="right"/>
              <w:rPr>
                <w:sz w:val="22"/>
              </w:rPr>
            </w:pPr>
            <w:r>
              <w:rPr>
                <w:spacing w:val="-2"/>
                <w:sz w:val="22"/>
              </w:rPr>
              <w:t>14.500±0.500</w:t>
            </w:r>
          </w:p>
        </w:tc>
        <w:tc>
          <w:tcPr>
            <w:tcW w:w="1488" w:type="dxa"/>
          </w:tcPr>
          <w:p>
            <w:pPr>
              <w:pStyle w:val="TableParagraph"/>
              <w:spacing w:before="70"/>
              <w:ind w:right="86"/>
              <w:jc w:val="center"/>
              <w:rPr>
                <w:sz w:val="22"/>
              </w:rPr>
            </w:pPr>
            <w:r>
              <w:rPr>
                <w:spacing w:val="-2"/>
                <w:sz w:val="22"/>
              </w:rPr>
              <w:t>0.069</w:t>
            </w:r>
          </w:p>
        </w:tc>
        <w:tc>
          <w:tcPr>
            <w:tcW w:w="1421" w:type="dxa"/>
          </w:tcPr>
          <w:p>
            <w:pPr>
              <w:pStyle w:val="TableParagraph"/>
              <w:spacing w:before="70"/>
              <w:ind w:right="671"/>
              <w:jc w:val="right"/>
              <w:rPr>
                <w:sz w:val="22"/>
              </w:rPr>
            </w:pPr>
            <w:r>
              <w:rPr>
                <w:spacing w:val="-5"/>
                <w:sz w:val="22"/>
              </w:rPr>
              <w:t>NS</w:t>
            </w:r>
          </w:p>
        </w:tc>
      </w:tr>
      <w:tr>
        <w:trPr>
          <w:trHeight w:val="450" w:hRule="atLeast"/>
        </w:trPr>
        <w:tc>
          <w:tcPr>
            <w:tcW w:w="1577" w:type="dxa"/>
          </w:tcPr>
          <w:p>
            <w:pPr>
              <w:pStyle w:val="TableParagraph"/>
              <w:rPr>
                <w:rFonts w:ascii="Times New Roman"/>
                <w:sz w:val="22"/>
              </w:rPr>
            </w:pPr>
          </w:p>
        </w:tc>
        <w:tc>
          <w:tcPr>
            <w:tcW w:w="2062" w:type="dxa"/>
          </w:tcPr>
          <w:p>
            <w:pPr>
              <w:pStyle w:val="TableParagraph"/>
              <w:spacing w:before="71"/>
              <w:ind w:left="184"/>
              <w:rPr>
                <w:sz w:val="22"/>
              </w:rPr>
            </w:pPr>
            <w:r>
              <w:rPr>
                <w:sz w:val="22"/>
              </w:rPr>
              <w:t>Lemon</w:t>
            </w:r>
            <w:r>
              <w:rPr>
                <w:spacing w:val="-4"/>
                <w:sz w:val="22"/>
              </w:rPr>
              <w:t> </w:t>
            </w:r>
            <w:r>
              <w:rPr>
                <w:spacing w:val="-2"/>
                <w:sz w:val="22"/>
              </w:rPr>
              <w:t>(50%)</w:t>
            </w:r>
          </w:p>
        </w:tc>
        <w:tc>
          <w:tcPr>
            <w:tcW w:w="2296" w:type="dxa"/>
          </w:tcPr>
          <w:p>
            <w:pPr>
              <w:pStyle w:val="TableParagraph"/>
              <w:spacing w:before="71"/>
              <w:ind w:right="365"/>
              <w:jc w:val="right"/>
              <w:rPr>
                <w:sz w:val="22"/>
              </w:rPr>
            </w:pPr>
            <w:r>
              <w:rPr>
                <w:spacing w:val="-2"/>
                <w:sz w:val="22"/>
              </w:rPr>
              <w:t>17.500±0.500</w:t>
            </w:r>
          </w:p>
        </w:tc>
        <w:tc>
          <w:tcPr>
            <w:tcW w:w="1488" w:type="dxa"/>
          </w:tcPr>
          <w:p>
            <w:pPr>
              <w:pStyle w:val="TableParagraph"/>
              <w:spacing w:before="71"/>
              <w:ind w:right="86"/>
              <w:jc w:val="center"/>
              <w:rPr>
                <w:sz w:val="22"/>
              </w:rPr>
            </w:pPr>
            <w:r>
              <w:rPr>
                <w:spacing w:val="-2"/>
                <w:sz w:val="22"/>
              </w:rPr>
              <w:t>0.609</w:t>
            </w:r>
          </w:p>
        </w:tc>
        <w:tc>
          <w:tcPr>
            <w:tcW w:w="1421" w:type="dxa"/>
          </w:tcPr>
          <w:p>
            <w:pPr>
              <w:pStyle w:val="TableParagraph"/>
              <w:spacing w:before="71"/>
              <w:ind w:right="671"/>
              <w:jc w:val="right"/>
              <w:rPr>
                <w:sz w:val="22"/>
              </w:rPr>
            </w:pPr>
            <w:r>
              <w:rPr>
                <w:spacing w:val="-5"/>
                <w:sz w:val="22"/>
              </w:rPr>
              <w:t>NS</w:t>
            </w:r>
          </w:p>
        </w:tc>
      </w:tr>
      <w:tr>
        <w:trPr>
          <w:trHeight w:val="524" w:hRule="atLeast"/>
        </w:trPr>
        <w:tc>
          <w:tcPr>
            <w:tcW w:w="1577" w:type="dxa"/>
            <w:tcBorders>
              <w:bottom w:val="single" w:sz="4" w:space="0" w:color="000000"/>
            </w:tcBorders>
          </w:tcPr>
          <w:p>
            <w:pPr>
              <w:pStyle w:val="TableParagraph"/>
              <w:rPr>
                <w:rFonts w:ascii="Times New Roman"/>
                <w:sz w:val="22"/>
              </w:rPr>
            </w:pPr>
          </w:p>
        </w:tc>
        <w:tc>
          <w:tcPr>
            <w:tcW w:w="2062" w:type="dxa"/>
            <w:tcBorders>
              <w:bottom w:val="single" w:sz="4" w:space="0" w:color="000000"/>
            </w:tcBorders>
          </w:tcPr>
          <w:p>
            <w:pPr>
              <w:pStyle w:val="TableParagraph"/>
              <w:spacing w:before="70"/>
              <w:ind w:left="184"/>
              <w:rPr>
                <w:sz w:val="22"/>
              </w:rPr>
            </w:pPr>
            <w:r>
              <w:rPr>
                <w:sz w:val="22"/>
              </w:rPr>
              <w:t>Lemon</w:t>
            </w:r>
            <w:r>
              <w:rPr>
                <w:spacing w:val="-4"/>
                <w:sz w:val="22"/>
              </w:rPr>
              <w:t> </w:t>
            </w:r>
            <w:r>
              <w:rPr>
                <w:spacing w:val="-2"/>
                <w:sz w:val="22"/>
              </w:rPr>
              <w:t>(25%)</w:t>
            </w:r>
          </w:p>
        </w:tc>
        <w:tc>
          <w:tcPr>
            <w:tcW w:w="2296" w:type="dxa"/>
            <w:tcBorders>
              <w:bottom w:val="single" w:sz="4" w:space="0" w:color="000000"/>
            </w:tcBorders>
          </w:tcPr>
          <w:p>
            <w:pPr>
              <w:pStyle w:val="TableParagraph"/>
              <w:spacing w:before="70"/>
              <w:ind w:right="365"/>
              <w:jc w:val="right"/>
              <w:rPr>
                <w:sz w:val="22"/>
              </w:rPr>
            </w:pPr>
            <w:r>
              <w:rPr>
                <w:spacing w:val="-2"/>
                <w:sz w:val="22"/>
              </w:rPr>
              <w:t>16.000±1.000</w:t>
            </w:r>
          </w:p>
        </w:tc>
        <w:tc>
          <w:tcPr>
            <w:tcW w:w="1488" w:type="dxa"/>
            <w:tcBorders>
              <w:bottom w:val="single" w:sz="4" w:space="0" w:color="000000"/>
            </w:tcBorders>
          </w:tcPr>
          <w:p>
            <w:pPr>
              <w:pStyle w:val="TableParagraph"/>
              <w:spacing w:before="70"/>
              <w:ind w:right="86"/>
              <w:jc w:val="center"/>
              <w:rPr>
                <w:sz w:val="22"/>
              </w:rPr>
            </w:pPr>
            <w:r>
              <w:rPr>
                <w:spacing w:val="-2"/>
                <w:sz w:val="22"/>
              </w:rPr>
              <w:t>0.224</w:t>
            </w:r>
          </w:p>
        </w:tc>
        <w:tc>
          <w:tcPr>
            <w:tcW w:w="1421" w:type="dxa"/>
            <w:tcBorders>
              <w:bottom w:val="single" w:sz="4" w:space="0" w:color="000000"/>
            </w:tcBorders>
          </w:tcPr>
          <w:p>
            <w:pPr>
              <w:pStyle w:val="TableParagraph"/>
              <w:spacing w:before="70"/>
              <w:ind w:right="671"/>
              <w:jc w:val="right"/>
              <w:rPr>
                <w:sz w:val="22"/>
              </w:rPr>
            </w:pPr>
            <w:r>
              <w:rPr>
                <w:spacing w:val="-5"/>
                <w:sz w:val="22"/>
              </w:rPr>
              <w:t>NS</w:t>
            </w:r>
          </w:p>
        </w:tc>
      </w:tr>
      <w:tr>
        <w:trPr>
          <w:trHeight w:val="375" w:hRule="atLeast"/>
        </w:trPr>
        <w:tc>
          <w:tcPr>
            <w:tcW w:w="1577" w:type="dxa"/>
            <w:tcBorders>
              <w:top w:val="single" w:sz="4" w:space="0" w:color="000000"/>
            </w:tcBorders>
          </w:tcPr>
          <w:p>
            <w:pPr>
              <w:pStyle w:val="TableParagraph"/>
              <w:rPr>
                <w:rFonts w:ascii="Times New Roman"/>
                <w:sz w:val="22"/>
              </w:rPr>
            </w:pPr>
          </w:p>
        </w:tc>
        <w:tc>
          <w:tcPr>
            <w:tcW w:w="2062" w:type="dxa"/>
            <w:tcBorders>
              <w:top w:val="single" w:sz="4" w:space="0" w:color="000000"/>
            </w:tcBorders>
          </w:tcPr>
          <w:p>
            <w:pPr>
              <w:pStyle w:val="TableParagraph"/>
              <w:spacing w:line="265" w:lineRule="exact"/>
              <w:ind w:left="184"/>
              <w:rPr>
                <w:sz w:val="22"/>
              </w:rPr>
            </w:pPr>
            <w:r>
              <w:rPr>
                <w:spacing w:val="-5"/>
                <w:sz w:val="22"/>
              </w:rPr>
              <w:t>CRO</w:t>
            </w:r>
          </w:p>
        </w:tc>
        <w:tc>
          <w:tcPr>
            <w:tcW w:w="2296" w:type="dxa"/>
            <w:tcBorders>
              <w:top w:val="single" w:sz="4" w:space="0" w:color="000000"/>
            </w:tcBorders>
          </w:tcPr>
          <w:p>
            <w:pPr>
              <w:pStyle w:val="TableParagraph"/>
              <w:spacing w:line="265" w:lineRule="exact"/>
              <w:ind w:right="365"/>
              <w:jc w:val="right"/>
              <w:rPr>
                <w:sz w:val="22"/>
              </w:rPr>
            </w:pPr>
            <w:r>
              <w:rPr>
                <w:spacing w:val="-2"/>
                <w:sz w:val="22"/>
              </w:rPr>
              <w:t>25.500±2.500</w:t>
            </w:r>
          </w:p>
        </w:tc>
        <w:tc>
          <w:tcPr>
            <w:tcW w:w="1488" w:type="dxa"/>
            <w:tcBorders>
              <w:top w:val="single" w:sz="4" w:space="0" w:color="000000"/>
            </w:tcBorders>
          </w:tcPr>
          <w:p>
            <w:pPr>
              <w:pStyle w:val="TableParagraph"/>
              <w:spacing w:line="265" w:lineRule="exact"/>
              <w:ind w:right="86"/>
              <w:jc w:val="center"/>
              <w:rPr>
                <w:sz w:val="22"/>
              </w:rPr>
            </w:pPr>
            <w:r>
              <w:rPr>
                <w:spacing w:val="-2"/>
                <w:sz w:val="22"/>
              </w:rPr>
              <w:t>0.015</w:t>
            </w:r>
          </w:p>
        </w:tc>
        <w:tc>
          <w:tcPr>
            <w:tcW w:w="1421" w:type="dxa"/>
            <w:tcBorders>
              <w:top w:val="single" w:sz="4" w:space="0" w:color="000000"/>
            </w:tcBorders>
          </w:tcPr>
          <w:p>
            <w:pPr>
              <w:pStyle w:val="TableParagraph"/>
              <w:spacing w:line="265" w:lineRule="exact"/>
              <w:ind w:right="692"/>
              <w:jc w:val="right"/>
              <w:rPr>
                <w:sz w:val="22"/>
              </w:rPr>
            </w:pPr>
            <w:r>
              <w:rPr>
                <w:spacing w:val="-5"/>
                <w:sz w:val="22"/>
              </w:rPr>
              <w:t>SF</w:t>
            </w:r>
          </w:p>
        </w:tc>
      </w:tr>
      <w:tr>
        <w:trPr>
          <w:trHeight w:val="450" w:hRule="atLeast"/>
        </w:trPr>
        <w:tc>
          <w:tcPr>
            <w:tcW w:w="1577" w:type="dxa"/>
          </w:tcPr>
          <w:p>
            <w:pPr>
              <w:pStyle w:val="TableParagraph"/>
              <w:rPr>
                <w:rFonts w:ascii="Times New Roman"/>
                <w:sz w:val="22"/>
              </w:rPr>
            </w:pPr>
          </w:p>
        </w:tc>
        <w:tc>
          <w:tcPr>
            <w:tcW w:w="2062" w:type="dxa"/>
          </w:tcPr>
          <w:p>
            <w:pPr>
              <w:pStyle w:val="TableParagraph"/>
              <w:spacing w:before="70"/>
              <w:ind w:left="184"/>
              <w:rPr>
                <w:sz w:val="22"/>
              </w:rPr>
            </w:pPr>
            <w:r>
              <w:rPr>
                <w:spacing w:val="-5"/>
                <w:sz w:val="22"/>
              </w:rPr>
              <w:t>CN</w:t>
            </w:r>
          </w:p>
        </w:tc>
        <w:tc>
          <w:tcPr>
            <w:tcW w:w="2296" w:type="dxa"/>
          </w:tcPr>
          <w:p>
            <w:pPr>
              <w:pStyle w:val="TableParagraph"/>
              <w:spacing w:before="70"/>
              <w:ind w:right="365"/>
              <w:jc w:val="right"/>
              <w:rPr>
                <w:sz w:val="22"/>
              </w:rPr>
            </w:pPr>
            <w:r>
              <w:rPr>
                <w:spacing w:val="-2"/>
                <w:sz w:val="22"/>
              </w:rPr>
              <w:t>20.500±0.500</w:t>
            </w:r>
          </w:p>
        </w:tc>
        <w:tc>
          <w:tcPr>
            <w:tcW w:w="1488" w:type="dxa"/>
          </w:tcPr>
          <w:p>
            <w:pPr>
              <w:pStyle w:val="TableParagraph"/>
              <w:spacing w:before="70"/>
              <w:ind w:right="86"/>
              <w:jc w:val="center"/>
              <w:rPr>
                <w:sz w:val="22"/>
              </w:rPr>
            </w:pPr>
            <w:r>
              <w:rPr>
                <w:spacing w:val="-2"/>
                <w:sz w:val="22"/>
              </w:rPr>
              <w:t>0.609</w:t>
            </w:r>
          </w:p>
        </w:tc>
        <w:tc>
          <w:tcPr>
            <w:tcW w:w="1421" w:type="dxa"/>
          </w:tcPr>
          <w:p>
            <w:pPr>
              <w:pStyle w:val="TableParagraph"/>
              <w:spacing w:before="70"/>
              <w:ind w:right="671"/>
              <w:jc w:val="right"/>
              <w:rPr>
                <w:sz w:val="22"/>
              </w:rPr>
            </w:pPr>
            <w:r>
              <w:rPr>
                <w:spacing w:val="-5"/>
                <w:sz w:val="22"/>
              </w:rPr>
              <w:t>NS</w:t>
            </w:r>
          </w:p>
        </w:tc>
      </w:tr>
      <w:tr>
        <w:trPr>
          <w:trHeight w:val="449" w:hRule="atLeast"/>
        </w:trPr>
        <w:tc>
          <w:tcPr>
            <w:tcW w:w="1577" w:type="dxa"/>
          </w:tcPr>
          <w:p>
            <w:pPr>
              <w:pStyle w:val="TableParagraph"/>
              <w:spacing w:before="71"/>
              <w:ind w:left="108"/>
              <w:rPr>
                <w:sz w:val="22"/>
              </w:rPr>
            </w:pPr>
            <w:r>
              <w:rPr>
                <w:sz w:val="22"/>
              </w:rPr>
              <w:t>Lemon</w:t>
            </w:r>
            <w:r>
              <w:rPr>
                <w:spacing w:val="-4"/>
                <w:sz w:val="22"/>
              </w:rPr>
              <w:t> </w:t>
            </w:r>
            <w:r>
              <w:rPr>
                <w:spacing w:val="-2"/>
                <w:sz w:val="22"/>
              </w:rPr>
              <w:t>(50%)</w:t>
            </w:r>
          </w:p>
        </w:tc>
        <w:tc>
          <w:tcPr>
            <w:tcW w:w="2062" w:type="dxa"/>
          </w:tcPr>
          <w:p>
            <w:pPr>
              <w:pStyle w:val="TableParagraph"/>
              <w:spacing w:before="71"/>
              <w:ind w:left="184"/>
              <w:rPr>
                <w:sz w:val="22"/>
              </w:rPr>
            </w:pPr>
            <w:r>
              <w:rPr>
                <w:spacing w:val="-5"/>
                <w:sz w:val="22"/>
              </w:rPr>
              <w:t>AMC</w:t>
            </w:r>
          </w:p>
        </w:tc>
        <w:tc>
          <w:tcPr>
            <w:tcW w:w="2296" w:type="dxa"/>
          </w:tcPr>
          <w:p>
            <w:pPr>
              <w:pStyle w:val="TableParagraph"/>
              <w:spacing w:before="71"/>
              <w:ind w:right="365"/>
              <w:jc w:val="right"/>
              <w:rPr>
                <w:sz w:val="22"/>
              </w:rPr>
            </w:pPr>
            <w:r>
              <w:rPr>
                <w:spacing w:val="-2"/>
                <w:sz w:val="22"/>
              </w:rPr>
              <w:t>18.000±0.000</w:t>
            </w:r>
          </w:p>
        </w:tc>
        <w:tc>
          <w:tcPr>
            <w:tcW w:w="1488" w:type="dxa"/>
          </w:tcPr>
          <w:p>
            <w:pPr>
              <w:pStyle w:val="TableParagraph"/>
              <w:spacing w:before="71"/>
              <w:ind w:right="86"/>
              <w:jc w:val="center"/>
              <w:rPr>
                <w:sz w:val="22"/>
              </w:rPr>
            </w:pPr>
            <w:r>
              <w:rPr>
                <w:spacing w:val="-2"/>
                <w:sz w:val="22"/>
              </w:rPr>
              <w:t>1.000</w:t>
            </w:r>
          </w:p>
        </w:tc>
        <w:tc>
          <w:tcPr>
            <w:tcW w:w="1421" w:type="dxa"/>
          </w:tcPr>
          <w:p>
            <w:pPr>
              <w:pStyle w:val="TableParagraph"/>
              <w:spacing w:before="71"/>
              <w:ind w:right="671"/>
              <w:jc w:val="right"/>
              <w:rPr>
                <w:sz w:val="22"/>
              </w:rPr>
            </w:pPr>
            <w:r>
              <w:rPr>
                <w:spacing w:val="-5"/>
                <w:sz w:val="22"/>
              </w:rPr>
              <w:t>NS</w:t>
            </w:r>
          </w:p>
        </w:tc>
      </w:tr>
      <w:tr>
        <w:trPr>
          <w:trHeight w:val="450" w:hRule="atLeast"/>
        </w:trPr>
        <w:tc>
          <w:tcPr>
            <w:tcW w:w="1577" w:type="dxa"/>
          </w:tcPr>
          <w:p>
            <w:pPr>
              <w:pStyle w:val="TableParagraph"/>
              <w:rPr>
                <w:rFonts w:ascii="Times New Roman"/>
                <w:sz w:val="22"/>
              </w:rPr>
            </w:pPr>
          </w:p>
        </w:tc>
        <w:tc>
          <w:tcPr>
            <w:tcW w:w="2062" w:type="dxa"/>
          </w:tcPr>
          <w:p>
            <w:pPr>
              <w:pStyle w:val="TableParagraph"/>
              <w:spacing w:before="70"/>
              <w:ind w:left="184"/>
              <w:rPr>
                <w:sz w:val="22"/>
              </w:rPr>
            </w:pPr>
            <w:r>
              <w:rPr>
                <w:spacing w:val="-5"/>
                <w:sz w:val="22"/>
              </w:rPr>
              <w:t>LEV</w:t>
            </w:r>
          </w:p>
        </w:tc>
        <w:tc>
          <w:tcPr>
            <w:tcW w:w="2296" w:type="dxa"/>
          </w:tcPr>
          <w:p>
            <w:pPr>
              <w:pStyle w:val="TableParagraph"/>
              <w:spacing w:before="70"/>
              <w:ind w:right="365"/>
              <w:jc w:val="right"/>
              <w:rPr>
                <w:sz w:val="22"/>
              </w:rPr>
            </w:pPr>
            <w:r>
              <w:rPr>
                <w:spacing w:val="-2"/>
                <w:sz w:val="22"/>
              </w:rPr>
              <w:t>22.500±0.500</w:t>
            </w:r>
          </w:p>
        </w:tc>
        <w:tc>
          <w:tcPr>
            <w:tcW w:w="1488" w:type="dxa"/>
          </w:tcPr>
          <w:p>
            <w:pPr>
              <w:pStyle w:val="TableParagraph"/>
              <w:spacing w:before="70"/>
              <w:ind w:right="86"/>
              <w:jc w:val="center"/>
              <w:rPr>
                <w:sz w:val="22"/>
              </w:rPr>
            </w:pPr>
            <w:r>
              <w:rPr>
                <w:spacing w:val="-2"/>
                <w:sz w:val="22"/>
              </w:rPr>
              <w:t>0.152</w:t>
            </w:r>
          </w:p>
        </w:tc>
        <w:tc>
          <w:tcPr>
            <w:tcW w:w="1421" w:type="dxa"/>
          </w:tcPr>
          <w:p>
            <w:pPr>
              <w:pStyle w:val="TableParagraph"/>
              <w:spacing w:before="70"/>
              <w:ind w:right="671"/>
              <w:jc w:val="right"/>
              <w:rPr>
                <w:sz w:val="22"/>
              </w:rPr>
            </w:pPr>
            <w:r>
              <w:rPr>
                <w:spacing w:val="-5"/>
                <w:sz w:val="22"/>
              </w:rPr>
              <w:t>NS</w:t>
            </w:r>
          </w:p>
        </w:tc>
      </w:tr>
      <w:tr>
        <w:trPr>
          <w:trHeight w:val="336" w:hRule="atLeast"/>
        </w:trPr>
        <w:tc>
          <w:tcPr>
            <w:tcW w:w="1577" w:type="dxa"/>
          </w:tcPr>
          <w:p>
            <w:pPr>
              <w:pStyle w:val="TableParagraph"/>
              <w:rPr>
                <w:rFonts w:ascii="Times New Roman"/>
                <w:sz w:val="22"/>
              </w:rPr>
            </w:pPr>
          </w:p>
        </w:tc>
        <w:tc>
          <w:tcPr>
            <w:tcW w:w="2062" w:type="dxa"/>
          </w:tcPr>
          <w:p>
            <w:pPr>
              <w:pStyle w:val="TableParagraph"/>
              <w:spacing w:line="245" w:lineRule="exact" w:before="71"/>
              <w:ind w:left="184"/>
              <w:rPr>
                <w:sz w:val="22"/>
              </w:rPr>
            </w:pPr>
            <w:r>
              <w:rPr>
                <w:spacing w:val="-5"/>
                <w:sz w:val="22"/>
              </w:rPr>
              <w:t>AZM</w:t>
            </w:r>
          </w:p>
        </w:tc>
        <w:tc>
          <w:tcPr>
            <w:tcW w:w="2296" w:type="dxa"/>
          </w:tcPr>
          <w:p>
            <w:pPr>
              <w:pStyle w:val="TableParagraph"/>
              <w:spacing w:line="245" w:lineRule="exact" w:before="71"/>
              <w:ind w:right="365"/>
              <w:jc w:val="right"/>
              <w:rPr>
                <w:sz w:val="22"/>
              </w:rPr>
            </w:pPr>
            <w:r>
              <w:rPr>
                <w:spacing w:val="-2"/>
                <w:sz w:val="22"/>
              </w:rPr>
              <w:t>14.500±0.500</w:t>
            </w:r>
          </w:p>
        </w:tc>
        <w:tc>
          <w:tcPr>
            <w:tcW w:w="1488" w:type="dxa"/>
          </w:tcPr>
          <w:p>
            <w:pPr>
              <w:pStyle w:val="TableParagraph"/>
              <w:spacing w:line="245" w:lineRule="exact" w:before="71"/>
              <w:ind w:right="86"/>
              <w:jc w:val="center"/>
              <w:rPr>
                <w:sz w:val="22"/>
              </w:rPr>
            </w:pPr>
            <w:r>
              <w:rPr>
                <w:spacing w:val="-2"/>
                <w:sz w:val="22"/>
              </w:rPr>
              <w:t>0.609</w:t>
            </w:r>
          </w:p>
        </w:tc>
        <w:tc>
          <w:tcPr>
            <w:tcW w:w="1421" w:type="dxa"/>
          </w:tcPr>
          <w:p>
            <w:pPr>
              <w:pStyle w:val="TableParagraph"/>
              <w:spacing w:line="245" w:lineRule="exact" w:before="71"/>
              <w:ind w:right="671"/>
              <w:jc w:val="right"/>
              <w:rPr>
                <w:sz w:val="22"/>
              </w:rPr>
            </w:pPr>
            <w:r>
              <w:rPr>
                <w:spacing w:val="-5"/>
                <w:sz w:val="22"/>
              </w:rPr>
              <w:t>NS</w:t>
            </w:r>
          </w:p>
        </w:tc>
      </w:tr>
    </w:tbl>
    <w:p>
      <w:pPr>
        <w:spacing w:after="0" w:line="245" w:lineRule="exact"/>
        <w:jc w:val="right"/>
        <w:rPr>
          <w:sz w:val="22"/>
        </w:rPr>
        <w:sectPr>
          <w:pgSz w:w="11910" w:h="16840"/>
          <w:pgMar w:header="0" w:footer="1055" w:top="1920" w:bottom="1625" w:left="1060" w:right="460"/>
        </w:sect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2"/>
        <w:gridCol w:w="2173"/>
        <w:gridCol w:w="2281"/>
        <w:gridCol w:w="1432"/>
        <w:gridCol w:w="1438"/>
      </w:tblGrid>
      <w:tr>
        <w:trPr>
          <w:trHeight w:val="335" w:hRule="atLeast"/>
        </w:trPr>
        <w:tc>
          <w:tcPr>
            <w:tcW w:w="1522" w:type="dxa"/>
          </w:tcPr>
          <w:p>
            <w:pPr>
              <w:pStyle w:val="TableParagraph"/>
              <w:rPr>
                <w:rFonts w:ascii="Times New Roman"/>
                <w:sz w:val="22"/>
              </w:rPr>
            </w:pPr>
          </w:p>
        </w:tc>
        <w:tc>
          <w:tcPr>
            <w:tcW w:w="2173" w:type="dxa"/>
          </w:tcPr>
          <w:p>
            <w:pPr>
              <w:pStyle w:val="TableParagraph"/>
              <w:spacing w:line="225" w:lineRule="exact"/>
              <w:ind w:left="239"/>
              <w:rPr>
                <w:sz w:val="22"/>
              </w:rPr>
            </w:pPr>
            <w:r>
              <w:rPr>
                <w:sz w:val="22"/>
              </w:rPr>
              <w:t>Lemon</w:t>
            </w:r>
            <w:r>
              <w:rPr>
                <w:spacing w:val="-6"/>
                <w:sz w:val="22"/>
              </w:rPr>
              <w:t> </w:t>
            </w:r>
            <w:r>
              <w:rPr>
                <w:spacing w:val="-2"/>
                <w:sz w:val="22"/>
              </w:rPr>
              <w:t>(100%)</w:t>
            </w:r>
          </w:p>
        </w:tc>
        <w:tc>
          <w:tcPr>
            <w:tcW w:w="2281" w:type="dxa"/>
          </w:tcPr>
          <w:p>
            <w:pPr>
              <w:pStyle w:val="TableParagraph"/>
              <w:spacing w:line="225" w:lineRule="exact"/>
              <w:ind w:right="406"/>
              <w:jc w:val="right"/>
              <w:rPr>
                <w:sz w:val="22"/>
              </w:rPr>
            </w:pPr>
            <w:r>
              <w:rPr>
                <w:spacing w:val="-2"/>
                <w:sz w:val="22"/>
              </w:rPr>
              <w:t>20.500±1.500</w:t>
            </w:r>
          </w:p>
        </w:tc>
        <w:tc>
          <w:tcPr>
            <w:tcW w:w="1432" w:type="dxa"/>
          </w:tcPr>
          <w:p>
            <w:pPr>
              <w:pStyle w:val="TableParagraph"/>
              <w:spacing w:line="225" w:lineRule="exact"/>
              <w:ind w:right="112"/>
              <w:jc w:val="center"/>
              <w:rPr>
                <w:sz w:val="22"/>
              </w:rPr>
            </w:pPr>
            <w:r>
              <w:rPr>
                <w:spacing w:val="-2"/>
                <w:sz w:val="22"/>
              </w:rPr>
              <w:t>0.609</w:t>
            </w:r>
          </w:p>
        </w:tc>
        <w:tc>
          <w:tcPr>
            <w:tcW w:w="1438" w:type="dxa"/>
          </w:tcPr>
          <w:p>
            <w:pPr>
              <w:pStyle w:val="TableParagraph"/>
              <w:spacing w:line="225" w:lineRule="exact"/>
              <w:ind w:left="2" w:right="154"/>
              <w:jc w:val="center"/>
              <w:rPr>
                <w:sz w:val="22"/>
              </w:rPr>
            </w:pPr>
            <w:r>
              <w:rPr>
                <w:spacing w:val="-5"/>
                <w:sz w:val="22"/>
              </w:rPr>
              <w:t>NS</w:t>
            </w:r>
          </w:p>
        </w:tc>
      </w:tr>
      <w:tr>
        <w:trPr>
          <w:trHeight w:val="524" w:hRule="atLeast"/>
        </w:trPr>
        <w:tc>
          <w:tcPr>
            <w:tcW w:w="1522" w:type="dxa"/>
            <w:tcBorders>
              <w:bottom w:val="single" w:sz="4" w:space="0" w:color="000000"/>
            </w:tcBorders>
          </w:tcPr>
          <w:p>
            <w:pPr>
              <w:pStyle w:val="TableParagraph"/>
              <w:rPr>
                <w:rFonts w:ascii="Times New Roman"/>
                <w:sz w:val="22"/>
              </w:rPr>
            </w:pPr>
          </w:p>
        </w:tc>
        <w:tc>
          <w:tcPr>
            <w:tcW w:w="2173" w:type="dxa"/>
            <w:tcBorders>
              <w:bottom w:val="single" w:sz="4" w:space="0" w:color="000000"/>
            </w:tcBorders>
          </w:tcPr>
          <w:p>
            <w:pPr>
              <w:pStyle w:val="TableParagraph"/>
              <w:spacing w:before="70"/>
              <w:ind w:left="239"/>
              <w:rPr>
                <w:sz w:val="22"/>
              </w:rPr>
            </w:pPr>
            <w:r>
              <w:rPr>
                <w:sz w:val="22"/>
              </w:rPr>
              <w:t>Lemon</w:t>
            </w:r>
            <w:r>
              <w:rPr>
                <w:spacing w:val="-4"/>
                <w:sz w:val="22"/>
              </w:rPr>
              <w:t> </w:t>
            </w:r>
            <w:r>
              <w:rPr>
                <w:spacing w:val="-2"/>
                <w:sz w:val="22"/>
              </w:rPr>
              <w:t>(25%)</w:t>
            </w:r>
          </w:p>
        </w:tc>
        <w:tc>
          <w:tcPr>
            <w:tcW w:w="2281" w:type="dxa"/>
            <w:tcBorders>
              <w:bottom w:val="single" w:sz="4" w:space="0" w:color="000000"/>
            </w:tcBorders>
          </w:tcPr>
          <w:p>
            <w:pPr>
              <w:pStyle w:val="TableParagraph"/>
              <w:spacing w:before="70"/>
              <w:ind w:right="406"/>
              <w:jc w:val="right"/>
              <w:rPr>
                <w:sz w:val="22"/>
              </w:rPr>
            </w:pPr>
            <w:r>
              <w:rPr>
                <w:spacing w:val="-2"/>
                <w:sz w:val="22"/>
              </w:rPr>
              <w:t>16.000±1.000</w:t>
            </w:r>
          </w:p>
        </w:tc>
        <w:tc>
          <w:tcPr>
            <w:tcW w:w="1432" w:type="dxa"/>
            <w:tcBorders>
              <w:bottom w:val="single" w:sz="4" w:space="0" w:color="000000"/>
            </w:tcBorders>
          </w:tcPr>
          <w:p>
            <w:pPr>
              <w:pStyle w:val="TableParagraph"/>
              <w:spacing w:before="70"/>
              <w:ind w:right="112"/>
              <w:jc w:val="center"/>
              <w:rPr>
                <w:sz w:val="22"/>
              </w:rPr>
            </w:pPr>
            <w:r>
              <w:rPr>
                <w:spacing w:val="-2"/>
                <w:sz w:val="22"/>
              </w:rPr>
              <w:t>0.974</w:t>
            </w:r>
          </w:p>
        </w:tc>
        <w:tc>
          <w:tcPr>
            <w:tcW w:w="1438" w:type="dxa"/>
            <w:tcBorders>
              <w:bottom w:val="single" w:sz="4" w:space="0" w:color="000000"/>
            </w:tcBorders>
          </w:tcPr>
          <w:p>
            <w:pPr>
              <w:pStyle w:val="TableParagraph"/>
              <w:spacing w:before="70"/>
              <w:ind w:left="2" w:right="154"/>
              <w:jc w:val="center"/>
              <w:rPr>
                <w:sz w:val="22"/>
              </w:rPr>
            </w:pPr>
            <w:r>
              <w:rPr>
                <w:spacing w:val="-5"/>
                <w:sz w:val="22"/>
              </w:rPr>
              <w:t>NS</w:t>
            </w:r>
          </w:p>
        </w:tc>
      </w:tr>
      <w:tr>
        <w:trPr>
          <w:trHeight w:val="375" w:hRule="atLeast"/>
        </w:trPr>
        <w:tc>
          <w:tcPr>
            <w:tcW w:w="1522" w:type="dxa"/>
            <w:tcBorders>
              <w:top w:val="single" w:sz="4" w:space="0" w:color="000000"/>
            </w:tcBorders>
          </w:tcPr>
          <w:p>
            <w:pPr>
              <w:pStyle w:val="TableParagraph"/>
              <w:rPr>
                <w:rFonts w:ascii="Times New Roman"/>
                <w:sz w:val="22"/>
              </w:rPr>
            </w:pPr>
          </w:p>
        </w:tc>
        <w:tc>
          <w:tcPr>
            <w:tcW w:w="2173" w:type="dxa"/>
            <w:tcBorders>
              <w:top w:val="single" w:sz="4" w:space="0" w:color="000000"/>
            </w:tcBorders>
          </w:tcPr>
          <w:p>
            <w:pPr>
              <w:pStyle w:val="TableParagraph"/>
              <w:spacing w:line="265" w:lineRule="exact"/>
              <w:ind w:left="239"/>
              <w:rPr>
                <w:sz w:val="22"/>
              </w:rPr>
            </w:pPr>
            <w:r>
              <w:rPr>
                <w:spacing w:val="-5"/>
                <w:sz w:val="22"/>
              </w:rPr>
              <w:t>CRO</w:t>
            </w:r>
          </w:p>
        </w:tc>
        <w:tc>
          <w:tcPr>
            <w:tcW w:w="2281" w:type="dxa"/>
            <w:tcBorders>
              <w:top w:val="single" w:sz="4" w:space="0" w:color="000000"/>
            </w:tcBorders>
          </w:tcPr>
          <w:p>
            <w:pPr>
              <w:pStyle w:val="TableParagraph"/>
              <w:spacing w:line="265" w:lineRule="exact"/>
              <w:ind w:right="406"/>
              <w:jc w:val="right"/>
              <w:rPr>
                <w:sz w:val="22"/>
              </w:rPr>
            </w:pPr>
            <w:r>
              <w:rPr>
                <w:spacing w:val="-2"/>
                <w:sz w:val="22"/>
              </w:rPr>
              <w:t>25.500±2.500</w:t>
            </w:r>
          </w:p>
        </w:tc>
        <w:tc>
          <w:tcPr>
            <w:tcW w:w="1432" w:type="dxa"/>
            <w:tcBorders>
              <w:top w:val="single" w:sz="4" w:space="0" w:color="000000"/>
            </w:tcBorders>
          </w:tcPr>
          <w:p>
            <w:pPr>
              <w:pStyle w:val="TableParagraph"/>
              <w:spacing w:line="265" w:lineRule="exact"/>
              <w:ind w:right="112"/>
              <w:jc w:val="center"/>
              <w:rPr>
                <w:sz w:val="22"/>
              </w:rPr>
            </w:pPr>
            <w:r>
              <w:rPr>
                <w:spacing w:val="-2"/>
                <w:sz w:val="22"/>
              </w:rPr>
              <w:t>0.005</w:t>
            </w:r>
          </w:p>
        </w:tc>
        <w:tc>
          <w:tcPr>
            <w:tcW w:w="1438" w:type="dxa"/>
            <w:tcBorders>
              <w:top w:val="single" w:sz="4" w:space="0" w:color="000000"/>
            </w:tcBorders>
          </w:tcPr>
          <w:p>
            <w:pPr>
              <w:pStyle w:val="TableParagraph"/>
              <w:spacing w:line="265" w:lineRule="exact"/>
              <w:ind w:right="154"/>
              <w:jc w:val="center"/>
              <w:rPr>
                <w:sz w:val="22"/>
              </w:rPr>
            </w:pPr>
            <w:r>
              <w:rPr>
                <w:spacing w:val="-5"/>
                <w:sz w:val="22"/>
              </w:rPr>
              <w:t>SF</w:t>
            </w:r>
          </w:p>
        </w:tc>
      </w:tr>
      <w:tr>
        <w:trPr>
          <w:trHeight w:val="450" w:hRule="atLeast"/>
        </w:trPr>
        <w:tc>
          <w:tcPr>
            <w:tcW w:w="1522" w:type="dxa"/>
          </w:tcPr>
          <w:p>
            <w:pPr>
              <w:pStyle w:val="TableParagraph"/>
              <w:rPr>
                <w:rFonts w:ascii="Times New Roman"/>
                <w:sz w:val="22"/>
              </w:rPr>
            </w:pPr>
          </w:p>
        </w:tc>
        <w:tc>
          <w:tcPr>
            <w:tcW w:w="2173" w:type="dxa"/>
          </w:tcPr>
          <w:p>
            <w:pPr>
              <w:pStyle w:val="TableParagraph"/>
              <w:spacing w:before="70"/>
              <w:ind w:left="239"/>
              <w:rPr>
                <w:sz w:val="22"/>
              </w:rPr>
            </w:pPr>
            <w:r>
              <w:rPr>
                <w:spacing w:val="-5"/>
                <w:sz w:val="22"/>
              </w:rPr>
              <w:t>CN</w:t>
            </w:r>
          </w:p>
        </w:tc>
        <w:tc>
          <w:tcPr>
            <w:tcW w:w="2281" w:type="dxa"/>
          </w:tcPr>
          <w:p>
            <w:pPr>
              <w:pStyle w:val="TableParagraph"/>
              <w:spacing w:before="70"/>
              <w:ind w:right="406"/>
              <w:jc w:val="right"/>
              <w:rPr>
                <w:sz w:val="22"/>
              </w:rPr>
            </w:pPr>
            <w:r>
              <w:rPr>
                <w:spacing w:val="-2"/>
                <w:sz w:val="22"/>
              </w:rPr>
              <w:t>20.500±0.500</w:t>
            </w:r>
          </w:p>
        </w:tc>
        <w:tc>
          <w:tcPr>
            <w:tcW w:w="1432" w:type="dxa"/>
          </w:tcPr>
          <w:p>
            <w:pPr>
              <w:pStyle w:val="TableParagraph"/>
              <w:spacing w:before="70"/>
              <w:ind w:right="112"/>
              <w:jc w:val="center"/>
              <w:rPr>
                <w:sz w:val="22"/>
              </w:rPr>
            </w:pPr>
            <w:r>
              <w:rPr>
                <w:spacing w:val="-2"/>
                <w:sz w:val="22"/>
              </w:rPr>
              <w:t>0.224</w:t>
            </w:r>
          </w:p>
        </w:tc>
        <w:tc>
          <w:tcPr>
            <w:tcW w:w="1438" w:type="dxa"/>
          </w:tcPr>
          <w:p>
            <w:pPr>
              <w:pStyle w:val="TableParagraph"/>
              <w:spacing w:before="70"/>
              <w:ind w:left="2" w:right="154"/>
              <w:jc w:val="center"/>
              <w:rPr>
                <w:sz w:val="22"/>
              </w:rPr>
            </w:pPr>
            <w:r>
              <w:rPr>
                <w:spacing w:val="-5"/>
                <w:sz w:val="22"/>
              </w:rPr>
              <w:t>NS</w:t>
            </w:r>
          </w:p>
        </w:tc>
      </w:tr>
      <w:tr>
        <w:trPr>
          <w:trHeight w:val="450" w:hRule="atLeast"/>
        </w:trPr>
        <w:tc>
          <w:tcPr>
            <w:tcW w:w="1522" w:type="dxa"/>
          </w:tcPr>
          <w:p>
            <w:pPr>
              <w:pStyle w:val="TableParagraph"/>
              <w:rPr>
                <w:rFonts w:ascii="Times New Roman"/>
                <w:sz w:val="22"/>
              </w:rPr>
            </w:pPr>
          </w:p>
        </w:tc>
        <w:tc>
          <w:tcPr>
            <w:tcW w:w="2173" w:type="dxa"/>
          </w:tcPr>
          <w:p>
            <w:pPr>
              <w:pStyle w:val="TableParagraph"/>
              <w:spacing w:before="71"/>
              <w:ind w:left="239"/>
              <w:rPr>
                <w:sz w:val="22"/>
              </w:rPr>
            </w:pPr>
            <w:r>
              <w:rPr>
                <w:spacing w:val="-5"/>
                <w:sz w:val="22"/>
              </w:rPr>
              <w:t>AMC</w:t>
            </w:r>
          </w:p>
        </w:tc>
        <w:tc>
          <w:tcPr>
            <w:tcW w:w="2281" w:type="dxa"/>
          </w:tcPr>
          <w:p>
            <w:pPr>
              <w:pStyle w:val="TableParagraph"/>
              <w:spacing w:before="71"/>
              <w:ind w:right="406"/>
              <w:jc w:val="right"/>
              <w:rPr>
                <w:sz w:val="22"/>
              </w:rPr>
            </w:pPr>
            <w:r>
              <w:rPr>
                <w:spacing w:val="-2"/>
                <w:sz w:val="22"/>
              </w:rPr>
              <w:t>18.000±0.000</w:t>
            </w:r>
          </w:p>
        </w:tc>
        <w:tc>
          <w:tcPr>
            <w:tcW w:w="1432" w:type="dxa"/>
          </w:tcPr>
          <w:p>
            <w:pPr>
              <w:pStyle w:val="TableParagraph"/>
              <w:spacing w:before="71"/>
              <w:ind w:right="112"/>
              <w:jc w:val="center"/>
              <w:rPr>
                <w:sz w:val="22"/>
              </w:rPr>
            </w:pPr>
            <w:r>
              <w:rPr>
                <w:spacing w:val="-2"/>
                <w:sz w:val="22"/>
              </w:rPr>
              <w:t>0.900</w:t>
            </w:r>
          </w:p>
        </w:tc>
        <w:tc>
          <w:tcPr>
            <w:tcW w:w="1438" w:type="dxa"/>
          </w:tcPr>
          <w:p>
            <w:pPr>
              <w:pStyle w:val="TableParagraph"/>
              <w:spacing w:before="71"/>
              <w:ind w:left="2" w:right="154"/>
              <w:jc w:val="center"/>
              <w:rPr>
                <w:sz w:val="22"/>
              </w:rPr>
            </w:pPr>
            <w:r>
              <w:rPr>
                <w:spacing w:val="-5"/>
                <w:sz w:val="22"/>
              </w:rPr>
              <w:t>NS</w:t>
            </w:r>
          </w:p>
        </w:tc>
      </w:tr>
      <w:tr>
        <w:trPr>
          <w:trHeight w:val="450" w:hRule="atLeast"/>
        </w:trPr>
        <w:tc>
          <w:tcPr>
            <w:tcW w:w="1522" w:type="dxa"/>
          </w:tcPr>
          <w:p>
            <w:pPr>
              <w:pStyle w:val="TableParagraph"/>
              <w:spacing w:before="70"/>
              <w:ind w:left="108"/>
              <w:rPr>
                <w:sz w:val="22"/>
              </w:rPr>
            </w:pPr>
            <w:r>
              <w:rPr>
                <w:sz w:val="22"/>
              </w:rPr>
              <w:t>Lemon</w:t>
            </w:r>
            <w:r>
              <w:rPr>
                <w:spacing w:val="-4"/>
                <w:sz w:val="22"/>
              </w:rPr>
              <w:t> </w:t>
            </w:r>
            <w:r>
              <w:rPr>
                <w:spacing w:val="-2"/>
                <w:sz w:val="22"/>
              </w:rPr>
              <w:t>(25%)</w:t>
            </w:r>
          </w:p>
        </w:tc>
        <w:tc>
          <w:tcPr>
            <w:tcW w:w="2173" w:type="dxa"/>
          </w:tcPr>
          <w:p>
            <w:pPr>
              <w:pStyle w:val="TableParagraph"/>
              <w:spacing w:before="70"/>
              <w:ind w:left="239"/>
              <w:rPr>
                <w:sz w:val="22"/>
              </w:rPr>
            </w:pPr>
            <w:r>
              <w:rPr>
                <w:spacing w:val="-5"/>
                <w:sz w:val="22"/>
              </w:rPr>
              <w:t>LEV</w:t>
            </w:r>
          </w:p>
        </w:tc>
        <w:tc>
          <w:tcPr>
            <w:tcW w:w="2281" w:type="dxa"/>
          </w:tcPr>
          <w:p>
            <w:pPr>
              <w:pStyle w:val="TableParagraph"/>
              <w:spacing w:before="70"/>
              <w:ind w:right="406"/>
              <w:jc w:val="right"/>
              <w:rPr>
                <w:sz w:val="22"/>
              </w:rPr>
            </w:pPr>
            <w:r>
              <w:rPr>
                <w:spacing w:val="-2"/>
                <w:sz w:val="22"/>
              </w:rPr>
              <w:t>22.500±0.500</w:t>
            </w:r>
          </w:p>
        </w:tc>
        <w:tc>
          <w:tcPr>
            <w:tcW w:w="1432" w:type="dxa"/>
          </w:tcPr>
          <w:p>
            <w:pPr>
              <w:pStyle w:val="TableParagraph"/>
              <w:spacing w:before="70"/>
              <w:ind w:right="112"/>
              <w:jc w:val="center"/>
              <w:rPr>
                <w:sz w:val="22"/>
              </w:rPr>
            </w:pPr>
            <w:r>
              <w:rPr>
                <w:spacing w:val="-2"/>
                <w:sz w:val="22"/>
              </w:rPr>
              <w:t>0.047</w:t>
            </w:r>
          </w:p>
        </w:tc>
        <w:tc>
          <w:tcPr>
            <w:tcW w:w="1438" w:type="dxa"/>
          </w:tcPr>
          <w:p>
            <w:pPr>
              <w:pStyle w:val="TableParagraph"/>
              <w:spacing w:before="70"/>
              <w:ind w:right="154"/>
              <w:jc w:val="center"/>
              <w:rPr>
                <w:sz w:val="22"/>
              </w:rPr>
            </w:pPr>
            <w:r>
              <w:rPr>
                <w:spacing w:val="-5"/>
                <w:sz w:val="22"/>
              </w:rPr>
              <w:t>SF</w:t>
            </w:r>
          </w:p>
        </w:tc>
      </w:tr>
      <w:tr>
        <w:trPr>
          <w:trHeight w:val="450" w:hRule="atLeast"/>
        </w:trPr>
        <w:tc>
          <w:tcPr>
            <w:tcW w:w="1522" w:type="dxa"/>
          </w:tcPr>
          <w:p>
            <w:pPr>
              <w:pStyle w:val="TableParagraph"/>
              <w:rPr>
                <w:rFonts w:ascii="Times New Roman"/>
                <w:sz w:val="22"/>
              </w:rPr>
            </w:pPr>
          </w:p>
        </w:tc>
        <w:tc>
          <w:tcPr>
            <w:tcW w:w="2173" w:type="dxa"/>
          </w:tcPr>
          <w:p>
            <w:pPr>
              <w:pStyle w:val="TableParagraph"/>
              <w:spacing w:before="71"/>
              <w:ind w:left="239"/>
              <w:rPr>
                <w:sz w:val="22"/>
              </w:rPr>
            </w:pPr>
            <w:r>
              <w:rPr>
                <w:spacing w:val="-5"/>
                <w:sz w:val="22"/>
              </w:rPr>
              <w:t>AZM</w:t>
            </w:r>
          </w:p>
        </w:tc>
        <w:tc>
          <w:tcPr>
            <w:tcW w:w="2281" w:type="dxa"/>
          </w:tcPr>
          <w:p>
            <w:pPr>
              <w:pStyle w:val="TableParagraph"/>
              <w:spacing w:before="71"/>
              <w:ind w:right="406"/>
              <w:jc w:val="right"/>
              <w:rPr>
                <w:sz w:val="22"/>
              </w:rPr>
            </w:pPr>
            <w:r>
              <w:rPr>
                <w:spacing w:val="-2"/>
                <w:sz w:val="22"/>
              </w:rPr>
              <w:t>14.500±0.500</w:t>
            </w:r>
          </w:p>
        </w:tc>
        <w:tc>
          <w:tcPr>
            <w:tcW w:w="1432" w:type="dxa"/>
          </w:tcPr>
          <w:p>
            <w:pPr>
              <w:pStyle w:val="TableParagraph"/>
              <w:spacing w:before="71"/>
              <w:ind w:right="112"/>
              <w:jc w:val="center"/>
              <w:rPr>
                <w:sz w:val="22"/>
              </w:rPr>
            </w:pPr>
            <w:r>
              <w:rPr>
                <w:spacing w:val="-2"/>
                <w:sz w:val="22"/>
              </w:rPr>
              <w:t>0.974</w:t>
            </w:r>
          </w:p>
        </w:tc>
        <w:tc>
          <w:tcPr>
            <w:tcW w:w="1438" w:type="dxa"/>
          </w:tcPr>
          <w:p>
            <w:pPr>
              <w:pStyle w:val="TableParagraph"/>
              <w:spacing w:before="71"/>
              <w:ind w:left="2" w:right="154"/>
              <w:jc w:val="center"/>
              <w:rPr>
                <w:sz w:val="22"/>
              </w:rPr>
            </w:pPr>
            <w:r>
              <w:rPr>
                <w:spacing w:val="-5"/>
                <w:sz w:val="22"/>
              </w:rPr>
              <w:t>NS</w:t>
            </w:r>
          </w:p>
        </w:tc>
      </w:tr>
      <w:tr>
        <w:trPr>
          <w:trHeight w:val="450" w:hRule="atLeast"/>
        </w:trPr>
        <w:tc>
          <w:tcPr>
            <w:tcW w:w="1522" w:type="dxa"/>
          </w:tcPr>
          <w:p>
            <w:pPr>
              <w:pStyle w:val="TableParagraph"/>
              <w:rPr>
                <w:rFonts w:ascii="Times New Roman"/>
                <w:sz w:val="22"/>
              </w:rPr>
            </w:pPr>
          </w:p>
        </w:tc>
        <w:tc>
          <w:tcPr>
            <w:tcW w:w="2173" w:type="dxa"/>
          </w:tcPr>
          <w:p>
            <w:pPr>
              <w:pStyle w:val="TableParagraph"/>
              <w:spacing w:before="70"/>
              <w:ind w:left="239"/>
              <w:rPr>
                <w:sz w:val="22"/>
              </w:rPr>
            </w:pPr>
            <w:r>
              <w:rPr>
                <w:sz w:val="22"/>
              </w:rPr>
              <w:t>Lemon</w:t>
            </w:r>
            <w:r>
              <w:rPr>
                <w:spacing w:val="-6"/>
                <w:sz w:val="22"/>
              </w:rPr>
              <w:t> </w:t>
            </w:r>
            <w:r>
              <w:rPr>
                <w:spacing w:val="-2"/>
                <w:sz w:val="22"/>
              </w:rPr>
              <w:t>(100%)</w:t>
            </w:r>
          </w:p>
        </w:tc>
        <w:tc>
          <w:tcPr>
            <w:tcW w:w="2281" w:type="dxa"/>
          </w:tcPr>
          <w:p>
            <w:pPr>
              <w:pStyle w:val="TableParagraph"/>
              <w:spacing w:before="70"/>
              <w:ind w:right="406"/>
              <w:jc w:val="right"/>
              <w:rPr>
                <w:sz w:val="22"/>
              </w:rPr>
            </w:pPr>
            <w:r>
              <w:rPr>
                <w:spacing w:val="-2"/>
                <w:sz w:val="22"/>
              </w:rPr>
              <w:t>20.500±1.500</w:t>
            </w:r>
          </w:p>
        </w:tc>
        <w:tc>
          <w:tcPr>
            <w:tcW w:w="1432" w:type="dxa"/>
          </w:tcPr>
          <w:p>
            <w:pPr>
              <w:pStyle w:val="TableParagraph"/>
              <w:spacing w:before="70"/>
              <w:ind w:right="112"/>
              <w:jc w:val="center"/>
              <w:rPr>
                <w:sz w:val="22"/>
              </w:rPr>
            </w:pPr>
            <w:r>
              <w:rPr>
                <w:spacing w:val="-2"/>
                <w:sz w:val="22"/>
              </w:rPr>
              <w:t>0.224</w:t>
            </w:r>
          </w:p>
        </w:tc>
        <w:tc>
          <w:tcPr>
            <w:tcW w:w="1438" w:type="dxa"/>
          </w:tcPr>
          <w:p>
            <w:pPr>
              <w:pStyle w:val="TableParagraph"/>
              <w:spacing w:before="70"/>
              <w:ind w:left="2" w:right="154"/>
              <w:jc w:val="center"/>
              <w:rPr>
                <w:sz w:val="22"/>
              </w:rPr>
            </w:pPr>
            <w:r>
              <w:rPr>
                <w:spacing w:val="-5"/>
                <w:sz w:val="22"/>
              </w:rPr>
              <w:t>NS</w:t>
            </w:r>
          </w:p>
        </w:tc>
      </w:tr>
      <w:tr>
        <w:trPr>
          <w:trHeight w:val="523" w:hRule="atLeast"/>
        </w:trPr>
        <w:tc>
          <w:tcPr>
            <w:tcW w:w="1522" w:type="dxa"/>
            <w:tcBorders>
              <w:bottom w:val="single" w:sz="4" w:space="0" w:color="000000"/>
            </w:tcBorders>
          </w:tcPr>
          <w:p>
            <w:pPr>
              <w:pStyle w:val="TableParagraph"/>
              <w:rPr>
                <w:rFonts w:ascii="Times New Roman"/>
                <w:sz w:val="22"/>
              </w:rPr>
            </w:pPr>
          </w:p>
        </w:tc>
        <w:tc>
          <w:tcPr>
            <w:tcW w:w="2173" w:type="dxa"/>
            <w:tcBorders>
              <w:bottom w:val="single" w:sz="4" w:space="0" w:color="000000"/>
            </w:tcBorders>
          </w:tcPr>
          <w:p>
            <w:pPr>
              <w:pStyle w:val="TableParagraph"/>
              <w:spacing w:before="71"/>
              <w:ind w:left="239"/>
              <w:rPr>
                <w:sz w:val="22"/>
              </w:rPr>
            </w:pPr>
            <w:r>
              <w:rPr>
                <w:sz w:val="22"/>
              </w:rPr>
              <w:t>Lemon</w:t>
            </w:r>
            <w:r>
              <w:rPr>
                <w:spacing w:val="-4"/>
                <w:sz w:val="22"/>
              </w:rPr>
              <w:t> </w:t>
            </w:r>
            <w:r>
              <w:rPr>
                <w:spacing w:val="-2"/>
                <w:sz w:val="22"/>
              </w:rPr>
              <w:t>(50%)</w:t>
            </w:r>
          </w:p>
        </w:tc>
        <w:tc>
          <w:tcPr>
            <w:tcW w:w="2281" w:type="dxa"/>
            <w:tcBorders>
              <w:bottom w:val="single" w:sz="4" w:space="0" w:color="000000"/>
            </w:tcBorders>
          </w:tcPr>
          <w:p>
            <w:pPr>
              <w:pStyle w:val="TableParagraph"/>
              <w:spacing w:before="71"/>
              <w:ind w:right="406"/>
              <w:jc w:val="right"/>
              <w:rPr>
                <w:sz w:val="22"/>
              </w:rPr>
            </w:pPr>
            <w:r>
              <w:rPr>
                <w:spacing w:val="-2"/>
                <w:sz w:val="22"/>
              </w:rPr>
              <w:t>17.500±0.500</w:t>
            </w:r>
          </w:p>
        </w:tc>
        <w:tc>
          <w:tcPr>
            <w:tcW w:w="1432" w:type="dxa"/>
            <w:tcBorders>
              <w:bottom w:val="single" w:sz="4" w:space="0" w:color="000000"/>
            </w:tcBorders>
          </w:tcPr>
          <w:p>
            <w:pPr>
              <w:pStyle w:val="TableParagraph"/>
              <w:spacing w:before="71"/>
              <w:ind w:right="112"/>
              <w:jc w:val="center"/>
              <w:rPr>
                <w:sz w:val="22"/>
              </w:rPr>
            </w:pPr>
            <w:r>
              <w:rPr>
                <w:spacing w:val="-2"/>
                <w:sz w:val="22"/>
              </w:rPr>
              <w:t>0.974</w:t>
            </w:r>
          </w:p>
        </w:tc>
        <w:tc>
          <w:tcPr>
            <w:tcW w:w="1438" w:type="dxa"/>
            <w:tcBorders>
              <w:bottom w:val="single" w:sz="4" w:space="0" w:color="000000"/>
            </w:tcBorders>
          </w:tcPr>
          <w:p>
            <w:pPr>
              <w:pStyle w:val="TableParagraph"/>
              <w:spacing w:before="71"/>
              <w:ind w:left="2" w:right="154"/>
              <w:jc w:val="center"/>
              <w:rPr>
                <w:sz w:val="22"/>
              </w:rPr>
            </w:pPr>
            <w:r>
              <w:rPr>
                <w:spacing w:val="-5"/>
                <w:sz w:val="22"/>
              </w:rPr>
              <w:t>NS</w:t>
            </w:r>
          </w:p>
        </w:tc>
      </w:tr>
    </w:tbl>
    <w:p>
      <w:pPr>
        <w:pStyle w:val="BodyText"/>
        <w:spacing w:line="417" w:lineRule="auto" w:before="20"/>
        <w:ind w:left="430" w:right="3485" w:hanging="51"/>
      </w:pPr>
      <w:r>
        <w:rPr/>
        <w:t>Key:</w:t>
      </w:r>
      <w:r>
        <w:rPr>
          <w:spacing w:val="-4"/>
        </w:rPr>
        <w:t> </w:t>
      </w:r>
      <w:r>
        <w:rPr/>
        <w:t>LOS=Level</w:t>
      </w:r>
      <w:r>
        <w:rPr>
          <w:spacing w:val="-7"/>
        </w:rPr>
        <w:t> </w:t>
      </w:r>
      <w:r>
        <w:rPr/>
        <w:t>of</w:t>
      </w:r>
      <w:r>
        <w:rPr>
          <w:spacing w:val="-5"/>
        </w:rPr>
        <w:t> </w:t>
      </w:r>
      <w:r>
        <w:rPr/>
        <w:t>Significance;</w:t>
      </w:r>
      <w:r>
        <w:rPr>
          <w:spacing w:val="-5"/>
        </w:rPr>
        <w:t> </w:t>
      </w:r>
      <w:r>
        <w:rPr/>
        <w:t>NS=Not</w:t>
      </w:r>
      <w:r>
        <w:rPr>
          <w:spacing w:val="-5"/>
        </w:rPr>
        <w:t> </w:t>
      </w:r>
      <w:r>
        <w:rPr/>
        <w:t>significantly</w:t>
      </w:r>
      <w:r>
        <w:rPr>
          <w:spacing w:val="-5"/>
        </w:rPr>
        <w:t> </w:t>
      </w:r>
      <w:r>
        <w:rPr/>
        <w:t>different; SF=Significantly different.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0"/>
      </w:pPr>
    </w:p>
    <w:p>
      <w:pPr>
        <w:pStyle w:val="Heading3"/>
        <w:spacing w:line="256" w:lineRule="auto"/>
        <w:ind w:left="1513" w:right="975" w:hanging="1133"/>
        <w:rPr>
          <w:i/>
        </w:rPr>
      </w:pPr>
      <w:r>
        <w:rPr/>
        <w:t>Table</w:t>
      </w:r>
      <w:r>
        <w:rPr>
          <w:spacing w:val="-3"/>
        </w:rPr>
        <w:t> </w:t>
      </w:r>
      <w:r>
        <w:rPr/>
        <w:t>4.19:</w:t>
      </w:r>
      <w:r>
        <w:rPr>
          <w:spacing w:val="-3"/>
        </w:rPr>
        <w:t> </w:t>
      </w:r>
      <w:r>
        <w:rPr/>
        <w:t>Comparing</w:t>
      </w:r>
      <w:r>
        <w:rPr>
          <w:spacing w:val="-4"/>
        </w:rPr>
        <w:t> </w:t>
      </w:r>
      <w:r>
        <w:rPr/>
        <w:t>the</w:t>
      </w:r>
      <w:r>
        <w:rPr>
          <w:spacing w:val="-5"/>
        </w:rPr>
        <w:t> </w:t>
      </w:r>
      <w:r>
        <w:rPr/>
        <w:t>Mean</w:t>
      </w:r>
      <w:r>
        <w:rPr>
          <w:spacing w:val="-3"/>
        </w:rPr>
        <w:t> </w:t>
      </w:r>
      <w:r>
        <w:rPr/>
        <w:t>zone</w:t>
      </w:r>
      <w:r>
        <w:rPr>
          <w:spacing w:val="-3"/>
        </w:rPr>
        <w:t> </w:t>
      </w:r>
      <w:r>
        <w:rPr/>
        <w:t>of</w:t>
      </w:r>
      <w:r>
        <w:rPr>
          <w:spacing w:val="-2"/>
        </w:rPr>
        <w:t> </w:t>
      </w:r>
      <w:r>
        <w:rPr/>
        <w:t>inhibition</w:t>
      </w:r>
      <w:r>
        <w:rPr>
          <w:spacing w:val="-3"/>
        </w:rPr>
        <w:t> </w:t>
      </w:r>
      <w:r>
        <w:rPr/>
        <w:t>of</w:t>
      </w:r>
      <w:r>
        <w:rPr>
          <w:spacing w:val="-5"/>
        </w:rPr>
        <w:t> </w:t>
      </w:r>
      <w:r>
        <w:rPr/>
        <w:t>Lemon</w:t>
      </w:r>
      <w:r>
        <w:rPr>
          <w:spacing w:val="-1"/>
        </w:rPr>
        <w:t> </w:t>
      </w:r>
      <w:r>
        <w:rPr/>
        <w:t>juice</w:t>
      </w:r>
      <w:r>
        <w:rPr>
          <w:spacing w:val="-2"/>
        </w:rPr>
        <w:t> </w:t>
      </w:r>
      <w:r>
        <w:rPr/>
        <w:t>and</w:t>
      </w:r>
      <w:r>
        <w:rPr>
          <w:spacing w:val="-3"/>
        </w:rPr>
        <w:t> </w:t>
      </w:r>
      <w:r>
        <w:rPr/>
        <w:t>the</w:t>
      </w:r>
      <w:r>
        <w:rPr>
          <w:spacing w:val="-3"/>
        </w:rPr>
        <w:t> </w:t>
      </w:r>
      <w:r>
        <w:rPr/>
        <w:t>Standard</w:t>
      </w:r>
      <w:r>
        <w:rPr>
          <w:spacing w:val="-3"/>
        </w:rPr>
        <w:t> </w:t>
      </w:r>
      <w:r>
        <w:rPr/>
        <w:t>antibiotic formulations against </w:t>
      </w:r>
      <w:r>
        <w:rPr>
          <w:i/>
        </w:rPr>
        <w:t>Pseudomonas aeruginosa</w:t>
      </w:r>
    </w:p>
    <w:p>
      <w:pPr>
        <w:pStyle w:val="BodyText"/>
        <w:rPr>
          <w:b/>
          <w:i/>
          <w:sz w:val="20"/>
        </w:rPr>
      </w:pPr>
    </w:p>
    <w:p>
      <w:pPr>
        <w:pStyle w:val="BodyText"/>
        <w:spacing w:before="128"/>
        <w:rPr>
          <w:b/>
          <w:i/>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7"/>
        <w:gridCol w:w="2167"/>
        <w:gridCol w:w="2296"/>
        <w:gridCol w:w="2963"/>
      </w:tblGrid>
      <w:tr>
        <w:trPr>
          <w:trHeight w:val="261" w:hRule="atLeast"/>
        </w:trPr>
        <w:tc>
          <w:tcPr>
            <w:tcW w:w="1377" w:type="dxa"/>
            <w:tcBorders>
              <w:top w:val="single" w:sz="4" w:space="0" w:color="000000"/>
            </w:tcBorders>
          </w:tcPr>
          <w:p>
            <w:pPr>
              <w:pStyle w:val="TableParagraph"/>
              <w:spacing w:line="242" w:lineRule="exact"/>
              <w:ind w:left="108"/>
              <w:rPr>
                <w:sz w:val="22"/>
              </w:rPr>
            </w:pPr>
            <w:r>
              <w:rPr>
                <w:sz w:val="22"/>
              </w:rPr>
              <w:t>(I)</w:t>
            </w:r>
            <w:r>
              <w:rPr>
                <w:spacing w:val="-2"/>
                <w:sz w:val="22"/>
              </w:rPr>
              <w:t> Group</w:t>
            </w:r>
          </w:p>
        </w:tc>
        <w:tc>
          <w:tcPr>
            <w:tcW w:w="2167" w:type="dxa"/>
            <w:tcBorders>
              <w:top w:val="single" w:sz="4" w:space="0" w:color="000000"/>
            </w:tcBorders>
          </w:tcPr>
          <w:p>
            <w:pPr>
              <w:pStyle w:val="TableParagraph"/>
              <w:spacing w:line="242" w:lineRule="exact"/>
              <w:ind w:left="463"/>
              <w:rPr>
                <w:sz w:val="22"/>
              </w:rPr>
            </w:pPr>
            <w:r>
              <w:rPr>
                <w:sz w:val="22"/>
              </w:rPr>
              <w:t>(J)</w:t>
            </w:r>
            <w:r>
              <w:rPr>
                <w:spacing w:val="-2"/>
                <w:sz w:val="22"/>
              </w:rPr>
              <w:t> Group</w:t>
            </w:r>
          </w:p>
        </w:tc>
        <w:tc>
          <w:tcPr>
            <w:tcW w:w="2296" w:type="dxa"/>
            <w:tcBorders>
              <w:top w:val="single" w:sz="4" w:space="0" w:color="000000"/>
            </w:tcBorders>
          </w:tcPr>
          <w:p>
            <w:pPr>
              <w:pStyle w:val="TableParagraph"/>
              <w:spacing w:line="242" w:lineRule="exact"/>
              <w:ind w:left="882"/>
              <w:rPr>
                <w:sz w:val="22"/>
              </w:rPr>
            </w:pPr>
            <w:r>
              <w:rPr>
                <w:spacing w:val="-2"/>
                <w:sz w:val="22"/>
              </w:rPr>
              <w:t>Mean±SEM</w:t>
            </w:r>
          </w:p>
        </w:tc>
        <w:tc>
          <w:tcPr>
            <w:tcW w:w="2963" w:type="dxa"/>
            <w:tcBorders>
              <w:top w:val="single" w:sz="4" w:space="0" w:color="000000"/>
            </w:tcBorders>
          </w:tcPr>
          <w:p>
            <w:pPr>
              <w:pStyle w:val="TableParagraph"/>
              <w:spacing w:line="242" w:lineRule="exact"/>
              <w:ind w:left="384"/>
              <w:rPr>
                <w:sz w:val="22"/>
              </w:rPr>
            </w:pPr>
            <w:r>
              <w:rPr>
                <w:sz w:val="22"/>
              </w:rPr>
              <w:t>P-</w:t>
            </w:r>
            <w:r>
              <w:rPr>
                <w:spacing w:val="-2"/>
                <w:sz w:val="22"/>
              </w:rPr>
              <w:t>value</w:t>
            </w:r>
          </w:p>
        </w:tc>
      </w:tr>
    </w:tbl>
    <w:p>
      <w:pPr>
        <w:spacing w:after="0" w:line="242" w:lineRule="exact"/>
        <w:rPr>
          <w:sz w:val="22"/>
        </w:rPr>
        <w:sectPr>
          <w:type w:val="continuous"/>
          <w:pgSz w:w="11910" w:h="16840"/>
          <w:pgMar w:header="0" w:footer="1055" w:top="1440" w:bottom="1240" w:left="1060" w:right="460"/>
        </w:sect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7"/>
        <w:gridCol w:w="2109"/>
        <w:gridCol w:w="2201"/>
        <w:gridCol w:w="1412"/>
        <w:gridCol w:w="1462"/>
      </w:tblGrid>
      <w:tr>
        <w:trPr>
          <w:trHeight w:val="900" w:hRule="atLeast"/>
        </w:trPr>
        <w:tc>
          <w:tcPr>
            <w:tcW w:w="1617" w:type="dxa"/>
            <w:tcBorders>
              <w:top w:val="single" w:sz="4" w:space="0" w:color="000000"/>
              <w:bottom w:val="single" w:sz="4" w:space="0" w:color="000000"/>
            </w:tcBorders>
          </w:tcPr>
          <w:p>
            <w:pPr>
              <w:pStyle w:val="TableParagraph"/>
              <w:rPr>
                <w:rFonts w:ascii="Times New Roman"/>
                <w:sz w:val="22"/>
              </w:rPr>
            </w:pPr>
          </w:p>
        </w:tc>
        <w:tc>
          <w:tcPr>
            <w:tcW w:w="2109" w:type="dxa"/>
            <w:tcBorders>
              <w:top w:val="single" w:sz="4" w:space="0" w:color="000000"/>
              <w:bottom w:val="single" w:sz="4" w:space="0" w:color="000000"/>
            </w:tcBorders>
          </w:tcPr>
          <w:p>
            <w:pPr>
              <w:pStyle w:val="TableParagraph"/>
              <w:rPr>
                <w:rFonts w:ascii="Times New Roman"/>
                <w:sz w:val="22"/>
              </w:rPr>
            </w:pPr>
          </w:p>
        </w:tc>
        <w:tc>
          <w:tcPr>
            <w:tcW w:w="2201" w:type="dxa"/>
            <w:tcBorders>
              <w:top w:val="single" w:sz="4" w:space="0" w:color="000000"/>
              <w:bottom w:val="single" w:sz="4" w:space="0" w:color="000000"/>
            </w:tcBorders>
          </w:tcPr>
          <w:p>
            <w:pPr>
              <w:pStyle w:val="TableParagraph"/>
              <w:rPr>
                <w:rFonts w:ascii="Times New Roman"/>
                <w:sz w:val="22"/>
              </w:rPr>
            </w:pPr>
          </w:p>
        </w:tc>
        <w:tc>
          <w:tcPr>
            <w:tcW w:w="1412" w:type="dxa"/>
            <w:tcBorders>
              <w:top w:val="single" w:sz="4" w:space="0" w:color="000000"/>
              <w:bottom w:val="single" w:sz="4" w:space="0" w:color="000000"/>
            </w:tcBorders>
          </w:tcPr>
          <w:p>
            <w:pPr>
              <w:pStyle w:val="TableParagraph"/>
              <w:rPr>
                <w:rFonts w:ascii="Times New Roman"/>
                <w:sz w:val="22"/>
              </w:rPr>
            </w:pPr>
          </w:p>
        </w:tc>
        <w:tc>
          <w:tcPr>
            <w:tcW w:w="1462" w:type="dxa"/>
            <w:tcBorders>
              <w:top w:val="single" w:sz="4" w:space="0" w:color="000000"/>
              <w:bottom w:val="single" w:sz="4" w:space="0" w:color="000000"/>
            </w:tcBorders>
          </w:tcPr>
          <w:p>
            <w:pPr>
              <w:pStyle w:val="TableParagraph"/>
              <w:spacing w:line="265" w:lineRule="exact"/>
              <w:ind w:right="635"/>
              <w:jc w:val="right"/>
              <w:rPr>
                <w:sz w:val="22"/>
              </w:rPr>
            </w:pPr>
            <w:r>
              <w:rPr>
                <w:spacing w:val="-5"/>
                <w:sz w:val="22"/>
              </w:rPr>
              <w:t>LOS</w:t>
            </w:r>
          </w:p>
        </w:tc>
      </w:tr>
      <w:tr>
        <w:trPr>
          <w:trHeight w:val="376" w:hRule="atLeast"/>
        </w:trPr>
        <w:tc>
          <w:tcPr>
            <w:tcW w:w="1617" w:type="dxa"/>
            <w:tcBorders>
              <w:top w:val="single" w:sz="4" w:space="0" w:color="000000"/>
            </w:tcBorders>
          </w:tcPr>
          <w:p>
            <w:pPr>
              <w:pStyle w:val="TableParagraph"/>
              <w:rPr>
                <w:rFonts w:ascii="Times New Roman"/>
                <w:sz w:val="22"/>
              </w:rPr>
            </w:pPr>
          </w:p>
        </w:tc>
        <w:tc>
          <w:tcPr>
            <w:tcW w:w="2109" w:type="dxa"/>
            <w:tcBorders>
              <w:top w:val="single" w:sz="4" w:space="0" w:color="000000"/>
            </w:tcBorders>
          </w:tcPr>
          <w:p>
            <w:pPr>
              <w:pStyle w:val="TableParagraph"/>
              <w:spacing w:line="265" w:lineRule="exact"/>
              <w:ind w:left="223"/>
              <w:rPr>
                <w:sz w:val="22"/>
              </w:rPr>
            </w:pPr>
            <w:r>
              <w:rPr>
                <w:spacing w:val="-5"/>
                <w:sz w:val="22"/>
              </w:rPr>
              <w:t>CRO</w:t>
            </w:r>
          </w:p>
        </w:tc>
        <w:tc>
          <w:tcPr>
            <w:tcW w:w="2201" w:type="dxa"/>
            <w:tcBorders>
              <w:top w:val="single" w:sz="4" w:space="0" w:color="000000"/>
            </w:tcBorders>
          </w:tcPr>
          <w:p>
            <w:pPr>
              <w:pStyle w:val="TableParagraph"/>
              <w:spacing w:line="265" w:lineRule="exact"/>
              <w:ind w:right="374"/>
              <w:jc w:val="right"/>
              <w:rPr>
                <w:sz w:val="22"/>
              </w:rPr>
            </w:pPr>
            <w:r>
              <w:rPr>
                <w:spacing w:val="-2"/>
                <w:sz w:val="22"/>
              </w:rPr>
              <w:t>20.083±0.701</w:t>
            </w:r>
          </w:p>
        </w:tc>
        <w:tc>
          <w:tcPr>
            <w:tcW w:w="1412" w:type="dxa"/>
            <w:tcBorders>
              <w:top w:val="single" w:sz="4" w:space="0" w:color="000000"/>
            </w:tcBorders>
          </w:tcPr>
          <w:p>
            <w:pPr>
              <w:pStyle w:val="TableParagraph"/>
              <w:spacing w:line="265" w:lineRule="exact"/>
              <w:ind w:left="376"/>
              <w:rPr>
                <w:sz w:val="22"/>
              </w:rPr>
            </w:pPr>
            <w:r>
              <w:rPr>
                <w:spacing w:val="-2"/>
                <w:sz w:val="22"/>
              </w:rPr>
              <w:t>0.913</w:t>
            </w:r>
          </w:p>
        </w:tc>
        <w:tc>
          <w:tcPr>
            <w:tcW w:w="1462" w:type="dxa"/>
            <w:tcBorders>
              <w:top w:val="single" w:sz="4" w:space="0" w:color="000000"/>
            </w:tcBorders>
          </w:tcPr>
          <w:p>
            <w:pPr>
              <w:pStyle w:val="TableParagraph"/>
              <w:spacing w:line="265" w:lineRule="exact"/>
              <w:ind w:right="686"/>
              <w:jc w:val="right"/>
              <w:rPr>
                <w:sz w:val="22"/>
              </w:rPr>
            </w:pPr>
            <w:r>
              <w:rPr>
                <w:spacing w:val="-5"/>
                <w:sz w:val="22"/>
              </w:rPr>
              <w:t>NS</w:t>
            </w:r>
          </w:p>
        </w:tc>
      </w:tr>
      <w:tr>
        <w:trPr>
          <w:trHeight w:val="450" w:hRule="atLeast"/>
        </w:trPr>
        <w:tc>
          <w:tcPr>
            <w:tcW w:w="1617" w:type="dxa"/>
          </w:tcPr>
          <w:p>
            <w:pPr>
              <w:pStyle w:val="TableParagraph"/>
              <w:rPr>
                <w:rFonts w:ascii="Times New Roman"/>
                <w:sz w:val="22"/>
              </w:rPr>
            </w:pPr>
          </w:p>
        </w:tc>
        <w:tc>
          <w:tcPr>
            <w:tcW w:w="2109" w:type="dxa"/>
          </w:tcPr>
          <w:p>
            <w:pPr>
              <w:pStyle w:val="TableParagraph"/>
              <w:spacing w:before="71"/>
              <w:ind w:left="223"/>
              <w:rPr>
                <w:sz w:val="22"/>
              </w:rPr>
            </w:pPr>
            <w:r>
              <w:rPr>
                <w:spacing w:val="-5"/>
                <w:sz w:val="22"/>
              </w:rPr>
              <w:t>CN</w:t>
            </w:r>
          </w:p>
        </w:tc>
        <w:tc>
          <w:tcPr>
            <w:tcW w:w="2201" w:type="dxa"/>
          </w:tcPr>
          <w:p>
            <w:pPr>
              <w:pStyle w:val="TableParagraph"/>
              <w:spacing w:before="71"/>
              <w:ind w:right="374"/>
              <w:jc w:val="right"/>
              <w:rPr>
                <w:sz w:val="22"/>
              </w:rPr>
            </w:pPr>
            <w:r>
              <w:rPr>
                <w:spacing w:val="-2"/>
                <w:sz w:val="22"/>
              </w:rPr>
              <w:t>20.333±0.541</w:t>
            </w:r>
          </w:p>
        </w:tc>
        <w:tc>
          <w:tcPr>
            <w:tcW w:w="1412" w:type="dxa"/>
          </w:tcPr>
          <w:p>
            <w:pPr>
              <w:pStyle w:val="TableParagraph"/>
              <w:spacing w:before="71"/>
              <w:ind w:left="376"/>
              <w:rPr>
                <w:sz w:val="22"/>
              </w:rPr>
            </w:pPr>
            <w:r>
              <w:rPr>
                <w:spacing w:val="-2"/>
                <w:sz w:val="22"/>
              </w:rPr>
              <w:t>0.818</w:t>
            </w:r>
          </w:p>
        </w:tc>
        <w:tc>
          <w:tcPr>
            <w:tcW w:w="1462" w:type="dxa"/>
          </w:tcPr>
          <w:p>
            <w:pPr>
              <w:pStyle w:val="TableParagraph"/>
              <w:spacing w:before="71"/>
              <w:ind w:right="686"/>
              <w:jc w:val="right"/>
              <w:rPr>
                <w:sz w:val="22"/>
              </w:rPr>
            </w:pPr>
            <w:r>
              <w:rPr>
                <w:spacing w:val="-5"/>
                <w:sz w:val="22"/>
              </w:rPr>
              <w:t>NS</w:t>
            </w:r>
          </w:p>
        </w:tc>
      </w:tr>
      <w:tr>
        <w:trPr>
          <w:trHeight w:val="448" w:hRule="atLeast"/>
        </w:trPr>
        <w:tc>
          <w:tcPr>
            <w:tcW w:w="1617" w:type="dxa"/>
          </w:tcPr>
          <w:p>
            <w:pPr>
              <w:pStyle w:val="TableParagraph"/>
              <w:rPr>
                <w:rFonts w:ascii="Times New Roman"/>
                <w:sz w:val="22"/>
              </w:rPr>
            </w:pPr>
          </w:p>
        </w:tc>
        <w:tc>
          <w:tcPr>
            <w:tcW w:w="2109" w:type="dxa"/>
          </w:tcPr>
          <w:p>
            <w:pPr>
              <w:pStyle w:val="TableParagraph"/>
              <w:spacing w:before="70"/>
              <w:ind w:left="223"/>
              <w:rPr>
                <w:sz w:val="22"/>
              </w:rPr>
            </w:pPr>
            <w:r>
              <w:rPr>
                <w:spacing w:val="-5"/>
                <w:sz w:val="22"/>
              </w:rPr>
              <w:t>AMC</w:t>
            </w:r>
          </w:p>
        </w:tc>
        <w:tc>
          <w:tcPr>
            <w:tcW w:w="2201" w:type="dxa"/>
          </w:tcPr>
          <w:p>
            <w:pPr>
              <w:pStyle w:val="TableParagraph"/>
              <w:spacing w:before="70"/>
              <w:ind w:right="374"/>
              <w:jc w:val="right"/>
              <w:rPr>
                <w:sz w:val="22"/>
              </w:rPr>
            </w:pPr>
            <w:r>
              <w:rPr>
                <w:spacing w:val="-2"/>
                <w:sz w:val="22"/>
              </w:rPr>
              <w:t>10.083±1.510</w:t>
            </w:r>
          </w:p>
        </w:tc>
        <w:tc>
          <w:tcPr>
            <w:tcW w:w="1412" w:type="dxa"/>
          </w:tcPr>
          <w:p>
            <w:pPr>
              <w:pStyle w:val="TableParagraph"/>
              <w:spacing w:before="70"/>
              <w:ind w:left="376"/>
              <w:rPr>
                <w:sz w:val="22"/>
              </w:rPr>
            </w:pPr>
            <w:r>
              <w:rPr>
                <w:spacing w:val="-2"/>
                <w:sz w:val="22"/>
              </w:rPr>
              <w:t>0.000</w:t>
            </w:r>
          </w:p>
        </w:tc>
        <w:tc>
          <w:tcPr>
            <w:tcW w:w="1462" w:type="dxa"/>
          </w:tcPr>
          <w:p>
            <w:pPr>
              <w:pStyle w:val="TableParagraph"/>
              <w:spacing w:before="70"/>
              <w:ind w:right="707"/>
              <w:jc w:val="right"/>
              <w:rPr>
                <w:sz w:val="22"/>
              </w:rPr>
            </w:pPr>
            <w:r>
              <w:rPr>
                <w:spacing w:val="-5"/>
                <w:sz w:val="22"/>
              </w:rPr>
              <w:t>SF</w:t>
            </w:r>
          </w:p>
        </w:tc>
      </w:tr>
      <w:tr>
        <w:trPr>
          <w:trHeight w:val="450" w:hRule="atLeast"/>
        </w:trPr>
        <w:tc>
          <w:tcPr>
            <w:tcW w:w="1617" w:type="dxa"/>
          </w:tcPr>
          <w:p>
            <w:pPr>
              <w:pStyle w:val="TableParagraph"/>
              <w:spacing w:before="70"/>
              <w:ind w:left="108"/>
              <w:rPr>
                <w:sz w:val="22"/>
              </w:rPr>
            </w:pPr>
            <w:r>
              <w:rPr>
                <w:sz w:val="22"/>
              </w:rPr>
              <w:t>Lemon</w:t>
            </w:r>
            <w:r>
              <w:rPr>
                <w:spacing w:val="-6"/>
                <w:sz w:val="22"/>
              </w:rPr>
              <w:t> </w:t>
            </w:r>
            <w:r>
              <w:rPr>
                <w:spacing w:val="-2"/>
                <w:sz w:val="22"/>
              </w:rPr>
              <w:t>(100%)</w:t>
            </w:r>
          </w:p>
        </w:tc>
        <w:tc>
          <w:tcPr>
            <w:tcW w:w="2109" w:type="dxa"/>
          </w:tcPr>
          <w:p>
            <w:pPr>
              <w:pStyle w:val="TableParagraph"/>
              <w:spacing w:before="70"/>
              <w:ind w:left="223"/>
              <w:rPr>
                <w:sz w:val="22"/>
              </w:rPr>
            </w:pPr>
            <w:r>
              <w:rPr>
                <w:spacing w:val="-5"/>
                <w:sz w:val="22"/>
              </w:rPr>
              <w:t>LEV</w:t>
            </w:r>
          </w:p>
        </w:tc>
        <w:tc>
          <w:tcPr>
            <w:tcW w:w="2201" w:type="dxa"/>
          </w:tcPr>
          <w:p>
            <w:pPr>
              <w:pStyle w:val="TableParagraph"/>
              <w:spacing w:before="70"/>
              <w:ind w:right="374"/>
              <w:jc w:val="right"/>
              <w:rPr>
                <w:sz w:val="22"/>
              </w:rPr>
            </w:pPr>
            <w:r>
              <w:rPr>
                <w:spacing w:val="-2"/>
                <w:sz w:val="22"/>
              </w:rPr>
              <w:t>26.333±0.948</w:t>
            </w:r>
          </w:p>
        </w:tc>
        <w:tc>
          <w:tcPr>
            <w:tcW w:w="1412" w:type="dxa"/>
          </w:tcPr>
          <w:p>
            <w:pPr>
              <w:pStyle w:val="TableParagraph"/>
              <w:spacing w:before="70"/>
              <w:ind w:left="376"/>
              <w:rPr>
                <w:sz w:val="22"/>
              </w:rPr>
            </w:pPr>
            <w:r>
              <w:rPr>
                <w:spacing w:val="-2"/>
                <w:sz w:val="22"/>
              </w:rPr>
              <w:t>0.000</w:t>
            </w:r>
          </w:p>
        </w:tc>
        <w:tc>
          <w:tcPr>
            <w:tcW w:w="1462" w:type="dxa"/>
          </w:tcPr>
          <w:p>
            <w:pPr>
              <w:pStyle w:val="TableParagraph"/>
              <w:spacing w:before="70"/>
              <w:ind w:right="707"/>
              <w:jc w:val="right"/>
              <w:rPr>
                <w:sz w:val="22"/>
              </w:rPr>
            </w:pPr>
            <w:r>
              <w:rPr>
                <w:spacing w:val="-5"/>
                <w:sz w:val="22"/>
              </w:rPr>
              <w:t>SF</w:t>
            </w:r>
          </w:p>
        </w:tc>
      </w:tr>
      <w:tr>
        <w:trPr>
          <w:trHeight w:val="450" w:hRule="atLeast"/>
        </w:trPr>
        <w:tc>
          <w:tcPr>
            <w:tcW w:w="1617" w:type="dxa"/>
          </w:tcPr>
          <w:p>
            <w:pPr>
              <w:pStyle w:val="TableParagraph"/>
              <w:rPr>
                <w:rFonts w:ascii="Times New Roman"/>
                <w:sz w:val="22"/>
              </w:rPr>
            </w:pPr>
          </w:p>
        </w:tc>
        <w:tc>
          <w:tcPr>
            <w:tcW w:w="2109" w:type="dxa"/>
          </w:tcPr>
          <w:p>
            <w:pPr>
              <w:pStyle w:val="TableParagraph"/>
              <w:spacing w:before="71"/>
              <w:ind w:left="223"/>
              <w:rPr>
                <w:sz w:val="22"/>
              </w:rPr>
            </w:pPr>
            <w:r>
              <w:rPr>
                <w:spacing w:val="-5"/>
                <w:sz w:val="22"/>
              </w:rPr>
              <w:t>AZM</w:t>
            </w:r>
          </w:p>
        </w:tc>
        <w:tc>
          <w:tcPr>
            <w:tcW w:w="2201" w:type="dxa"/>
          </w:tcPr>
          <w:p>
            <w:pPr>
              <w:pStyle w:val="TableParagraph"/>
              <w:spacing w:before="71"/>
              <w:ind w:right="374"/>
              <w:jc w:val="right"/>
              <w:rPr>
                <w:sz w:val="22"/>
              </w:rPr>
            </w:pPr>
            <w:r>
              <w:rPr>
                <w:spacing w:val="-2"/>
                <w:sz w:val="22"/>
              </w:rPr>
              <w:t>18.083±0.802</w:t>
            </w:r>
          </w:p>
        </w:tc>
        <w:tc>
          <w:tcPr>
            <w:tcW w:w="1412" w:type="dxa"/>
          </w:tcPr>
          <w:p>
            <w:pPr>
              <w:pStyle w:val="TableParagraph"/>
              <w:spacing w:before="71"/>
              <w:ind w:left="376"/>
              <w:rPr>
                <w:sz w:val="22"/>
              </w:rPr>
            </w:pPr>
            <w:r>
              <w:rPr>
                <w:spacing w:val="-2"/>
                <w:sz w:val="22"/>
              </w:rPr>
              <w:t>1.000</w:t>
            </w:r>
          </w:p>
        </w:tc>
        <w:tc>
          <w:tcPr>
            <w:tcW w:w="1462" w:type="dxa"/>
          </w:tcPr>
          <w:p>
            <w:pPr>
              <w:pStyle w:val="TableParagraph"/>
              <w:spacing w:before="71"/>
              <w:ind w:right="686"/>
              <w:jc w:val="right"/>
              <w:rPr>
                <w:sz w:val="22"/>
              </w:rPr>
            </w:pPr>
            <w:r>
              <w:rPr>
                <w:spacing w:val="-5"/>
                <w:sz w:val="22"/>
              </w:rPr>
              <w:t>NS</w:t>
            </w:r>
          </w:p>
        </w:tc>
      </w:tr>
      <w:tr>
        <w:trPr>
          <w:trHeight w:val="450" w:hRule="atLeast"/>
        </w:trPr>
        <w:tc>
          <w:tcPr>
            <w:tcW w:w="1617" w:type="dxa"/>
          </w:tcPr>
          <w:p>
            <w:pPr>
              <w:pStyle w:val="TableParagraph"/>
              <w:rPr>
                <w:rFonts w:ascii="Times New Roman"/>
                <w:sz w:val="22"/>
              </w:rPr>
            </w:pPr>
          </w:p>
        </w:tc>
        <w:tc>
          <w:tcPr>
            <w:tcW w:w="2109" w:type="dxa"/>
          </w:tcPr>
          <w:p>
            <w:pPr>
              <w:pStyle w:val="TableParagraph"/>
              <w:spacing w:before="70"/>
              <w:ind w:left="223"/>
              <w:rPr>
                <w:sz w:val="22"/>
              </w:rPr>
            </w:pPr>
            <w:r>
              <w:rPr>
                <w:sz w:val="22"/>
              </w:rPr>
              <w:t>Lemon</w:t>
            </w:r>
            <w:r>
              <w:rPr>
                <w:spacing w:val="-4"/>
                <w:sz w:val="22"/>
              </w:rPr>
              <w:t> </w:t>
            </w:r>
            <w:r>
              <w:rPr>
                <w:spacing w:val="-2"/>
                <w:sz w:val="22"/>
              </w:rPr>
              <w:t>(50%)</w:t>
            </w:r>
          </w:p>
        </w:tc>
        <w:tc>
          <w:tcPr>
            <w:tcW w:w="2201" w:type="dxa"/>
          </w:tcPr>
          <w:p>
            <w:pPr>
              <w:pStyle w:val="TableParagraph"/>
              <w:spacing w:before="70"/>
              <w:ind w:right="374"/>
              <w:jc w:val="right"/>
              <w:rPr>
                <w:sz w:val="22"/>
              </w:rPr>
            </w:pPr>
            <w:r>
              <w:rPr>
                <w:spacing w:val="-2"/>
                <w:sz w:val="22"/>
              </w:rPr>
              <w:t>16.250±0.429</w:t>
            </w:r>
          </w:p>
        </w:tc>
        <w:tc>
          <w:tcPr>
            <w:tcW w:w="1412" w:type="dxa"/>
          </w:tcPr>
          <w:p>
            <w:pPr>
              <w:pStyle w:val="TableParagraph"/>
              <w:spacing w:before="70"/>
              <w:ind w:left="376"/>
              <w:rPr>
                <w:sz w:val="22"/>
              </w:rPr>
            </w:pPr>
            <w:r>
              <w:rPr>
                <w:spacing w:val="-2"/>
                <w:sz w:val="22"/>
              </w:rPr>
              <w:t>0.398</w:t>
            </w:r>
          </w:p>
        </w:tc>
        <w:tc>
          <w:tcPr>
            <w:tcW w:w="1462" w:type="dxa"/>
          </w:tcPr>
          <w:p>
            <w:pPr>
              <w:pStyle w:val="TableParagraph"/>
              <w:spacing w:before="70"/>
              <w:ind w:right="686"/>
              <w:jc w:val="right"/>
              <w:rPr>
                <w:sz w:val="22"/>
              </w:rPr>
            </w:pPr>
            <w:r>
              <w:rPr>
                <w:spacing w:val="-5"/>
                <w:sz w:val="22"/>
              </w:rPr>
              <w:t>NS</w:t>
            </w:r>
          </w:p>
        </w:tc>
      </w:tr>
      <w:tr>
        <w:trPr>
          <w:trHeight w:val="523" w:hRule="atLeast"/>
        </w:trPr>
        <w:tc>
          <w:tcPr>
            <w:tcW w:w="1617" w:type="dxa"/>
            <w:tcBorders>
              <w:bottom w:val="single" w:sz="4" w:space="0" w:color="000000"/>
            </w:tcBorders>
          </w:tcPr>
          <w:p>
            <w:pPr>
              <w:pStyle w:val="TableParagraph"/>
              <w:rPr>
                <w:rFonts w:ascii="Times New Roman"/>
                <w:sz w:val="22"/>
              </w:rPr>
            </w:pPr>
          </w:p>
        </w:tc>
        <w:tc>
          <w:tcPr>
            <w:tcW w:w="2109" w:type="dxa"/>
            <w:tcBorders>
              <w:bottom w:val="single" w:sz="4" w:space="0" w:color="000000"/>
            </w:tcBorders>
          </w:tcPr>
          <w:p>
            <w:pPr>
              <w:pStyle w:val="TableParagraph"/>
              <w:spacing w:before="71"/>
              <w:ind w:left="223"/>
              <w:rPr>
                <w:sz w:val="22"/>
              </w:rPr>
            </w:pPr>
            <w:r>
              <w:rPr>
                <w:sz w:val="22"/>
              </w:rPr>
              <w:t>Lemon</w:t>
            </w:r>
            <w:r>
              <w:rPr>
                <w:spacing w:val="-4"/>
                <w:sz w:val="22"/>
              </w:rPr>
              <w:t> </w:t>
            </w:r>
            <w:r>
              <w:rPr>
                <w:spacing w:val="-2"/>
                <w:sz w:val="22"/>
              </w:rPr>
              <w:t>(25%)</w:t>
            </w:r>
          </w:p>
        </w:tc>
        <w:tc>
          <w:tcPr>
            <w:tcW w:w="2201" w:type="dxa"/>
            <w:tcBorders>
              <w:bottom w:val="single" w:sz="4" w:space="0" w:color="000000"/>
            </w:tcBorders>
          </w:tcPr>
          <w:p>
            <w:pPr>
              <w:pStyle w:val="TableParagraph"/>
              <w:spacing w:before="71"/>
              <w:ind w:right="374"/>
              <w:jc w:val="right"/>
              <w:rPr>
                <w:sz w:val="22"/>
              </w:rPr>
            </w:pPr>
            <w:r>
              <w:rPr>
                <w:spacing w:val="-2"/>
                <w:sz w:val="22"/>
              </w:rPr>
              <w:t>12.667±0.310</w:t>
            </w:r>
          </w:p>
        </w:tc>
        <w:tc>
          <w:tcPr>
            <w:tcW w:w="1412" w:type="dxa"/>
            <w:tcBorders>
              <w:bottom w:val="single" w:sz="4" w:space="0" w:color="000000"/>
            </w:tcBorders>
          </w:tcPr>
          <w:p>
            <w:pPr>
              <w:pStyle w:val="TableParagraph"/>
              <w:spacing w:before="71"/>
              <w:ind w:left="376"/>
              <w:rPr>
                <w:sz w:val="22"/>
              </w:rPr>
            </w:pPr>
            <w:r>
              <w:rPr>
                <w:spacing w:val="-2"/>
                <w:sz w:val="22"/>
              </w:rPr>
              <w:t>0.000</w:t>
            </w:r>
          </w:p>
        </w:tc>
        <w:tc>
          <w:tcPr>
            <w:tcW w:w="1462" w:type="dxa"/>
            <w:tcBorders>
              <w:bottom w:val="single" w:sz="4" w:space="0" w:color="000000"/>
            </w:tcBorders>
          </w:tcPr>
          <w:p>
            <w:pPr>
              <w:pStyle w:val="TableParagraph"/>
              <w:spacing w:before="71"/>
              <w:ind w:right="707"/>
              <w:jc w:val="right"/>
              <w:rPr>
                <w:sz w:val="22"/>
              </w:rPr>
            </w:pPr>
            <w:r>
              <w:rPr>
                <w:spacing w:val="-5"/>
                <w:sz w:val="22"/>
              </w:rPr>
              <w:t>SF</w:t>
            </w:r>
          </w:p>
        </w:tc>
      </w:tr>
      <w:tr>
        <w:trPr>
          <w:trHeight w:val="376" w:hRule="atLeast"/>
        </w:trPr>
        <w:tc>
          <w:tcPr>
            <w:tcW w:w="1617" w:type="dxa"/>
            <w:tcBorders>
              <w:top w:val="single" w:sz="4" w:space="0" w:color="000000"/>
            </w:tcBorders>
          </w:tcPr>
          <w:p>
            <w:pPr>
              <w:pStyle w:val="TableParagraph"/>
              <w:rPr>
                <w:rFonts w:ascii="Times New Roman"/>
                <w:sz w:val="22"/>
              </w:rPr>
            </w:pPr>
          </w:p>
        </w:tc>
        <w:tc>
          <w:tcPr>
            <w:tcW w:w="2109" w:type="dxa"/>
            <w:tcBorders>
              <w:top w:val="single" w:sz="4" w:space="0" w:color="000000"/>
            </w:tcBorders>
          </w:tcPr>
          <w:p>
            <w:pPr>
              <w:pStyle w:val="TableParagraph"/>
              <w:spacing w:line="265" w:lineRule="exact"/>
              <w:ind w:left="223"/>
              <w:rPr>
                <w:sz w:val="22"/>
              </w:rPr>
            </w:pPr>
            <w:r>
              <w:rPr>
                <w:spacing w:val="-5"/>
                <w:sz w:val="22"/>
              </w:rPr>
              <w:t>CRO</w:t>
            </w:r>
          </w:p>
        </w:tc>
        <w:tc>
          <w:tcPr>
            <w:tcW w:w="2201" w:type="dxa"/>
            <w:tcBorders>
              <w:top w:val="single" w:sz="4" w:space="0" w:color="000000"/>
            </w:tcBorders>
          </w:tcPr>
          <w:p>
            <w:pPr>
              <w:pStyle w:val="TableParagraph"/>
              <w:spacing w:line="265" w:lineRule="exact"/>
              <w:ind w:right="374"/>
              <w:jc w:val="right"/>
              <w:rPr>
                <w:sz w:val="22"/>
              </w:rPr>
            </w:pPr>
            <w:r>
              <w:rPr>
                <w:spacing w:val="-2"/>
                <w:sz w:val="22"/>
              </w:rPr>
              <w:t>20.083±0.701</w:t>
            </w:r>
          </w:p>
        </w:tc>
        <w:tc>
          <w:tcPr>
            <w:tcW w:w="1412" w:type="dxa"/>
            <w:tcBorders>
              <w:top w:val="single" w:sz="4" w:space="0" w:color="000000"/>
            </w:tcBorders>
          </w:tcPr>
          <w:p>
            <w:pPr>
              <w:pStyle w:val="TableParagraph"/>
              <w:spacing w:line="265" w:lineRule="exact"/>
              <w:ind w:left="376"/>
              <w:rPr>
                <w:sz w:val="22"/>
              </w:rPr>
            </w:pPr>
            <w:r>
              <w:rPr>
                <w:spacing w:val="-2"/>
                <w:sz w:val="22"/>
              </w:rPr>
              <w:t>0.022</w:t>
            </w:r>
          </w:p>
        </w:tc>
        <w:tc>
          <w:tcPr>
            <w:tcW w:w="1462" w:type="dxa"/>
            <w:tcBorders>
              <w:top w:val="single" w:sz="4" w:space="0" w:color="000000"/>
            </w:tcBorders>
          </w:tcPr>
          <w:p>
            <w:pPr>
              <w:pStyle w:val="TableParagraph"/>
              <w:spacing w:line="265" w:lineRule="exact"/>
              <w:ind w:right="707"/>
              <w:jc w:val="right"/>
              <w:rPr>
                <w:sz w:val="22"/>
              </w:rPr>
            </w:pPr>
            <w:r>
              <w:rPr>
                <w:spacing w:val="-5"/>
                <w:sz w:val="22"/>
              </w:rPr>
              <w:t>SF</w:t>
            </w:r>
          </w:p>
        </w:tc>
      </w:tr>
      <w:tr>
        <w:trPr>
          <w:trHeight w:val="449" w:hRule="atLeast"/>
        </w:trPr>
        <w:tc>
          <w:tcPr>
            <w:tcW w:w="1617" w:type="dxa"/>
          </w:tcPr>
          <w:p>
            <w:pPr>
              <w:pStyle w:val="TableParagraph"/>
              <w:rPr>
                <w:rFonts w:ascii="Times New Roman"/>
                <w:sz w:val="22"/>
              </w:rPr>
            </w:pPr>
          </w:p>
        </w:tc>
        <w:tc>
          <w:tcPr>
            <w:tcW w:w="2109" w:type="dxa"/>
          </w:tcPr>
          <w:p>
            <w:pPr>
              <w:pStyle w:val="TableParagraph"/>
              <w:spacing w:before="71"/>
              <w:ind w:left="223"/>
              <w:rPr>
                <w:sz w:val="22"/>
              </w:rPr>
            </w:pPr>
            <w:r>
              <w:rPr>
                <w:spacing w:val="-5"/>
                <w:sz w:val="22"/>
              </w:rPr>
              <w:t>CN</w:t>
            </w:r>
          </w:p>
        </w:tc>
        <w:tc>
          <w:tcPr>
            <w:tcW w:w="2201" w:type="dxa"/>
          </w:tcPr>
          <w:p>
            <w:pPr>
              <w:pStyle w:val="TableParagraph"/>
              <w:spacing w:before="71"/>
              <w:ind w:right="374"/>
              <w:jc w:val="right"/>
              <w:rPr>
                <w:sz w:val="22"/>
              </w:rPr>
            </w:pPr>
            <w:r>
              <w:rPr>
                <w:spacing w:val="-2"/>
                <w:sz w:val="22"/>
              </w:rPr>
              <w:t>20.333±0.541</w:t>
            </w:r>
          </w:p>
        </w:tc>
        <w:tc>
          <w:tcPr>
            <w:tcW w:w="1412" w:type="dxa"/>
          </w:tcPr>
          <w:p>
            <w:pPr>
              <w:pStyle w:val="TableParagraph"/>
              <w:spacing w:before="71"/>
              <w:ind w:left="376"/>
              <w:rPr>
                <w:sz w:val="22"/>
              </w:rPr>
            </w:pPr>
            <w:r>
              <w:rPr>
                <w:spacing w:val="-2"/>
                <w:sz w:val="22"/>
              </w:rPr>
              <w:t>0.011</w:t>
            </w:r>
          </w:p>
        </w:tc>
        <w:tc>
          <w:tcPr>
            <w:tcW w:w="1462" w:type="dxa"/>
          </w:tcPr>
          <w:p>
            <w:pPr>
              <w:pStyle w:val="TableParagraph"/>
              <w:spacing w:before="71"/>
              <w:ind w:right="707"/>
              <w:jc w:val="right"/>
              <w:rPr>
                <w:sz w:val="22"/>
              </w:rPr>
            </w:pPr>
            <w:r>
              <w:rPr>
                <w:spacing w:val="-5"/>
                <w:sz w:val="22"/>
              </w:rPr>
              <w:t>SF</w:t>
            </w:r>
          </w:p>
        </w:tc>
      </w:tr>
      <w:tr>
        <w:trPr>
          <w:trHeight w:val="450" w:hRule="atLeast"/>
        </w:trPr>
        <w:tc>
          <w:tcPr>
            <w:tcW w:w="1617" w:type="dxa"/>
          </w:tcPr>
          <w:p>
            <w:pPr>
              <w:pStyle w:val="TableParagraph"/>
              <w:rPr>
                <w:rFonts w:ascii="Times New Roman"/>
                <w:sz w:val="22"/>
              </w:rPr>
            </w:pPr>
          </w:p>
        </w:tc>
        <w:tc>
          <w:tcPr>
            <w:tcW w:w="2109" w:type="dxa"/>
          </w:tcPr>
          <w:p>
            <w:pPr>
              <w:pStyle w:val="TableParagraph"/>
              <w:spacing w:before="70"/>
              <w:ind w:left="223"/>
              <w:rPr>
                <w:sz w:val="22"/>
              </w:rPr>
            </w:pPr>
            <w:r>
              <w:rPr>
                <w:spacing w:val="-5"/>
                <w:sz w:val="22"/>
              </w:rPr>
              <w:t>AMC</w:t>
            </w:r>
          </w:p>
        </w:tc>
        <w:tc>
          <w:tcPr>
            <w:tcW w:w="2201" w:type="dxa"/>
          </w:tcPr>
          <w:p>
            <w:pPr>
              <w:pStyle w:val="TableParagraph"/>
              <w:spacing w:before="70"/>
              <w:ind w:right="374"/>
              <w:jc w:val="right"/>
              <w:rPr>
                <w:sz w:val="22"/>
              </w:rPr>
            </w:pPr>
            <w:r>
              <w:rPr>
                <w:spacing w:val="-2"/>
                <w:sz w:val="22"/>
              </w:rPr>
              <w:t>10.083±1.510</w:t>
            </w:r>
          </w:p>
        </w:tc>
        <w:tc>
          <w:tcPr>
            <w:tcW w:w="1412" w:type="dxa"/>
          </w:tcPr>
          <w:p>
            <w:pPr>
              <w:pStyle w:val="TableParagraph"/>
              <w:spacing w:before="70"/>
              <w:ind w:left="376"/>
              <w:rPr>
                <w:sz w:val="22"/>
              </w:rPr>
            </w:pPr>
            <w:r>
              <w:rPr>
                <w:spacing w:val="-2"/>
                <w:sz w:val="22"/>
              </w:rPr>
              <w:t>0.000</w:t>
            </w:r>
          </w:p>
        </w:tc>
        <w:tc>
          <w:tcPr>
            <w:tcW w:w="1462" w:type="dxa"/>
          </w:tcPr>
          <w:p>
            <w:pPr>
              <w:pStyle w:val="TableParagraph"/>
              <w:spacing w:before="70"/>
              <w:ind w:right="707"/>
              <w:jc w:val="right"/>
              <w:rPr>
                <w:sz w:val="22"/>
              </w:rPr>
            </w:pPr>
            <w:r>
              <w:rPr>
                <w:spacing w:val="-5"/>
                <w:sz w:val="22"/>
              </w:rPr>
              <w:t>SF</w:t>
            </w:r>
          </w:p>
        </w:tc>
      </w:tr>
      <w:tr>
        <w:trPr>
          <w:trHeight w:val="450" w:hRule="atLeast"/>
        </w:trPr>
        <w:tc>
          <w:tcPr>
            <w:tcW w:w="1617" w:type="dxa"/>
          </w:tcPr>
          <w:p>
            <w:pPr>
              <w:pStyle w:val="TableParagraph"/>
              <w:spacing w:before="71"/>
              <w:ind w:left="108"/>
              <w:rPr>
                <w:sz w:val="22"/>
              </w:rPr>
            </w:pPr>
            <w:r>
              <w:rPr>
                <w:sz w:val="22"/>
              </w:rPr>
              <w:t>Lemon</w:t>
            </w:r>
            <w:r>
              <w:rPr>
                <w:spacing w:val="-4"/>
                <w:sz w:val="22"/>
              </w:rPr>
              <w:t> </w:t>
            </w:r>
            <w:r>
              <w:rPr>
                <w:spacing w:val="-2"/>
                <w:sz w:val="22"/>
              </w:rPr>
              <w:t>(50%)</w:t>
            </w:r>
          </w:p>
        </w:tc>
        <w:tc>
          <w:tcPr>
            <w:tcW w:w="2109" w:type="dxa"/>
          </w:tcPr>
          <w:p>
            <w:pPr>
              <w:pStyle w:val="TableParagraph"/>
              <w:spacing w:before="71"/>
              <w:ind w:left="223"/>
              <w:rPr>
                <w:sz w:val="22"/>
              </w:rPr>
            </w:pPr>
            <w:r>
              <w:rPr>
                <w:spacing w:val="-5"/>
                <w:sz w:val="22"/>
              </w:rPr>
              <w:t>LEV</w:t>
            </w:r>
          </w:p>
        </w:tc>
        <w:tc>
          <w:tcPr>
            <w:tcW w:w="2201" w:type="dxa"/>
          </w:tcPr>
          <w:p>
            <w:pPr>
              <w:pStyle w:val="TableParagraph"/>
              <w:spacing w:before="71"/>
              <w:ind w:right="374"/>
              <w:jc w:val="right"/>
              <w:rPr>
                <w:sz w:val="22"/>
              </w:rPr>
            </w:pPr>
            <w:r>
              <w:rPr>
                <w:spacing w:val="-2"/>
                <w:sz w:val="22"/>
              </w:rPr>
              <w:t>26.333±0.948</w:t>
            </w:r>
          </w:p>
        </w:tc>
        <w:tc>
          <w:tcPr>
            <w:tcW w:w="1412" w:type="dxa"/>
          </w:tcPr>
          <w:p>
            <w:pPr>
              <w:pStyle w:val="TableParagraph"/>
              <w:spacing w:before="71"/>
              <w:ind w:left="376"/>
              <w:rPr>
                <w:sz w:val="22"/>
              </w:rPr>
            </w:pPr>
            <w:r>
              <w:rPr>
                <w:spacing w:val="-2"/>
                <w:sz w:val="22"/>
              </w:rPr>
              <w:t>0.000</w:t>
            </w:r>
          </w:p>
        </w:tc>
        <w:tc>
          <w:tcPr>
            <w:tcW w:w="1462" w:type="dxa"/>
          </w:tcPr>
          <w:p>
            <w:pPr>
              <w:pStyle w:val="TableParagraph"/>
              <w:spacing w:before="71"/>
              <w:ind w:right="707"/>
              <w:jc w:val="right"/>
              <w:rPr>
                <w:sz w:val="22"/>
              </w:rPr>
            </w:pPr>
            <w:r>
              <w:rPr>
                <w:spacing w:val="-5"/>
                <w:sz w:val="22"/>
              </w:rPr>
              <w:t>SF</w:t>
            </w:r>
          </w:p>
        </w:tc>
      </w:tr>
      <w:tr>
        <w:trPr>
          <w:trHeight w:val="448" w:hRule="atLeast"/>
        </w:trPr>
        <w:tc>
          <w:tcPr>
            <w:tcW w:w="1617" w:type="dxa"/>
          </w:tcPr>
          <w:p>
            <w:pPr>
              <w:pStyle w:val="TableParagraph"/>
              <w:rPr>
                <w:rFonts w:ascii="Times New Roman"/>
                <w:sz w:val="22"/>
              </w:rPr>
            </w:pPr>
          </w:p>
        </w:tc>
        <w:tc>
          <w:tcPr>
            <w:tcW w:w="2109" w:type="dxa"/>
          </w:tcPr>
          <w:p>
            <w:pPr>
              <w:pStyle w:val="TableParagraph"/>
              <w:spacing w:before="70"/>
              <w:ind w:left="223"/>
              <w:rPr>
                <w:sz w:val="22"/>
              </w:rPr>
            </w:pPr>
            <w:r>
              <w:rPr>
                <w:spacing w:val="-5"/>
                <w:sz w:val="22"/>
              </w:rPr>
              <w:t>AZM</w:t>
            </w:r>
          </w:p>
        </w:tc>
        <w:tc>
          <w:tcPr>
            <w:tcW w:w="2201" w:type="dxa"/>
          </w:tcPr>
          <w:p>
            <w:pPr>
              <w:pStyle w:val="TableParagraph"/>
              <w:spacing w:before="70"/>
              <w:ind w:right="374"/>
              <w:jc w:val="right"/>
              <w:rPr>
                <w:sz w:val="22"/>
              </w:rPr>
            </w:pPr>
            <w:r>
              <w:rPr>
                <w:spacing w:val="-2"/>
                <w:sz w:val="22"/>
              </w:rPr>
              <w:t>18.083±0.802</w:t>
            </w:r>
          </w:p>
        </w:tc>
        <w:tc>
          <w:tcPr>
            <w:tcW w:w="1412" w:type="dxa"/>
          </w:tcPr>
          <w:p>
            <w:pPr>
              <w:pStyle w:val="TableParagraph"/>
              <w:spacing w:before="70"/>
              <w:ind w:left="376"/>
              <w:rPr>
                <w:sz w:val="22"/>
              </w:rPr>
            </w:pPr>
            <w:r>
              <w:rPr>
                <w:spacing w:val="-2"/>
                <w:sz w:val="22"/>
              </w:rPr>
              <w:t>0.735</w:t>
            </w:r>
          </w:p>
        </w:tc>
        <w:tc>
          <w:tcPr>
            <w:tcW w:w="1462" w:type="dxa"/>
          </w:tcPr>
          <w:p>
            <w:pPr>
              <w:pStyle w:val="TableParagraph"/>
              <w:spacing w:before="70"/>
              <w:ind w:right="686"/>
              <w:jc w:val="right"/>
              <w:rPr>
                <w:sz w:val="22"/>
              </w:rPr>
            </w:pPr>
            <w:r>
              <w:rPr>
                <w:spacing w:val="-5"/>
                <w:sz w:val="22"/>
              </w:rPr>
              <w:t>NS</w:t>
            </w:r>
          </w:p>
        </w:tc>
      </w:tr>
      <w:tr>
        <w:trPr>
          <w:trHeight w:val="450" w:hRule="atLeast"/>
        </w:trPr>
        <w:tc>
          <w:tcPr>
            <w:tcW w:w="1617" w:type="dxa"/>
          </w:tcPr>
          <w:p>
            <w:pPr>
              <w:pStyle w:val="TableParagraph"/>
              <w:rPr>
                <w:rFonts w:ascii="Times New Roman"/>
                <w:sz w:val="22"/>
              </w:rPr>
            </w:pPr>
          </w:p>
        </w:tc>
        <w:tc>
          <w:tcPr>
            <w:tcW w:w="2109" w:type="dxa"/>
          </w:tcPr>
          <w:p>
            <w:pPr>
              <w:pStyle w:val="TableParagraph"/>
              <w:spacing w:before="70"/>
              <w:ind w:left="223"/>
              <w:rPr>
                <w:sz w:val="22"/>
              </w:rPr>
            </w:pPr>
            <w:r>
              <w:rPr>
                <w:sz w:val="22"/>
              </w:rPr>
              <w:t>Lemon</w:t>
            </w:r>
            <w:r>
              <w:rPr>
                <w:spacing w:val="-6"/>
                <w:sz w:val="22"/>
              </w:rPr>
              <w:t> </w:t>
            </w:r>
            <w:r>
              <w:rPr>
                <w:spacing w:val="-2"/>
                <w:sz w:val="22"/>
              </w:rPr>
              <w:t>(100%)</w:t>
            </w:r>
          </w:p>
        </w:tc>
        <w:tc>
          <w:tcPr>
            <w:tcW w:w="2201" w:type="dxa"/>
          </w:tcPr>
          <w:p>
            <w:pPr>
              <w:pStyle w:val="TableParagraph"/>
              <w:spacing w:before="70"/>
              <w:ind w:right="374"/>
              <w:jc w:val="right"/>
              <w:rPr>
                <w:sz w:val="22"/>
              </w:rPr>
            </w:pPr>
            <w:r>
              <w:rPr>
                <w:spacing w:val="-2"/>
                <w:sz w:val="22"/>
              </w:rPr>
              <w:t>18.667±0.466</w:t>
            </w:r>
          </w:p>
        </w:tc>
        <w:tc>
          <w:tcPr>
            <w:tcW w:w="1412" w:type="dxa"/>
          </w:tcPr>
          <w:p>
            <w:pPr>
              <w:pStyle w:val="TableParagraph"/>
              <w:spacing w:before="70"/>
              <w:ind w:left="376"/>
              <w:rPr>
                <w:sz w:val="22"/>
              </w:rPr>
            </w:pPr>
            <w:r>
              <w:rPr>
                <w:spacing w:val="-2"/>
                <w:sz w:val="22"/>
              </w:rPr>
              <w:t>0.398</w:t>
            </w:r>
          </w:p>
        </w:tc>
        <w:tc>
          <w:tcPr>
            <w:tcW w:w="1462" w:type="dxa"/>
          </w:tcPr>
          <w:p>
            <w:pPr>
              <w:pStyle w:val="TableParagraph"/>
              <w:spacing w:before="70"/>
              <w:ind w:right="686"/>
              <w:jc w:val="right"/>
              <w:rPr>
                <w:sz w:val="22"/>
              </w:rPr>
            </w:pPr>
            <w:r>
              <w:rPr>
                <w:spacing w:val="-5"/>
                <w:sz w:val="22"/>
              </w:rPr>
              <w:t>NS</w:t>
            </w:r>
          </w:p>
        </w:tc>
      </w:tr>
      <w:tr>
        <w:trPr>
          <w:trHeight w:val="523" w:hRule="atLeast"/>
        </w:trPr>
        <w:tc>
          <w:tcPr>
            <w:tcW w:w="1617" w:type="dxa"/>
            <w:tcBorders>
              <w:bottom w:val="single" w:sz="4" w:space="0" w:color="000000"/>
            </w:tcBorders>
          </w:tcPr>
          <w:p>
            <w:pPr>
              <w:pStyle w:val="TableParagraph"/>
              <w:rPr>
                <w:rFonts w:ascii="Times New Roman"/>
                <w:sz w:val="22"/>
              </w:rPr>
            </w:pPr>
          </w:p>
        </w:tc>
        <w:tc>
          <w:tcPr>
            <w:tcW w:w="2109" w:type="dxa"/>
            <w:tcBorders>
              <w:bottom w:val="single" w:sz="4" w:space="0" w:color="000000"/>
            </w:tcBorders>
          </w:tcPr>
          <w:p>
            <w:pPr>
              <w:pStyle w:val="TableParagraph"/>
              <w:spacing w:before="71"/>
              <w:ind w:left="223"/>
              <w:rPr>
                <w:sz w:val="22"/>
              </w:rPr>
            </w:pPr>
            <w:r>
              <w:rPr>
                <w:sz w:val="22"/>
              </w:rPr>
              <w:t>Lemon</w:t>
            </w:r>
            <w:r>
              <w:rPr>
                <w:spacing w:val="-4"/>
                <w:sz w:val="22"/>
              </w:rPr>
              <w:t> </w:t>
            </w:r>
            <w:r>
              <w:rPr>
                <w:spacing w:val="-2"/>
                <w:sz w:val="22"/>
              </w:rPr>
              <w:t>(25%)</w:t>
            </w:r>
          </w:p>
        </w:tc>
        <w:tc>
          <w:tcPr>
            <w:tcW w:w="2201" w:type="dxa"/>
            <w:tcBorders>
              <w:bottom w:val="single" w:sz="4" w:space="0" w:color="000000"/>
            </w:tcBorders>
          </w:tcPr>
          <w:p>
            <w:pPr>
              <w:pStyle w:val="TableParagraph"/>
              <w:spacing w:before="71"/>
              <w:ind w:right="374"/>
              <w:jc w:val="right"/>
              <w:rPr>
                <w:sz w:val="22"/>
              </w:rPr>
            </w:pPr>
            <w:r>
              <w:rPr>
                <w:spacing w:val="-2"/>
                <w:sz w:val="22"/>
              </w:rPr>
              <w:t>12.667±0.310</w:t>
            </w:r>
          </w:p>
        </w:tc>
        <w:tc>
          <w:tcPr>
            <w:tcW w:w="1412" w:type="dxa"/>
            <w:tcBorders>
              <w:bottom w:val="single" w:sz="4" w:space="0" w:color="000000"/>
            </w:tcBorders>
          </w:tcPr>
          <w:p>
            <w:pPr>
              <w:pStyle w:val="TableParagraph"/>
              <w:spacing w:before="71"/>
              <w:ind w:left="376"/>
              <w:rPr>
                <w:sz w:val="22"/>
              </w:rPr>
            </w:pPr>
            <w:r>
              <w:rPr>
                <w:spacing w:val="-2"/>
                <w:sz w:val="22"/>
              </w:rPr>
              <w:t>0.042</w:t>
            </w:r>
          </w:p>
        </w:tc>
        <w:tc>
          <w:tcPr>
            <w:tcW w:w="1462" w:type="dxa"/>
            <w:tcBorders>
              <w:bottom w:val="single" w:sz="4" w:space="0" w:color="000000"/>
            </w:tcBorders>
          </w:tcPr>
          <w:p>
            <w:pPr>
              <w:pStyle w:val="TableParagraph"/>
              <w:spacing w:before="71"/>
              <w:ind w:right="707"/>
              <w:jc w:val="right"/>
              <w:rPr>
                <w:sz w:val="22"/>
              </w:rPr>
            </w:pPr>
            <w:r>
              <w:rPr>
                <w:spacing w:val="-5"/>
                <w:sz w:val="22"/>
              </w:rPr>
              <w:t>SF</w:t>
            </w:r>
          </w:p>
        </w:tc>
      </w:tr>
      <w:tr>
        <w:trPr>
          <w:trHeight w:val="376" w:hRule="atLeast"/>
        </w:trPr>
        <w:tc>
          <w:tcPr>
            <w:tcW w:w="1617" w:type="dxa"/>
            <w:tcBorders>
              <w:top w:val="single" w:sz="4" w:space="0" w:color="000000"/>
            </w:tcBorders>
          </w:tcPr>
          <w:p>
            <w:pPr>
              <w:pStyle w:val="TableParagraph"/>
              <w:rPr>
                <w:rFonts w:ascii="Times New Roman"/>
                <w:sz w:val="22"/>
              </w:rPr>
            </w:pPr>
          </w:p>
        </w:tc>
        <w:tc>
          <w:tcPr>
            <w:tcW w:w="2109" w:type="dxa"/>
            <w:tcBorders>
              <w:top w:val="single" w:sz="4" w:space="0" w:color="000000"/>
            </w:tcBorders>
          </w:tcPr>
          <w:p>
            <w:pPr>
              <w:pStyle w:val="TableParagraph"/>
              <w:spacing w:line="265" w:lineRule="exact"/>
              <w:ind w:left="223"/>
              <w:rPr>
                <w:sz w:val="22"/>
              </w:rPr>
            </w:pPr>
            <w:r>
              <w:rPr>
                <w:spacing w:val="-5"/>
                <w:sz w:val="22"/>
              </w:rPr>
              <w:t>CRO</w:t>
            </w:r>
          </w:p>
        </w:tc>
        <w:tc>
          <w:tcPr>
            <w:tcW w:w="2201" w:type="dxa"/>
            <w:tcBorders>
              <w:top w:val="single" w:sz="4" w:space="0" w:color="000000"/>
            </w:tcBorders>
          </w:tcPr>
          <w:p>
            <w:pPr>
              <w:pStyle w:val="TableParagraph"/>
              <w:spacing w:line="265" w:lineRule="exact"/>
              <w:ind w:right="374"/>
              <w:jc w:val="right"/>
              <w:rPr>
                <w:sz w:val="22"/>
              </w:rPr>
            </w:pPr>
            <w:r>
              <w:rPr>
                <w:spacing w:val="-2"/>
                <w:sz w:val="22"/>
              </w:rPr>
              <w:t>20.083±0.701</w:t>
            </w:r>
          </w:p>
        </w:tc>
        <w:tc>
          <w:tcPr>
            <w:tcW w:w="1412" w:type="dxa"/>
            <w:tcBorders>
              <w:top w:val="single" w:sz="4" w:space="0" w:color="000000"/>
            </w:tcBorders>
          </w:tcPr>
          <w:p>
            <w:pPr>
              <w:pStyle w:val="TableParagraph"/>
              <w:spacing w:line="265" w:lineRule="exact"/>
              <w:ind w:left="376"/>
              <w:rPr>
                <w:sz w:val="22"/>
              </w:rPr>
            </w:pPr>
            <w:r>
              <w:rPr>
                <w:spacing w:val="-2"/>
                <w:sz w:val="22"/>
              </w:rPr>
              <w:t>0.000</w:t>
            </w:r>
          </w:p>
        </w:tc>
        <w:tc>
          <w:tcPr>
            <w:tcW w:w="1462" w:type="dxa"/>
            <w:tcBorders>
              <w:top w:val="single" w:sz="4" w:space="0" w:color="000000"/>
            </w:tcBorders>
          </w:tcPr>
          <w:p>
            <w:pPr>
              <w:pStyle w:val="TableParagraph"/>
              <w:spacing w:line="265" w:lineRule="exact"/>
              <w:ind w:right="707"/>
              <w:jc w:val="right"/>
              <w:rPr>
                <w:sz w:val="22"/>
              </w:rPr>
            </w:pPr>
            <w:r>
              <w:rPr>
                <w:spacing w:val="-5"/>
                <w:sz w:val="22"/>
              </w:rPr>
              <w:t>SF</w:t>
            </w:r>
          </w:p>
        </w:tc>
      </w:tr>
      <w:tr>
        <w:trPr>
          <w:trHeight w:val="450" w:hRule="atLeast"/>
        </w:trPr>
        <w:tc>
          <w:tcPr>
            <w:tcW w:w="1617" w:type="dxa"/>
          </w:tcPr>
          <w:p>
            <w:pPr>
              <w:pStyle w:val="TableParagraph"/>
              <w:rPr>
                <w:rFonts w:ascii="Times New Roman"/>
                <w:sz w:val="22"/>
              </w:rPr>
            </w:pPr>
          </w:p>
        </w:tc>
        <w:tc>
          <w:tcPr>
            <w:tcW w:w="2109" w:type="dxa"/>
          </w:tcPr>
          <w:p>
            <w:pPr>
              <w:pStyle w:val="TableParagraph"/>
              <w:spacing w:before="71"/>
              <w:ind w:left="223"/>
              <w:rPr>
                <w:sz w:val="22"/>
              </w:rPr>
            </w:pPr>
            <w:r>
              <w:rPr>
                <w:spacing w:val="-5"/>
                <w:sz w:val="22"/>
              </w:rPr>
              <w:t>CN</w:t>
            </w:r>
          </w:p>
        </w:tc>
        <w:tc>
          <w:tcPr>
            <w:tcW w:w="2201" w:type="dxa"/>
          </w:tcPr>
          <w:p>
            <w:pPr>
              <w:pStyle w:val="TableParagraph"/>
              <w:spacing w:before="71"/>
              <w:ind w:right="374"/>
              <w:jc w:val="right"/>
              <w:rPr>
                <w:sz w:val="22"/>
              </w:rPr>
            </w:pPr>
            <w:r>
              <w:rPr>
                <w:spacing w:val="-2"/>
                <w:sz w:val="22"/>
              </w:rPr>
              <w:t>20.333±0.541</w:t>
            </w:r>
          </w:p>
        </w:tc>
        <w:tc>
          <w:tcPr>
            <w:tcW w:w="1412" w:type="dxa"/>
          </w:tcPr>
          <w:p>
            <w:pPr>
              <w:pStyle w:val="TableParagraph"/>
              <w:spacing w:before="71"/>
              <w:ind w:left="376"/>
              <w:rPr>
                <w:sz w:val="22"/>
              </w:rPr>
            </w:pPr>
            <w:r>
              <w:rPr>
                <w:spacing w:val="-2"/>
                <w:sz w:val="22"/>
              </w:rPr>
              <w:t>0.000</w:t>
            </w:r>
          </w:p>
        </w:tc>
        <w:tc>
          <w:tcPr>
            <w:tcW w:w="1462" w:type="dxa"/>
          </w:tcPr>
          <w:p>
            <w:pPr>
              <w:pStyle w:val="TableParagraph"/>
              <w:spacing w:before="71"/>
              <w:ind w:right="707"/>
              <w:jc w:val="right"/>
              <w:rPr>
                <w:sz w:val="22"/>
              </w:rPr>
            </w:pPr>
            <w:r>
              <w:rPr>
                <w:spacing w:val="-5"/>
                <w:sz w:val="22"/>
              </w:rPr>
              <w:t>SF</w:t>
            </w:r>
          </w:p>
        </w:tc>
      </w:tr>
      <w:tr>
        <w:trPr>
          <w:trHeight w:val="450" w:hRule="atLeast"/>
        </w:trPr>
        <w:tc>
          <w:tcPr>
            <w:tcW w:w="1617" w:type="dxa"/>
          </w:tcPr>
          <w:p>
            <w:pPr>
              <w:pStyle w:val="TableParagraph"/>
              <w:rPr>
                <w:rFonts w:ascii="Times New Roman"/>
                <w:sz w:val="22"/>
              </w:rPr>
            </w:pPr>
          </w:p>
        </w:tc>
        <w:tc>
          <w:tcPr>
            <w:tcW w:w="2109" w:type="dxa"/>
          </w:tcPr>
          <w:p>
            <w:pPr>
              <w:pStyle w:val="TableParagraph"/>
              <w:spacing w:before="70"/>
              <w:ind w:left="223"/>
              <w:rPr>
                <w:sz w:val="22"/>
              </w:rPr>
            </w:pPr>
            <w:r>
              <w:rPr>
                <w:spacing w:val="-5"/>
                <w:sz w:val="22"/>
              </w:rPr>
              <w:t>AMC</w:t>
            </w:r>
          </w:p>
        </w:tc>
        <w:tc>
          <w:tcPr>
            <w:tcW w:w="2201" w:type="dxa"/>
          </w:tcPr>
          <w:p>
            <w:pPr>
              <w:pStyle w:val="TableParagraph"/>
              <w:spacing w:before="70"/>
              <w:ind w:right="374"/>
              <w:jc w:val="right"/>
              <w:rPr>
                <w:sz w:val="22"/>
              </w:rPr>
            </w:pPr>
            <w:r>
              <w:rPr>
                <w:spacing w:val="-2"/>
                <w:sz w:val="22"/>
              </w:rPr>
              <w:t>10.083±1.510</w:t>
            </w:r>
          </w:p>
        </w:tc>
        <w:tc>
          <w:tcPr>
            <w:tcW w:w="1412" w:type="dxa"/>
          </w:tcPr>
          <w:p>
            <w:pPr>
              <w:pStyle w:val="TableParagraph"/>
              <w:spacing w:before="70"/>
              <w:ind w:left="376"/>
              <w:rPr>
                <w:sz w:val="22"/>
              </w:rPr>
            </w:pPr>
            <w:r>
              <w:rPr>
                <w:spacing w:val="-2"/>
                <w:sz w:val="22"/>
              </w:rPr>
              <w:t>0.312</w:t>
            </w:r>
          </w:p>
        </w:tc>
        <w:tc>
          <w:tcPr>
            <w:tcW w:w="1462" w:type="dxa"/>
          </w:tcPr>
          <w:p>
            <w:pPr>
              <w:pStyle w:val="TableParagraph"/>
              <w:spacing w:before="70"/>
              <w:ind w:right="686"/>
              <w:jc w:val="right"/>
              <w:rPr>
                <w:sz w:val="22"/>
              </w:rPr>
            </w:pPr>
            <w:r>
              <w:rPr>
                <w:spacing w:val="-5"/>
                <w:sz w:val="22"/>
              </w:rPr>
              <w:t>NS</w:t>
            </w:r>
          </w:p>
        </w:tc>
      </w:tr>
      <w:tr>
        <w:trPr>
          <w:trHeight w:val="450" w:hRule="atLeast"/>
        </w:trPr>
        <w:tc>
          <w:tcPr>
            <w:tcW w:w="1617" w:type="dxa"/>
          </w:tcPr>
          <w:p>
            <w:pPr>
              <w:pStyle w:val="TableParagraph"/>
              <w:spacing w:before="71"/>
              <w:ind w:left="108"/>
              <w:rPr>
                <w:sz w:val="22"/>
              </w:rPr>
            </w:pPr>
            <w:r>
              <w:rPr>
                <w:sz w:val="22"/>
              </w:rPr>
              <w:t>Lemon</w:t>
            </w:r>
            <w:r>
              <w:rPr>
                <w:spacing w:val="-4"/>
                <w:sz w:val="22"/>
              </w:rPr>
              <w:t> </w:t>
            </w:r>
            <w:r>
              <w:rPr>
                <w:spacing w:val="-2"/>
                <w:sz w:val="22"/>
              </w:rPr>
              <w:t>(25%)</w:t>
            </w:r>
          </w:p>
        </w:tc>
        <w:tc>
          <w:tcPr>
            <w:tcW w:w="2109" w:type="dxa"/>
          </w:tcPr>
          <w:p>
            <w:pPr>
              <w:pStyle w:val="TableParagraph"/>
              <w:spacing w:before="71"/>
              <w:ind w:left="223"/>
              <w:rPr>
                <w:sz w:val="22"/>
              </w:rPr>
            </w:pPr>
            <w:r>
              <w:rPr>
                <w:spacing w:val="-5"/>
                <w:sz w:val="22"/>
              </w:rPr>
              <w:t>LEV</w:t>
            </w:r>
          </w:p>
        </w:tc>
        <w:tc>
          <w:tcPr>
            <w:tcW w:w="2201" w:type="dxa"/>
          </w:tcPr>
          <w:p>
            <w:pPr>
              <w:pStyle w:val="TableParagraph"/>
              <w:spacing w:before="71"/>
              <w:ind w:right="374"/>
              <w:jc w:val="right"/>
              <w:rPr>
                <w:sz w:val="22"/>
              </w:rPr>
            </w:pPr>
            <w:r>
              <w:rPr>
                <w:spacing w:val="-2"/>
                <w:sz w:val="22"/>
              </w:rPr>
              <w:t>26.333±0.948</w:t>
            </w:r>
          </w:p>
        </w:tc>
        <w:tc>
          <w:tcPr>
            <w:tcW w:w="1412" w:type="dxa"/>
          </w:tcPr>
          <w:p>
            <w:pPr>
              <w:pStyle w:val="TableParagraph"/>
              <w:spacing w:before="71"/>
              <w:ind w:left="376"/>
              <w:rPr>
                <w:sz w:val="22"/>
              </w:rPr>
            </w:pPr>
            <w:r>
              <w:rPr>
                <w:spacing w:val="-2"/>
                <w:sz w:val="22"/>
              </w:rPr>
              <w:t>0.000</w:t>
            </w:r>
          </w:p>
        </w:tc>
        <w:tc>
          <w:tcPr>
            <w:tcW w:w="1462" w:type="dxa"/>
          </w:tcPr>
          <w:p>
            <w:pPr>
              <w:pStyle w:val="TableParagraph"/>
              <w:spacing w:before="71"/>
              <w:ind w:right="707"/>
              <w:jc w:val="right"/>
              <w:rPr>
                <w:sz w:val="22"/>
              </w:rPr>
            </w:pPr>
            <w:r>
              <w:rPr>
                <w:spacing w:val="-5"/>
                <w:sz w:val="22"/>
              </w:rPr>
              <w:t>SF</w:t>
            </w:r>
          </w:p>
        </w:tc>
      </w:tr>
      <w:tr>
        <w:trPr>
          <w:trHeight w:val="450" w:hRule="atLeast"/>
        </w:trPr>
        <w:tc>
          <w:tcPr>
            <w:tcW w:w="1617" w:type="dxa"/>
          </w:tcPr>
          <w:p>
            <w:pPr>
              <w:pStyle w:val="TableParagraph"/>
              <w:rPr>
                <w:rFonts w:ascii="Times New Roman"/>
                <w:sz w:val="22"/>
              </w:rPr>
            </w:pPr>
          </w:p>
        </w:tc>
        <w:tc>
          <w:tcPr>
            <w:tcW w:w="2109" w:type="dxa"/>
          </w:tcPr>
          <w:p>
            <w:pPr>
              <w:pStyle w:val="TableParagraph"/>
              <w:spacing w:before="70"/>
              <w:ind w:left="223"/>
              <w:rPr>
                <w:sz w:val="22"/>
              </w:rPr>
            </w:pPr>
            <w:r>
              <w:rPr>
                <w:spacing w:val="-5"/>
                <w:sz w:val="22"/>
              </w:rPr>
              <w:t>AZM</w:t>
            </w:r>
          </w:p>
        </w:tc>
        <w:tc>
          <w:tcPr>
            <w:tcW w:w="2201" w:type="dxa"/>
          </w:tcPr>
          <w:p>
            <w:pPr>
              <w:pStyle w:val="TableParagraph"/>
              <w:spacing w:before="70"/>
              <w:ind w:right="374"/>
              <w:jc w:val="right"/>
              <w:rPr>
                <w:sz w:val="22"/>
              </w:rPr>
            </w:pPr>
            <w:r>
              <w:rPr>
                <w:spacing w:val="-2"/>
                <w:sz w:val="22"/>
              </w:rPr>
              <w:t>18.083±0.802</w:t>
            </w:r>
          </w:p>
        </w:tc>
        <w:tc>
          <w:tcPr>
            <w:tcW w:w="1412" w:type="dxa"/>
          </w:tcPr>
          <w:p>
            <w:pPr>
              <w:pStyle w:val="TableParagraph"/>
              <w:spacing w:before="70"/>
              <w:ind w:left="376"/>
              <w:rPr>
                <w:sz w:val="22"/>
              </w:rPr>
            </w:pPr>
            <w:r>
              <w:rPr>
                <w:spacing w:val="-2"/>
                <w:sz w:val="22"/>
              </w:rPr>
              <w:t>0.000</w:t>
            </w:r>
          </w:p>
        </w:tc>
        <w:tc>
          <w:tcPr>
            <w:tcW w:w="1462" w:type="dxa"/>
          </w:tcPr>
          <w:p>
            <w:pPr>
              <w:pStyle w:val="TableParagraph"/>
              <w:spacing w:before="70"/>
              <w:ind w:right="707"/>
              <w:jc w:val="right"/>
              <w:rPr>
                <w:sz w:val="22"/>
              </w:rPr>
            </w:pPr>
            <w:r>
              <w:rPr>
                <w:spacing w:val="-5"/>
                <w:sz w:val="22"/>
              </w:rPr>
              <w:t>SF</w:t>
            </w:r>
          </w:p>
        </w:tc>
      </w:tr>
      <w:tr>
        <w:trPr>
          <w:trHeight w:val="450" w:hRule="atLeast"/>
        </w:trPr>
        <w:tc>
          <w:tcPr>
            <w:tcW w:w="1617" w:type="dxa"/>
          </w:tcPr>
          <w:p>
            <w:pPr>
              <w:pStyle w:val="TableParagraph"/>
              <w:rPr>
                <w:rFonts w:ascii="Times New Roman"/>
                <w:sz w:val="22"/>
              </w:rPr>
            </w:pPr>
          </w:p>
        </w:tc>
        <w:tc>
          <w:tcPr>
            <w:tcW w:w="2109" w:type="dxa"/>
          </w:tcPr>
          <w:p>
            <w:pPr>
              <w:pStyle w:val="TableParagraph"/>
              <w:spacing w:before="71"/>
              <w:ind w:left="223"/>
              <w:rPr>
                <w:sz w:val="22"/>
              </w:rPr>
            </w:pPr>
            <w:r>
              <w:rPr>
                <w:sz w:val="22"/>
              </w:rPr>
              <w:t>Lemon</w:t>
            </w:r>
            <w:r>
              <w:rPr>
                <w:spacing w:val="-6"/>
                <w:sz w:val="22"/>
              </w:rPr>
              <w:t> </w:t>
            </w:r>
            <w:r>
              <w:rPr>
                <w:spacing w:val="-2"/>
                <w:sz w:val="22"/>
              </w:rPr>
              <w:t>(100%)</w:t>
            </w:r>
          </w:p>
        </w:tc>
        <w:tc>
          <w:tcPr>
            <w:tcW w:w="2201" w:type="dxa"/>
          </w:tcPr>
          <w:p>
            <w:pPr>
              <w:pStyle w:val="TableParagraph"/>
              <w:spacing w:before="71"/>
              <w:ind w:right="374"/>
              <w:jc w:val="right"/>
              <w:rPr>
                <w:sz w:val="22"/>
              </w:rPr>
            </w:pPr>
            <w:r>
              <w:rPr>
                <w:spacing w:val="-2"/>
                <w:sz w:val="22"/>
              </w:rPr>
              <w:t>18.667±0.466</w:t>
            </w:r>
          </w:p>
        </w:tc>
        <w:tc>
          <w:tcPr>
            <w:tcW w:w="1412" w:type="dxa"/>
          </w:tcPr>
          <w:p>
            <w:pPr>
              <w:pStyle w:val="TableParagraph"/>
              <w:spacing w:before="71"/>
              <w:ind w:left="376"/>
              <w:rPr>
                <w:sz w:val="22"/>
              </w:rPr>
            </w:pPr>
            <w:r>
              <w:rPr>
                <w:spacing w:val="-2"/>
                <w:sz w:val="22"/>
              </w:rPr>
              <w:t>0.000</w:t>
            </w:r>
          </w:p>
        </w:tc>
        <w:tc>
          <w:tcPr>
            <w:tcW w:w="1462" w:type="dxa"/>
          </w:tcPr>
          <w:p>
            <w:pPr>
              <w:pStyle w:val="TableParagraph"/>
              <w:spacing w:before="71"/>
              <w:ind w:right="707"/>
              <w:jc w:val="right"/>
              <w:rPr>
                <w:sz w:val="22"/>
              </w:rPr>
            </w:pPr>
            <w:r>
              <w:rPr>
                <w:spacing w:val="-5"/>
                <w:sz w:val="22"/>
              </w:rPr>
              <w:t>SF</w:t>
            </w:r>
          </w:p>
        </w:tc>
      </w:tr>
      <w:tr>
        <w:trPr>
          <w:trHeight w:val="524" w:hRule="atLeast"/>
        </w:trPr>
        <w:tc>
          <w:tcPr>
            <w:tcW w:w="1617" w:type="dxa"/>
            <w:tcBorders>
              <w:bottom w:val="single" w:sz="4" w:space="0" w:color="000000"/>
            </w:tcBorders>
          </w:tcPr>
          <w:p>
            <w:pPr>
              <w:pStyle w:val="TableParagraph"/>
              <w:rPr>
                <w:rFonts w:ascii="Times New Roman"/>
                <w:sz w:val="22"/>
              </w:rPr>
            </w:pPr>
          </w:p>
        </w:tc>
        <w:tc>
          <w:tcPr>
            <w:tcW w:w="2109" w:type="dxa"/>
            <w:tcBorders>
              <w:bottom w:val="single" w:sz="4" w:space="0" w:color="000000"/>
            </w:tcBorders>
          </w:tcPr>
          <w:p>
            <w:pPr>
              <w:pStyle w:val="TableParagraph"/>
              <w:spacing w:before="70"/>
              <w:ind w:left="223"/>
              <w:rPr>
                <w:sz w:val="22"/>
              </w:rPr>
            </w:pPr>
            <w:r>
              <w:rPr>
                <w:sz w:val="22"/>
              </w:rPr>
              <w:t>Lemon</w:t>
            </w:r>
            <w:r>
              <w:rPr>
                <w:spacing w:val="-4"/>
                <w:sz w:val="22"/>
              </w:rPr>
              <w:t> </w:t>
            </w:r>
            <w:r>
              <w:rPr>
                <w:spacing w:val="-2"/>
                <w:sz w:val="22"/>
              </w:rPr>
              <w:t>(50%)</w:t>
            </w:r>
          </w:p>
        </w:tc>
        <w:tc>
          <w:tcPr>
            <w:tcW w:w="2201" w:type="dxa"/>
            <w:tcBorders>
              <w:bottom w:val="single" w:sz="4" w:space="0" w:color="000000"/>
            </w:tcBorders>
          </w:tcPr>
          <w:p>
            <w:pPr>
              <w:pStyle w:val="TableParagraph"/>
              <w:spacing w:before="70"/>
              <w:ind w:right="374"/>
              <w:jc w:val="right"/>
              <w:rPr>
                <w:sz w:val="22"/>
              </w:rPr>
            </w:pPr>
            <w:r>
              <w:rPr>
                <w:spacing w:val="-2"/>
                <w:sz w:val="22"/>
              </w:rPr>
              <w:t>16.250±0.429</w:t>
            </w:r>
          </w:p>
        </w:tc>
        <w:tc>
          <w:tcPr>
            <w:tcW w:w="1412" w:type="dxa"/>
            <w:tcBorders>
              <w:bottom w:val="single" w:sz="4" w:space="0" w:color="000000"/>
            </w:tcBorders>
          </w:tcPr>
          <w:p>
            <w:pPr>
              <w:pStyle w:val="TableParagraph"/>
              <w:spacing w:before="70"/>
              <w:ind w:left="376"/>
              <w:rPr>
                <w:sz w:val="22"/>
              </w:rPr>
            </w:pPr>
            <w:r>
              <w:rPr>
                <w:spacing w:val="-2"/>
                <w:sz w:val="22"/>
              </w:rPr>
              <w:t>0.042</w:t>
            </w:r>
          </w:p>
        </w:tc>
        <w:tc>
          <w:tcPr>
            <w:tcW w:w="1462" w:type="dxa"/>
            <w:tcBorders>
              <w:bottom w:val="single" w:sz="4" w:space="0" w:color="000000"/>
            </w:tcBorders>
          </w:tcPr>
          <w:p>
            <w:pPr>
              <w:pStyle w:val="TableParagraph"/>
              <w:spacing w:before="70"/>
              <w:ind w:right="707"/>
              <w:jc w:val="right"/>
              <w:rPr>
                <w:sz w:val="22"/>
              </w:rPr>
            </w:pPr>
            <w:r>
              <w:rPr>
                <w:spacing w:val="-5"/>
                <w:sz w:val="22"/>
              </w:rPr>
              <w:t>SF</w:t>
            </w:r>
          </w:p>
        </w:tc>
      </w:tr>
    </w:tbl>
    <w:p>
      <w:pPr>
        <w:pStyle w:val="BodyText"/>
        <w:spacing w:line="400" w:lineRule="auto" w:before="24"/>
        <w:ind w:left="430" w:right="3485" w:hanging="51"/>
      </w:pPr>
      <w:r>
        <w:rPr/>
        <w:t>Key:</w:t>
      </w:r>
      <w:r>
        <w:rPr>
          <w:spacing w:val="-4"/>
        </w:rPr>
        <w:t> </w:t>
      </w:r>
      <w:r>
        <w:rPr/>
        <w:t>LOS=Level</w:t>
      </w:r>
      <w:r>
        <w:rPr>
          <w:spacing w:val="-7"/>
        </w:rPr>
        <w:t> </w:t>
      </w:r>
      <w:r>
        <w:rPr/>
        <w:t>of</w:t>
      </w:r>
      <w:r>
        <w:rPr>
          <w:spacing w:val="-5"/>
        </w:rPr>
        <w:t> </w:t>
      </w:r>
      <w:r>
        <w:rPr/>
        <w:t>Significance;</w:t>
      </w:r>
      <w:r>
        <w:rPr>
          <w:spacing w:val="-4"/>
        </w:rPr>
        <w:t> </w:t>
      </w:r>
      <w:r>
        <w:rPr/>
        <w:t>NS=Not</w:t>
      </w:r>
      <w:r>
        <w:rPr>
          <w:spacing w:val="-5"/>
        </w:rPr>
        <w:t> </w:t>
      </w:r>
      <w:r>
        <w:rPr/>
        <w:t>significantly</w:t>
      </w:r>
      <w:r>
        <w:rPr>
          <w:spacing w:val="-5"/>
        </w:rPr>
        <w:t> </w:t>
      </w:r>
      <w:r>
        <w:rPr/>
        <w:t>different; SF=Significantly different.</w:t>
      </w:r>
    </w:p>
    <w:p>
      <w:pPr>
        <w:spacing w:after="0" w:line="400" w:lineRule="auto"/>
        <w:sectPr>
          <w:type w:val="continuous"/>
          <w:pgSz w:w="11910" w:h="16840"/>
          <w:pgMar w:header="0" w:footer="1055" w:top="140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1"/>
      </w:pPr>
    </w:p>
    <w:p>
      <w:pPr>
        <w:pStyle w:val="Heading3"/>
        <w:spacing w:line="256" w:lineRule="auto"/>
        <w:ind w:left="1513" w:right="975" w:hanging="1133"/>
        <w:rPr>
          <w:i/>
        </w:rPr>
      </w:pPr>
      <w:r>
        <w:rPr/>
        <w:t>Table</w:t>
      </w:r>
      <w:r>
        <w:rPr>
          <w:spacing w:val="-3"/>
        </w:rPr>
        <w:t> </w:t>
      </w:r>
      <w:r>
        <w:rPr/>
        <w:t>4.20:</w:t>
      </w:r>
      <w:r>
        <w:rPr>
          <w:spacing w:val="-3"/>
        </w:rPr>
        <w:t> </w:t>
      </w:r>
      <w:r>
        <w:rPr/>
        <w:t>Comparing</w:t>
      </w:r>
      <w:r>
        <w:rPr>
          <w:spacing w:val="-4"/>
        </w:rPr>
        <w:t> </w:t>
      </w:r>
      <w:r>
        <w:rPr/>
        <w:t>the</w:t>
      </w:r>
      <w:r>
        <w:rPr>
          <w:spacing w:val="-5"/>
        </w:rPr>
        <w:t> </w:t>
      </w:r>
      <w:r>
        <w:rPr/>
        <w:t>Mean</w:t>
      </w:r>
      <w:r>
        <w:rPr>
          <w:spacing w:val="-3"/>
        </w:rPr>
        <w:t> </w:t>
      </w:r>
      <w:r>
        <w:rPr/>
        <w:t>zone</w:t>
      </w:r>
      <w:r>
        <w:rPr>
          <w:spacing w:val="-3"/>
        </w:rPr>
        <w:t> </w:t>
      </w:r>
      <w:r>
        <w:rPr/>
        <w:t>of</w:t>
      </w:r>
      <w:r>
        <w:rPr>
          <w:spacing w:val="-2"/>
        </w:rPr>
        <w:t> </w:t>
      </w:r>
      <w:r>
        <w:rPr/>
        <w:t>inhibition</w:t>
      </w:r>
      <w:r>
        <w:rPr>
          <w:spacing w:val="-3"/>
        </w:rPr>
        <w:t> </w:t>
      </w:r>
      <w:r>
        <w:rPr/>
        <w:t>of</w:t>
      </w:r>
      <w:r>
        <w:rPr>
          <w:spacing w:val="-5"/>
        </w:rPr>
        <w:t> </w:t>
      </w:r>
      <w:r>
        <w:rPr/>
        <w:t>Lemon</w:t>
      </w:r>
      <w:r>
        <w:rPr>
          <w:spacing w:val="-1"/>
        </w:rPr>
        <w:t> </w:t>
      </w:r>
      <w:r>
        <w:rPr/>
        <w:t>juice</w:t>
      </w:r>
      <w:r>
        <w:rPr>
          <w:spacing w:val="-2"/>
        </w:rPr>
        <w:t> </w:t>
      </w:r>
      <w:r>
        <w:rPr/>
        <w:t>and</w:t>
      </w:r>
      <w:r>
        <w:rPr>
          <w:spacing w:val="-3"/>
        </w:rPr>
        <w:t> </w:t>
      </w:r>
      <w:r>
        <w:rPr/>
        <w:t>the</w:t>
      </w:r>
      <w:r>
        <w:rPr>
          <w:spacing w:val="-3"/>
        </w:rPr>
        <w:t> </w:t>
      </w:r>
      <w:r>
        <w:rPr/>
        <w:t>Standard</w:t>
      </w:r>
      <w:r>
        <w:rPr>
          <w:spacing w:val="-3"/>
        </w:rPr>
        <w:t> </w:t>
      </w:r>
      <w:r>
        <w:rPr/>
        <w:t>antibiotic formulations against </w:t>
      </w:r>
      <w:r>
        <w:rPr>
          <w:i/>
        </w:rPr>
        <w:t>Streptococcus pneumoniae</w:t>
      </w:r>
    </w:p>
    <w:p>
      <w:pPr>
        <w:pStyle w:val="BodyText"/>
        <w:rPr>
          <w:b/>
          <w:i/>
          <w:sz w:val="20"/>
        </w:rPr>
      </w:pPr>
    </w:p>
    <w:p>
      <w:pPr>
        <w:pStyle w:val="BodyText"/>
        <w:spacing w:before="104"/>
        <w:rPr>
          <w:b/>
          <w:i/>
          <w:sz w:val="20"/>
        </w:rPr>
      </w:pPr>
      <w:r>
        <w:rPr/>
        <mc:AlternateContent>
          <mc:Choice Requires="wps">
            <w:drawing>
              <wp:anchor distT="0" distB="0" distL="0" distR="0" allowOverlap="1" layoutInCell="1" locked="0" behindDoc="1" simplePos="0" relativeHeight="487675904">
                <wp:simplePos x="0" y="0"/>
                <wp:positionH relativeFrom="page">
                  <wp:posOffset>846124</wp:posOffset>
                </wp:positionH>
                <wp:positionV relativeFrom="paragraph">
                  <wp:posOffset>236649</wp:posOffset>
                </wp:positionV>
                <wp:extent cx="5558155" cy="6350"/>
                <wp:effectExtent l="0" t="0" r="0" b="0"/>
                <wp:wrapTopAndBottom/>
                <wp:docPr id="492" name="Graphic 492"/>
                <wp:cNvGraphicFramePr>
                  <a:graphicFrameLocks/>
                </wp:cNvGraphicFramePr>
                <a:graphic>
                  <a:graphicData uri="http://schemas.microsoft.com/office/word/2010/wordprocessingShape">
                    <wps:wsp>
                      <wps:cNvPr id="492" name="Graphic 492"/>
                      <wps:cNvSpPr/>
                      <wps:spPr>
                        <a:xfrm>
                          <a:off x="0" y="0"/>
                          <a:ext cx="5558155" cy="6350"/>
                        </a:xfrm>
                        <a:custGeom>
                          <a:avLst/>
                          <a:gdLst/>
                          <a:ahLst/>
                          <a:cxnLst/>
                          <a:rect l="l" t="t" r="r" b="b"/>
                          <a:pathLst>
                            <a:path w="5558155" h="6350">
                              <a:moveTo>
                                <a:pt x="2430970" y="0"/>
                              </a:moveTo>
                              <a:lnTo>
                                <a:pt x="1016457" y="0"/>
                              </a:lnTo>
                              <a:lnTo>
                                <a:pt x="1010412" y="0"/>
                              </a:lnTo>
                              <a:lnTo>
                                <a:pt x="0" y="0"/>
                              </a:lnTo>
                              <a:lnTo>
                                <a:pt x="0" y="6096"/>
                              </a:lnTo>
                              <a:lnTo>
                                <a:pt x="1010361" y="6096"/>
                              </a:lnTo>
                              <a:lnTo>
                                <a:pt x="1016457" y="6096"/>
                              </a:lnTo>
                              <a:lnTo>
                                <a:pt x="2430970" y="6096"/>
                              </a:lnTo>
                              <a:lnTo>
                                <a:pt x="2430970" y="0"/>
                              </a:lnTo>
                              <a:close/>
                            </a:path>
                            <a:path w="5558155" h="6350">
                              <a:moveTo>
                                <a:pt x="4516501" y="0"/>
                              </a:moveTo>
                              <a:lnTo>
                                <a:pt x="4516501" y="0"/>
                              </a:lnTo>
                              <a:lnTo>
                                <a:pt x="2431110" y="0"/>
                              </a:lnTo>
                              <a:lnTo>
                                <a:pt x="2431110" y="6096"/>
                              </a:lnTo>
                              <a:lnTo>
                                <a:pt x="4516501" y="6096"/>
                              </a:lnTo>
                              <a:lnTo>
                                <a:pt x="4516501" y="0"/>
                              </a:lnTo>
                              <a:close/>
                            </a:path>
                            <a:path w="5558155" h="6350">
                              <a:moveTo>
                                <a:pt x="4522660" y="0"/>
                              </a:moveTo>
                              <a:lnTo>
                                <a:pt x="4516577" y="0"/>
                              </a:lnTo>
                              <a:lnTo>
                                <a:pt x="4516577" y="6096"/>
                              </a:lnTo>
                              <a:lnTo>
                                <a:pt x="4522660" y="6096"/>
                              </a:lnTo>
                              <a:lnTo>
                                <a:pt x="4522660" y="0"/>
                              </a:lnTo>
                              <a:close/>
                            </a:path>
                            <a:path w="5558155" h="6350">
                              <a:moveTo>
                                <a:pt x="5557774" y="0"/>
                              </a:moveTo>
                              <a:lnTo>
                                <a:pt x="4522673" y="0"/>
                              </a:lnTo>
                              <a:lnTo>
                                <a:pt x="4522673" y="6096"/>
                              </a:lnTo>
                              <a:lnTo>
                                <a:pt x="5557774" y="6096"/>
                              </a:lnTo>
                              <a:lnTo>
                                <a:pt x="55577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18.633844pt;width:437.65pt;height:.5pt;mso-position-horizontal-relative:page;mso-position-vertical-relative:paragraph;z-index:-15640576;mso-wrap-distance-left:0;mso-wrap-distance-right:0" id="docshape437" coordorigin="1332,373" coordsize="8753,10" path="m5161,373l2933,373,2924,373,2924,373,1332,373,1332,382,2924,382,2924,382,2933,382,5161,382,5161,373xm8445,373l7177,373,7168,373,7168,373,5171,373,5171,373,5161,373,5161,382,5171,382,5171,382,7168,382,7168,382,7177,382,8445,382,8445,373xm8455,373l8445,373,8445,382,8455,382,8455,373xm10085,373l8455,373,8455,382,10085,382,10085,373xe" filled="true" fillcolor="#000000" stroked="false">
                <v:path arrowok="t"/>
                <v:fill type="solid"/>
                <w10:wrap type="topAndBottom"/>
              </v:shape>
            </w:pict>
          </mc:Fallback>
        </mc:AlternateContent>
      </w:r>
    </w:p>
    <w:p>
      <w:pPr>
        <w:pStyle w:val="BodyText"/>
        <w:spacing w:before="243"/>
        <w:rPr>
          <w:b/>
          <w:i/>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6"/>
        <w:gridCol w:w="2055"/>
        <w:gridCol w:w="2192"/>
        <w:gridCol w:w="1492"/>
        <w:gridCol w:w="1467"/>
      </w:tblGrid>
      <w:tr>
        <w:trPr>
          <w:trHeight w:val="859" w:hRule="atLeast"/>
        </w:trPr>
        <w:tc>
          <w:tcPr>
            <w:tcW w:w="1546" w:type="dxa"/>
            <w:tcBorders>
              <w:bottom w:val="single" w:sz="4" w:space="0" w:color="000000"/>
            </w:tcBorders>
          </w:tcPr>
          <w:p>
            <w:pPr>
              <w:pStyle w:val="TableParagraph"/>
              <w:spacing w:line="225" w:lineRule="exact"/>
              <w:ind w:left="108"/>
              <w:rPr>
                <w:sz w:val="22"/>
              </w:rPr>
            </w:pPr>
            <w:r>
              <w:rPr>
                <w:sz w:val="22"/>
              </w:rPr>
              <w:t>(I)</w:t>
            </w:r>
            <w:r>
              <w:rPr>
                <w:spacing w:val="-2"/>
                <w:sz w:val="22"/>
              </w:rPr>
              <w:t> Group</w:t>
            </w:r>
          </w:p>
        </w:tc>
        <w:tc>
          <w:tcPr>
            <w:tcW w:w="2055" w:type="dxa"/>
            <w:tcBorders>
              <w:bottom w:val="single" w:sz="4" w:space="0" w:color="000000"/>
            </w:tcBorders>
          </w:tcPr>
          <w:p>
            <w:pPr>
              <w:pStyle w:val="TableParagraph"/>
              <w:spacing w:line="225" w:lineRule="exact"/>
              <w:ind w:left="153"/>
              <w:rPr>
                <w:sz w:val="22"/>
              </w:rPr>
            </w:pPr>
            <w:r>
              <w:rPr>
                <w:sz w:val="22"/>
              </w:rPr>
              <w:t>(J)</w:t>
            </w:r>
            <w:r>
              <w:rPr>
                <w:spacing w:val="-2"/>
                <w:sz w:val="22"/>
              </w:rPr>
              <w:t> Group</w:t>
            </w:r>
          </w:p>
        </w:tc>
        <w:tc>
          <w:tcPr>
            <w:tcW w:w="2192" w:type="dxa"/>
            <w:tcBorders>
              <w:bottom w:val="single" w:sz="4" w:space="0" w:color="000000"/>
            </w:tcBorders>
          </w:tcPr>
          <w:p>
            <w:pPr>
              <w:pStyle w:val="TableParagraph"/>
              <w:spacing w:line="225" w:lineRule="exact"/>
              <w:ind w:left="269"/>
              <w:jc w:val="center"/>
              <w:rPr>
                <w:sz w:val="22"/>
              </w:rPr>
            </w:pPr>
            <w:r>
              <w:rPr>
                <w:spacing w:val="-2"/>
                <w:sz w:val="22"/>
              </w:rPr>
              <w:t>Mean±SEM</w:t>
            </w:r>
          </w:p>
        </w:tc>
        <w:tc>
          <w:tcPr>
            <w:tcW w:w="1492" w:type="dxa"/>
            <w:tcBorders>
              <w:bottom w:val="single" w:sz="4" w:space="0" w:color="000000"/>
            </w:tcBorders>
          </w:tcPr>
          <w:p>
            <w:pPr>
              <w:pStyle w:val="TableParagraph"/>
              <w:spacing w:line="225" w:lineRule="exact"/>
              <w:ind w:left="3" w:right="129"/>
              <w:jc w:val="center"/>
              <w:rPr>
                <w:sz w:val="22"/>
              </w:rPr>
            </w:pPr>
            <w:r>
              <w:rPr>
                <w:sz w:val="22"/>
              </w:rPr>
              <w:t>P-</w:t>
            </w:r>
            <w:r>
              <w:rPr>
                <w:spacing w:val="-2"/>
                <w:sz w:val="22"/>
              </w:rPr>
              <w:t>value</w:t>
            </w:r>
          </w:p>
        </w:tc>
        <w:tc>
          <w:tcPr>
            <w:tcW w:w="1467" w:type="dxa"/>
            <w:tcBorders>
              <w:bottom w:val="single" w:sz="4" w:space="0" w:color="000000"/>
            </w:tcBorders>
          </w:tcPr>
          <w:p>
            <w:pPr>
              <w:pStyle w:val="TableParagraph"/>
              <w:spacing w:line="225" w:lineRule="exact"/>
              <w:ind w:left="478"/>
              <w:rPr>
                <w:sz w:val="22"/>
              </w:rPr>
            </w:pPr>
            <w:r>
              <w:rPr>
                <w:spacing w:val="-5"/>
                <w:sz w:val="22"/>
              </w:rPr>
              <w:t>LOS</w:t>
            </w:r>
          </w:p>
        </w:tc>
      </w:tr>
      <w:tr>
        <w:trPr>
          <w:trHeight w:val="375" w:hRule="atLeast"/>
        </w:trPr>
        <w:tc>
          <w:tcPr>
            <w:tcW w:w="1546" w:type="dxa"/>
            <w:tcBorders>
              <w:top w:val="single" w:sz="4" w:space="0" w:color="000000"/>
            </w:tcBorders>
          </w:tcPr>
          <w:p>
            <w:pPr>
              <w:pStyle w:val="TableParagraph"/>
              <w:rPr>
                <w:rFonts w:ascii="Times New Roman"/>
                <w:sz w:val="22"/>
              </w:rPr>
            </w:pPr>
          </w:p>
        </w:tc>
        <w:tc>
          <w:tcPr>
            <w:tcW w:w="2055" w:type="dxa"/>
            <w:tcBorders>
              <w:top w:val="single" w:sz="4" w:space="0" w:color="000000"/>
            </w:tcBorders>
          </w:tcPr>
          <w:p>
            <w:pPr>
              <w:pStyle w:val="TableParagraph"/>
              <w:spacing w:line="265" w:lineRule="exact"/>
              <w:ind w:left="153"/>
              <w:rPr>
                <w:sz w:val="22"/>
              </w:rPr>
            </w:pPr>
            <w:r>
              <w:rPr>
                <w:spacing w:val="-5"/>
                <w:sz w:val="22"/>
              </w:rPr>
              <w:t>CRO</w:t>
            </w:r>
          </w:p>
        </w:tc>
        <w:tc>
          <w:tcPr>
            <w:tcW w:w="2192" w:type="dxa"/>
            <w:tcBorders>
              <w:top w:val="single" w:sz="4" w:space="0" w:color="000000"/>
            </w:tcBorders>
          </w:tcPr>
          <w:p>
            <w:pPr>
              <w:pStyle w:val="TableParagraph"/>
              <w:spacing w:line="265" w:lineRule="exact"/>
              <w:ind w:left="269" w:right="3"/>
              <w:jc w:val="center"/>
              <w:rPr>
                <w:sz w:val="22"/>
              </w:rPr>
            </w:pPr>
            <w:r>
              <w:rPr>
                <w:spacing w:val="-2"/>
                <w:sz w:val="22"/>
              </w:rPr>
              <w:t>21.714±1.924</w:t>
            </w:r>
          </w:p>
        </w:tc>
        <w:tc>
          <w:tcPr>
            <w:tcW w:w="1492" w:type="dxa"/>
            <w:tcBorders>
              <w:top w:val="single" w:sz="4" w:space="0" w:color="000000"/>
            </w:tcBorders>
          </w:tcPr>
          <w:p>
            <w:pPr>
              <w:pStyle w:val="TableParagraph"/>
              <w:spacing w:line="265" w:lineRule="exact"/>
              <w:ind w:right="129"/>
              <w:jc w:val="center"/>
              <w:rPr>
                <w:sz w:val="22"/>
              </w:rPr>
            </w:pPr>
            <w:r>
              <w:rPr>
                <w:spacing w:val="-2"/>
                <w:sz w:val="22"/>
              </w:rPr>
              <w:t>0.999</w:t>
            </w:r>
          </w:p>
        </w:tc>
        <w:tc>
          <w:tcPr>
            <w:tcW w:w="1467" w:type="dxa"/>
            <w:tcBorders>
              <w:top w:val="single" w:sz="4" w:space="0" w:color="000000"/>
            </w:tcBorders>
          </w:tcPr>
          <w:p>
            <w:pPr>
              <w:pStyle w:val="TableParagraph"/>
              <w:spacing w:line="265" w:lineRule="exact"/>
              <w:ind w:left="526"/>
              <w:rPr>
                <w:sz w:val="22"/>
              </w:rPr>
            </w:pPr>
            <w:r>
              <w:rPr>
                <w:spacing w:val="-5"/>
                <w:sz w:val="22"/>
              </w:rPr>
              <w:t>NS</w:t>
            </w:r>
          </w:p>
        </w:tc>
      </w:tr>
      <w:tr>
        <w:trPr>
          <w:trHeight w:val="450" w:hRule="atLeast"/>
        </w:trPr>
        <w:tc>
          <w:tcPr>
            <w:tcW w:w="1546" w:type="dxa"/>
          </w:tcPr>
          <w:p>
            <w:pPr>
              <w:pStyle w:val="TableParagraph"/>
              <w:rPr>
                <w:rFonts w:ascii="Times New Roman"/>
                <w:sz w:val="22"/>
              </w:rPr>
            </w:pPr>
          </w:p>
        </w:tc>
        <w:tc>
          <w:tcPr>
            <w:tcW w:w="2055" w:type="dxa"/>
          </w:tcPr>
          <w:p>
            <w:pPr>
              <w:pStyle w:val="TableParagraph"/>
              <w:spacing w:before="70"/>
              <w:ind w:left="153"/>
              <w:rPr>
                <w:sz w:val="22"/>
              </w:rPr>
            </w:pPr>
            <w:r>
              <w:rPr>
                <w:spacing w:val="-5"/>
                <w:sz w:val="22"/>
              </w:rPr>
              <w:t>CN</w:t>
            </w:r>
          </w:p>
        </w:tc>
        <w:tc>
          <w:tcPr>
            <w:tcW w:w="2192" w:type="dxa"/>
          </w:tcPr>
          <w:p>
            <w:pPr>
              <w:pStyle w:val="TableParagraph"/>
              <w:spacing w:before="70"/>
              <w:ind w:left="269" w:right="3"/>
              <w:jc w:val="center"/>
              <w:rPr>
                <w:sz w:val="22"/>
              </w:rPr>
            </w:pPr>
            <w:r>
              <w:rPr>
                <w:spacing w:val="-2"/>
                <w:sz w:val="22"/>
              </w:rPr>
              <w:t>20.429±1.556</w:t>
            </w:r>
          </w:p>
        </w:tc>
        <w:tc>
          <w:tcPr>
            <w:tcW w:w="1492" w:type="dxa"/>
          </w:tcPr>
          <w:p>
            <w:pPr>
              <w:pStyle w:val="TableParagraph"/>
              <w:spacing w:before="70"/>
              <w:ind w:right="129"/>
              <w:jc w:val="center"/>
              <w:rPr>
                <w:sz w:val="22"/>
              </w:rPr>
            </w:pPr>
            <w:r>
              <w:rPr>
                <w:spacing w:val="-2"/>
                <w:sz w:val="22"/>
              </w:rPr>
              <w:t>0.919</w:t>
            </w:r>
          </w:p>
        </w:tc>
        <w:tc>
          <w:tcPr>
            <w:tcW w:w="1467" w:type="dxa"/>
          </w:tcPr>
          <w:p>
            <w:pPr>
              <w:pStyle w:val="TableParagraph"/>
              <w:spacing w:before="70"/>
              <w:ind w:left="526"/>
              <w:rPr>
                <w:sz w:val="22"/>
              </w:rPr>
            </w:pPr>
            <w:r>
              <w:rPr>
                <w:spacing w:val="-5"/>
                <w:sz w:val="22"/>
              </w:rPr>
              <w:t>NS</w:t>
            </w:r>
          </w:p>
        </w:tc>
      </w:tr>
      <w:tr>
        <w:trPr>
          <w:trHeight w:val="450" w:hRule="atLeast"/>
        </w:trPr>
        <w:tc>
          <w:tcPr>
            <w:tcW w:w="1546" w:type="dxa"/>
          </w:tcPr>
          <w:p>
            <w:pPr>
              <w:pStyle w:val="TableParagraph"/>
              <w:rPr>
                <w:rFonts w:ascii="Times New Roman"/>
                <w:sz w:val="22"/>
              </w:rPr>
            </w:pPr>
          </w:p>
        </w:tc>
        <w:tc>
          <w:tcPr>
            <w:tcW w:w="2055" w:type="dxa"/>
          </w:tcPr>
          <w:p>
            <w:pPr>
              <w:pStyle w:val="TableParagraph"/>
              <w:spacing w:before="71"/>
              <w:ind w:left="153"/>
              <w:rPr>
                <w:sz w:val="22"/>
              </w:rPr>
            </w:pPr>
            <w:r>
              <w:rPr>
                <w:spacing w:val="-5"/>
                <w:sz w:val="22"/>
              </w:rPr>
              <w:t>AMC</w:t>
            </w:r>
          </w:p>
        </w:tc>
        <w:tc>
          <w:tcPr>
            <w:tcW w:w="2192" w:type="dxa"/>
          </w:tcPr>
          <w:p>
            <w:pPr>
              <w:pStyle w:val="TableParagraph"/>
              <w:spacing w:before="71"/>
              <w:ind w:left="269" w:right="3"/>
              <w:jc w:val="center"/>
              <w:rPr>
                <w:sz w:val="22"/>
              </w:rPr>
            </w:pPr>
            <w:r>
              <w:rPr>
                <w:spacing w:val="-2"/>
                <w:sz w:val="22"/>
              </w:rPr>
              <w:t>19.286±2.067</w:t>
            </w:r>
          </w:p>
        </w:tc>
        <w:tc>
          <w:tcPr>
            <w:tcW w:w="1492" w:type="dxa"/>
          </w:tcPr>
          <w:p>
            <w:pPr>
              <w:pStyle w:val="TableParagraph"/>
              <w:spacing w:before="71"/>
              <w:ind w:right="129"/>
              <w:jc w:val="center"/>
              <w:rPr>
                <w:sz w:val="22"/>
              </w:rPr>
            </w:pPr>
            <w:r>
              <w:rPr>
                <w:spacing w:val="-2"/>
                <w:sz w:val="22"/>
              </w:rPr>
              <w:t>0.638</w:t>
            </w:r>
          </w:p>
        </w:tc>
        <w:tc>
          <w:tcPr>
            <w:tcW w:w="1467" w:type="dxa"/>
          </w:tcPr>
          <w:p>
            <w:pPr>
              <w:pStyle w:val="TableParagraph"/>
              <w:spacing w:before="71"/>
              <w:ind w:left="526"/>
              <w:rPr>
                <w:sz w:val="22"/>
              </w:rPr>
            </w:pPr>
            <w:r>
              <w:rPr>
                <w:spacing w:val="-5"/>
                <w:sz w:val="22"/>
              </w:rPr>
              <w:t>NS</w:t>
            </w:r>
          </w:p>
        </w:tc>
      </w:tr>
      <w:tr>
        <w:trPr>
          <w:trHeight w:val="450" w:hRule="atLeast"/>
        </w:trPr>
        <w:tc>
          <w:tcPr>
            <w:tcW w:w="1546" w:type="dxa"/>
          </w:tcPr>
          <w:p>
            <w:pPr>
              <w:pStyle w:val="TableParagraph"/>
              <w:spacing w:before="70"/>
              <w:ind w:left="108"/>
              <w:rPr>
                <w:sz w:val="22"/>
              </w:rPr>
            </w:pPr>
            <w:r>
              <w:rPr>
                <w:sz w:val="22"/>
              </w:rPr>
              <w:t>Lemon</w:t>
            </w:r>
            <w:r>
              <w:rPr>
                <w:spacing w:val="-6"/>
                <w:sz w:val="22"/>
              </w:rPr>
              <w:t> </w:t>
            </w:r>
            <w:r>
              <w:rPr>
                <w:spacing w:val="-2"/>
                <w:sz w:val="22"/>
              </w:rPr>
              <w:t>(100%)</w:t>
            </w:r>
          </w:p>
        </w:tc>
        <w:tc>
          <w:tcPr>
            <w:tcW w:w="2055" w:type="dxa"/>
          </w:tcPr>
          <w:p>
            <w:pPr>
              <w:pStyle w:val="TableParagraph"/>
              <w:spacing w:before="70"/>
              <w:ind w:left="153"/>
              <w:rPr>
                <w:sz w:val="22"/>
              </w:rPr>
            </w:pPr>
            <w:r>
              <w:rPr>
                <w:spacing w:val="-5"/>
                <w:sz w:val="22"/>
              </w:rPr>
              <w:t>LEV</w:t>
            </w:r>
          </w:p>
        </w:tc>
        <w:tc>
          <w:tcPr>
            <w:tcW w:w="2192" w:type="dxa"/>
          </w:tcPr>
          <w:p>
            <w:pPr>
              <w:pStyle w:val="TableParagraph"/>
              <w:spacing w:before="70"/>
              <w:ind w:left="269" w:right="3"/>
              <w:jc w:val="center"/>
              <w:rPr>
                <w:sz w:val="22"/>
              </w:rPr>
            </w:pPr>
            <w:r>
              <w:rPr>
                <w:spacing w:val="-2"/>
                <w:sz w:val="22"/>
              </w:rPr>
              <w:t>21.286±1.322</w:t>
            </w:r>
          </w:p>
        </w:tc>
        <w:tc>
          <w:tcPr>
            <w:tcW w:w="1492" w:type="dxa"/>
          </w:tcPr>
          <w:p>
            <w:pPr>
              <w:pStyle w:val="TableParagraph"/>
              <w:spacing w:before="70"/>
              <w:ind w:right="129"/>
              <w:jc w:val="center"/>
              <w:rPr>
                <w:sz w:val="22"/>
              </w:rPr>
            </w:pPr>
            <w:r>
              <w:rPr>
                <w:spacing w:val="-2"/>
                <w:sz w:val="22"/>
              </w:rPr>
              <w:t>0.991</w:t>
            </w:r>
          </w:p>
        </w:tc>
        <w:tc>
          <w:tcPr>
            <w:tcW w:w="1467" w:type="dxa"/>
          </w:tcPr>
          <w:p>
            <w:pPr>
              <w:pStyle w:val="TableParagraph"/>
              <w:spacing w:before="70"/>
              <w:ind w:left="526"/>
              <w:rPr>
                <w:sz w:val="22"/>
              </w:rPr>
            </w:pPr>
            <w:r>
              <w:rPr>
                <w:spacing w:val="-5"/>
                <w:sz w:val="22"/>
              </w:rPr>
              <w:t>NS</w:t>
            </w:r>
          </w:p>
        </w:tc>
      </w:tr>
      <w:tr>
        <w:trPr>
          <w:trHeight w:val="450" w:hRule="atLeast"/>
        </w:trPr>
        <w:tc>
          <w:tcPr>
            <w:tcW w:w="1546" w:type="dxa"/>
          </w:tcPr>
          <w:p>
            <w:pPr>
              <w:pStyle w:val="TableParagraph"/>
              <w:rPr>
                <w:rFonts w:ascii="Times New Roman"/>
                <w:sz w:val="22"/>
              </w:rPr>
            </w:pPr>
          </w:p>
        </w:tc>
        <w:tc>
          <w:tcPr>
            <w:tcW w:w="2055" w:type="dxa"/>
          </w:tcPr>
          <w:p>
            <w:pPr>
              <w:pStyle w:val="TableParagraph"/>
              <w:spacing w:before="71"/>
              <w:ind w:left="153"/>
              <w:rPr>
                <w:sz w:val="22"/>
              </w:rPr>
            </w:pPr>
            <w:r>
              <w:rPr>
                <w:spacing w:val="-5"/>
                <w:sz w:val="22"/>
              </w:rPr>
              <w:t>AZM</w:t>
            </w:r>
          </w:p>
        </w:tc>
        <w:tc>
          <w:tcPr>
            <w:tcW w:w="2192" w:type="dxa"/>
          </w:tcPr>
          <w:p>
            <w:pPr>
              <w:pStyle w:val="TableParagraph"/>
              <w:spacing w:before="71"/>
              <w:ind w:left="269" w:right="3"/>
              <w:jc w:val="center"/>
              <w:rPr>
                <w:sz w:val="22"/>
              </w:rPr>
            </w:pPr>
            <w:r>
              <w:rPr>
                <w:spacing w:val="-2"/>
                <w:sz w:val="22"/>
              </w:rPr>
              <w:t>16.143±1.945</w:t>
            </w:r>
          </w:p>
        </w:tc>
        <w:tc>
          <w:tcPr>
            <w:tcW w:w="1492" w:type="dxa"/>
          </w:tcPr>
          <w:p>
            <w:pPr>
              <w:pStyle w:val="TableParagraph"/>
              <w:spacing w:before="71"/>
              <w:ind w:right="129"/>
              <w:jc w:val="center"/>
              <w:rPr>
                <w:sz w:val="22"/>
              </w:rPr>
            </w:pPr>
            <w:r>
              <w:rPr>
                <w:spacing w:val="-2"/>
                <w:sz w:val="22"/>
              </w:rPr>
              <w:t>0.038</w:t>
            </w:r>
          </w:p>
        </w:tc>
        <w:tc>
          <w:tcPr>
            <w:tcW w:w="1467" w:type="dxa"/>
          </w:tcPr>
          <w:p>
            <w:pPr>
              <w:pStyle w:val="TableParagraph"/>
              <w:spacing w:before="71"/>
              <w:ind w:left="545"/>
              <w:rPr>
                <w:sz w:val="22"/>
              </w:rPr>
            </w:pPr>
            <w:r>
              <w:rPr>
                <w:spacing w:val="-5"/>
                <w:sz w:val="22"/>
              </w:rPr>
              <w:t>SF</w:t>
            </w:r>
          </w:p>
        </w:tc>
      </w:tr>
      <w:tr>
        <w:trPr>
          <w:trHeight w:val="449" w:hRule="atLeast"/>
        </w:trPr>
        <w:tc>
          <w:tcPr>
            <w:tcW w:w="1546" w:type="dxa"/>
          </w:tcPr>
          <w:p>
            <w:pPr>
              <w:pStyle w:val="TableParagraph"/>
              <w:rPr>
                <w:rFonts w:ascii="Times New Roman"/>
                <w:sz w:val="22"/>
              </w:rPr>
            </w:pPr>
          </w:p>
        </w:tc>
        <w:tc>
          <w:tcPr>
            <w:tcW w:w="2055" w:type="dxa"/>
          </w:tcPr>
          <w:p>
            <w:pPr>
              <w:pStyle w:val="TableParagraph"/>
              <w:spacing w:before="70"/>
              <w:ind w:left="153"/>
              <w:rPr>
                <w:sz w:val="22"/>
              </w:rPr>
            </w:pPr>
            <w:r>
              <w:rPr>
                <w:sz w:val="22"/>
              </w:rPr>
              <w:t>Lemon</w:t>
            </w:r>
            <w:r>
              <w:rPr>
                <w:spacing w:val="-4"/>
                <w:sz w:val="22"/>
              </w:rPr>
              <w:t> </w:t>
            </w:r>
            <w:r>
              <w:rPr>
                <w:spacing w:val="-2"/>
                <w:sz w:val="22"/>
              </w:rPr>
              <w:t>(50%)</w:t>
            </w:r>
          </w:p>
        </w:tc>
        <w:tc>
          <w:tcPr>
            <w:tcW w:w="2192" w:type="dxa"/>
          </w:tcPr>
          <w:p>
            <w:pPr>
              <w:pStyle w:val="TableParagraph"/>
              <w:spacing w:before="70"/>
              <w:ind w:left="269" w:right="3"/>
              <w:jc w:val="center"/>
              <w:rPr>
                <w:sz w:val="22"/>
              </w:rPr>
            </w:pPr>
            <w:r>
              <w:rPr>
                <w:spacing w:val="-2"/>
                <w:sz w:val="22"/>
              </w:rPr>
              <w:t>18.286±0.184</w:t>
            </w:r>
          </w:p>
        </w:tc>
        <w:tc>
          <w:tcPr>
            <w:tcW w:w="1492" w:type="dxa"/>
          </w:tcPr>
          <w:p>
            <w:pPr>
              <w:pStyle w:val="TableParagraph"/>
              <w:spacing w:before="70"/>
              <w:ind w:right="129"/>
              <w:jc w:val="center"/>
              <w:rPr>
                <w:sz w:val="22"/>
              </w:rPr>
            </w:pPr>
            <w:r>
              <w:rPr>
                <w:spacing w:val="-2"/>
                <w:sz w:val="22"/>
              </w:rPr>
              <w:t>0.339</w:t>
            </w:r>
          </w:p>
        </w:tc>
        <w:tc>
          <w:tcPr>
            <w:tcW w:w="1467" w:type="dxa"/>
          </w:tcPr>
          <w:p>
            <w:pPr>
              <w:pStyle w:val="TableParagraph"/>
              <w:spacing w:before="70"/>
              <w:ind w:left="526"/>
              <w:rPr>
                <w:sz w:val="22"/>
              </w:rPr>
            </w:pPr>
            <w:r>
              <w:rPr>
                <w:spacing w:val="-5"/>
                <w:sz w:val="22"/>
              </w:rPr>
              <w:t>NS</w:t>
            </w:r>
          </w:p>
        </w:tc>
      </w:tr>
      <w:tr>
        <w:trPr>
          <w:trHeight w:val="524" w:hRule="atLeast"/>
        </w:trPr>
        <w:tc>
          <w:tcPr>
            <w:tcW w:w="1546" w:type="dxa"/>
            <w:tcBorders>
              <w:bottom w:val="single" w:sz="4" w:space="0" w:color="000000"/>
            </w:tcBorders>
          </w:tcPr>
          <w:p>
            <w:pPr>
              <w:pStyle w:val="TableParagraph"/>
              <w:rPr>
                <w:rFonts w:ascii="Times New Roman"/>
                <w:sz w:val="22"/>
              </w:rPr>
            </w:pPr>
          </w:p>
        </w:tc>
        <w:tc>
          <w:tcPr>
            <w:tcW w:w="2055" w:type="dxa"/>
            <w:tcBorders>
              <w:bottom w:val="single" w:sz="4" w:space="0" w:color="000000"/>
            </w:tcBorders>
          </w:tcPr>
          <w:p>
            <w:pPr>
              <w:pStyle w:val="TableParagraph"/>
              <w:spacing w:before="70"/>
              <w:ind w:left="153"/>
              <w:rPr>
                <w:sz w:val="22"/>
              </w:rPr>
            </w:pPr>
            <w:r>
              <w:rPr>
                <w:sz w:val="22"/>
              </w:rPr>
              <w:t>Lemon</w:t>
            </w:r>
            <w:r>
              <w:rPr>
                <w:spacing w:val="-4"/>
                <w:sz w:val="22"/>
              </w:rPr>
              <w:t> </w:t>
            </w:r>
            <w:r>
              <w:rPr>
                <w:spacing w:val="-2"/>
                <w:sz w:val="22"/>
              </w:rPr>
              <w:t>(25%)</w:t>
            </w:r>
          </w:p>
        </w:tc>
        <w:tc>
          <w:tcPr>
            <w:tcW w:w="2192" w:type="dxa"/>
            <w:tcBorders>
              <w:bottom w:val="single" w:sz="4" w:space="0" w:color="000000"/>
            </w:tcBorders>
          </w:tcPr>
          <w:p>
            <w:pPr>
              <w:pStyle w:val="TableParagraph"/>
              <w:spacing w:before="70"/>
              <w:ind w:left="269" w:right="3"/>
              <w:jc w:val="center"/>
              <w:rPr>
                <w:sz w:val="22"/>
              </w:rPr>
            </w:pPr>
            <w:r>
              <w:rPr>
                <w:spacing w:val="-2"/>
                <w:sz w:val="22"/>
              </w:rPr>
              <w:t>15.429±0.297</w:t>
            </w:r>
          </w:p>
        </w:tc>
        <w:tc>
          <w:tcPr>
            <w:tcW w:w="1492" w:type="dxa"/>
            <w:tcBorders>
              <w:bottom w:val="single" w:sz="4" w:space="0" w:color="000000"/>
            </w:tcBorders>
          </w:tcPr>
          <w:p>
            <w:pPr>
              <w:pStyle w:val="TableParagraph"/>
              <w:spacing w:before="70"/>
              <w:ind w:right="129"/>
              <w:jc w:val="center"/>
              <w:rPr>
                <w:sz w:val="22"/>
              </w:rPr>
            </w:pPr>
            <w:r>
              <w:rPr>
                <w:spacing w:val="-2"/>
                <w:sz w:val="22"/>
              </w:rPr>
              <w:t>0.015</w:t>
            </w:r>
          </w:p>
        </w:tc>
        <w:tc>
          <w:tcPr>
            <w:tcW w:w="1467" w:type="dxa"/>
            <w:tcBorders>
              <w:bottom w:val="single" w:sz="4" w:space="0" w:color="000000"/>
            </w:tcBorders>
          </w:tcPr>
          <w:p>
            <w:pPr>
              <w:pStyle w:val="TableParagraph"/>
              <w:spacing w:before="70"/>
              <w:ind w:left="545"/>
              <w:rPr>
                <w:sz w:val="22"/>
              </w:rPr>
            </w:pPr>
            <w:r>
              <w:rPr>
                <w:spacing w:val="-5"/>
                <w:sz w:val="22"/>
              </w:rPr>
              <w:t>SF</w:t>
            </w:r>
          </w:p>
        </w:tc>
      </w:tr>
      <w:tr>
        <w:trPr>
          <w:trHeight w:val="375" w:hRule="atLeast"/>
        </w:trPr>
        <w:tc>
          <w:tcPr>
            <w:tcW w:w="1546" w:type="dxa"/>
            <w:tcBorders>
              <w:top w:val="single" w:sz="4" w:space="0" w:color="000000"/>
            </w:tcBorders>
          </w:tcPr>
          <w:p>
            <w:pPr>
              <w:pStyle w:val="TableParagraph"/>
              <w:rPr>
                <w:rFonts w:ascii="Times New Roman"/>
                <w:sz w:val="22"/>
              </w:rPr>
            </w:pPr>
          </w:p>
        </w:tc>
        <w:tc>
          <w:tcPr>
            <w:tcW w:w="2055" w:type="dxa"/>
            <w:tcBorders>
              <w:top w:val="single" w:sz="4" w:space="0" w:color="000000"/>
            </w:tcBorders>
          </w:tcPr>
          <w:p>
            <w:pPr>
              <w:pStyle w:val="TableParagraph"/>
              <w:spacing w:line="265" w:lineRule="exact"/>
              <w:ind w:left="153"/>
              <w:rPr>
                <w:sz w:val="22"/>
              </w:rPr>
            </w:pPr>
            <w:r>
              <w:rPr>
                <w:spacing w:val="-5"/>
                <w:sz w:val="22"/>
              </w:rPr>
              <w:t>CRO</w:t>
            </w:r>
          </w:p>
        </w:tc>
        <w:tc>
          <w:tcPr>
            <w:tcW w:w="2192" w:type="dxa"/>
            <w:tcBorders>
              <w:top w:val="single" w:sz="4" w:space="0" w:color="000000"/>
            </w:tcBorders>
          </w:tcPr>
          <w:p>
            <w:pPr>
              <w:pStyle w:val="TableParagraph"/>
              <w:spacing w:line="265" w:lineRule="exact"/>
              <w:ind w:left="269" w:right="3"/>
              <w:jc w:val="center"/>
              <w:rPr>
                <w:sz w:val="22"/>
              </w:rPr>
            </w:pPr>
            <w:r>
              <w:rPr>
                <w:spacing w:val="-2"/>
                <w:sz w:val="22"/>
              </w:rPr>
              <w:t>21.714±1.924</w:t>
            </w:r>
          </w:p>
        </w:tc>
        <w:tc>
          <w:tcPr>
            <w:tcW w:w="1492" w:type="dxa"/>
            <w:tcBorders>
              <w:top w:val="single" w:sz="4" w:space="0" w:color="000000"/>
            </w:tcBorders>
          </w:tcPr>
          <w:p>
            <w:pPr>
              <w:pStyle w:val="TableParagraph"/>
              <w:spacing w:line="265" w:lineRule="exact"/>
              <w:ind w:right="129"/>
              <w:jc w:val="center"/>
              <w:rPr>
                <w:sz w:val="22"/>
              </w:rPr>
            </w:pPr>
            <w:r>
              <w:rPr>
                <w:spacing w:val="-2"/>
                <w:sz w:val="22"/>
              </w:rPr>
              <w:t>0.724</w:t>
            </w:r>
          </w:p>
        </w:tc>
        <w:tc>
          <w:tcPr>
            <w:tcW w:w="1467" w:type="dxa"/>
            <w:tcBorders>
              <w:top w:val="single" w:sz="4" w:space="0" w:color="000000"/>
            </w:tcBorders>
          </w:tcPr>
          <w:p>
            <w:pPr>
              <w:pStyle w:val="TableParagraph"/>
              <w:spacing w:line="265" w:lineRule="exact"/>
              <w:ind w:left="526"/>
              <w:rPr>
                <w:sz w:val="22"/>
              </w:rPr>
            </w:pPr>
            <w:r>
              <w:rPr>
                <w:spacing w:val="-5"/>
                <w:sz w:val="22"/>
              </w:rPr>
              <w:t>NS</w:t>
            </w:r>
          </w:p>
        </w:tc>
      </w:tr>
      <w:tr>
        <w:trPr>
          <w:trHeight w:val="450" w:hRule="atLeast"/>
        </w:trPr>
        <w:tc>
          <w:tcPr>
            <w:tcW w:w="1546" w:type="dxa"/>
          </w:tcPr>
          <w:p>
            <w:pPr>
              <w:pStyle w:val="TableParagraph"/>
              <w:rPr>
                <w:rFonts w:ascii="Times New Roman"/>
                <w:sz w:val="22"/>
              </w:rPr>
            </w:pPr>
          </w:p>
        </w:tc>
        <w:tc>
          <w:tcPr>
            <w:tcW w:w="2055" w:type="dxa"/>
          </w:tcPr>
          <w:p>
            <w:pPr>
              <w:pStyle w:val="TableParagraph"/>
              <w:spacing w:before="70"/>
              <w:ind w:left="153"/>
              <w:rPr>
                <w:sz w:val="22"/>
              </w:rPr>
            </w:pPr>
            <w:r>
              <w:rPr>
                <w:spacing w:val="-5"/>
                <w:sz w:val="22"/>
              </w:rPr>
              <w:t>CN</w:t>
            </w:r>
          </w:p>
        </w:tc>
        <w:tc>
          <w:tcPr>
            <w:tcW w:w="2192" w:type="dxa"/>
          </w:tcPr>
          <w:p>
            <w:pPr>
              <w:pStyle w:val="TableParagraph"/>
              <w:spacing w:before="70"/>
              <w:ind w:left="269" w:right="3"/>
              <w:jc w:val="center"/>
              <w:rPr>
                <w:sz w:val="22"/>
              </w:rPr>
            </w:pPr>
            <w:r>
              <w:rPr>
                <w:spacing w:val="-2"/>
                <w:sz w:val="22"/>
              </w:rPr>
              <w:t>20.429±1.556</w:t>
            </w:r>
          </w:p>
        </w:tc>
        <w:tc>
          <w:tcPr>
            <w:tcW w:w="1492" w:type="dxa"/>
          </w:tcPr>
          <w:p>
            <w:pPr>
              <w:pStyle w:val="TableParagraph"/>
              <w:spacing w:before="70"/>
              <w:ind w:right="129"/>
              <w:jc w:val="center"/>
              <w:rPr>
                <w:sz w:val="22"/>
              </w:rPr>
            </w:pPr>
            <w:r>
              <w:rPr>
                <w:spacing w:val="-2"/>
                <w:sz w:val="22"/>
              </w:rPr>
              <w:t>0.968</w:t>
            </w:r>
          </w:p>
        </w:tc>
        <w:tc>
          <w:tcPr>
            <w:tcW w:w="1467" w:type="dxa"/>
          </w:tcPr>
          <w:p>
            <w:pPr>
              <w:pStyle w:val="TableParagraph"/>
              <w:spacing w:before="70"/>
              <w:ind w:left="526"/>
              <w:rPr>
                <w:sz w:val="22"/>
              </w:rPr>
            </w:pPr>
            <w:r>
              <w:rPr>
                <w:spacing w:val="-5"/>
                <w:sz w:val="22"/>
              </w:rPr>
              <w:t>NS</w:t>
            </w:r>
          </w:p>
        </w:tc>
      </w:tr>
      <w:tr>
        <w:trPr>
          <w:trHeight w:val="450" w:hRule="atLeast"/>
        </w:trPr>
        <w:tc>
          <w:tcPr>
            <w:tcW w:w="1546" w:type="dxa"/>
          </w:tcPr>
          <w:p>
            <w:pPr>
              <w:pStyle w:val="TableParagraph"/>
              <w:rPr>
                <w:rFonts w:ascii="Times New Roman"/>
                <w:sz w:val="22"/>
              </w:rPr>
            </w:pPr>
          </w:p>
        </w:tc>
        <w:tc>
          <w:tcPr>
            <w:tcW w:w="2055" w:type="dxa"/>
          </w:tcPr>
          <w:p>
            <w:pPr>
              <w:pStyle w:val="TableParagraph"/>
              <w:spacing w:before="71"/>
              <w:ind w:left="153"/>
              <w:rPr>
                <w:sz w:val="22"/>
              </w:rPr>
            </w:pPr>
            <w:r>
              <w:rPr>
                <w:spacing w:val="-5"/>
                <w:sz w:val="22"/>
              </w:rPr>
              <w:t>AMC</w:t>
            </w:r>
          </w:p>
        </w:tc>
        <w:tc>
          <w:tcPr>
            <w:tcW w:w="2192" w:type="dxa"/>
          </w:tcPr>
          <w:p>
            <w:pPr>
              <w:pStyle w:val="TableParagraph"/>
              <w:spacing w:before="71"/>
              <w:ind w:left="269" w:right="3"/>
              <w:jc w:val="center"/>
              <w:rPr>
                <w:sz w:val="22"/>
              </w:rPr>
            </w:pPr>
            <w:r>
              <w:rPr>
                <w:spacing w:val="-2"/>
                <w:sz w:val="22"/>
              </w:rPr>
              <w:t>19.286±2.067</w:t>
            </w:r>
          </w:p>
        </w:tc>
        <w:tc>
          <w:tcPr>
            <w:tcW w:w="1492" w:type="dxa"/>
          </w:tcPr>
          <w:p>
            <w:pPr>
              <w:pStyle w:val="TableParagraph"/>
              <w:spacing w:before="71"/>
              <w:ind w:right="129"/>
              <w:jc w:val="center"/>
              <w:rPr>
                <w:sz w:val="22"/>
              </w:rPr>
            </w:pPr>
            <w:r>
              <w:rPr>
                <w:spacing w:val="-2"/>
                <w:sz w:val="22"/>
              </w:rPr>
              <w:t>1.000</w:t>
            </w:r>
          </w:p>
        </w:tc>
        <w:tc>
          <w:tcPr>
            <w:tcW w:w="1467" w:type="dxa"/>
          </w:tcPr>
          <w:p>
            <w:pPr>
              <w:pStyle w:val="TableParagraph"/>
              <w:spacing w:before="71"/>
              <w:ind w:left="526"/>
              <w:rPr>
                <w:sz w:val="22"/>
              </w:rPr>
            </w:pPr>
            <w:r>
              <w:rPr>
                <w:spacing w:val="-5"/>
                <w:sz w:val="22"/>
              </w:rPr>
              <w:t>NS</w:t>
            </w:r>
          </w:p>
        </w:tc>
      </w:tr>
      <w:tr>
        <w:trPr>
          <w:trHeight w:val="450" w:hRule="atLeast"/>
        </w:trPr>
        <w:tc>
          <w:tcPr>
            <w:tcW w:w="1546" w:type="dxa"/>
          </w:tcPr>
          <w:p>
            <w:pPr>
              <w:pStyle w:val="TableParagraph"/>
              <w:spacing w:before="70"/>
              <w:ind w:left="108"/>
              <w:rPr>
                <w:sz w:val="22"/>
              </w:rPr>
            </w:pPr>
            <w:r>
              <w:rPr>
                <w:sz w:val="22"/>
              </w:rPr>
              <w:t>Lemon</w:t>
            </w:r>
            <w:r>
              <w:rPr>
                <w:spacing w:val="-4"/>
                <w:sz w:val="22"/>
              </w:rPr>
              <w:t> </w:t>
            </w:r>
            <w:r>
              <w:rPr>
                <w:spacing w:val="-2"/>
                <w:sz w:val="22"/>
              </w:rPr>
              <w:t>(50%)</w:t>
            </w:r>
          </w:p>
        </w:tc>
        <w:tc>
          <w:tcPr>
            <w:tcW w:w="2055" w:type="dxa"/>
          </w:tcPr>
          <w:p>
            <w:pPr>
              <w:pStyle w:val="TableParagraph"/>
              <w:spacing w:before="70"/>
              <w:ind w:left="153"/>
              <w:rPr>
                <w:sz w:val="22"/>
              </w:rPr>
            </w:pPr>
            <w:r>
              <w:rPr>
                <w:spacing w:val="-5"/>
                <w:sz w:val="22"/>
              </w:rPr>
              <w:t>LEV</w:t>
            </w:r>
          </w:p>
        </w:tc>
        <w:tc>
          <w:tcPr>
            <w:tcW w:w="2192" w:type="dxa"/>
          </w:tcPr>
          <w:p>
            <w:pPr>
              <w:pStyle w:val="TableParagraph"/>
              <w:spacing w:before="70"/>
              <w:ind w:left="269" w:right="3"/>
              <w:jc w:val="center"/>
              <w:rPr>
                <w:sz w:val="22"/>
              </w:rPr>
            </w:pPr>
            <w:r>
              <w:rPr>
                <w:spacing w:val="-2"/>
                <w:sz w:val="22"/>
              </w:rPr>
              <w:t>21.286±1.322</w:t>
            </w:r>
          </w:p>
        </w:tc>
        <w:tc>
          <w:tcPr>
            <w:tcW w:w="1492" w:type="dxa"/>
          </w:tcPr>
          <w:p>
            <w:pPr>
              <w:pStyle w:val="TableParagraph"/>
              <w:spacing w:before="70"/>
              <w:ind w:right="129"/>
              <w:jc w:val="center"/>
              <w:rPr>
                <w:sz w:val="22"/>
              </w:rPr>
            </w:pPr>
            <w:r>
              <w:rPr>
                <w:spacing w:val="-2"/>
                <w:sz w:val="22"/>
              </w:rPr>
              <w:t>0.836</w:t>
            </w:r>
          </w:p>
        </w:tc>
        <w:tc>
          <w:tcPr>
            <w:tcW w:w="1467" w:type="dxa"/>
          </w:tcPr>
          <w:p>
            <w:pPr>
              <w:pStyle w:val="TableParagraph"/>
              <w:spacing w:before="70"/>
              <w:ind w:left="526"/>
              <w:rPr>
                <w:sz w:val="22"/>
              </w:rPr>
            </w:pPr>
            <w:r>
              <w:rPr>
                <w:spacing w:val="-5"/>
                <w:sz w:val="22"/>
              </w:rPr>
              <w:t>NS</w:t>
            </w:r>
          </w:p>
        </w:tc>
      </w:tr>
      <w:tr>
        <w:trPr>
          <w:trHeight w:val="449" w:hRule="atLeast"/>
        </w:trPr>
        <w:tc>
          <w:tcPr>
            <w:tcW w:w="1546" w:type="dxa"/>
          </w:tcPr>
          <w:p>
            <w:pPr>
              <w:pStyle w:val="TableParagraph"/>
              <w:rPr>
                <w:rFonts w:ascii="Times New Roman"/>
                <w:sz w:val="22"/>
              </w:rPr>
            </w:pPr>
          </w:p>
        </w:tc>
        <w:tc>
          <w:tcPr>
            <w:tcW w:w="2055" w:type="dxa"/>
          </w:tcPr>
          <w:p>
            <w:pPr>
              <w:pStyle w:val="TableParagraph"/>
              <w:spacing w:before="71"/>
              <w:ind w:left="153"/>
              <w:rPr>
                <w:sz w:val="22"/>
              </w:rPr>
            </w:pPr>
            <w:r>
              <w:rPr>
                <w:spacing w:val="-5"/>
                <w:sz w:val="22"/>
              </w:rPr>
              <w:t>AZM</w:t>
            </w:r>
          </w:p>
        </w:tc>
        <w:tc>
          <w:tcPr>
            <w:tcW w:w="2192" w:type="dxa"/>
          </w:tcPr>
          <w:p>
            <w:pPr>
              <w:pStyle w:val="TableParagraph"/>
              <w:spacing w:before="71"/>
              <w:ind w:left="269" w:right="3"/>
              <w:jc w:val="center"/>
              <w:rPr>
                <w:sz w:val="22"/>
              </w:rPr>
            </w:pPr>
            <w:r>
              <w:rPr>
                <w:spacing w:val="-2"/>
                <w:sz w:val="22"/>
              </w:rPr>
              <w:t>16.143±1.945</w:t>
            </w:r>
          </w:p>
        </w:tc>
        <w:tc>
          <w:tcPr>
            <w:tcW w:w="1492" w:type="dxa"/>
          </w:tcPr>
          <w:p>
            <w:pPr>
              <w:pStyle w:val="TableParagraph"/>
              <w:spacing w:before="71"/>
              <w:ind w:right="129"/>
              <w:jc w:val="center"/>
              <w:rPr>
                <w:sz w:val="22"/>
              </w:rPr>
            </w:pPr>
            <w:r>
              <w:rPr>
                <w:spacing w:val="-2"/>
                <w:sz w:val="22"/>
              </w:rPr>
              <w:t>0.968</w:t>
            </w:r>
          </w:p>
        </w:tc>
        <w:tc>
          <w:tcPr>
            <w:tcW w:w="1467" w:type="dxa"/>
          </w:tcPr>
          <w:p>
            <w:pPr>
              <w:pStyle w:val="TableParagraph"/>
              <w:spacing w:before="71"/>
              <w:ind w:left="526"/>
              <w:rPr>
                <w:sz w:val="22"/>
              </w:rPr>
            </w:pPr>
            <w:r>
              <w:rPr>
                <w:spacing w:val="-5"/>
                <w:sz w:val="22"/>
              </w:rPr>
              <w:t>NS</w:t>
            </w:r>
          </w:p>
        </w:tc>
      </w:tr>
      <w:tr>
        <w:trPr>
          <w:trHeight w:val="450" w:hRule="atLeast"/>
        </w:trPr>
        <w:tc>
          <w:tcPr>
            <w:tcW w:w="1546" w:type="dxa"/>
          </w:tcPr>
          <w:p>
            <w:pPr>
              <w:pStyle w:val="TableParagraph"/>
              <w:rPr>
                <w:rFonts w:ascii="Times New Roman"/>
                <w:sz w:val="22"/>
              </w:rPr>
            </w:pPr>
          </w:p>
        </w:tc>
        <w:tc>
          <w:tcPr>
            <w:tcW w:w="2055" w:type="dxa"/>
          </w:tcPr>
          <w:p>
            <w:pPr>
              <w:pStyle w:val="TableParagraph"/>
              <w:spacing w:before="70"/>
              <w:ind w:left="153"/>
              <w:rPr>
                <w:sz w:val="22"/>
              </w:rPr>
            </w:pPr>
            <w:r>
              <w:rPr>
                <w:sz w:val="22"/>
              </w:rPr>
              <w:t>Lemon</w:t>
            </w:r>
            <w:r>
              <w:rPr>
                <w:spacing w:val="-6"/>
                <w:sz w:val="22"/>
              </w:rPr>
              <w:t> </w:t>
            </w:r>
            <w:r>
              <w:rPr>
                <w:spacing w:val="-2"/>
                <w:sz w:val="22"/>
              </w:rPr>
              <w:t>(100%)</w:t>
            </w:r>
          </w:p>
        </w:tc>
        <w:tc>
          <w:tcPr>
            <w:tcW w:w="2192" w:type="dxa"/>
          </w:tcPr>
          <w:p>
            <w:pPr>
              <w:pStyle w:val="TableParagraph"/>
              <w:spacing w:before="70"/>
              <w:ind w:left="269" w:right="3"/>
              <w:jc w:val="center"/>
              <w:rPr>
                <w:sz w:val="22"/>
              </w:rPr>
            </w:pPr>
            <w:r>
              <w:rPr>
                <w:spacing w:val="-2"/>
                <w:sz w:val="22"/>
              </w:rPr>
              <w:t>23.000±0.195</w:t>
            </w:r>
          </w:p>
        </w:tc>
        <w:tc>
          <w:tcPr>
            <w:tcW w:w="1492" w:type="dxa"/>
          </w:tcPr>
          <w:p>
            <w:pPr>
              <w:pStyle w:val="TableParagraph"/>
              <w:spacing w:before="70"/>
              <w:ind w:right="129"/>
              <w:jc w:val="center"/>
              <w:rPr>
                <w:sz w:val="22"/>
              </w:rPr>
            </w:pPr>
            <w:r>
              <w:rPr>
                <w:spacing w:val="-2"/>
                <w:sz w:val="22"/>
              </w:rPr>
              <w:t>0.339</w:t>
            </w:r>
          </w:p>
        </w:tc>
        <w:tc>
          <w:tcPr>
            <w:tcW w:w="1467" w:type="dxa"/>
          </w:tcPr>
          <w:p>
            <w:pPr>
              <w:pStyle w:val="TableParagraph"/>
              <w:spacing w:before="70"/>
              <w:ind w:left="526"/>
              <w:rPr>
                <w:sz w:val="22"/>
              </w:rPr>
            </w:pPr>
            <w:r>
              <w:rPr>
                <w:spacing w:val="-5"/>
                <w:sz w:val="22"/>
              </w:rPr>
              <w:t>NS</w:t>
            </w:r>
          </w:p>
        </w:tc>
      </w:tr>
      <w:tr>
        <w:trPr>
          <w:trHeight w:val="523" w:hRule="atLeast"/>
        </w:trPr>
        <w:tc>
          <w:tcPr>
            <w:tcW w:w="1546" w:type="dxa"/>
            <w:tcBorders>
              <w:bottom w:val="single" w:sz="4" w:space="0" w:color="000000"/>
            </w:tcBorders>
          </w:tcPr>
          <w:p>
            <w:pPr>
              <w:pStyle w:val="TableParagraph"/>
              <w:rPr>
                <w:rFonts w:ascii="Times New Roman"/>
                <w:sz w:val="22"/>
              </w:rPr>
            </w:pPr>
          </w:p>
        </w:tc>
        <w:tc>
          <w:tcPr>
            <w:tcW w:w="2055" w:type="dxa"/>
            <w:tcBorders>
              <w:bottom w:val="single" w:sz="4" w:space="0" w:color="000000"/>
            </w:tcBorders>
          </w:tcPr>
          <w:p>
            <w:pPr>
              <w:pStyle w:val="TableParagraph"/>
              <w:spacing w:before="71"/>
              <w:ind w:left="153"/>
              <w:rPr>
                <w:sz w:val="22"/>
              </w:rPr>
            </w:pPr>
            <w:r>
              <w:rPr>
                <w:sz w:val="22"/>
              </w:rPr>
              <w:t>Lemon</w:t>
            </w:r>
            <w:r>
              <w:rPr>
                <w:spacing w:val="-4"/>
                <w:sz w:val="22"/>
              </w:rPr>
              <w:t> </w:t>
            </w:r>
            <w:r>
              <w:rPr>
                <w:spacing w:val="-2"/>
                <w:sz w:val="22"/>
              </w:rPr>
              <w:t>(25%)</w:t>
            </w:r>
          </w:p>
        </w:tc>
        <w:tc>
          <w:tcPr>
            <w:tcW w:w="2192" w:type="dxa"/>
            <w:tcBorders>
              <w:bottom w:val="single" w:sz="4" w:space="0" w:color="000000"/>
            </w:tcBorders>
          </w:tcPr>
          <w:p>
            <w:pPr>
              <w:pStyle w:val="TableParagraph"/>
              <w:spacing w:before="71"/>
              <w:ind w:left="269" w:right="3"/>
              <w:jc w:val="center"/>
              <w:rPr>
                <w:sz w:val="22"/>
              </w:rPr>
            </w:pPr>
            <w:r>
              <w:rPr>
                <w:spacing w:val="-2"/>
                <w:sz w:val="22"/>
              </w:rPr>
              <w:t>15.429±0.297</w:t>
            </w:r>
          </w:p>
        </w:tc>
        <w:tc>
          <w:tcPr>
            <w:tcW w:w="1492" w:type="dxa"/>
            <w:tcBorders>
              <w:bottom w:val="single" w:sz="4" w:space="0" w:color="000000"/>
            </w:tcBorders>
          </w:tcPr>
          <w:p>
            <w:pPr>
              <w:pStyle w:val="TableParagraph"/>
              <w:spacing w:before="71"/>
              <w:ind w:right="129"/>
              <w:jc w:val="center"/>
              <w:rPr>
                <w:sz w:val="22"/>
              </w:rPr>
            </w:pPr>
            <w:r>
              <w:rPr>
                <w:spacing w:val="-2"/>
                <w:sz w:val="22"/>
              </w:rPr>
              <w:t>0.867</w:t>
            </w:r>
          </w:p>
        </w:tc>
        <w:tc>
          <w:tcPr>
            <w:tcW w:w="1467" w:type="dxa"/>
            <w:tcBorders>
              <w:bottom w:val="single" w:sz="4" w:space="0" w:color="000000"/>
            </w:tcBorders>
          </w:tcPr>
          <w:p>
            <w:pPr>
              <w:pStyle w:val="TableParagraph"/>
              <w:spacing w:before="71"/>
              <w:ind w:left="526"/>
              <w:rPr>
                <w:sz w:val="22"/>
              </w:rPr>
            </w:pPr>
            <w:r>
              <w:rPr>
                <w:spacing w:val="-5"/>
                <w:sz w:val="22"/>
              </w:rPr>
              <w:t>NS</w:t>
            </w:r>
          </w:p>
        </w:tc>
      </w:tr>
    </w:tbl>
    <w:p>
      <w:pPr>
        <w:spacing w:after="0"/>
        <w:rPr>
          <w:sz w:val="22"/>
        </w:rPr>
        <w:sectPr>
          <w:pgSz w:w="11910" w:h="16840"/>
          <w:pgMar w:header="0" w:footer="1055" w:top="1920" w:bottom="1411" w:left="1060" w:right="460"/>
        </w:sect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1"/>
        <w:gridCol w:w="2110"/>
        <w:gridCol w:w="2231"/>
        <w:gridCol w:w="1436"/>
        <w:gridCol w:w="1485"/>
      </w:tblGrid>
      <w:tr>
        <w:trPr>
          <w:trHeight w:val="376" w:hRule="atLeast"/>
        </w:trPr>
        <w:tc>
          <w:tcPr>
            <w:tcW w:w="1491" w:type="dxa"/>
            <w:tcBorders>
              <w:top w:val="single" w:sz="4" w:space="0" w:color="000000"/>
            </w:tcBorders>
          </w:tcPr>
          <w:p>
            <w:pPr>
              <w:pStyle w:val="TableParagraph"/>
              <w:rPr>
                <w:rFonts w:ascii="Times New Roman"/>
                <w:sz w:val="22"/>
              </w:rPr>
            </w:pPr>
          </w:p>
        </w:tc>
        <w:tc>
          <w:tcPr>
            <w:tcW w:w="2110" w:type="dxa"/>
            <w:tcBorders>
              <w:top w:val="single" w:sz="4" w:space="0" w:color="000000"/>
            </w:tcBorders>
          </w:tcPr>
          <w:p>
            <w:pPr>
              <w:pStyle w:val="TableParagraph"/>
              <w:spacing w:line="265" w:lineRule="exact"/>
              <w:ind w:left="208"/>
              <w:rPr>
                <w:sz w:val="22"/>
              </w:rPr>
            </w:pPr>
            <w:r>
              <w:rPr>
                <w:spacing w:val="-5"/>
                <w:sz w:val="22"/>
              </w:rPr>
              <w:t>CRO</w:t>
            </w:r>
          </w:p>
        </w:tc>
        <w:tc>
          <w:tcPr>
            <w:tcW w:w="2231" w:type="dxa"/>
            <w:tcBorders>
              <w:top w:val="single" w:sz="4" w:space="0" w:color="000000"/>
            </w:tcBorders>
          </w:tcPr>
          <w:p>
            <w:pPr>
              <w:pStyle w:val="TableParagraph"/>
              <w:spacing w:line="265" w:lineRule="exact"/>
              <w:ind w:right="387"/>
              <w:jc w:val="right"/>
              <w:rPr>
                <w:sz w:val="22"/>
              </w:rPr>
            </w:pPr>
            <w:r>
              <w:rPr>
                <w:spacing w:val="-2"/>
                <w:sz w:val="22"/>
              </w:rPr>
              <w:t>21.714±1.924</w:t>
            </w:r>
          </w:p>
        </w:tc>
        <w:tc>
          <w:tcPr>
            <w:tcW w:w="1436" w:type="dxa"/>
            <w:tcBorders>
              <w:top w:val="single" w:sz="4" w:space="0" w:color="000000"/>
            </w:tcBorders>
          </w:tcPr>
          <w:p>
            <w:pPr>
              <w:pStyle w:val="TableParagraph"/>
              <w:spacing w:line="265" w:lineRule="exact"/>
              <w:ind w:left="389"/>
              <w:rPr>
                <w:sz w:val="22"/>
              </w:rPr>
            </w:pPr>
            <w:r>
              <w:rPr>
                <w:spacing w:val="-2"/>
                <w:sz w:val="22"/>
              </w:rPr>
              <w:t>0.074</w:t>
            </w:r>
          </w:p>
        </w:tc>
        <w:tc>
          <w:tcPr>
            <w:tcW w:w="1485" w:type="dxa"/>
            <w:tcBorders>
              <w:top w:val="single" w:sz="4" w:space="0" w:color="000000"/>
            </w:tcBorders>
          </w:tcPr>
          <w:p>
            <w:pPr>
              <w:pStyle w:val="TableParagraph"/>
              <w:spacing w:line="265" w:lineRule="exact"/>
              <w:ind w:left="543"/>
              <w:rPr>
                <w:sz w:val="22"/>
              </w:rPr>
            </w:pPr>
            <w:r>
              <w:rPr>
                <w:spacing w:val="-5"/>
                <w:sz w:val="22"/>
              </w:rPr>
              <w:t>NS</w:t>
            </w:r>
          </w:p>
        </w:tc>
      </w:tr>
      <w:tr>
        <w:trPr>
          <w:trHeight w:val="450" w:hRule="atLeast"/>
        </w:trPr>
        <w:tc>
          <w:tcPr>
            <w:tcW w:w="1491" w:type="dxa"/>
          </w:tcPr>
          <w:p>
            <w:pPr>
              <w:pStyle w:val="TableParagraph"/>
              <w:rPr>
                <w:rFonts w:ascii="Times New Roman"/>
                <w:sz w:val="22"/>
              </w:rPr>
            </w:pPr>
          </w:p>
        </w:tc>
        <w:tc>
          <w:tcPr>
            <w:tcW w:w="2110" w:type="dxa"/>
          </w:tcPr>
          <w:p>
            <w:pPr>
              <w:pStyle w:val="TableParagraph"/>
              <w:spacing w:before="71"/>
              <w:ind w:left="208"/>
              <w:rPr>
                <w:sz w:val="22"/>
              </w:rPr>
            </w:pPr>
            <w:r>
              <w:rPr>
                <w:spacing w:val="-5"/>
                <w:sz w:val="22"/>
              </w:rPr>
              <w:t>CN</w:t>
            </w:r>
          </w:p>
        </w:tc>
        <w:tc>
          <w:tcPr>
            <w:tcW w:w="2231" w:type="dxa"/>
          </w:tcPr>
          <w:p>
            <w:pPr>
              <w:pStyle w:val="TableParagraph"/>
              <w:spacing w:before="71"/>
              <w:ind w:right="387"/>
              <w:jc w:val="right"/>
              <w:rPr>
                <w:sz w:val="22"/>
              </w:rPr>
            </w:pPr>
            <w:r>
              <w:rPr>
                <w:spacing w:val="-2"/>
                <w:sz w:val="22"/>
              </w:rPr>
              <w:t>20.429±1.556</w:t>
            </w:r>
          </w:p>
        </w:tc>
        <w:tc>
          <w:tcPr>
            <w:tcW w:w="1436" w:type="dxa"/>
          </w:tcPr>
          <w:p>
            <w:pPr>
              <w:pStyle w:val="TableParagraph"/>
              <w:spacing w:before="71"/>
              <w:ind w:left="389"/>
              <w:rPr>
                <w:sz w:val="22"/>
              </w:rPr>
            </w:pPr>
            <w:r>
              <w:rPr>
                <w:spacing w:val="-2"/>
                <w:sz w:val="22"/>
              </w:rPr>
              <w:t>0.269</w:t>
            </w:r>
          </w:p>
        </w:tc>
        <w:tc>
          <w:tcPr>
            <w:tcW w:w="1485" w:type="dxa"/>
          </w:tcPr>
          <w:p>
            <w:pPr>
              <w:pStyle w:val="TableParagraph"/>
              <w:spacing w:before="71"/>
              <w:ind w:left="543"/>
              <w:rPr>
                <w:sz w:val="22"/>
              </w:rPr>
            </w:pPr>
            <w:r>
              <w:rPr>
                <w:spacing w:val="-5"/>
                <w:sz w:val="22"/>
              </w:rPr>
              <w:t>NS</w:t>
            </w:r>
          </w:p>
        </w:tc>
      </w:tr>
      <w:tr>
        <w:trPr>
          <w:trHeight w:val="448" w:hRule="atLeast"/>
        </w:trPr>
        <w:tc>
          <w:tcPr>
            <w:tcW w:w="1491" w:type="dxa"/>
          </w:tcPr>
          <w:p>
            <w:pPr>
              <w:pStyle w:val="TableParagraph"/>
              <w:rPr>
                <w:rFonts w:ascii="Times New Roman"/>
                <w:sz w:val="22"/>
              </w:rPr>
            </w:pPr>
          </w:p>
        </w:tc>
        <w:tc>
          <w:tcPr>
            <w:tcW w:w="2110" w:type="dxa"/>
          </w:tcPr>
          <w:p>
            <w:pPr>
              <w:pStyle w:val="TableParagraph"/>
              <w:spacing w:before="70"/>
              <w:ind w:left="208"/>
              <w:rPr>
                <w:sz w:val="22"/>
              </w:rPr>
            </w:pPr>
            <w:r>
              <w:rPr>
                <w:spacing w:val="-5"/>
                <w:sz w:val="22"/>
              </w:rPr>
              <w:t>AMC</w:t>
            </w:r>
          </w:p>
        </w:tc>
        <w:tc>
          <w:tcPr>
            <w:tcW w:w="2231" w:type="dxa"/>
          </w:tcPr>
          <w:p>
            <w:pPr>
              <w:pStyle w:val="TableParagraph"/>
              <w:spacing w:before="70"/>
              <w:ind w:right="387"/>
              <w:jc w:val="right"/>
              <w:rPr>
                <w:sz w:val="22"/>
              </w:rPr>
            </w:pPr>
            <w:r>
              <w:rPr>
                <w:spacing w:val="-2"/>
                <w:sz w:val="22"/>
              </w:rPr>
              <w:t>19.286±2.067</w:t>
            </w:r>
          </w:p>
        </w:tc>
        <w:tc>
          <w:tcPr>
            <w:tcW w:w="1436" w:type="dxa"/>
          </w:tcPr>
          <w:p>
            <w:pPr>
              <w:pStyle w:val="TableParagraph"/>
              <w:spacing w:before="70"/>
              <w:ind w:left="389"/>
              <w:rPr>
                <w:sz w:val="22"/>
              </w:rPr>
            </w:pPr>
            <w:r>
              <w:rPr>
                <w:spacing w:val="-2"/>
                <w:sz w:val="22"/>
              </w:rPr>
              <w:t>0.593</w:t>
            </w:r>
          </w:p>
        </w:tc>
        <w:tc>
          <w:tcPr>
            <w:tcW w:w="1485" w:type="dxa"/>
          </w:tcPr>
          <w:p>
            <w:pPr>
              <w:pStyle w:val="TableParagraph"/>
              <w:spacing w:before="70"/>
              <w:ind w:left="543"/>
              <w:rPr>
                <w:sz w:val="22"/>
              </w:rPr>
            </w:pPr>
            <w:r>
              <w:rPr>
                <w:spacing w:val="-5"/>
                <w:sz w:val="22"/>
              </w:rPr>
              <w:t>NS</w:t>
            </w:r>
          </w:p>
        </w:tc>
      </w:tr>
      <w:tr>
        <w:trPr>
          <w:trHeight w:val="450" w:hRule="atLeast"/>
        </w:trPr>
        <w:tc>
          <w:tcPr>
            <w:tcW w:w="1491" w:type="dxa"/>
          </w:tcPr>
          <w:p>
            <w:pPr>
              <w:pStyle w:val="TableParagraph"/>
              <w:spacing w:before="70"/>
              <w:ind w:left="108"/>
              <w:rPr>
                <w:sz w:val="22"/>
              </w:rPr>
            </w:pPr>
            <w:r>
              <w:rPr>
                <w:sz w:val="22"/>
              </w:rPr>
              <w:t>Lemon</w:t>
            </w:r>
            <w:r>
              <w:rPr>
                <w:spacing w:val="-4"/>
                <w:sz w:val="22"/>
              </w:rPr>
              <w:t> </w:t>
            </w:r>
            <w:r>
              <w:rPr>
                <w:spacing w:val="-2"/>
                <w:sz w:val="22"/>
              </w:rPr>
              <w:t>(25%)</w:t>
            </w:r>
          </w:p>
        </w:tc>
        <w:tc>
          <w:tcPr>
            <w:tcW w:w="2110" w:type="dxa"/>
          </w:tcPr>
          <w:p>
            <w:pPr>
              <w:pStyle w:val="TableParagraph"/>
              <w:spacing w:before="70"/>
              <w:ind w:left="208"/>
              <w:rPr>
                <w:sz w:val="22"/>
              </w:rPr>
            </w:pPr>
            <w:r>
              <w:rPr>
                <w:spacing w:val="-5"/>
                <w:sz w:val="22"/>
              </w:rPr>
              <w:t>LEV</w:t>
            </w:r>
          </w:p>
        </w:tc>
        <w:tc>
          <w:tcPr>
            <w:tcW w:w="2231" w:type="dxa"/>
          </w:tcPr>
          <w:p>
            <w:pPr>
              <w:pStyle w:val="TableParagraph"/>
              <w:spacing w:before="70"/>
              <w:ind w:right="387"/>
              <w:jc w:val="right"/>
              <w:rPr>
                <w:sz w:val="22"/>
              </w:rPr>
            </w:pPr>
            <w:r>
              <w:rPr>
                <w:spacing w:val="-2"/>
                <w:sz w:val="22"/>
              </w:rPr>
              <w:t>21.286±1.322</w:t>
            </w:r>
          </w:p>
        </w:tc>
        <w:tc>
          <w:tcPr>
            <w:tcW w:w="1436" w:type="dxa"/>
          </w:tcPr>
          <w:p>
            <w:pPr>
              <w:pStyle w:val="TableParagraph"/>
              <w:spacing w:before="70"/>
              <w:ind w:left="389"/>
              <w:rPr>
                <w:sz w:val="22"/>
              </w:rPr>
            </w:pPr>
            <w:r>
              <w:rPr>
                <w:spacing w:val="-2"/>
                <w:sz w:val="22"/>
              </w:rPr>
              <w:t>0.118</w:t>
            </w:r>
          </w:p>
        </w:tc>
        <w:tc>
          <w:tcPr>
            <w:tcW w:w="1485" w:type="dxa"/>
          </w:tcPr>
          <w:p>
            <w:pPr>
              <w:pStyle w:val="TableParagraph"/>
              <w:spacing w:before="70"/>
              <w:ind w:left="543"/>
              <w:rPr>
                <w:sz w:val="22"/>
              </w:rPr>
            </w:pPr>
            <w:r>
              <w:rPr>
                <w:spacing w:val="-5"/>
                <w:sz w:val="22"/>
              </w:rPr>
              <w:t>NS</w:t>
            </w:r>
          </w:p>
        </w:tc>
      </w:tr>
      <w:tr>
        <w:trPr>
          <w:trHeight w:val="450" w:hRule="atLeast"/>
        </w:trPr>
        <w:tc>
          <w:tcPr>
            <w:tcW w:w="1491" w:type="dxa"/>
          </w:tcPr>
          <w:p>
            <w:pPr>
              <w:pStyle w:val="TableParagraph"/>
              <w:rPr>
                <w:rFonts w:ascii="Times New Roman"/>
                <w:sz w:val="22"/>
              </w:rPr>
            </w:pPr>
          </w:p>
        </w:tc>
        <w:tc>
          <w:tcPr>
            <w:tcW w:w="2110" w:type="dxa"/>
          </w:tcPr>
          <w:p>
            <w:pPr>
              <w:pStyle w:val="TableParagraph"/>
              <w:spacing w:before="71"/>
              <w:ind w:left="208"/>
              <w:rPr>
                <w:sz w:val="22"/>
              </w:rPr>
            </w:pPr>
            <w:r>
              <w:rPr>
                <w:spacing w:val="-5"/>
                <w:sz w:val="22"/>
              </w:rPr>
              <w:t>AZM</w:t>
            </w:r>
          </w:p>
        </w:tc>
        <w:tc>
          <w:tcPr>
            <w:tcW w:w="2231" w:type="dxa"/>
          </w:tcPr>
          <w:p>
            <w:pPr>
              <w:pStyle w:val="TableParagraph"/>
              <w:spacing w:before="71"/>
              <w:ind w:right="387"/>
              <w:jc w:val="right"/>
              <w:rPr>
                <w:sz w:val="22"/>
              </w:rPr>
            </w:pPr>
            <w:r>
              <w:rPr>
                <w:spacing w:val="-2"/>
                <w:sz w:val="22"/>
              </w:rPr>
              <w:t>16.143±1.945</w:t>
            </w:r>
          </w:p>
        </w:tc>
        <w:tc>
          <w:tcPr>
            <w:tcW w:w="1436" w:type="dxa"/>
          </w:tcPr>
          <w:p>
            <w:pPr>
              <w:pStyle w:val="TableParagraph"/>
              <w:spacing w:before="71"/>
              <w:ind w:left="389"/>
              <w:rPr>
                <w:sz w:val="22"/>
              </w:rPr>
            </w:pPr>
            <w:r>
              <w:rPr>
                <w:spacing w:val="-2"/>
                <w:sz w:val="22"/>
              </w:rPr>
              <w:t>1.000</w:t>
            </w:r>
          </w:p>
        </w:tc>
        <w:tc>
          <w:tcPr>
            <w:tcW w:w="1485" w:type="dxa"/>
          </w:tcPr>
          <w:p>
            <w:pPr>
              <w:pStyle w:val="TableParagraph"/>
              <w:spacing w:before="71"/>
              <w:ind w:left="543"/>
              <w:rPr>
                <w:sz w:val="22"/>
              </w:rPr>
            </w:pPr>
            <w:r>
              <w:rPr>
                <w:spacing w:val="-5"/>
                <w:sz w:val="22"/>
              </w:rPr>
              <w:t>NS</w:t>
            </w:r>
          </w:p>
        </w:tc>
      </w:tr>
      <w:tr>
        <w:trPr>
          <w:trHeight w:val="450" w:hRule="atLeast"/>
        </w:trPr>
        <w:tc>
          <w:tcPr>
            <w:tcW w:w="1491" w:type="dxa"/>
          </w:tcPr>
          <w:p>
            <w:pPr>
              <w:pStyle w:val="TableParagraph"/>
              <w:rPr>
                <w:rFonts w:ascii="Times New Roman"/>
                <w:sz w:val="22"/>
              </w:rPr>
            </w:pPr>
          </w:p>
        </w:tc>
        <w:tc>
          <w:tcPr>
            <w:tcW w:w="2110" w:type="dxa"/>
          </w:tcPr>
          <w:p>
            <w:pPr>
              <w:pStyle w:val="TableParagraph"/>
              <w:spacing w:before="70"/>
              <w:ind w:left="208"/>
              <w:rPr>
                <w:sz w:val="22"/>
              </w:rPr>
            </w:pPr>
            <w:r>
              <w:rPr>
                <w:sz w:val="22"/>
              </w:rPr>
              <w:t>Lemon</w:t>
            </w:r>
            <w:r>
              <w:rPr>
                <w:spacing w:val="-6"/>
                <w:sz w:val="22"/>
              </w:rPr>
              <w:t> </w:t>
            </w:r>
            <w:r>
              <w:rPr>
                <w:spacing w:val="-2"/>
                <w:sz w:val="22"/>
              </w:rPr>
              <w:t>(100%)</w:t>
            </w:r>
          </w:p>
        </w:tc>
        <w:tc>
          <w:tcPr>
            <w:tcW w:w="2231" w:type="dxa"/>
          </w:tcPr>
          <w:p>
            <w:pPr>
              <w:pStyle w:val="TableParagraph"/>
              <w:spacing w:before="70"/>
              <w:ind w:right="387"/>
              <w:jc w:val="right"/>
              <w:rPr>
                <w:sz w:val="22"/>
              </w:rPr>
            </w:pPr>
            <w:r>
              <w:rPr>
                <w:spacing w:val="-2"/>
                <w:sz w:val="22"/>
              </w:rPr>
              <w:t>23.000±0.195</w:t>
            </w:r>
          </w:p>
        </w:tc>
        <w:tc>
          <w:tcPr>
            <w:tcW w:w="1436" w:type="dxa"/>
          </w:tcPr>
          <w:p>
            <w:pPr>
              <w:pStyle w:val="TableParagraph"/>
              <w:spacing w:before="70"/>
              <w:ind w:left="389"/>
              <w:rPr>
                <w:sz w:val="22"/>
              </w:rPr>
            </w:pPr>
            <w:r>
              <w:rPr>
                <w:spacing w:val="-2"/>
                <w:sz w:val="22"/>
              </w:rPr>
              <w:t>0.015</w:t>
            </w:r>
          </w:p>
        </w:tc>
        <w:tc>
          <w:tcPr>
            <w:tcW w:w="1485" w:type="dxa"/>
          </w:tcPr>
          <w:p>
            <w:pPr>
              <w:pStyle w:val="TableParagraph"/>
              <w:spacing w:before="70"/>
              <w:ind w:left="562"/>
              <w:rPr>
                <w:sz w:val="22"/>
              </w:rPr>
            </w:pPr>
            <w:r>
              <w:rPr>
                <w:spacing w:val="-5"/>
                <w:sz w:val="22"/>
              </w:rPr>
              <w:t>SF</w:t>
            </w:r>
          </w:p>
        </w:tc>
      </w:tr>
      <w:tr>
        <w:trPr>
          <w:trHeight w:val="522" w:hRule="atLeast"/>
        </w:trPr>
        <w:tc>
          <w:tcPr>
            <w:tcW w:w="1491" w:type="dxa"/>
            <w:tcBorders>
              <w:bottom w:val="single" w:sz="4" w:space="0" w:color="000000"/>
            </w:tcBorders>
          </w:tcPr>
          <w:p>
            <w:pPr>
              <w:pStyle w:val="TableParagraph"/>
              <w:rPr>
                <w:rFonts w:ascii="Times New Roman"/>
                <w:sz w:val="22"/>
              </w:rPr>
            </w:pPr>
          </w:p>
        </w:tc>
        <w:tc>
          <w:tcPr>
            <w:tcW w:w="2110" w:type="dxa"/>
            <w:tcBorders>
              <w:bottom w:val="single" w:sz="4" w:space="0" w:color="000000"/>
            </w:tcBorders>
          </w:tcPr>
          <w:p>
            <w:pPr>
              <w:pStyle w:val="TableParagraph"/>
              <w:spacing w:before="71"/>
              <w:ind w:left="208"/>
              <w:rPr>
                <w:sz w:val="22"/>
              </w:rPr>
            </w:pPr>
            <w:r>
              <w:rPr>
                <w:sz w:val="22"/>
              </w:rPr>
              <w:t>Lemon</w:t>
            </w:r>
            <w:r>
              <w:rPr>
                <w:spacing w:val="-4"/>
                <w:sz w:val="22"/>
              </w:rPr>
              <w:t> </w:t>
            </w:r>
            <w:r>
              <w:rPr>
                <w:spacing w:val="-2"/>
                <w:sz w:val="22"/>
              </w:rPr>
              <w:t>(50%)</w:t>
            </w:r>
          </w:p>
        </w:tc>
        <w:tc>
          <w:tcPr>
            <w:tcW w:w="2231" w:type="dxa"/>
            <w:tcBorders>
              <w:bottom w:val="single" w:sz="4" w:space="0" w:color="000000"/>
            </w:tcBorders>
          </w:tcPr>
          <w:p>
            <w:pPr>
              <w:pStyle w:val="TableParagraph"/>
              <w:spacing w:before="71"/>
              <w:ind w:right="387"/>
              <w:jc w:val="right"/>
              <w:rPr>
                <w:sz w:val="22"/>
              </w:rPr>
            </w:pPr>
            <w:r>
              <w:rPr>
                <w:spacing w:val="-2"/>
                <w:sz w:val="22"/>
              </w:rPr>
              <w:t>18.286±0.184</w:t>
            </w:r>
          </w:p>
        </w:tc>
        <w:tc>
          <w:tcPr>
            <w:tcW w:w="1436" w:type="dxa"/>
            <w:tcBorders>
              <w:bottom w:val="single" w:sz="4" w:space="0" w:color="000000"/>
            </w:tcBorders>
          </w:tcPr>
          <w:p>
            <w:pPr>
              <w:pStyle w:val="TableParagraph"/>
              <w:spacing w:before="71"/>
              <w:ind w:left="389"/>
              <w:rPr>
                <w:sz w:val="22"/>
              </w:rPr>
            </w:pPr>
            <w:r>
              <w:rPr>
                <w:spacing w:val="-2"/>
                <w:sz w:val="22"/>
              </w:rPr>
              <w:t>0.867</w:t>
            </w:r>
          </w:p>
        </w:tc>
        <w:tc>
          <w:tcPr>
            <w:tcW w:w="1485" w:type="dxa"/>
            <w:tcBorders>
              <w:bottom w:val="single" w:sz="4" w:space="0" w:color="000000"/>
            </w:tcBorders>
          </w:tcPr>
          <w:p>
            <w:pPr>
              <w:pStyle w:val="TableParagraph"/>
              <w:spacing w:before="71"/>
              <w:ind w:left="543"/>
              <w:rPr>
                <w:sz w:val="22"/>
              </w:rPr>
            </w:pPr>
            <w:r>
              <w:rPr>
                <w:spacing w:val="-5"/>
                <w:sz w:val="22"/>
              </w:rPr>
              <w:t>NS</w:t>
            </w:r>
          </w:p>
        </w:tc>
      </w:tr>
    </w:tbl>
    <w:p>
      <w:pPr>
        <w:pStyle w:val="BodyText"/>
        <w:spacing w:line="403" w:lineRule="auto" w:before="21"/>
        <w:ind w:left="430" w:right="3485" w:hanging="51"/>
      </w:pPr>
      <w:r>
        <w:rPr/>
        <w:t>Key:</w:t>
      </w:r>
      <w:r>
        <w:rPr>
          <w:spacing w:val="-4"/>
        </w:rPr>
        <w:t> </w:t>
      </w:r>
      <w:r>
        <w:rPr/>
        <w:t>LOS=Level</w:t>
      </w:r>
      <w:r>
        <w:rPr>
          <w:spacing w:val="-7"/>
        </w:rPr>
        <w:t> </w:t>
      </w:r>
      <w:r>
        <w:rPr/>
        <w:t>of</w:t>
      </w:r>
      <w:r>
        <w:rPr>
          <w:spacing w:val="-5"/>
        </w:rPr>
        <w:t> </w:t>
      </w:r>
      <w:r>
        <w:rPr/>
        <w:t>Significance;</w:t>
      </w:r>
      <w:r>
        <w:rPr>
          <w:spacing w:val="-5"/>
        </w:rPr>
        <w:t> </w:t>
      </w:r>
      <w:r>
        <w:rPr/>
        <w:t>NS=Not</w:t>
      </w:r>
      <w:r>
        <w:rPr>
          <w:spacing w:val="-5"/>
        </w:rPr>
        <w:t> </w:t>
      </w:r>
      <w:r>
        <w:rPr/>
        <w:t>significantly</w:t>
      </w:r>
      <w:r>
        <w:rPr>
          <w:spacing w:val="-5"/>
        </w:rPr>
        <w:t> </w:t>
      </w:r>
      <w:r>
        <w:rPr/>
        <w:t>different; SF=Significantly different.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6"/>
      </w:pPr>
    </w:p>
    <w:p>
      <w:pPr>
        <w:pStyle w:val="Heading3"/>
        <w:spacing w:line="259" w:lineRule="auto"/>
        <w:ind w:left="1513" w:right="975" w:hanging="1133"/>
        <w:rPr>
          <w:i/>
        </w:rPr>
      </w:pPr>
      <w:r>
        <w:rPr/>
        <w:t>Table</w:t>
      </w:r>
      <w:r>
        <w:rPr>
          <w:spacing w:val="-3"/>
        </w:rPr>
        <w:t> </w:t>
      </w:r>
      <w:r>
        <w:rPr/>
        <w:t>4.21:</w:t>
      </w:r>
      <w:r>
        <w:rPr>
          <w:spacing w:val="-3"/>
        </w:rPr>
        <w:t> </w:t>
      </w:r>
      <w:r>
        <w:rPr/>
        <w:t>Comparing</w:t>
      </w:r>
      <w:r>
        <w:rPr>
          <w:spacing w:val="-4"/>
        </w:rPr>
        <w:t> </w:t>
      </w:r>
      <w:r>
        <w:rPr/>
        <w:t>the</w:t>
      </w:r>
      <w:r>
        <w:rPr>
          <w:spacing w:val="-5"/>
        </w:rPr>
        <w:t> </w:t>
      </w:r>
      <w:r>
        <w:rPr/>
        <w:t>Mean</w:t>
      </w:r>
      <w:r>
        <w:rPr>
          <w:spacing w:val="-3"/>
        </w:rPr>
        <w:t> </w:t>
      </w:r>
      <w:r>
        <w:rPr/>
        <w:t>zone</w:t>
      </w:r>
      <w:r>
        <w:rPr>
          <w:spacing w:val="-3"/>
        </w:rPr>
        <w:t> </w:t>
      </w:r>
      <w:r>
        <w:rPr/>
        <w:t>of</w:t>
      </w:r>
      <w:r>
        <w:rPr>
          <w:spacing w:val="-2"/>
        </w:rPr>
        <w:t> </w:t>
      </w:r>
      <w:r>
        <w:rPr/>
        <w:t>inhibition</w:t>
      </w:r>
      <w:r>
        <w:rPr>
          <w:spacing w:val="-3"/>
        </w:rPr>
        <w:t> </w:t>
      </w:r>
      <w:r>
        <w:rPr/>
        <w:t>of</w:t>
      </w:r>
      <w:r>
        <w:rPr>
          <w:spacing w:val="-5"/>
        </w:rPr>
        <w:t> </w:t>
      </w:r>
      <w:r>
        <w:rPr/>
        <w:t>Lemon</w:t>
      </w:r>
      <w:r>
        <w:rPr>
          <w:spacing w:val="-1"/>
        </w:rPr>
        <w:t> </w:t>
      </w:r>
      <w:r>
        <w:rPr/>
        <w:t>juice</w:t>
      </w:r>
      <w:r>
        <w:rPr>
          <w:spacing w:val="-2"/>
        </w:rPr>
        <w:t> </w:t>
      </w:r>
      <w:r>
        <w:rPr/>
        <w:t>and</w:t>
      </w:r>
      <w:r>
        <w:rPr>
          <w:spacing w:val="-3"/>
        </w:rPr>
        <w:t> </w:t>
      </w:r>
      <w:r>
        <w:rPr/>
        <w:t>the</w:t>
      </w:r>
      <w:r>
        <w:rPr>
          <w:spacing w:val="-2"/>
        </w:rPr>
        <w:t> </w:t>
      </w:r>
      <w:r>
        <w:rPr/>
        <w:t>Standard</w:t>
      </w:r>
      <w:r>
        <w:rPr>
          <w:spacing w:val="80"/>
        </w:rPr>
        <w:t> </w:t>
      </w:r>
      <w:r>
        <w:rPr/>
        <w:t>antibiotic formulations against </w:t>
      </w:r>
      <w:r>
        <w:rPr>
          <w:i/>
        </w:rPr>
        <w:t>Strept</w:t>
      </w:r>
      <w:r>
        <w:rPr/>
        <w:t>ococcus </w:t>
      </w:r>
      <w:r>
        <w:rPr>
          <w:i/>
        </w:rPr>
        <w:t>pyogenes</w:t>
      </w:r>
    </w:p>
    <w:p>
      <w:pPr>
        <w:pStyle w:val="BodyText"/>
        <w:spacing w:before="6"/>
        <w:rPr>
          <w:b/>
          <w:i/>
          <w:sz w:val="11"/>
        </w:rPr>
      </w:pPr>
      <w:r>
        <w:rPr/>
        <mc:AlternateContent>
          <mc:Choice Requires="wps">
            <w:drawing>
              <wp:anchor distT="0" distB="0" distL="0" distR="0" allowOverlap="1" layoutInCell="1" locked="0" behindDoc="1" simplePos="0" relativeHeight="487676416">
                <wp:simplePos x="0" y="0"/>
                <wp:positionH relativeFrom="page">
                  <wp:posOffset>846124</wp:posOffset>
                </wp:positionH>
                <wp:positionV relativeFrom="paragraph">
                  <wp:posOffset>104563</wp:posOffset>
                </wp:positionV>
                <wp:extent cx="5547360" cy="6350"/>
                <wp:effectExtent l="0" t="0" r="0" b="0"/>
                <wp:wrapTopAndBottom/>
                <wp:docPr id="493" name="Graphic 493"/>
                <wp:cNvGraphicFramePr>
                  <a:graphicFrameLocks/>
                </wp:cNvGraphicFramePr>
                <a:graphic>
                  <a:graphicData uri="http://schemas.microsoft.com/office/word/2010/wordprocessingShape">
                    <wps:wsp>
                      <wps:cNvPr id="493" name="Graphic 493"/>
                      <wps:cNvSpPr/>
                      <wps:spPr>
                        <a:xfrm>
                          <a:off x="0" y="0"/>
                          <a:ext cx="5547360" cy="6350"/>
                        </a:xfrm>
                        <a:custGeom>
                          <a:avLst/>
                          <a:gdLst/>
                          <a:ahLst/>
                          <a:cxnLst/>
                          <a:rect l="l" t="t" r="r" b="b"/>
                          <a:pathLst>
                            <a:path w="5547360" h="6350">
                              <a:moveTo>
                                <a:pt x="1088072" y="0"/>
                              </a:moveTo>
                              <a:lnTo>
                                <a:pt x="1082040" y="0"/>
                              </a:lnTo>
                              <a:lnTo>
                                <a:pt x="0" y="0"/>
                              </a:lnTo>
                              <a:lnTo>
                                <a:pt x="0" y="6083"/>
                              </a:lnTo>
                              <a:lnTo>
                                <a:pt x="1081989" y="6083"/>
                              </a:lnTo>
                              <a:lnTo>
                                <a:pt x="1088072" y="6083"/>
                              </a:lnTo>
                              <a:lnTo>
                                <a:pt x="1088072" y="0"/>
                              </a:lnTo>
                              <a:close/>
                            </a:path>
                            <a:path w="5547360" h="6350">
                              <a:moveTo>
                                <a:pt x="2501087" y="0"/>
                              </a:moveTo>
                              <a:lnTo>
                                <a:pt x="1088085" y="0"/>
                              </a:lnTo>
                              <a:lnTo>
                                <a:pt x="1088085" y="6083"/>
                              </a:lnTo>
                              <a:lnTo>
                                <a:pt x="2501087" y="6083"/>
                              </a:lnTo>
                              <a:lnTo>
                                <a:pt x="2501087" y="0"/>
                              </a:lnTo>
                              <a:close/>
                            </a:path>
                            <a:path w="5547360" h="6350">
                              <a:moveTo>
                                <a:pt x="4568317" y="0"/>
                              </a:moveTo>
                              <a:lnTo>
                                <a:pt x="3813632" y="0"/>
                              </a:lnTo>
                              <a:lnTo>
                                <a:pt x="3807536" y="0"/>
                              </a:lnTo>
                              <a:lnTo>
                                <a:pt x="2507310" y="0"/>
                              </a:lnTo>
                              <a:lnTo>
                                <a:pt x="2501214" y="0"/>
                              </a:lnTo>
                              <a:lnTo>
                                <a:pt x="2501214" y="6083"/>
                              </a:lnTo>
                              <a:lnTo>
                                <a:pt x="2507310" y="6083"/>
                              </a:lnTo>
                              <a:lnTo>
                                <a:pt x="3807536" y="6083"/>
                              </a:lnTo>
                              <a:lnTo>
                                <a:pt x="3813632" y="6083"/>
                              </a:lnTo>
                              <a:lnTo>
                                <a:pt x="4568317" y="6083"/>
                              </a:lnTo>
                              <a:lnTo>
                                <a:pt x="4568317" y="0"/>
                              </a:lnTo>
                              <a:close/>
                            </a:path>
                            <a:path w="5547360" h="6350">
                              <a:moveTo>
                                <a:pt x="5547106" y="0"/>
                              </a:moveTo>
                              <a:lnTo>
                                <a:pt x="4574489" y="0"/>
                              </a:lnTo>
                              <a:lnTo>
                                <a:pt x="4568393" y="0"/>
                              </a:lnTo>
                              <a:lnTo>
                                <a:pt x="4568393" y="6083"/>
                              </a:lnTo>
                              <a:lnTo>
                                <a:pt x="4574489" y="6083"/>
                              </a:lnTo>
                              <a:lnTo>
                                <a:pt x="5547106" y="6083"/>
                              </a:lnTo>
                              <a:lnTo>
                                <a:pt x="55471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8.233336pt;width:436.8pt;height:.5pt;mso-position-horizontal-relative:page;mso-position-vertical-relative:paragraph;z-index:-15640064;mso-wrap-distance-left:0;mso-wrap-distance-right:0" id="docshape438" coordorigin="1332,165" coordsize="8736,10" path="m3046,165l3036,165,3036,165,1332,165,1332,174,3036,174,3036,174,3046,174,3046,165xm5271,165l3046,165,3046,174,5271,174,5271,165xm8527,165l7338,165,7329,165,5281,165,5271,165,5271,174,5281,174,7329,174,7338,174,8527,174,8527,165xm10068,165l8536,165,8527,165,8527,174,8536,174,10068,174,10068,165xe" filled="true" fillcolor="#000000" stroked="false">
                <v:path arrowok="t"/>
                <v:fill type="solid"/>
                <w10:wrap type="topAndBottom"/>
              </v:shape>
            </w:pict>
          </mc:Fallback>
        </mc:AlternateContent>
      </w:r>
    </w:p>
    <w:p>
      <w:pPr>
        <w:pStyle w:val="BodyText"/>
        <w:rPr>
          <w:b/>
          <w:i/>
          <w:sz w:val="20"/>
        </w:rPr>
      </w:pPr>
    </w:p>
    <w:p>
      <w:pPr>
        <w:pStyle w:val="BodyText"/>
        <w:spacing w:before="1"/>
        <w:rPr>
          <w:b/>
          <w:i/>
          <w:sz w:val="20"/>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4"/>
        <w:gridCol w:w="2179"/>
        <w:gridCol w:w="2327"/>
        <w:gridCol w:w="1489"/>
        <w:gridCol w:w="825"/>
      </w:tblGrid>
      <w:tr>
        <w:trPr>
          <w:trHeight w:val="220" w:hRule="atLeast"/>
        </w:trPr>
        <w:tc>
          <w:tcPr>
            <w:tcW w:w="1304" w:type="dxa"/>
          </w:tcPr>
          <w:p>
            <w:pPr>
              <w:pStyle w:val="TableParagraph"/>
              <w:spacing w:line="201" w:lineRule="exact"/>
              <w:ind w:left="50"/>
              <w:rPr>
                <w:sz w:val="22"/>
              </w:rPr>
            </w:pPr>
            <w:r>
              <w:rPr>
                <w:sz w:val="22"/>
              </w:rPr>
              <w:t>(I)</w:t>
            </w:r>
            <w:r>
              <w:rPr>
                <w:spacing w:val="-2"/>
                <w:sz w:val="22"/>
              </w:rPr>
              <w:t> Group</w:t>
            </w:r>
          </w:p>
        </w:tc>
        <w:tc>
          <w:tcPr>
            <w:tcW w:w="2179" w:type="dxa"/>
          </w:tcPr>
          <w:p>
            <w:pPr>
              <w:pStyle w:val="TableParagraph"/>
              <w:spacing w:line="201" w:lineRule="exact"/>
              <w:ind w:left="449"/>
              <w:rPr>
                <w:sz w:val="22"/>
              </w:rPr>
            </w:pPr>
            <w:r>
              <w:rPr>
                <w:sz w:val="22"/>
              </w:rPr>
              <w:t>(J)</w:t>
            </w:r>
            <w:r>
              <w:rPr>
                <w:spacing w:val="-2"/>
                <w:sz w:val="22"/>
              </w:rPr>
              <w:t> Group</w:t>
            </w:r>
          </w:p>
        </w:tc>
        <w:tc>
          <w:tcPr>
            <w:tcW w:w="2327" w:type="dxa"/>
          </w:tcPr>
          <w:p>
            <w:pPr>
              <w:pStyle w:val="TableParagraph"/>
              <w:spacing w:line="201" w:lineRule="exact"/>
              <w:ind w:left="911"/>
              <w:rPr>
                <w:sz w:val="22"/>
              </w:rPr>
            </w:pPr>
            <w:r>
              <w:rPr>
                <w:spacing w:val="-2"/>
                <w:sz w:val="22"/>
              </w:rPr>
              <w:t>Mean±SEM</w:t>
            </w:r>
          </w:p>
        </w:tc>
        <w:tc>
          <w:tcPr>
            <w:tcW w:w="1489" w:type="dxa"/>
          </w:tcPr>
          <w:p>
            <w:pPr>
              <w:pStyle w:val="TableParagraph"/>
              <w:spacing w:line="201" w:lineRule="exact"/>
              <w:ind w:left="392"/>
              <w:rPr>
                <w:sz w:val="22"/>
              </w:rPr>
            </w:pPr>
            <w:r>
              <w:rPr>
                <w:sz w:val="22"/>
              </w:rPr>
              <w:t>P-</w:t>
            </w:r>
            <w:r>
              <w:rPr>
                <w:spacing w:val="-2"/>
                <w:sz w:val="22"/>
              </w:rPr>
              <w:t>value</w:t>
            </w:r>
          </w:p>
        </w:tc>
        <w:tc>
          <w:tcPr>
            <w:tcW w:w="825" w:type="dxa"/>
          </w:tcPr>
          <w:p>
            <w:pPr>
              <w:pStyle w:val="TableParagraph"/>
              <w:spacing w:line="201" w:lineRule="exact"/>
              <w:ind w:left="437"/>
              <w:rPr>
                <w:sz w:val="22"/>
              </w:rPr>
            </w:pPr>
            <w:r>
              <w:rPr>
                <w:spacing w:val="-5"/>
                <w:sz w:val="22"/>
              </w:rPr>
              <w:t>LOS</w:t>
            </w:r>
          </w:p>
        </w:tc>
      </w:tr>
    </w:tbl>
    <w:p>
      <w:pPr>
        <w:pStyle w:val="BodyText"/>
        <w:rPr>
          <w:b/>
          <w:i/>
          <w:sz w:val="20"/>
        </w:rPr>
      </w:pPr>
    </w:p>
    <w:p>
      <w:pPr>
        <w:pStyle w:val="BodyText"/>
        <w:spacing w:before="127"/>
        <w:rPr>
          <w:b/>
          <w:i/>
          <w:sz w:val="20"/>
        </w:rPr>
      </w:pPr>
      <w:r>
        <w:rPr/>
        <mc:AlternateContent>
          <mc:Choice Requires="wps">
            <w:drawing>
              <wp:anchor distT="0" distB="0" distL="0" distR="0" allowOverlap="1" layoutInCell="1" locked="0" behindDoc="1" simplePos="0" relativeHeight="487676928">
                <wp:simplePos x="0" y="0"/>
                <wp:positionH relativeFrom="page">
                  <wp:posOffset>846124</wp:posOffset>
                </wp:positionH>
                <wp:positionV relativeFrom="paragraph">
                  <wp:posOffset>250926</wp:posOffset>
                </wp:positionV>
                <wp:extent cx="5547360" cy="6350"/>
                <wp:effectExtent l="0" t="0" r="0" b="0"/>
                <wp:wrapTopAndBottom/>
                <wp:docPr id="494" name="Graphic 494"/>
                <wp:cNvGraphicFramePr>
                  <a:graphicFrameLocks/>
                </wp:cNvGraphicFramePr>
                <a:graphic>
                  <a:graphicData uri="http://schemas.microsoft.com/office/word/2010/wordprocessingShape">
                    <wps:wsp>
                      <wps:cNvPr id="494" name="Graphic 494"/>
                      <wps:cNvSpPr/>
                      <wps:spPr>
                        <a:xfrm>
                          <a:off x="0" y="0"/>
                          <a:ext cx="5547360" cy="6350"/>
                        </a:xfrm>
                        <a:custGeom>
                          <a:avLst/>
                          <a:gdLst/>
                          <a:ahLst/>
                          <a:cxnLst/>
                          <a:rect l="l" t="t" r="r" b="b"/>
                          <a:pathLst>
                            <a:path w="5547360" h="6350">
                              <a:moveTo>
                                <a:pt x="1088072" y="0"/>
                              </a:moveTo>
                              <a:lnTo>
                                <a:pt x="1082040" y="0"/>
                              </a:lnTo>
                              <a:lnTo>
                                <a:pt x="0" y="0"/>
                              </a:lnTo>
                              <a:lnTo>
                                <a:pt x="0" y="6083"/>
                              </a:lnTo>
                              <a:lnTo>
                                <a:pt x="1081989" y="6083"/>
                              </a:lnTo>
                              <a:lnTo>
                                <a:pt x="1088072" y="6083"/>
                              </a:lnTo>
                              <a:lnTo>
                                <a:pt x="1088072" y="0"/>
                              </a:lnTo>
                              <a:close/>
                            </a:path>
                            <a:path w="5547360" h="6350">
                              <a:moveTo>
                                <a:pt x="2501087" y="0"/>
                              </a:moveTo>
                              <a:lnTo>
                                <a:pt x="1088085" y="0"/>
                              </a:lnTo>
                              <a:lnTo>
                                <a:pt x="1088085" y="6083"/>
                              </a:lnTo>
                              <a:lnTo>
                                <a:pt x="2501087" y="6083"/>
                              </a:lnTo>
                              <a:lnTo>
                                <a:pt x="2501087" y="0"/>
                              </a:lnTo>
                              <a:close/>
                            </a:path>
                            <a:path w="5547360" h="6350">
                              <a:moveTo>
                                <a:pt x="4568317" y="0"/>
                              </a:moveTo>
                              <a:lnTo>
                                <a:pt x="3813632" y="0"/>
                              </a:lnTo>
                              <a:lnTo>
                                <a:pt x="3807536" y="0"/>
                              </a:lnTo>
                              <a:lnTo>
                                <a:pt x="2507310" y="0"/>
                              </a:lnTo>
                              <a:lnTo>
                                <a:pt x="2501214" y="0"/>
                              </a:lnTo>
                              <a:lnTo>
                                <a:pt x="2501214" y="6083"/>
                              </a:lnTo>
                              <a:lnTo>
                                <a:pt x="2507310" y="6083"/>
                              </a:lnTo>
                              <a:lnTo>
                                <a:pt x="3807536" y="6083"/>
                              </a:lnTo>
                              <a:lnTo>
                                <a:pt x="3813632" y="6083"/>
                              </a:lnTo>
                              <a:lnTo>
                                <a:pt x="4568317" y="6083"/>
                              </a:lnTo>
                              <a:lnTo>
                                <a:pt x="4568317" y="0"/>
                              </a:lnTo>
                              <a:close/>
                            </a:path>
                            <a:path w="5547360" h="6350">
                              <a:moveTo>
                                <a:pt x="5547106" y="0"/>
                              </a:moveTo>
                              <a:lnTo>
                                <a:pt x="4574489" y="0"/>
                              </a:lnTo>
                              <a:lnTo>
                                <a:pt x="4568393" y="0"/>
                              </a:lnTo>
                              <a:lnTo>
                                <a:pt x="4568393" y="6083"/>
                              </a:lnTo>
                              <a:lnTo>
                                <a:pt x="4574489" y="6083"/>
                              </a:lnTo>
                              <a:lnTo>
                                <a:pt x="5547106" y="6083"/>
                              </a:lnTo>
                              <a:lnTo>
                                <a:pt x="55471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19.758007pt;width:436.8pt;height:.5pt;mso-position-horizontal-relative:page;mso-position-vertical-relative:paragraph;z-index:-15639552;mso-wrap-distance-left:0;mso-wrap-distance-right:0" id="docshape439" coordorigin="1332,395" coordsize="8736,10" path="m3046,395l3036,395,3036,395,1332,395,1332,405,3036,405,3036,405,3046,405,3046,395xm5271,395l3046,395,3046,405,5271,405,5271,395xm8527,395l7338,395,7329,395,5281,395,5271,395,5271,405,5281,405,7329,405,7338,405,8527,405,8527,395xm10068,395l8536,395,8527,395,8527,405,8536,405,10068,405,10068,395xe" filled="true" fillcolor="#000000" stroked="false">
                <v:path arrowok="t"/>
                <v:fill type="solid"/>
                <w10:wrap type="topAndBottom"/>
              </v:shape>
            </w:pict>
          </mc:Fallback>
        </mc:AlternateContent>
      </w:r>
    </w:p>
    <w:p>
      <w:pPr>
        <w:spacing w:after="0"/>
        <w:rPr>
          <w:sz w:val="20"/>
        </w:rPr>
        <w:sectPr>
          <w:type w:val="continuous"/>
          <w:pgSz w:w="11910" w:h="16840"/>
          <w:pgMar w:header="0" w:footer="1055" w:top="1400" w:bottom="1240" w:left="1060" w:right="460"/>
        </w:sect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2"/>
        <w:gridCol w:w="2123"/>
        <w:gridCol w:w="2235"/>
        <w:gridCol w:w="1382"/>
        <w:gridCol w:w="1391"/>
      </w:tblGrid>
      <w:tr>
        <w:trPr>
          <w:trHeight w:val="376" w:hRule="atLeast"/>
        </w:trPr>
        <w:tc>
          <w:tcPr>
            <w:tcW w:w="1602" w:type="dxa"/>
            <w:tcBorders>
              <w:top w:val="single" w:sz="4" w:space="0" w:color="000000"/>
            </w:tcBorders>
          </w:tcPr>
          <w:p>
            <w:pPr>
              <w:pStyle w:val="TableParagraph"/>
              <w:rPr>
                <w:rFonts w:ascii="Times New Roman"/>
                <w:sz w:val="22"/>
              </w:rPr>
            </w:pPr>
          </w:p>
        </w:tc>
        <w:tc>
          <w:tcPr>
            <w:tcW w:w="2123" w:type="dxa"/>
            <w:tcBorders>
              <w:top w:val="single" w:sz="4" w:space="0" w:color="000000"/>
            </w:tcBorders>
          </w:tcPr>
          <w:p>
            <w:pPr>
              <w:pStyle w:val="TableParagraph"/>
              <w:spacing w:line="265" w:lineRule="exact"/>
              <w:ind w:left="209"/>
              <w:rPr>
                <w:sz w:val="22"/>
              </w:rPr>
            </w:pPr>
            <w:r>
              <w:rPr>
                <w:spacing w:val="-5"/>
                <w:sz w:val="22"/>
              </w:rPr>
              <w:t>CRO</w:t>
            </w:r>
          </w:p>
        </w:tc>
        <w:tc>
          <w:tcPr>
            <w:tcW w:w="2235" w:type="dxa"/>
            <w:tcBorders>
              <w:top w:val="single" w:sz="4" w:space="0" w:color="000000"/>
            </w:tcBorders>
          </w:tcPr>
          <w:p>
            <w:pPr>
              <w:pStyle w:val="TableParagraph"/>
              <w:spacing w:line="265" w:lineRule="exact"/>
              <w:ind w:right="378"/>
              <w:jc w:val="right"/>
              <w:rPr>
                <w:sz w:val="22"/>
              </w:rPr>
            </w:pPr>
            <w:r>
              <w:rPr>
                <w:spacing w:val="-2"/>
                <w:sz w:val="22"/>
              </w:rPr>
              <w:t>18.500±2.473</w:t>
            </w:r>
          </w:p>
        </w:tc>
        <w:tc>
          <w:tcPr>
            <w:tcW w:w="1382" w:type="dxa"/>
            <w:tcBorders>
              <w:top w:val="single" w:sz="4" w:space="0" w:color="000000"/>
            </w:tcBorders>
          </w:tcPr>
          <w:p>
            <w:pPr>
              <w:pStyle w:val="TableParagraph"/>
              <w:spacing w:line="265" w:lineRule="exact"/>
              <w:ind w:right="112"/>
              <w:jc w:val="center"/>
              <w:rPr>
                <w:sz w:val="22"/>
              </w:rPr>
            </w:pPr>
            <w:r>
              <w:rPr>
                <w:spacing w:val="-2"/>
                <w:sz w:val="22"/>
              </w:rPr>
              <w:t>0.982</w:t>
            </w:r>
          </w:p>
        </w:tc>
        <w:tc>
          <w:tcPr>
            <w:tcW w:w="1391" w:type="dxa"/>
            <w:tcBorders>
              <w:top w:val="single" w:sz="4" w:space="0" w:color="000000"/>
            </w:tcBorders>
          </w:tcPr>
          <w:p>
            <w:pPr>
              <w:pStyle w:val="TableParagraph"/>
              <w:spacing w:line="265" w:lineRule="exact"/>
              <w:ind w:right="146"/>
              <w:jc w:val="center"/>
              <w:rPr>
                <w:sz w:val="22"/>
              </w:rPr>
            </w:pPr>
            <w:r>
              <w:rPr>
                <w:spacing w:val="-5"/>
                <w:sz w:val="22"/>
              </w:rPr>
              <w:t>NS</w:t>
            </w:r>
          </w:p>
        </w:tc>
      </w:tr>
      <w:tr>
        <w:trPr>
          <w:trHeight w:val="450" w:hRule="atLeast"/>
        </w:trPr>
        <w:tc>
          <w:tcPr>
            <w:tcW w:w="1602" w:type="dxa"/>
          </w:tcPr>
          <w:p>
            <w:pPr>
              <w:pStyle w:val="TableParagraph"/>
              <w:rPr>
                <w:rFonts w:ascii="Times New Roman"/>
                <w:sz w:val="22"/>
              </w:rPr>
            </w:pPr>
          </w:p>
        </w:tc>
        <w:tc>
          <w:tcPr>
            <w:tcW w:w="2123" w:type="dxa"/>
          </w:tcPr>
          <w:p>
            <w:pPr>
              <w:pStyle w:val="TableParagraph"/>
              <w:spacing w:before="71"/>
              <w:ind w:left="209"/>
              <w:rPr>
                <w:sz w:val="22"/>
              </w:rPr>
            </w:pPr>
            <w:r>
              <w:rPr>
                <w:spacing w:val="-5"/>
                <w:sz w:val="22"/>
              </w:rPr>
              <w:t>CN</w:t>
            </w:r>
          </w:p>
        </w:tc>
        <w:tc>
          <w:tcPr>
            <w:tcW w:w="2235" w:type="dxa"/>
          </w:tcPr>
          <w:p>
            <w:pPr>
              <w:pStyle w:val="TableParagraph"/>
              <w:spacing w:before="71"/>
              <w:ind w:right="378"/>
              <w:jc w:val="right"/>
              <w:rPr>
                <w:sz w:val="22"/>
              </w:rPr>
            </w:pPr>
            <w:r>
              <w:rPr>
                <w:spacing w:val="-2"/>
                <w:sz w:val="22"/>
              </w:rPr>
              <w:t>20.167±1.887</w:t>
            </w:r>
          </w:p>
        </w:tc>
        <w:tc>
          <w:tcPr>
            <w:tcW w:w="1382" w:type="dxa"/>
          </w:tcPr>
          <w:p>
            <w:pPr>
              <w:pStyle w:val="TableParagraph"/>
              <w:spacing w:before="71"/>
              <w:ind w:right="112"/>
              <w:jc w:val="center"/>
              <w:rPr>
                <w:sz w:val="22"/>
              </w:rPr>
            </w:pPr>
            <w:r>
              <w:rPr>
                <w:spacing w:val="-2"/>
                <w:sz w:val="22"/>
              </w:rPr>
              <w:t>1.000</w:t>
            </w:r>
          </w:p>
        </w:tc>
        <w:tc>
          <w:tcPr>
            <w:tcW w:w="1391" w:type="dxa"/>
          </w:tcPr>
          <w:p>
            <w:pPr>
              <w:pStyle w:val="TableParagraph"/>
              <w:spacing w:before="71"/>
              <w:ind w:right="146"/>
              <w:jc w:val="center"/>
              <w:rPr>
                <w:sz w:val="22"/>
              </w:rPr>
            </w:pPr>
            <w:r>
              <w:rPr>
                <w:spacing w:val="-5"/>
                <w:sz w:val="22"/>
              </w:rPr>
              <w:t>NS</w:t>
            </w:r>
          </w:p>
        </w:tc>
      </w:tr>
      <w:tr>
        <w:trPr>
          <w:trHeight w:val="448" w:hRule="atLeast"/>
        </w:trPr>
        <w:tc>
          <w:tcPr>
            <w:tcW w:w="1602" w:type="dxa"/>
          </w:tcPr>
          <w:p>
            <w:pPr>
              <w:pStyle w:val="TableParagraph"/>
              <w:rPr>
                <w:rFonts w:ascii="Times New Roman"/>
                <w:sz w:val="22"/>
              </w:rPr>
            </w:pPr>
          </w:p>
        </w:tc>
        <w:tc>
          <w:tcPr>
            <w:tcW w:w="2123" w:type="dxa"/>
          </w:tcPr>
          <w:p>
            <w:pPr>
              <w:pStyle w:val="TableParagraph"/>
              <w:spacing w:before="70"/>
              <w:ind w:left="209"/>
              <w:rPr>
                <w:sz w:val="22"/>
              </w:rPr>
            </w:pPr>
            <w:r>
              <w:rPr>
                <w:spacing w:val="-5"/>
                <w:sz w:val="22"/>
              </w:rPr>
              <w:t>AMC</w:t>
            </w:r>
          </w:p>
        </w:tc>
        <w:tc>
          <w:tcPr>
            <w:tcW w:w="2235" w:type="dxa"/>
          </w:tcPr>
          <w:p>
            <w:pPr>
              <w:pStyle w:val="TableParagraph"/>
              <w:spacing w:before="70"/>
              <w:ind w:right="378"/>
              <w:jc w:val="right"/>
              <w:rPr>
                <w:sz w:val="22"/>
              </w:rPr>
            </w:pPr>
            <w:r>
              <w:rPr>
                <w:spacing w:val="-2"/>
                <w:sz w:val="22"/>
              </w:rPr>
              <w:t>14.667±2.216</w:t>
            </w:r>
          </w:p>
        </w:tc>
        <w:tc>
          <w:tcPr>
            <w:tcW w:w="1382" w:type="dxa"/>
          </w:tcPr>
          <w:p>
            <w:pPr>
              <w:pStyle w:val="TableParagraph"/>
              <w:spacing w:before="70"/>
              <w:ind w:right="112"/>
              <w:jc w:val="center"/>
              <w:rPr>
                <w:sz w:val="22"/>
              </w:rPr>
            </w:pPr>
            <w:r>
              <w:rPr>
                <w:spacing w:val="-2"/>
                <w:sz w:val="22"/>
              </w:rPr>
              <w:t>0.205</w:t>
            </w:r>
          </w:p>
        </w:tc>
        <w:tc>
          <w:tcPr>
            <w:tcW w:w="1391" w:type="dxa"/>
          </w:tcPr>
          <w:p>
            <w:pPr>
              <w:pStyle w:val="TableParagraph"/>
              <w:spacing w:before="70"/>
              <w:ind w:right="146"/>
              <w:jc w:val="center"/>
              <w:rPr>
                <w:sz w:val="22"/>
              </w:rPr>
            </w:pPr>
            <w:r>
              <w:rPr>
                <w:spacing w:val="-5"/>
                <w:sz w:val="22"/>
              </w:rPr>
              <w:t>NS</w:t>
            </w:r>
          </w:p>
        </w:tc>
      </w:tr>
      <w:tr>
        <w:trPr>
          <w:trHeight w:val="450" w:hRule="atLeast"/>
        </w:trPr>
        <w:tc>
          <w:tcPr>
            <w:tcW w:w="1602" w:type="dxa"/>
          </w:tcPr>
          <w:p>
            <w:pPr>
              <w:pStyle w:val="TableParagraph"/>
              <w:spacing w:before="70"/>
              <w:ind w:left="108"/>
              <w:rPr>
                <w:sz w:val="22"/>
              </w:rPr>
            </w:pPr>
            <w:r>
              <w:rPr>
                <w:sz w:val="22"/>
              </w:rPr>
              <w:t>Lemon</w:t>
            </w:r>
            <w:r>
              <w:rPr>
                <w:spacing w:val="-6"/>
                <w:sz w:val="22"/>
              </w:rPr>
              <w:t> </w:t>
            </w:r>
            <w:r>
              <w:rPr>
                <w:spacing w:val="-2"/>
                <w:sz w:val="22"/>
              </w:rPr>
              <w:t>(100%)</w:t>
            </w:r>
          </w:p>
        </w:tc>
        <w:tc>
          <w:tcPr>
            <w:tcW w:w="2123" w:type="dxa"/>
          </w:tcPr>
          <w:p>
            <w:pPr>
              <w:pStyle w:val="TableParagraph"/>
              <w:spacing w:before="70"/>
              <w:ind w:left="209"/>
              <w:rPr>
                <w:sz w:val="22"/>
              </w:rPr>
            </w:pPr>
            <w:r>
              <w:rPr>
                <w:spacing w:val="-5"/>
                <w:sz w:val="22"/>
              </w:rPr>
              <w:t>LEV</w:t>
            </w:r>
          </w:p>
        </w:tc>
        <w:tc>
          <w:tcPr>
            <w:tcW w:w="2235" w:type="dxa"/>
          </w:tcPr>
          <w:p>
            <w:pPr>
              <w:pStyle w:val="TableParagraph"/>
              <w:spacing w:before="70"/>
              <w:ind w:right="378"/>
              <w:jc w:val="right"/>
              <w:rPr>
                <w:sz w:val="22"/>
              </w:rPr>
            </w:pPr>
            <w:r>
              <w:rPr>
                <w:spacing w:val="-2"/>
                <w:sz w:val="22"/>
              </w:rPr>
              <w:t>18.833±2.151</w:t>
            </w:r>
          </w:p>
        </w:tc>
        <w:tc>
          <w:tcPr>
            <w:tcW w:w="1382" w:type="dxa"/>
          </w:tcPr>
          <w:p>
            <w:pPr>
              <w:pStyle w:val="TableParagraph"/>
              <w:spacing w:before="70"/>
              <w:ind w:right="112"/>
              <w:jc w:val="center"/>
              <w:rPr>
                <w:sz w:val="22"/>
              </w:rPr>
            </w:pPr>
            <w:r>
              <w:rPr>
                <w:spacing w:val="-2"/>
                <w:sz w:val="22"/>
              </w:rPr>
              <w:t>0.993</w:t>
            </w:r>
          </w:p>
        </w:tc>
        <w:tc>
          <w:tcPr>
            <w:tcW w:w="1391" w:type="dxa"/>
          </w:tcPr>
          <w:p>
            <w:pPr>
              <w:pStyle w:val="TableParagraph"/>
              <w:spacing w:before="70"/>
              <w:ind w:right="146"/>
              <w:jc w:val="center"/>
              <w:rPr>
                <w:sz w:val="22"/>
              </w:rPr>
            </w:pPr>
            <w:r>
              <w:rPr>
                <w:spacing w:val="-5"/>
                <w:sz w:val="22"/>
              </w:rPr>
              <w:t>NS</w:t>
            </w:r>
          </w:p>
        </w:tc>
      </w:tr>
      <w:tr>
        <w:trPr>
          <w:trHeight w:val="450" w:hRule="atLeast"/>
        </w:trPr>
        <w:tc>
          <w:tcPr>
            <w:tcW w:w="1602" w:type="dxa"/>
          </w:tcPr>
          <w:p>
            <w:pPr>
              <w:pStyle w:val="TableParagraph"/>
              <w:rPr>
                <w:rFonts w:ascii="Times New Roman"/>
                <w:sz w:val="22"/>
              </w:rPr>
            </w:pPr>
          </w:p>
        </w:tc>
        <w:tc>
          <w:tcPr>
            <w:tcW w:w="2123" w:type="dxa"/>
          </w:tcPr>
          <w:p>
            <w:pPr>
              <w:pStyle w:val="TableParagraph"/>
              <w:spacing w:before="71"/>
              <w:ind w:left="209"/>
              <w:rPr>
                <w:sz w:val="22"/>
              </w:rPr>
            </w:pPr>
            <w:r>
              <w:rPr>
                <w:spacing w:val="-5"/>
                <w:sz w:val="22"/>
              </w:rPr>
              <w:t>AZM</w:t>
            </w:r>
          </w:p>
        </w:tc>
        <w:tc>
          <w:tcPr>
            <w:tcW w:w="2235" w:type="dxa"/>
          </w:tcPr>
          <w:p>
            <w:pPr>
              <w:pStyle w:val="TableParagraph"/>
              <w:spacing w:before="71"/>
              <w:ind w:right="378"/>
              <w:jc w:val="right"/>
              <w:rPr>
                <w:sz w:val="22"/>
              </w:rPr>
            </w:pPr>
            <w:r>
              <w:rPr>
                <w:spacing w:val="-2"/>
                <w:sz w:val="22"/>
              </w:rPr>
              <w:t>15.667±1.430</w:t>
            </w:r>
          </w:p>
        </w:tc>
        <w:tc>
          <w:tcPr>
            <w:tcW w:w="1382" w:type="dxa"/>
          </w:tcPr>
          <w:p>
            <w:pPr>
              <w:pStyle w:val="TableParagraph"/>
              <w:spacing w:before="71"/>
              <w:ind w:right="112"/>
              <w:jc w:val="center"/>
              <w:rPr>
                <w:sz w:val="22"/>
              </w:rPr>
            </w:pPr>
            <w:r>
              <w:rPr>
                <w:spacing w:val="-2"/>
                <w:sz w:val="22"/>
              </w:rPr>
              <w:t>0.418</w:t>
            </w:r>
          </w:p>
        </w:tc>
        <w:tc>
          <w:tcPr>
            <w:tcW w:w="1391" w:type="dxa"/>
          </w:tcPr>
          <w:p>
            <w:pPr>
              <w:pStyle w:val="TableParagraph"/>
              <w:spacing w:before="71"/>
              <w:ind w:right="146"/>
              <w:jc w:val="center"/>
              <w:rPr>
                <w:sz w:val="22"/>
              </w:rPr>
            </w:pPr>
            <w:r>
              <w:rPr>
                <w:spacing w:val="-5"/>
                <w:sz w:val="22"/>
              </w:rPr>
              <w:t>NS</w:t>
            </w:r>
          </w:p>
        </w:tc>
      </w:tr>
      <w:tr>
        <w:trPr>
          <w:trHeight w:val="450" w:hRule="atLeast"/>
        </w:trPr>
        <w:tc>
          <w:tcPr>
            <w:tcW w:w="1602" w:type="dxa"/>
          </w:tcPr>
          <w:p>
            <w:pPr>
              <w:pStyle w:val="TableParagraph"/>
              <w:rPr>
                <w:rFonts w:ascii="Times New Roman"/>
                <w:sz w:val="22"/>
              </w:rPr>
            </w:pPr>
          </w:p>
        </w:tc>
        <w:tc>
          <w:tcPr>
            <w:tcW w:w="2123" w:type="dxa"/>
          </w:tcPr>
          <w:p>
            <w:pPr>
              <w:pStyle w:val="TableParagraph"/>
              <w:spacing w:before="70"/>
              <w:ind w:left="209"/>
              <w:rPr>
                <w:sz w:val="22"/>
              </w:rPr>
            </w:pPr>
            <w:r>
              <w:rPr>
                <w:sz w:val="22"/>
              </w:rPr>
              <w:t>Lemon</w:t>
            </w:r>
            <w:r>
              <w:rPr>
                <w:spacing w:val="-4"/>
                <w:sz w:val="22"/>
              </w:rPr>
              <w:t> </w:t>
            </w:r>
            <w:r>
              <w:rPr>
                <w:spacing w:val="-2"/>
                <w:sz w:val="22"/>
              </w:rPr>
              <w:t>(50%)</w:t>
            </w:r>
          </w:p>
        </w:tc>
        <w:tc>
          <w:tcPr>
            <w:tcW w:w="2235" w:type="dxa"/>
          </w:tcPr>
          <w:p>
            <w:pPr>
              <w:pStyle w:val="TableParagraph"/>
              <w:spacing w:before="70"/>
              <w:ind w:right="378"/>
              <w:jc w:val="right"/>
              <w:rPr>
                <w:sz w:val="22"/>
              </w:rPr>
            </w:pPr>
            <w:r>
              <w:rPr>
                <w:spacing w:val="-2"/>
                <w:sz w:val="22"/>
              </w:rPr>
              <w:t>17.833±0.543</w:t>
            </w:r>
          </w:p>
        </w:tc>
        <w:tc>
          <w:tcPr>
            <w:tcW w:w="1382" w:type="dxa"/>
          </w:tcPr>
          <w:p>
            <w:pPr>
              <w:pStyle w:val="TableParagraph"/>
              <w:spacing w:before="70"/>
              <w:ind w:right="112"/>
              <w:jc w:val="center"/>
              <w:rPr>
                <w:sz w:val="22"/>
              </w:rPr>
            </w:pPr>
            <w:r>
              <w:rPr>
                <w:spacing w:val="-2"/>
                <w:sz w:val="22"/>
              </w:rPr>
              <w:t>0.926</w:t>
            </w:r>
          </w:p>
        </w:tc>
        <w:tc>
          <w:tcPr>
            <w:tcW w:w="1391" w:type="dxa"/>
          </w:tcPr>
          <w:p>
            <w:pPr>
              <w:pStyle w:val="TableParagraph"/>
              <w:spacing w:before="70"/>
              <w:ind w:right="146"/>
              <w:jc w:val="center"/>
              <w:rPr>
                <w:sz w:val="22"/>
              </w:rPr>
            </w:pPr>
            <w:r>
              <w:rPr>
                <w:spacing w:val="-5"/>
                <w:sz w:val="22"/>
              </w:rPr>
              <w:t>NS</w:t>
            </w:r>
          </w:p>
        </w:tc>
      </w:tr>
      <w:tr>
        <w:trPr>
          <w:trHeight w:val="522" w:hRule="atLeast"/>
        </w:trPr>
        <w:tc>
          <w:tcPr>
            <w:tcW w:w="1602" w:type="dxa"/>
            <w:tcBorders>
              <w:bottom w:val="single" w:sz="4" w:space="0" w:color="000000"/>
            </w:tcBorders>
          </w:tcPr>
          <w:p>
            <w:pPr>
              <w:pStyle w:val="TableParagraph"/>
              <w:rPr>
                <w:rFonts w:ascii="Times New Roman"/>
                <w:sz w:val="22"/>
              </w:rPr>
            </w:pPr>
          </w:p>
        </w:tc>
        <w:tc>
          <w:tcPr>
            <w:tcW w:w="2123" w:type="dxa"/>
            <w:tcBorders>
              <w:bottom w:val="single" w:sz="4" w:space="0" w:color="000000"/>
            </w:tcBorders>
          </w:tcPr>
          <w:p>
            <w:pPr>
              <w:pStyle w:val="TableParagraph"/>
              <w:spacing w:before="71"/>
              <w:ind w:left="209"/>
              <w:rPr>
                <w:sz w:val="22"/>
              </w:rPr>
            </w:pPr>
            <w:r>
              <w:rPr>
                <w:sz w:val="22"/>
              </w:rPr>
              <w:t>Lemon</w:t>
            </w:r>
            <w:r>
              <w:rPr>
                <w:spacing w:val="-4"/>
                <w:sz w:val="22"/>
              </w:rPr>
              <w:t> </w:t>
            </w:r>
            <w:r>
              <w:rPr>
                <w:spacing w:val="-2"/>
                <w:sz w:val="22"/>
              </w:rPr>
              <w:t>(25%)</w:t>
            </w:r>
          </w:p>
        </w:tc>
        <w:tc>
          <w:tcPr>
            <w:tcW w:w="2235" w:type="dxa"/>
            <w:tcBorders>
              <w:bottom w:val="single" w:sz="4" w:space="0" w:color="000000"/>
            </w:tcBorders>
          </w:tcPr>
          <w:p>
            <w:pPr>
              <w:pStyle w:val="TableParagraph"/>
              <w:spacing w:before="71"/>
              <w:ind w:right="378"/>
              <w:jc w:val="right"/>
              <w:rPr>
                <w:sz w:val="22"/>
              </w:rPr>
            </w:pPr>
            <w:r>
              <w:rPr>
                <w:spacing w:val="-2"/>
                <w:sz w:val="22"/>
              </w:rPr>
              <w:t>15.333±0.558</w:t>
            </w:r>
          </w:p>
        </w:tc>
        <w:tc>
          <w:tcPr>
            <w:tcW w:w="1382" w:type="dxa"/>
            <w:tcBorders>
              <w:bottom w:val="single" w:sz="4" w:space="0" w:color="000000"/>
            </w:tcBorders>
          </w:tcPr>
          <w:p>
            <w:pPr>
              <w:pStyle w:val="TableParagraph"/>
              <w:spacing w:before="71"/>
              <w:ind w:right="112"/>
              <w:jc w:val="center"/>
              <w:rPr>
                <w:sz w:val="22"/>
              </w:rPr>
            </w:pPr>
            <w:r>
              <w:rPr>
                <w:spacing w:val="-2"/>
                <w:sz w:val="22"/>
              </w:rPr>
              <w:t>0.337</w:t>
            </w:r>
          </w:p>
        </w:tc>
        <w:tc>
          <w:tcPr>
            <w:tcW w:w="1391" w:type="dxa"/>
            <w:tcBorders>
              <w:bottom w:val="single" w:sz="4" w:space="0" w:color="000000"/>
            </w:tcBorders>
          </w:tcPr>
          <w:p>
            <w:pPr>
              <w:pStyle w:val="TableParagraph"/>
              <w:spacing w:before="71"/>
              <w:ind w:right="146"/>
              <w:jc w:val="center"/>
              <w:rPr>
                <w:sz w:val="22"/>
              </w:rPr>
            </w:pPr>
            <w:r>
              <w:rPr>
                <w:spacing w:val="-5"/>
                <w:sz w:val="22"/>
              </w:rPr>
              <w:t>NS</w:t>
            </w:r>
          </w:p>
        </w:tc>
      </w:tr>
      <w:tr>
        <w:trPr>
          <w:trHeight w:val="376" w:hRule="atLeast"/>
        </w:trPr>
        <w:tc>
          <w:tcPr>
            <w:tcW w:w="1602" w:type="dxa"/>
            <w:tcBorders>
              <w:top w:val="single" w:sz="4" w:space="0" w:color="000000"/>
            </w:tcBorders>
          </w:tcPr>
          <w:p>
            <w:pPr>
              <w:pStyle w:val="TableParagraph"/>
              <w:rPr>
                <w:rFonts w:ascii="Times New Roman"/>
                <w:sz w:val="22"/>
              </w:rPr>
            </w:pPr>
          </w:p>
        </w:tc>
        <w:tc>
          <w:tcPr>
            <w:tcW w:w="2123" w:type="dxa"/>
            <w:tcBorders>
              <w:top w:val="single" w:sz="4" w:space="0" w:color="000000"/>
            </w:tcBorders>
          </w:tcPr>
          <w:p>
            <w:pPr>
              <w:pStyle w:val="TableParagraph"/>
              <w:spacing w:line="265" w:lineRule="exact"/>
              <w:ind w:left="209"/>
              <w:rPr>
                <w:sz w:val="22"/>
              </w:rPr>
            </w:pPr>
            <w:r>
              <w:rPr>
                <w:spacing w:val="-5"/>
                <w:sz w:val="22"/>
              </w:rPr>
              <w:t>CRO</w:t>
            </w:r>
          </w:p>
        </w:tc>
        <w:tc>
          <w:tcPr>
            <w:tcW w:w="2235" w:type="dxa"/>
            <w:tcBorders>
              <w:top w:val="single" w:sz="4" w:space="0" w:color="000000"/>
            </w:tcBorders>
          </w:tcPr>
          <w:p>
            <w:pPr>
              <w:pStyle w:val="TableParagraph"/>
              <w:spacing w:line="265" w:lineRule="exact"/>
              <w:ind w:right="378"/>
              <w:jc w:val="right"/>
              <w:rPr>
                <w:sz w:val="22"/>
              </w:rPr>
            </w:pPr>
            <w:r>
              <w:rPr>
                <w:spacing w:val="-2"/>
                <w:sz w:val="22"/>
              </w:rPr>
              <w:t>18.500±2.473</w:t>
            </w:r>
          </w:p>
        </w:tc>
        <w:tc>
          <w:tcPr>
            <w:tcW w:w="1382" w:type="dxa"/>
            <w:tcBorders>
              <w:top w:val="single" w:sz="4" w:space="0" w:color="000000"/>
            </w:tcBorders>
          </w:tcPr>
          <w:p>
            <w:pPr>
              <w:pStyle w:val="TableParagraph"/>
              <w:spacing w:line="265" w:lineRule="exact"/>
              <w:ind w:right="112"/>
              <w:jc w:val="center"/>
              <w:rPr>
                <w:sz w:val="22"/>
              </w:rPr>
            </w:pPr>
            <w:r>
              <w:rPr>
                <w:spacing w:val="-2"/>
                <w:sz w:val="22"/>
              </w:rPr>
              <w:t>1.000</w:t>
            </w:r>
          </w:p>
        </w:tc>
        <w:tc>
          <w:tcPr>
            <w:tcW w:w="1391" w:type="dxa"/>
            <w:tcBorders>
              <w:top w:val="single" w:sz="4" w:space="0" w:color="000000"/>
            </w:tcBorders>
          </w:tcPr>
          <w:p>
            <w:pPr>
              <w:pStyle w:val="TableParagraph"/>
              <w:spacing w:line="265" w:lineRule="exact"/>
              <w:ind w:right="146"/>
              <w:jc w:val="center"/>
              <w:rPr>
                <w:sz w:val="22"/>
              </w:rPr>
            </w:pPr>
            <w:r>
              <w:rPr>
                <w:spacing w:val="-5"/>
                <w:sz w:val="22"/>
              </w:rPr>
              <w:t>NS</w:t>
            </w:r>
          </w:p>
        </w:tc>
      </w:tr>
      <w:tr>
        <w:trPr>
          <w:trHeight w:val="450" w:hRule="atLeast"/>
        </w:trPr>
        <w:tc>
          <w:tcPr>
            <w:tcW w:w="1602" w:type="dxa"/>
          </w:tcPr>
          <w:p>
            <w:pPr>
              <w:pStyle w:val="TableParagraph"/>
              <w:rPr>
                <w:rFonts w:ascii="Times New Roman"/>
                <w:sz w:val="22"/>
              </w:rPr>
            </w:pPr>
          </w:p>
        </w:tc>
        <w:tc>
          <w:tcPr>
            <w:tcW w:w="2123" w:type="dxa"/>
          </w:tcPr>
          <w:p>
            <w:pPr>
              <w:pStyle w:val="TableParagraph"/>
              <w:spacing w:before="71"/>
              <w:ind w:left="209"/>
              <w:rPr>
                <w:sz w:val="22"/>
              </w:rPr>
            </w:pPr>
            <w:r>
              <w:rPr>
                <w:spacing w:val="-5"/>
                <w:sz w:val="22"/>
              </w:rPr>
              <w:t>CN</w:t>
            </w:r>
          </w:p>
        </w:tc>
        <w:tc>
          <w:tcPr>
            <w:tcW w:w="2235" w:type="dxa"/>
          </w:tcPr>
          <w:p>
            <w:pPr>
              <w:pStyle w:val="TableParagraph"/>
              <w:spacing w:before="71"/>
              <w:ind w:right="378"/>
              <w:jc w:val="right"/>
              <w:rPr>
                <w:sz w:val="22"/>
              </w:rPr>
            </w:pPr>
            <w:r>
              <w:rPr>
                <w:spacing w:val="-2"/>
                <w:sz w:val="22"/>
              </w:rPr>
              <w:t>20.167±1.887</w:t>
            </w:r>
          </w:p>
        </w:tc>
        <w:tc>
          <w:tcPr>
            <w:tcW w:w="1382" w:type="dxa"/>
          </w:tcPr>
          <w:p>
            <w:pPr>
              <w:pStyle w:val="TableParagraph"/>
              <w:spacing w:before="71"/>
              <w:ind w:right="112"/>
              <w:jc w:val="center"/>
              <w:rPr>
                <w:sz w:val="22"/>
              </w:rPr>
            </w:pPr>
            <w:r>
              <w:rPr>
                <w:spacing w:val="-2"/>
                <w:sz w:val="22"/>
              </w:rPr>
              <w:t>0.973</w:t>
            </w:r>
          </w:p>
        </w:tc>
        <w:tc>
          <w:tcPr>
            <w:tcW w:w="1391" w:type="dxa"/>
          </w:tcPr>
          <w:p>
            <w:pPr>
              <w:pStyle w:val="TableParagraph"/>
              <w:spacing w:before="71"/>
              <w:ind w:right="146"/>
              <w:jc w:val="center"/>
              <w:rPr>
                <w:sz w:val="22"/>
              </w:rPr>
            </w:pPr>
            <w:r>
              <w:rPr>
                <w:spacing w:val="-5"/>
                <w:sz w:val="22"/>
              </w:rPr>
              <w:t>NS</w:t>
            </w:r>
          </w:p>
        </w:tc>
      </w:tr>
      <w:tr>
        <w:trPr>
          <w:trHeight w:val="450" w:hRule="atLeast"/>
        </w:trPr>
        <w:tc>
          <w:tcPr>
            <w:tcW w:w="1602" w:type="dxa"/>
          </w:tcPr>
          <w:p>
            <w:pPr>
              <w:pStyle w:val="TableParagraph"/>
              <w:rPr>
                <w:rFonts w:ascii="Times New Roman"/>
                <w:sz w:val="22"/>
              </w:rPr>
            </w:pPr>
          </w:p>
        </w:tc>
        <w:tc>
          <w:tcPr>
            <w:tcW w:w="2123" w:type="dxa"/>
          </w:tcPr>
          <w:p>
            <w:pPr>
              <w:pStyle w:val="TableParagraph"/>
              <w:spacing w:before="70"/>
              <w:ind w:left="209"/>
              <w:rPr>
                <w:sz w:val="22"/>
              </w:rPr>
            </w:pPr>
            <w:r>
              <w:rPr>
                <w:spacing w:val="-5"/>
                <w:sz w:val="22"/>
              </w:rPr>
              <w:t>AMC</w:t>
            </w:r>
          </w:p>
        </w:tc>
        <w:tc>
          <w:tcPr>
            <w:tcW w:w="2235" w:type="dxa"/>
          </w:tcPr>
          <w:p>
            <w:pPr>
              <w:pStyle w:val="TableParagraph"/>
              <w:spacing w:before="70"/>
              <w:ind w:right="378"/>
              <w:jc w:val="right"/>
              <w:rPr>
                <w:sz w:val="22"/>
              </w:rPr>
            </w:pPr>
            <w:r>
              <w:rPr>
                <w:spacing w:val="-2"/>
                <w:sz w:val="22"/>
              </w:rPr>
              <w:t>14.667±2.216</w:t>
            </w:r>
          </w:p>
        </w:tc>
        <w:tc>
          <w:tcPr>
            <w:tcW w:w="1382" w:type="dxa"/>
          </w:tcPr>
          <w:p>
            <w:pPr>
              <w:pStyle w:val="TableParagraph"/>
              <w:spacing w:before="70"/>
              <w:ind w:right="112"/>
              <w:jc w:val="center"/>
              <w:rPr>
                <w:sz w:val="22"/>
              </w:rPr>
            </w:pPr>
            <w:r>
              <w:rPr>
                <w:spacing w:val="-2"/>
                <w:sz w:val="22"/>
              </w:rPr>
              <w:t>0.876</w:t>
            </w:r>
          </w:p>
        </w:tc>
        <w:tc>
          <w:tcPr>
            <w:tcW w:w="1391" w:type="dxa"/>
          </w:tcPr>
          <w:p>
            <w:pPr>
              <w:pStyle w:val="TableParagraph"/>
              <w:spacing w:before="70"/>
              <w:ind w:right="146"/>
              <w:jc w:val="center"/>
              <w:rPr>
                <w:sz w:val="22"/>
              </w:rPr>
            </w:pPr>
            <w:r>
              <w:rPr>
                <w:spacing w:val="-5"/>
                <w:sz w:val="22"/>
              </w:rPr>
              <w:t>NS</w:t>
            </w:r>
          </w:p>
        </w:tc>
      </w:tr>
      <w:tr>
        <w:trPr>
          <w:trHeight w:val="450" w:hRule="atLeast"/>
        </w:trPr>
        <w:tc>
          <w:tcPr>
            <w:tcW w:w="1602" w:type="dxa"/>
          </w:tcPr>
          <w:p>
            <w:pPr>
              <w:pStyle w:val="TableParagraph"/>
              <w:spacing w:before="71"/>
              <w:ind w:left="108"/>
              <w:rPr>
                <w:sz w:val="22"/>
              </w:rPr>
            </w:pPr>
            <w:r>
              <w:rPr>
                <w:sz w:val="22"/>
              </w:rPr>
              <w:t>Lemon</w:t>
            </w:r>
            <w:r>
              <w:rPr>
                <w:spacing w:val="-4"/>
                <w:sz w:val="22"/>
              </w:rPr>
              <w:t> </w:t>
            </w:r>
            <w:r>
              <w:rPr>
                <w:spacing w:val="-2"/>
                <w:sz w:val="22"/>
              </w:rPr>
              <w:t>(50%)</w:t>
            </w:r>
          </w:p>
        </w:tc>
        <w:tc>
          <w:tcPr>
            <w:tcW w:w="2123" w:type="dxa"/>
          </w:tcPr>
          <w:p>
            <w:pPr>
              <w:pStyle w:val="TableParagraph"/>
              <w:spacing w:before="71"/>
              <w:ind w:left="209"/>
              <w:rPr>
                <w:sz w:val="22"/>
              </w:rPr>
            </w:pPr>
            <w:r>
              <w:rPr>
                <w:spacing w:val="-5"/>
                <w:sz w:val="22"/>
              </w:rPr>
              <w:t>LEV</w:t>
            </w:r>
          </w:p>
        </w:tc>
        <w:tc>
          <w:tcPr>
            <w:tcW w:w="2235" w:type="dxa"/>
          </w:tcPr>
          <w:p>
            <w:pPr>
              <w:pStyle w:val="TableParagraph"/>
              <w:spacing w:before="71"/>
              <w:ind w:right="378"/>
              <w:jc w:val="right"/>
              <w:rPr>
                <w:sz w:val="22"/>
              </w:rPr>
            </w:pPr>
            <w:r>
              <w:rPr>
                <w:spacing w:val="-2"/>
                <w:sz w:val="22"/>
              </w:rPr>
              <w:t>18.833±2.151</w:t>
            </w:r>
          </w:p>
        </w:tc>
        <w:tc>
          <w:tcPr>
            <w:tcW w:w="1382" w:type="dxa"/>
          </w:tcPr>
          <w:p>
            <w:pPr>
              <w:pStyle w:val="TableParagraph"/>
              <w:spacing w:before="71"/>
              <w:ind w:right="112"/>
              <w:jc w:val="center"/>
              <w:rPr>
                <w:sz w:val="22"/>
              </w:rPr>
            </w:pPr>
            <w:r>
              <w:rPr>
                <w:spacing w:val="-2"/>
                <w:sz w:val="22"/>
              </w:rPr>
              <w:t>1.000</w:t>
            </w:r>
          </w:p>
        </w:tc>
        <w:tc>
          <w:tcPr>
            <w:tcW w:w="1391" w:type="dxa"/>
          </w:tcPr>
          <w:p>
            <w:pPr>
              <w:pStyle w:val="TableParagraph"/>
              <w:spacing w:before="71"/>
              <w:ind w:right="146"/>
              <w:jc w:val="center"/>
              <w:rPr>
                <w:sz w:val="22"/>
              </w:rPr>
            </w:pPr>
            <w:r>
              <w:rPr>
                <w:spacing w:val="-5"/>
                <w:sz w:val="22"/>
              </w:rPr>
              <w:t>NS</w:t>
            </w:r>
          </w:p>
        </w:tc>
      </w:tr>
      <w:tr>
        <w:trPr>
          <w:trHeight w:val="448" w:hRule="atLeast"/>
        </w:trPr>
        <w:tc>
          <w:tcPr>
            <w:tcW w:w="1602" w:type="dxa"/>
          </w:tcPr>
          <w:p>
            <w:pPr>
              <w:pStyle w:val="TableParagraph"/>
              <w:rPr>
                <w:rFonts w:ascii="Times New Roman"/>
                <w:sz w:val="22"/>
              </w:rPr>
            </w:pPr>
          </w:p>
        </w:tc>
        <w:tc>
          <w:tcPr>
            <w:tcW w:w="2123" w:type="dxa"/>
          </w:tcPr>
          <w:p>
            <w:pPr>
              <w:pStyle w:val="TableParagraph"/>
              <w:spacing w:before="70"/>
              <w:ind w:left="209"/>
              <w:rPr>
                <w:sz w:val="22"/>
              </w:rPr>
            </w:pPr>
            <w:r>
              <w:rPr>
                <w:spacing w:val="-5"/>
                <w:sz w:val="22"/>
              </w:rPr>
              <w:t>AZM</w:t>
            </w:r>
          </w:p>
        </w:tc>
        <w:tc>
          <w:tcPr>
            <w:tcW w:w="2235" w:type="dxa"/>
          </w:tcPr>
          <w:p>
            <w:pPr>
              <w:pStyle w:val="TableParagraph"/>
              <w:spacing w:before="70"/>
              <w:ind w:right="378"/>
              <w:jc w:val="right"/>
              <w:rPr>
                <w:sz w:val="22"/>
              </w:rPr>
            </w:pPr>
            <w:r>
              <w:rPr>
                <w:spacing w:val="-2"/>
                <w:sz w:val="22"/>
              </w:rPr>
              <w:t>15.667±1.430</w:t>
            </w:r>
          </w:p>
        </w:tc>
        <w:tc>
          <w:tcPr>
            <w:tcW w:w="1382" w:type="dxa"/>
          </w:tcPr>
          <w:p>
            <w:pPr>
              <w:pStyle w:val="TableParagraph"/>
              <w:spacing w:before="70"/>
              <w:ind w:right="112"/>
              <w:jc w:val="center"/>
              <w:rPr>
                <w:sz w:val="22"/>
              </w:rPr>
            </w:pPr>
            <w:r>
              <w:rPr>
                <w:spacing w:val="-2"/>
                <w:sz w:val="22"/>
              </w:rPr>
              <w:t>0.982</w:t>
            </w:r>
          </w:p>
        </w:tc>
        <w:tc>
          <w:tcPr>
            <w:tcW w:w="1391" w:type="dxa"/>
          </w:tcPr>
          <w:p>
            <w:pPr>
              <w:pStyle w:val="TableParagraph"/>
              <w:spacing w:before="70"/>
              <w:ind w:right="146"/>
              <w:jc w:val="center"/>
              <w:rPr>
                <w:sz w:val="22"/>
              </w:rPr>
            </w:pPr>
            <w:r>
              <w:rPr>
                <w:spacing w:val="-5"/>
                <w:sz w:val="22"/>
              </w:rPr>
              <w:t>NS</w:t>
            </w:r>
          </w:p>
        </w:tc>
      </w:tr>
      <w:tr>
        <w:trPr>
          <w:trHeight w:val="450" w:hRule="atLeast"/>
        </w:trPr>
        <w:tc>
          <w:tcPr>
            <w:tcW w:w="1602" w:type="dxa"/>
          </w:tcPr>
          <w:p>
            <w:pPr>
              <w:pStyle w:val="TableParagraph"/>
              <w:rPr>
                <w:rFonts w:ascii="Times New Roman"/>
                <w:sz w:val="22"/>
              </w:rPr>
            </w:pPr>
          </w:p>
        </w:tc>
        <w:tc>
          <w:tcPr>
            <w:tcW w:w="2123" w:type="dxa"/>
          </w:tcPr>
          <w:p>
            <w:pPr>
              <w:pStyle w:val="TableParagraph"/>
              <w:spacing w:before="70"/>
              <w:ind w:left="209"/>
              <w:rPr>
                <w:sz w:val="22"/>
              </w:rPr>
            </w:pPr>
            <w:r>
              <w:rPr>
                <w:sz w:val="22"/>
              </w:rPr>
              <w:t>Lemon</w:t>
            </w:r>
            <w:r>
              <w:rPr>
                <w:spacing w:val="-6"/>
                <w:sz w:val="22"/>
              </w:rPr>
              <w:t> </w:t>
            </w:r>
            <w:r>
              <w:rPr>
                <w:spacing w:val="-2"/>
                <w:sz w:val="22"/>
              </w:rPr>
              <w:t>(100%)</w:t>
            </w:r>
          </w:p>
        </w:tc>
        <w:tc>
          <w:tcPr>
            <w:tcW w:w="2235" w:type="dxa"/>
          </w:tcPr>
          <w:p>
            <w:pPr>
              <w:pStyle w:val="TableParagraph"/>
              <w:spacing w:before="70"/>
              <w:ind w:right="378"/>
              <w:jc w:val="right"/>
              <w:rPr>
                <w:sz w:val="22"/>
              </w:rPr>
            </w:pPr>
            <w:r>
              <w:rPr>
                <w:spacing w:val="-2"/>
                <w:sz w:val="22"/>
              </w:rPr>
              <w:t>20.667±0.558</w:t>
            </w:r>
          </w:p>
        </w:tc>
        <w:tc>
          <w:tcPr>
            <w:tcW w:w="1382" w:type="dxa"/>
          </w:tcPr>
          <w:p>
            <w:pPr>
              <w:pStyle w:val="TableParagraph"/>
              <w:spacing w:before="70"/>
              <w:ind w:right="112"/>
              <w:jc w:val="center"/>
              <w:rPr>
                <w:sz w:val="22"/>
              </w:rPr>
            </w:pPr>
            <w:r>
              <w:rPr>
                <w:spacing w:val="-2"/>
                <w:sz w:val="22"/>
              </w:rPr>
              <w:t>0.926</w:t>
            </w:r>
          </w:p>
        </w:tc>
        <w:tc>
          <w:tcPr>
            <w:tcW w:w="1391" w:type="dxa"/>
          </w:tcPr>
          <w:p>
            <w:pPr>
              <w:pStyle w:val="TableParagraph"/>
              <w:spacing w:before="70"/>
              <w:ind w:right="146"/>
              <w:jc w:val="center"/>
              <w:rPr>
                <w:sz w:val="22"/>
              </w:rPr>
            </w:pPr>
            <w:r>
              <w:rPr>
                <w:spacing w:val="-5"/>
                <w:sz w:val="22"/>
              </w:rPr>
              <w:t>NS</w:t>
            </w:r>
          </w:p>
        </w:tc>
      </w:tr>
      <w:tr>
        <w:trPr>
          <w:trHeight w:val="522" w:hRule="atLeast"/>
        </w:trPr>
        <w:tc>
          <w:tcPr>
            <w:tcW w:w="1602" w:type="dxa"/>
            <w:tcBorders>
              <w:bottom w:val="single" w:sz="4" w:space="0" w:color="000000"/>
            </w:tcBorders>
          </w:tcPr>
          <w:p>
            <w:pPr>
              <w:pStyle w:val="TableParagraph"/>
              <w:rPr>
                <w:rFonts w:ascii="Times New Roman"/>
                <w:sz w:val="22"/>
              </w:rPr>
            </w:pPr>
          </w:p>
        </w:tc>
        <w:tc>
          <w:tcPr>
            <w:tcW w:w="2123" w:type="dxa"/>
            <w:tcBorders>
              <w:bottom w:val="single" w:sz="4" w:space="0" w:color="000000"/>
            </w:tcBorders>
          </w:tcPr>
          <w:p>
            <w:pPr>
              <w:pStyle w:val="TableParagraph"/>
              <w:spacing w:before="71"/>
              <w:ind w:left="209"/>
              <w:rPr>
                <w:sz w:val="22"/>
              </w:rPr>
            </w:pPr>
            <w:r>
              <w:rPr>
                <w:sz w:val="22"/>
              </w:rPr>
              <w:t>Lemon</w:t>
            </w:r>
            <w:r>
              <w:rPr>
                <w:spacing w:val="-4"/>
                <w:sz w:val="22"/>
              </w:rPr>
              <w:t> </w:t>
            </w:r>
            <w:r>
              <w:rPr>
                <w:spacing w:val="-2"/>
                <w:sz w:val="22"/>
              </w:rPr>
              <w:t>(25%)</w:t>
            </w:r>
          </w:p>
        </w:tc>
        <w:tc>
          <w:tcPr>
            <w:tcW w:w="2235" w:type="dxa"/>
            <w:tcBorders>
              <w:bottom w:val="single" w:sz="4" w:space="0" w:color="000000"/>
            </w:tcBorders>
          </w:tcPr>
          <w:p>
            <w:pPr>
              <w:pStyle w:val="TableParagraph"/>
              <w:spacing w:before="71"/>
              <w:ind w:right="378"/>
              <w:jc w:val="right"/>
              <w:rPr>
                <w:sz w:val="22"/>
              </w:rPr>
            </w:pPr>
            <w:r>
              <w:rPr>
                <w:spacing w:val="-2"/>
                <w:sz w:val="22"/>
              </w:rPr>
              <w:t>15.333±0.558</w:t>
            </w:r>
          </w:p>
        </w:tc>
        <w:tc>
          <w:tcPr>
            <w:tcW w:w="1382" w:type="dxa"/>
            <w:tcBorders>
              <w:bottom w:val="single" w:sz="4" w:space="0" w:color="000000"/>
            </w:tcBorders>
          </w:tcPr>
          <w:p>
            <w:pPr>
              <w:pStyle w:val="TableParagraph"/>
              <w:spacing w:before="71"/>
              <w:ind w:right="112"/>
              <w:jc w:val="center"/>
              <w:rPr>
                <w:sz w:val="22"/>
              </w:rPr>
            </w:pPr>
            <w:r>
              <w:rPr>
                <w:spacing w:val="-2"/>
                <w:sz w:val="22"/>
              </w:rPr>
              <w:t>0.961</w:t>
            </w:r>
          </w:p>
        </w:tc>
        <w:tc>
          <w:tcPr>
            <w:tcW w:w="1391" w:type="dxa"/>
            <w:tcBorders>
              <w:bottom w:val="single" w:sz="4" w:space="0" w:color="000000"/>
            </w:tcBorders>
          </w:tcPr>
          <w:p>
            <w:pPr>
              <w:pStyle w:val="TableParagraph"/>
              <w:spacing w:before="71"/>
              <w:ind w:right="146"/>
              <w:jc w:val="center"/>
              <w:rPr>
                <w:sz w:val="22"/>
              </w:rPr>
            </w:pPr>
            <w:r>
              <w:rPr>
                <w:spacing w:val="-5"/>
                <w:sz w:val="22"/>
              </w:rPr>
              <w:t>NS</w:t>
            </w:r>
          </w:p>
        </w:tc>
      </w:tr>
      <w:tr>
        <w:trPr>
          <w:trHeight w:val="376" w:hRule="atLeast"/>
        </w:trPr>
        <w:tc>
          <w:tcPr>
            <w:tcW w:w="1602" w:type="dxa"/>
            <w:tcBorders>
              <w:top w:val="single" w:sz="4" w:space="0" w:color="000000"/>
            </w:tcBorders>
          </w:tcPr>
          <w:p>
            <w:pPr>
              <w:pStyle w:val="TableParagraph"/>
              <w:rPr>
                <w:rFonts w:ascii="Times New Roman"/>
                <w:sz w:val="22"/>
              </w:rPr>
            </w:pPr>
          </w:p>
        </w:tc>
        <w:tc>
          <w:tcPr>
            <w:tcW w:w="2123" w:type="dxa"/>
            <w:tcBorders>
              <w:top w:val="single" w:sz="4" w:space="0" w:color="000000"/>
            </w:tcBorders>
          </w:tcPr>
          <w:p>
            <w:pPr>
              <w:pStyle w:val="TableParagraph"/>
              <w:spacing w:line="265" w:lineRule="exact"/>
              <w:ind w:left="209"/>
              <w:rPr>
                <w:sz w:val="22"/>
              </w:rPr>
            </w:pPr>
            <w:r>
              <w:rPr>
                <w:spacing w:val="-5"/>
                <w:sz w:val="22"/>
              </w:rPr>
              <w:t>CRO</w:t>
            </w:r>
          </w:p>
        </w:tc>
        <w:tc>
          <w:tcPr>
            <w:tcW w:w="2235" w:type="dxa"/>
            <w:tcBorders>
              <w:top w:val="single" w:sz="4" w:space="0" w:color="000000"/>
            </w:tcBorders>
          </w:tcPr>
          <w:p>
            <w:pPr>
              <w:pStyle w:val="TableParagraph"/>
              <w:spacing w:line="265" w:lineRule="exact"/>
              <w:ind w:right="378"/>
              <w:jc w:val="right"/>
              <w:rPr>
                <w:sz w:val="22"/>
              </w:rPr>
            </w:pPr>
            <w:r>
              <w:rPr>
                <w:spacing w:val="-2"/>
                <w:sz w:val="22"/>
              </w:rPr>
              <w:t>18.500±2.473</w:t>
            </w:r>
          </w:p>
        </w:tc>
        <w:tc>
          <w:tcPr>
            <w:tcW w:w="1382" w:type="dxa"/>
            <w:tcBorders>
              <w:top w:val="single" w:sz="4" w:space="0" w:color="000000"/>
            </w:tcBorders>
          </w:tcPr>
          <w:p>
            <w:pPr>
              <w:pStyle w:val="TableParagraph"/>
              <w:spacing w:line="265" w:lineRule="exact"/>
              <w:ind w:right="112"/>
              <w:jc w:val="center"/>
              <w:rPr>
                <w:sz w:val="22"/>
              </w:rPr>
            </w:pPr>
            <w:r>
              <w:rPr>
                <w:spacing w:val="-2"/>
                <w:sz w:val="22"/>
              </w:rPr>
              <w:t>0.876</w:t>
            </w:r>
          </w:p>
        </w:tc>
        <w:tc>
          <w:tcPr>
            <w:tcW w:w="1391" w:type="dxa"/>
            <w:tcBorders>
              <w:top w:val="single" w:sz="4" w:space="0" w:color="000000"/>
            </w:tcBorders>
          </w:tcPr>
          <w:p>
            <w:pPr>
              <w:pStyle w:val="TableParagraph"/>
              <w:spacing w:line="265" w:lineRule="exact"/>
              <w:ind w:right="146"/>
              <w:jc w:val="center"/>
              <w:rPr>
                <w:sz w:val="22"/>
              </w:rPr>
            </w:pPr>
            <w:r>
              <w:rPr>
                <w:spacing w:val="-5"/>
                <w:sz w:val="22"/>
              </w:rPr>
              <w:t>NS</w:t>
            </w:r>
          </w:p>
        </w:tc>
      </w:tr>
      <w:tr>
        <w:trPr>
          <w:trHeight w:val="450" w:hRule="atLeast"/>
        </w:trPr>
        <w:tc>
          <w:tcPr>
            <w:tcW w:w="1602" w:type="dxa"/>
          </w:tcPr>
          <w:p>
            <w:pPr>
              <w:pStyle w:val="TableParagraph"/>
              <w:rPr>
                <w:rFonts w:ascii="Times New Roman"/>
                <w:sz w:val="22"/>
              </w:rPr>
            </w:pPr>
          </w:p>
        </w:tc>
        <w:tc>
          <w:tcPr>
            <w:tcW w:w="2123" w:type="dxa"/>
          </w:tcPr>
          <w:p>
            <w:pPr>
              <w:pStyle w:val="TableParagraph"/>
              <w:spacing w:before="71"/>
              <w:ind w:left="209"/>
              <w:rPr>
                <w:sz w:val="22"/>
              </w:rPr>
            </w:pPr>
            <w:r>
              <w:rPr>
                <w:spacing w:val="-5"/>
                <w:sz w:val="22"/>
              </w:rPr>
              <w:t>CN</w:t>
            </w:r>
          </w:p>
        </w:tc>
        <w:tc>
          <w:tcPr>
            <w:tcW w:w="2235" w:type="dxa"/>
          </w:tcPr>
          <w:p>
            <w:pPr>
              <w:pStyle w:val="TableParagraph"/>
              <w:spacing w:before="71"/>
              <w:ind w:right="378"/>
              <w:jc w:val="right"/>
              <w:rPr>
                <w:sz w:val="22"/>
              </w:rPr>
            </w:pPr>
            <w:r>
              <w:rPr>
                <w:spacing w:val="-2"/>
                <w:sz w:val="22"/>
              </w:rPr>
              <w:t>20.167±1.887</w:t>
            </w:r>
          </w:p>
        </w:tc>
        <w:tc>
          <w:tcPr>
            <w:tcW w:w="1382" w:type="dxa"/>
          </w:tcPr>
          <w:p>
            <w:pPr>
              <w:pStyle w:val="TableParagraph"/>
              <w:spacing w:before="71"/>
              <w:ind w:right="112"/>
              <w:jc w:val="center"/>
              <w:rPr>
                <w:sz w:val="22"/>
              </w:rPr>
            </w:pPr>
            <w:r>
              <w:rPr>
                <w:spacing w:val="-2"/>
                <w:sz w:val="22"/>
              </w:rPr>
              <w:t>0.461</w:t>
            </w:r>
          </w:p>
        </w:tc>
        <w:tc>
          <w:tcPr>
            <w:tcW w:w="1391" w:type="dxa"/>
          </w:tcPr>
          <w:p>
            <w:pPr>
              <w:pStyle w:val="TableParagraph"/>
              <w:spacing w:before="71"/>
              <w:ind w:right="146"/>
              <w:jc w:val="center"/>
              <w:rPr>
                <w:sz w:val="22"/>
              </w:rPr>
            </w:pPr>
            <w:r>
              <w:rPr>
                <w:spacing w:val="-5"/>
                <w:sz w:val="22"/>
              </w:rPr>
              <w:t>NS</w:t>
            </w:r>
          </w:p>
        </w:tc>
      </w:tr>
      <w:tr>
        <w:trPr>
          <w:trHeight w:val="450" w:hRule="atLeast"/>
        </w:trPr>
        <w:tc>
          <w:tcPr>
            <w:tcW w:w="1602" w:type="dxa"/>
          </w:tcPr>
          <w:p>
            <w:pPr>
              <w:pStyle w:val="TableParagraph"/>
              <w:rPr>
                <w:rFonts w:ascii="Times New Roman"/>
                <w:sz w:val="22"/>
              </w:rPr>
            </w:pPr>
          </w:p>
        </w:tc>
        <w:tc>
          <w:tcPr>
            <w:tcW w:w="2123" w:type="dxa"/>
          </w:tcPr>
          <w:p>
            <w:pPr>
              <w:pStyle w:val="TableParagraph"/>
              <w:spacing w:before="70"/>
              <w:ind w:left="209"/>
              <w:rPr>
                <w:sz w:val="22"/>
              </w:rPr>
            </w:pPr>
            <w:r>
              <w:rPr>
                <w:spacing w:val="-5"/>
                <w:sz w:val="22"/>
              </w:rPr>
              <w:t>AMC</w:t>
            </w:r>
          </w:p>
        </w:tc>
        <w:tc>
          <w:tcPr>
            <w:tcW w:w="2235" w:type="dxa"/>
          </w:tcPr>
          <w:p>
            <w:pPr>
              <w:pStyle w:val="TableParagraph"/>
              <w:spacing w:before="70"/>
              <w:ind w:right="378"/>
              <w:jc w:val="right"/>
              <w:rPr>
                <w:sz w:val="22"/>
              </w:rPr>
            </w:pPr>
            <w:r>
              <w:rPr>
                <w:spacing w:val="-2"/>
                <w:sz w:val="22"/>
              </w:rPr>
              <w:t>14.667±2.216</w:t>
            </w:r>
          </w:p>
        </w:tc>
        <w:tc>
          <w:tcPr>
            <w:tcW w:w="1382" w:type="dxa"/>
          </w:tcPr>
          <w:p>
            <w:pPr>
              <w:pStyle w:val="TableParagraph"/>
              <w:spacing w:before="70"/>
              <w:ind w:right="112"/>
              <w:jc w:val="center"/>
              <w:rPr>
                <w:sz w:val="22"/>
              </w:rPr>
            </w:pPr>
            <w:r>
              <w:rPr>
                <w:spacing w:val="-2"/>
                <w:sz w:val="22"/>
              </w:rPr>
              <w:t>1.000</w:t>
            </w:r>
          </w:p>
        </w:tc>
        <w:tc>
          <w:tcPr>
            <w:tcW w:w="1391" w:type="dxa"/>
          </w:tcPr>
          <w:p>
            <w:pPr>
              <w:pStyle w:val="TableParagraph"/>
              <w:spacing w:before="70"/>
              <w:ind w:right="146"/>
              <w:jc w:val="center"/>
              <w:rPr>
                <w:sz w:val="22"/>
              </w:rPr>
            </w:pPr>
            <w:r>
              <w:rPr>
                <w:spacing w:val="-5"/>
                <w:sz w:val="22"/>
              </w:rPr>
              <w:t>NS</w:t>
            </w:r>
          </w:p>
        </w:tc>
      </w:tr>
      <w:tr>
        <w:trPr>
          <w:trHeight w:val="450" w:hRule="atLeast"/>
        </w:trPr>
        <w:tc>
          <w:tcPr>
            <w:tcW w:w="1602" w:type="dxa"/>
          </w:tcPr>
          <w:p>
            <w:pPr>
              <w:pStyle w:val="TableParagraph"/>
              <w:spacing w:before="71"/>
              <w:ind w:left="108"/>
              <w:rPr>
                <w:sz w:val="22"/>
              </w:rPr>
            </w:pPr>
            <w:r>
              <w:rPr>
                <w:sz w:val="22"/>
              </w:rPr>
              <w:t>Lemon</w:t>
            </w:r>
            <w:r>
              <w:rPr>
                <w:spacing w:val="-4"/>
                <w:sz w:val="22"/>
              </w:rPr>
              <w:t> </w:t>
            </w:r>
            <w:r>
              <w:rPr>
                <w:spacing w:val="-2"/>
                <w:sz w:val="22"/>
              </w:rPr>
              <w:t>(25%)</w:t>
            </w:r>
          </w:p>
        </w:tc>
        <w:tc>
          <w:tcPr>
            <w:tcW w:w="2123" w:type="dxa"/>
          </w:tcPr>
          <w:p>
            <w:pPr>
              <w:pStyle w:val="TableParagraph"/>
              <w:spacing w:before="71"/>
              <w:ind w:left="209"/>
              <w:rPr>
                <w:sz w:val="22"/>
              </w:rPr>
            </w:pPr>
            <w:r>
              <w:rPr>
                <w:spacing w:val="-5"/>
                <w:sz w:val="22"/>
              </w:rPr>
              <w:t>LEV</w:t>
            </w:r>
          </w:p>
        </w:tc>
        <w:tc>
          <w:tcPr>
            <w:tcW w:w="2235" w:type="dxa"/>
          </w:tcPr>
          <w:p>
            <w:pPr>
              <w:pStyle w:val="TableParagraph"/>
              <w:spacing w:before="71"/>
              <w:ind w:right="378"/>
              <w:jc w:val="right"/>
              <w:rPr>
                <w:sz w:val="22"/>
              </w:rPr>
            </w:pPr>
            <w:r>
              <w:rPr>
                <w:spacing w:val="-2"/>
                <w:sz w:val="22"/>
              </w:rPr>
              <w:t>18.833±2.151</w:t>
            </w:r>
          </w:p>
        </w:tc>
        <w:tc>
          <w:tcPr>
            <w:tcW w:w="1382" w:type="dxa"/>
          </w:tcPr>
          <w:p>
            <w:pPr>
              <w:pStyle w:val="TableParagraph"/>
              <w:spacing w:before="71"/>
              <w:ind w:right="112"/>
              <w:jc w:val="center"/>
              <w:rPr>
                <w:sz w:val="22"/>
              </w:rPr>
            </w:pPr>
            <w:r>
              <w:rPr>
                <w:spacing w:val="-2"/>
                <w:sz w:val="22"/>
              </w:rPr>
              <w:t>0.810</w:t>
            </w:r>
          </w:p>
        </w:tc>
        <w:tc>
          <w:tcPr>
            <w:tcW w:w="1391" w:type="dxa"/>
          </w:tcPr>
          <w:p>
            <w:pPr>
              <w:pStyle w:val="TableParagraph"/>
              <w:spacing w:before="71"/>
              <w:ind w:right="146"/>
              <w:jc w:val="center"/>
              <w:rPr>
                <w:sz w:val="22"/>
              </w:rPr>
            </w:pPr>
            <w:r>
              <w:rPr>
                <w:spacing w:val="-5"/>
                <w:sz w:val="22"/>
              </w:rPr>
              <w:t>NS</w:t>
            </w:r>
          </w:p>
        </w:tc>
      </w:tr>
      <w:tr>
        <w:trPr>
          <w:trHeight w:val="450" w:hRule="atLeast"/>
        </w:trPr>
        <w:tc>
          <w:tcPr>
            <w:tcW w:w="1602" w:type="dxa"/>
          </w:tcPr>
          <w:p>
            <w:pPr>
              <w:pStyle w:val="TableParagraph"/>
              <w:rPr>
                <w:rFonts w:ascii="Times New Roman"/>
                <w:sz w:val="22"/>
              </w:rPr>
            </w:pPr>
          </w:p>
        </w:tc>
        <w:tc>
          <w:tcPr>
            <w:tcW w:w="2123" w:type="dxa"/>
          </w:tcPr>
          <w:p>
            <w:pPr>
              <w:pStyle w:val="TableParagraph"/>
              <w:spacing w:before="70"/>
              <w:ind w:left="209"/>
              <w:rPr>
                <w:sz w:val="22"/>
              </w:rPr>
            </w:pPr>
            <w:r>
              <w:rPr>
                <w:spacing w:val="-5"/>
                <w:sz w:val="22"/>
              </w:rPr>
              <w:t>AZM</w:t>
            </w:r>
          </w:p>
        </w:tc>
        <w:tc>
          <w:tcPr>
            <w:tcW w:w="2235" w:type="dxa"/>
          </w:tcPr>
          <w:p>
            <w:pPr>
              <w:pStyle w:val="TableParagraph"/>
              <w:spacing w:before="70"/>
              <w:ind w:right="378"/>
              <w:jc w:val="right"/>
              <w:rPr>
                <w:sz w:val="22"/>
              </w:rPr>
            </w:pPr>
            <w:r>
              <w:rPr>
                <w:spacing w:val="-2"/>
                <w:sz w:val="22"/>
              </w:rPr>
              <w:t>15.667±1.430</w:t>
            </w:r>
          </w:p>
        </w:tc>
        <w:tc>
          <w:tcPr>
            <w:tcW w:w="1382" w:type="dxa"/>
          </w:tcPr>
          <w:p>
            <w:pPr>
              <w:pStyle w:val="TableParagraph"/>
              <w:spacing w:before="70"/>
              <w:ind w:right="112"/>
              <w:jc w:val="center"/>
              <w:rPr>
                <w:sz w:val="22"/>
              </w:rPr>
            </w:pPr>
            <w:r>
              <w:rPr>
                <w:spacing w:val="-2"/>
                <w:sz w:val="22"/>
              </w:rPr>
              <w:t>1.000</w:t>
            </w:r>
          </w:p>
        </w:tc>
        <w:tc>
          <w:tcPr>
            <w:tcW w:w="1391" w:type="dxa"/>
          </w:tcPr>
          <w:p>
            <w:pPr>
              <w:pStyle w:val="TableParagraph"/>
              <w:spacing w:before="70"/>
              <w:ind w:right="146"/>
              <w:jc w:val="center"/>
              <w:rPr>
                <w:sz w:val="22"/>
              </w:rPr>
            </w:pPr>
            <w:r>
              <w:rPr>
                <w:spacing w:val="-5"/>
                <w:sz w:val="22"/>
              </w:rPr>
              <w:t>NS</w:t>
            </w:r>
          </w:p>
        </w:tc>
      </w:tr>
      <w:tr>
        <w:trPr>
          <w:trHeight w:val="450" w:hRule="atLeast"/>
        </w:trPr>
        <w:tc>
          <w:tcPr>
            <w:tcW w:w="1602" w:type="dxa"/>
          </w:tcPr>
          <w:p>
            <w:pPr>
              <w:pStyle w:val="TableParagraph"/>
              <w:rPr>
                <w:rFonts w:ascii="Times New Roman"/>
                <w:sz w:val="22"/>
              </w:rPr>
            </w:pPr>
          </w:p>
        </w:tc>
        <w:tc>
          <w:tcPr>
            <w:tcW w:w="2123" w:type="dxa"/>
          </w:tcPr>
          <w:p>
            <w:pPr>
              <w:pStyle w:val="TableParagraph"/>
              <w:spacing w:before="71"/>
              <w:ind w:left="209"/>
              <w:rPr>
                <w:sz w:val="22"/>
              </w:rPr>
            </w:pPr>
            <w:r>
              <w:rPr>
                <w:sz w:val="22"/>
              </w:rPr>
              <w:t>Lemon</w:t>
            </w:r>
            <w:r>
              <w:rPr>
                <w:spacing w:val="-6"/>
                <w:sz w:val="22"/>
              </w:rPr>
              <w:t> </w:t>
            </w:r>
            <w:r>
              <w:rPr>
                <w:spacing w:val="-2"/>
                <w:sz w:val="22"/>
              </w:rPr>
              <w:t>(100%)</w:t>
            </w:r>
          </w:p>
        </w:tc>
        <w:tc>
          <w:tcPr>
            <w:tcW w:w="2235" w:type="dxa"/>
          </w:tcPr>
          <w:p>
            <w:pPr>
              <w:pStyle w:val="TableParagraph"/>
              <w:spacing w:before="71"/>
              <w:ind w:right="378"/>
              <w:jc w:val="right"/>
              <w:rPr>
                <w:sz w:val="22"/>
              </w:rPr>
            </w:pPr>
            <w:r>
              <w:rPr>
                <w:spacing w:val="-2"/>
                <w:sz w:val="22"/>
              </w:rPr>
              <w:t>20.667±0.558</w:t>
            </w:r>
          </w:p>
        </w:tc>
        <w:tc>
          <w:tcPr>
            <w:tcW w:w="1382" w:type="dxa"/>
          </w:tcPr>
          <w:p>
            <w:pPr>
              <w:pStyle w:val="TableParagraph"/>
              <w:spacing w:before="71"/>
              <w:ind w:right="112"/>
              <w:jc w:val="center"/>
              <w:rPr>
                <w:sz w:val="22"/>
              </w:rPr>
            </w:pPr>
            <w:r>
              <w:rPr>
                <w:spacing w:val="-2"/>
                <w:sz w:val="22"/>
              </w:rPr>
              <w:t>0.337</w:t>
            </w:r>
          </w:p>
        </w:tc>
        <w:tc>
          <w:tcPr>
            <w:tcW w:w="1391" w:type="dxa"/>
          </w:tcPr>
          <w:p>
            <w:pPr>
              <w:pStyle w:val="TableParagraph"/>
              <w:spacing w:before="71"/>
              <w:ind w:right="146"/>
              <w:jc w:val="center"/>
              <w:rPr>
                <w:sz w:val="22"/>
              </w:rPr>
            </w:pPr>
            <w:r>
              <w:rPr>
                <w:spacing w:val="-5"/>
                <w:sz w:val="22"/>
              </w:rPr>
              <w:t>NS</w:t>
            </w:r>
          </w:p>
        </w:tc>
      </w:tr>
      <w:tr>
        <w:trPr>
          <w:trHeight w:val="524" w:hRule="atLeast"/>
        </w:trPr>
        <w:tc>
          <w:tcPr>
            <w:tcW w:w="1602" w:type="dxa"/>
            <w:tcBorders>
              <w:bottom w:val="single" w:sz="4" w:space="0" w:color="000000"/>
            </w:tcBorders>
          </w:tcPr>
          <w:p>
            <w:pPr>
              <w:pStyle w:val="TableParagraph"/>
              <w:rPr>
                <w:rFonts w:ascii="Times New Roman"/>
                <w:sz w:val="22"/>
              </w:rPr>
            </w:pPr>
          </w:p>
        </w:tc>
        <w:tc>
          <w:tcPr>
            <w:tcW w:w="2123" w:type="dxa"/>
            <w:tcBorders>
              <w:bottom w:val="single" w:sz="4" w:space="0" w:color="000000"/>
            </w:tcBorders>
          </w:tcPr>
          <w:p>
            <w:pPr>
              <w:pStyle w:val="TableParagraph"/>
              <w:spacing w:before="70"/>
              <w:ind w:left="209"/>
              <w:rPr>
                <w:sz w:val="22"/>
              </w:rPr>
            </w:pPr>
            <w:r>
              <w:rPr>
                <w:sz w:val="22"/>
              </w:rPr>
              <w:t>Lemon</w:t>
            </w:r>
            <w:r>
              <w:rPr>
                <w:spacing w:val="-4"/>
                <w:sz w:val="22"/>
              </w:rPr>
              <w:t> </w:t>
            </w:r>
            <w:r>
              <w:rPr>
                <w:spacing w:val="-2"/>
                <w:sz w:val="22"/>
              </w:rPr>
              <w:t>(50%)</w:t>
            </w:r>
          </w:p>
        </w:tc>
        <w:tc>
          <w:tcPr>
            <w:tcW w:w="2235" w:type="dxa"/>
            <w:tcBorders>
              <w:bottom w:val="single" w:sz="4" w:space="0" w:color="000000"/>
            </w:tcBorders>
          </w:tcPr>
          <w:p>
            <w:pPr>
              <w:pStyle w:val="TableParagraph"/>
              <w:spacing w:before="70"/>
              <w:ind w:right="378"/>
              <w:jc w:val="right"/>
              <w:rPr>
                <w:sz w:val="22"/>
              </w:rPr>
            </w:pPr>
            <w:r>
              <w:rPr>
                <w:spacing w:val="-2"/>
                <w:sz w:val="22"/>
              </w:rPr>
              <w:t>17.833±0.543</w:t>
            </w:r>
          </w:p>
        </w:tc>
        <w:tc>
          <w:tcPr>
            <w:tcW w:w="1382" w:type="dxa"/>
            <w:tcBorders>
              <w:bottom w:val="single" w:sz="4" w:space="0" w:color="000000"/>
            </w:tcBorders>
          </w:tcPr>
          <w:p>
            <w:pPr>
              <w:pStyle w:val="TableParagraph"/>
              <w:spacing w:before="70"/>
              <w:ind w:right="112"/>
              <w:jc w:val="center"/>
              <w:rPr>
                <w:sz w:val="22"/>
              </w:rPr>
            </w:pPr>
            <w:r>
              <w:rPr>
                <w:spacing w:val="-2"/>
                <w:sz w:val="22"/>
              </w:rPr>
              <w:t>0.961</w:t>
            </w:r>
          </w:p>
        </w:tc>
        <w:tc>
          <w:tcPr>
            <w:tcW w:w="1391" w:type="dxa"/>
            <w:tcBorders>
              <w:bottom w:val="single" w:sz="4" w:space="0" w:color="000000"/>
            </w:tcBorders>
          </w:tcPr>
          <w:p>
            <w:pPr>
              <w:pStyle w:val="TableParagraph"/>
              <w:spacing w:before="70"/>
              <w:ind w:right="146"/>
              <w:jc w:val="center"/>
              <w:rPr>
                <w:sz w:val="22"/>
              </w:rPr>
            </w:pPr>
            <w:r>
              <w:rPr>
                <w:spacing w:val="-5"/>
                <w:sz w:val="22"/>
              </w:rPr>
              <w:t>NS</w:t>
            </w:r>
          </w:p>
        </w:tc>
      </w:tr>
    </w:tbl>
    <w:p>
      <w:pPr>
        <w:pStyle w:val="BodyText"/>
        <w:spacing w:line="400" w:lineRule="auto" w:before="25"/>
        <w:ind w:left="430" w:right="3485" w:hanging="51"/>
      </w:pPr>
      <w:r>
        <w:rPr/>
        <w:t>Key:</w:t>
      </w:r>
      <w:r>
        <w:rPr>
          <w:spacing w:val="-5"/>
        </w:rPr>
        <w:t> </w:t>
      </w:r>
      <w:r>
        <w:rPr/>
        <w:t>LOS=Level</w:t>
      </w:r>
      <w:r>
        <w:rPr>
          <w:spacing w:val="-7"/>
        </w:rPr>
        <w:t> </w:t>
      </w:r>
      <w:r>
        <w:rPr/>
        <w:t>of</w:t>
      </w:r>
      <w:r>
        <w:rPr>
          <w:spacing w:val="-5"/>
        </w:rPr>
        <w:t> </w:t>
      </w:r>
      <w:r>
        <w:rPr/>
        <w:t>Significance;</w:t>
      </w:r>
      <w:r>
        <w:rPr>
          <w:spacing w:val="-5"/>
        </w:rPr>
        <w:t> </w:t>
      </w:r>
      <w:r>
        <w:rPr/>
        <w:t>NS=Not</w:t>
      </w:r>
      <w:r>
        <w:rPr>
          <w:spacing w:val="-5"/>
        </w:rPr>
        <w:t> </w:t>
      </w:r>
      <w:r>
        <w:rPr/>
        <w:t>significantly</w:t>
      </w:r>
      <w:r>
        <w:rPr>
          <w:spacing w:val="-5"/>
        </w:rPr>
        <w:t> </w:t>
      </w:r>
      <w:r>
        <w:rPr/>
        <w:t>different; SF=Significantly different.</w:t>
      </w:r>
    </w:p>
    <w:p>
      <w:pPr>
        <w:spacing w:after="0" w:line="400" w:lineRule="auto"/>
        <w:sectPr>
          <w:pgSz w:w="11910" w:h="16840"/>
          <w:pgMar w:header="0" w:footer="1055" w:top="140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0"/>
      </w:pPr>
    </w:p>
    <w:p>
      <w:pPr>
        <w:pStyle w:val="Heading3"/>
        <w:tabs>
          <w:tab w:pos="1820" w:val="left" w:leader="none"/>
        </w:tabs>
        <w:spacing w:line="259" w:lineRule="auto"/>
        <w:ind w:left="1820" w:right="1385" w:hanging="1440"/>
        <w:rPr>
          <w:i/>
        </w:rPr>
      </w:pPr>
      <w:r>
        <w:rPr/>
        <w:t>Table 4.22:</w:t>
        <w:tab/>
        <w:t>Comparing</w:t>
      </w:r>
      <w:r>
        <w:rPr>
          <w:spacing w:val="-4"/>
        </w:rPr>
        <w:t> </w:t>
      </w:r>
      <w:r>
        <w:rPr/>
        <w:t>the</w:t>
      </w:r>
      <w:r>
        <w:rPr>
          <w:spacing w:val="-3"/>
        </w:rPr>
        <w:t> </w:t>
      </w:r>
      <w:r>
        <w:rPr/>
        <w:t>Mean</w:t>
      </w:r>
      <w:r>
        <w:rPr>
          <w:spacing w:val="-3"/>
        </w:rPr>
        <w:t> </w:t>
      </w:r>
      <w:r>
        <w:rPr/>
        <w:t>zone</w:t>
      </w:r>
      <w:r>
        <w:rPr>
          <w:spacing w:val="-1"/>
        </w:rPr>
        <w:t> </w:t>
      </w:r>
      <w:r>
        <w:rPr/>
        <w:t>of</w:t>
      </w:r>
      <w:r>
        <w:rPr>
          <w:spacing w:val="-2"/>
        </w:rPr>
        <w:t> </w:t>
      </w:r>
      <w:r>
        <w:rPr/>
        <w:t>inhibition</w:t>
      </w:r>
      <w:r>
        <w:rPr>
          <w:spacing w:val="-3"/>
        </w:rPr>
        <w:t> </w:t>
      </w:r>
      <w:r>
        <w:rPr/>
        <w:t>of</w:t>
      </w:r>
      <w:r>
        <w:rPr>
          <w:spacing w:val="-2"/>
        </w:rPr>
        <w:t> </w:t>
      </w:r>
      <w:r>
        <w:rPr/>
        <w:t>Honey/Lemon</w:t>
      </w:r>
      <w:r>
        <w:rPr>
          <w:spacing w:val="-2"/>
        </w:rPr>
        <w:t> </w:t>
      </w:r>
      <w:r>
        <w:rPr/>
        <w:t>juice</w:t>
      </w:r>
      <w:r>
        <w:rPr>
          <w:spacing w:val="-2"/>
        </w:rPr>
        <w:t> </w:t>
      </w:r>
      <w:r>
        <w:rPr/>
        <w:t>mixture</w:t>
      </w:r>
      <w:r>
        <w:rPr>
          <w:spacing w:val="-3"/>
        </w:rPr>
        <w:t> </w:t>
      </w:r>
      <w:r>
        <w:rPr/>
        <w:t>and</w:t>
      </w:r>
      <w:r>
        <w:rPr>
          <w:spacing w:val="-3"/>
        </w:rPr>
        <w:t> </w:t>
      </w:r>
      <w:r>
        <w:rPr/>
        <w:t>the Standard antibiotic formulations against </w:t>
      </w:r>
      <w:r>
        <w:rPr>
          <w:i/>
        </w:rPr>
        <w:t>Klebsiella pneumoniae</w:t>
      </w:r>
    </w:p>
    <w:p>
      <w:pPr>
        <w:pStyle w:val="BodyText"/>
        <w:rPr>
          <w:b/>
          <w:i/>
          <w:sz w:val="20"/>
        </w:rPr>
      </w:pPr>
    </w:p>
    <w:p>
      <w:pPr>
        <w:pStyle w:val="BodyText"/>
        <w:spacing w:before="126"/>
        <w:rPr>
          <w:b/>
          <w:i/>
          <w:sz w:val="20"/>
        </w:rPr>
      </w:pPr>
    </w:p>
    <w:tbl>
      <w:tblPr>
        <w:tblW w:w="0" w:type="auto"/>
        <w:jc w:val="left"/>
        <w:tblInd w:w="1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4"/>
        <w:gridCol w:w="1093"/>
        <w:gridCol w:w="1542"/>
        <w:gridCol w:w="1024"/>
        <w:gridCol w:w="861"/>
      </w:tblGrid>
      <w:tr>
        <w:trPr>
          <w:trHeight w:val="909" w:hRule="atLeast"/>
        </w:trPr>
        <w:tc>
          <w:tcPr>
            <w:tcW w:w="2244" w:type="dxa"/>
            <w:tcBorders>
              <w:top w:val="single" w:sz="4" w:space="0" w:color="000000"/>
              <w:bottom w:val="single" w:sz="4" w:space="0" w:color="000000"/>
            </w:tcBorders>
          </w:tcPr>
          <w:p>
            <w:pPr>
              <w:pStyle w:val="TableParagraph"/>
              <w:spacing w:before="227"/>
              <w:ind w:left="806"/>
              <w:rPr>
                <w:sz w:val="22"/>
              </w:rPr>
            </w:pPr>
            <w:r>
              <w:rPr>
                <w:sz w:val="22"/>
              </w:rPr>
              <w:t>(I)</w:t>
            </w:r>
            <w:r>
              <w:rPr>
                <w:spacing w:val="-2"/>
                <w:sz w:val="22"/>
              </w:rPr>
              <w:t> Group</w:t>
            </w:r>
          </w:p>
        </w:tc>
        <w:tc>
          <w:tcPr>
            <w:tcW w:w="1093" w:type="dxa"/>
            <w:tcBorders>
              <w:top w:val="single" w:sz="4" w:space="0" w:color="000000"/>
              <w:bottom w:val="single" w:sz="4" w:space="0" w:color="000000"/>
            </w:tcBorders>
          </w:tcPr>
          <w:p>
            <w:pPr>
              <w:pStyle w:val="TableParagraph"/>
              <w:spacing w:before="80"/>
              <w:ind w:left="182"/>
              <w:jc w:val="center"/>
              <w:rPr>
                <w:sz w:val="22"/>
              </w:rPr>
            </w:pPr>
            <w:r>
              <w:rPr>
                <w:spacing w:val="-5"/>
                <w:sz w:val="22"/>
              </w:rPr>
              <w:t>(J)</w:t>
            </w:r>
          </w:p>
          <w:p>
            <w:pPr>
              <w:pStyle w:val="TableParagraph"/>
              <w:spacing w:before="22"/>
              <w:ind w:left="183"/>
              <w:jc w:val="center"/>
              <w:rPr>
                <w:sz w:val="22"/>
              </w:rPr>
            </w:pPr>
            <w:r>
              <w:rPr>
                <w:spacing w:val="-2"/>
                <w:sz w:val="22"/>
              </w:rPr>
              <w:t>Group</w:t>
            </w:r>
          </w:p>
        </w:tc>
        <w:tc>
          <w:tcPr>
            <w:tcW w:w="1542" w:type="dxa"/>
            <w:tcBorders>
              <w:top w:val="single" w:sz="4" w:space="0" w:color="000000"/>
              <w:bottom w:val="single" w:sz="4" w:space="0" w:color="000000"/>
            </w:tcBorders>
          </w:tcPr>
          <w:p>
            <w:pPr>
              <w:pStyle w:val="TableParagraph"/>
              <w:spacing w:before="227"/>
              <w:ind w:left="27" w:right="1"/>
              <w:jc w:val="center"/>
              <w:rPr>
                <w:sz w:val="22"/>
              </w:rPr>
            </w:pPr>
            <w:r>
              <w:rPr>
                <w:spacing w:val="-2"/>
                <w:sz w:val="22"/>
              </w:rPr>
              <w:t>Mean±SEM</w:t>
            </w:r>
          </w:p>
        </w:tc>
        <w:tc>
          <w:tcPr>
            <w:tcW w:w="1024" w:type="dxa"/>
            <w:tcBorders>
              <w:top w:val="single" w:sz="4" w:space="0" w:color="000000"/>
              <w:bottom w:val="single" w:sz="4" w:space="0" w:color="000000"/>
            </w:tcBorders>
          </w:tcPr>
          <w:p>
            <w:pPr>
              <w:pStyle w:val="TableParagraph"/>
              <w:spacing w:before="227"/>
              <w:ind w:left="2" w:right="73"/>
              <w:jc w:val="center"/>
              <w:rPr>
                <w:sz w:val="22"/>
              </w:rPr>
            </w:pPr>
            <w:r>
              <w:rPr>
                <w:sz w:val="22"/>
              </w:rPr>
              <w:t>P-</w:t>
            </w:r>
            <w:r>
              <w:rPr>
                <w:spacing w:val="-2"/>
                <w:sz w:val="22"/>
              </w:rPr>
              <w:t>value</w:t>
            </w:r>
          </w:p>
        </w:tc>
        <w:tc>
          <w:tcPr>
            <w:tcW w:w="861" w:type="dxa"/>
            <w:tcBorders>
              <w:top w:val="single" w:sz="4" w:space="0" w:color="000000"/>
              <w:bottom w:val="single" w:sz="4" w:space="0" w:color="000000"/>
            </w:tcBorders>
          </w:tcPr>
          <w:p>
            <w:pPr>
              <w:pStyle w:val="TableParagraph"/>
              <w:spacing w:before="227"/>
              <w:ind w:left="5" w:right="95"/>
              <w:jc w:val="center"/>
              <w:rPr>
                <w:sz w:val="22"/>
              </w:rPr>
            </w:pPr>
            <w:r>
              <w:rPr>
                <w:spacing w:val="-5"/>
                <w:sz w:val="22"/>
              </w:rPr>
              <w:t>LOS</w:t>
            </w:r>
          </w:p>
        </w:tc>
      </w:tr>
      <w:tr>
        <w:trPr>
          <w:trHeight w:val="375" w:hRule="atLeast"/>
        </w:trPr>
        <w:tc>
          <w:tcPr>
            <w:tcW w:w="2244" w:type="dxa"/>
            <w:tcBorders>
              <w:top w:val="single" w:sz="4" w:space="0" w:color="000000"/>
            </w:tcBorders>
          </w:tcPr>
          <w:p>
            <w:pPr>
              <w:pStyle w:val="TableParagraph"/>
              <w:rPr>
                <w:rFonts w:ascii="Times New Roman"/>
                <w:sz w:val="22"/>
              </w:rPr>
            </w:pPr>
          </w:p>
        </w:tc>
        <w:tc>
          <w:tcPr>
            <w:tcW w:w="1093" w:type="dxa"/>
            <w:tcBorders>
              <w:top w:val="single" w:sz="4" w:space="0" w:color="000000"/>
            </w:tcBorders>
          </w:tcPr>
          <w:p>
            <w:pPr>
              <w:pStyle w:val="TableParagraph"/>
              <w:spacing w:line="265" w:lineRule="exact"/>
              <w:ind w:left="447"/>
              <w:rPr>
                <w:sz w:val="22"/>
              </w:rPr>
            </w:pPr>
            <w:r>
              <w:rPr>
                <w:spacing w:val="-5"/>
                <w:sz w:val="22"/>
              </w:rPr>
              <w:t>CRO</w:t>
            </w:r>
          </w:p>
        </w:tc>
        <w:tc>
          <w:tcPr>
            <w:tcW w:w="1542" w:type="dxa"/>
            <w:tcBorders>
              <w:top w:val="single" w:sz="4" w:space="0" w:color="000000"/>
            </w:tcBorders>
          </w:tcPr>
          <w:p>
            <w:pPr>
              <w:pStyle w:val="TableParagraph"/>
              <w:spacing w:line="265" w:lineRule="exact"/>
              <w:ind w:left="27" w:right="4"/>
              <w:jc w:val="center"/>
              <w:rPr>
                <w:sz w:val="22"/>
              </w:rPr>
            </w:pPr>
            <w:r>
              <w:rPr>
                <w:spacing w:val="-2"/>
                <w:sz w:val="22"/>
              </w:rPr>
              <w:t>20.667±1.511</w:t>
            </w:r>
          </w:p>
        </w:tc>
        <w:tc>
          <w:tcPr>
            <w:tcW w:w="1024" w:type="dxa"/>
            <w:tcBorders>
              <w:top w:val="single" w:sz="4" w:space="0" w:color="000000"/>
            </w:tcBorders>
          </w:tcPr>
          <w:p>
            <w:pPr>
              <w:pStyle w:val="TableParagraph"/>
              <w:spacing w:line="265" w:lineRule="exact"/>
              <w:ind w:right="73"/>
              <w:jc w:val="center"/>
              <w:rPr>
                <w:sz w:val="22"/>
              </w:rPr>
            </w:pPr>
            <w:r>
              <w:rPr>
                <w:spacing w:val="-2"/>
                <w:sz w:val="22"/>
              </w:rPr>
              <w:t>1.000</w:t>
            </w:r>
          </w:p>
        </w:tc>
        <w:tc>
          <w:tcPr>
            <w:tcW w:w="861" w:type="dxa"/>
            <w:tcBorders>
              <w:top w:val="single" w:sz="4" w:space="0" w:color="000000"/>
            </w:tcBorders>
          </w:tcPr>
          <w:p>
            <w:pPr>
              <w:pStyle w:val="TableParagraph"/>
              <w:spacing w:line="265" w:lineRule="exact"/>
              <w:ind w:left="5" w:right="98"/>
              <w:jc w:val="center"/>
              <w:rPr>
                <w:sz w:val="22"/>
              </w:rPr>
            </w:pPr>
            <w:r>
              <w:rPr>
                <w:spacing w:val="-5"/>
                <w:sz w:val="22"/>
              </w:rPr>
              <w:t>NS</w:t>
            </w:r>
          </w:p>
        </w:tc>
      </w:tr>
      <w:tr>
        <w:trPr>
          <w:trHeight w:val="450" w:hRule="atLeast"/>
        </w:trPr>
        <w:tc>
          <w:tcPr>
            <w:tcW w:w="2244" w:type="dxa"/>
          </w:tcPr>
          <w:p>
            <w:pPr>
              <w:pStyle w:val="TableParagraph"/>
              <w:rPr>
                <w:rFonts w:ascii="Times New Roman"/>
                <w:sz w:val="22"/>
              </w:rPr>
            </w:pPr>
          </w:p>
        </w:tc>
        <w:tc>
          <w:tcPr>
            <w:tcW w:w="1093" w:type="dxa"/>
          </w:tcPr>
          <w:p>
            <w:pPr>
              <w:pStyle w:val="TableParagraph"/>
              <w:spacing w:before="70"/>
              <w:ind w:left="507"/>
              <w:rPr>
                <w:sz w:val="22"/>
              </w:rPr>
            </w:pPr>
            <w:r>
              <w:rPr>
                <w:spacing w:val="-5"/>
                <w:sz w:val="22"/>
              </w:rPr>
              <w:t>CN</w:t>
            </w:r>
          </w:p>
        </w:tc>
        <w:tc>
          <w:tcPr>
            <w:tcW w:w="1542" w:type="dxa"/>
          </w:tcPr>
          <w:p>
            <w:pPr>
              <w:pStyle w:val="TableParagraph"/>
              <w:spacing w:before="70"/>
              <w:ind w:left="27" w:right="4"/>
              <w:jc w:val="center"/>
              <w:rPr>
                <w:sz w:val="22"/>
              </w:rPr>
            </w:pPr>
            <w:r>
              <w:rPr>
                <w:spacing w:val="-2"/>
                <w:sz w:val="22"/>
              </w:rPr>
              <w:t>19.267±1.523</w:t>
            </w:r>
          </w:p>
        </w:tc>
        <w:tc>
          <w:tcPr>
            <w:tcW w:w="1024" w:type="dxa"/>
          </w:tcPr>
          <w:p>
            <w:pPr>
              <w:pStyle w:val="TableParagraph"/>
              <w:spacing w:before="70"/>
              <w:ind w:right="73"/>
              <w:jc w:val="center"/>
              <w:rPr>
                <w:sz w:val="22"/>
              </w:rPr>
            </w:pPr>
            <w:r>
              <w:rPr>
                <w:spacing w:val="-2"/>
                <w:sz w:val="22"/>
              </w:rPr>
              <w:t>0.833</w:t>
            </w:r>
          </w:p>
        </w:tc>
        <w:tc>
          <w:tcPr>
            <w:tcW w:w="861" w:type="dxa"/>
          </w:tcPr>
          <w:p>
            <w:pPr>
              <w:pStyle w:val="TableParagraph"/>
              <w:spacing w:before="70"/>
              <w:ind w:left="5" w:right="98"/>
              <w:jc w:val="center"/>
              <w:rPr>
                <w:sz w:val="22"/>
              </w:rPr>
            </w:pPr>
            <w:r>
              <w:rPr>
                <w:spacing w:val="-5"/>
                <w:sz w:val="22"/>
              </w:rPr>
              <w:t>NS</w:t>
            </w:r>
          </w:p>
        </w:tc>
      </w:tr>
      <w:tr>
        <w:trPr>
          <w:trHeight w:val="740" w:hRule="atLeast"/>
        </w:trPr>
        <w:tc>
          <w:tcPr>
            <w:tcW w:w="2244" w:type="dxa"/>
          </w:tcPr>
          <w:p>
            <w:pPr>
              <w:pStyle w:val="TableParagraph"/>
              <w:spacing w:before="71"/>
              <w:ind w:left="174"/>
              <w:jc w:val="center"/>
              <w:rPr>
                <w:sz w:val="22"/>
              </w:rPr>
            </w:pPr>
            <w:r>
              <w:rPr>
                <w:sz w:val="22"/>
              </w:rPr>
              <w:t>H/L;</w:t>
            </w:r>
            <w:r>
              <w:rPr>
                <w:spacing w:val="-5"/>
                <w:sz w:val="22"/>
              </w:rPr>
              <w:t> </w:t>
            </w:r>
            <w:r>
              <w:rPr>
                <w:spacing w:val="-2"/>
                <w:sz w:val="22"/>
              </w:rPr>
              <w:t>10:50</w:t>
            </w:r>
          </w:p>
          <w:p>
            <w:pPr>
              <w:pStyle w:val="TableParagraph"/>
              <w:spacing w:before="22"/>
              <w:ind w:left="174" w:right="3"/>
              <w:jc w:val="center"/>
              <w:rPr>
                <w:sz w:val="22"/>
              </w:rPr>
            </w:pPr>
            <w:r>
              <w:rPr>
                <w:spacing w:val="-2"/>
                <w:sz w:val="22"/>
              </w:rPr>
              <w:t>(21.600±0.321)</w:t>
            </w:r>
          </w:p>
        </w:tc>
        <w:tc>
          <w:tcPr>
            <w:tcW w:w="1093" w:type="dxa"/>
          </w:tcPr>
          <w:p>
            <w:pPr>
              <w:pStyle w:val="TableParagraph"/>
              <w:spacing w:before="215"/>
              <w:ind w:left="420"/>
              <w:rPr>
                <w:sz w:val="22"/>
              </w:rPr>
            </w:pPr>
            <w:r>
              <w:rPr>
                <w:spacing w:val="-5"/>
                <w:sz w:val="22"/>
              </w:rPr>
              <w:t>AMC</w:t>
            </w:r>
          </w:p>
        </w:tc>
        <w:tc>
          <w:tcPr>
            <w:tcW w:w="1542" w:type="dxa"/>
          </w:tcPr>
          <w:p>
            <w:pPr>
              <w:pStyle w:val="TableParagraph"/>
              <w:spacing w:before="215"/>
              <w:ind w:left="27" w:right="3"/>
              <w:jc w:val="center"/>
              <w:rPr>
                <w:sz w:val="22"/>
              </w:rPr>
            </w:pPr>
            <w:r>
              <w:rPr>
                <w:spacing w:val="-2"/>
                <w:sz w:val="22"/>
              </w:rPr>
              <w:t>17.667±1.670</w:t>
            </w:r>
          </w:p>
        </w:tc>
        <w:tc>
          <w:tcPr>
            <w:tcW w:w="1024" w:type="dxa"/>
          </w:tcPr>
          <w:p>
            <w:pPr>
              <w:pStyle w:val="TableParagraph"/>
              <w:spacing w:before="215"/>
              <w:ind w:right="73"/>
              <w:jc w:val="center"/>
              <w:rPr>
                <w:sz w:val="22"/>
              </w:rPr>
            </w:pPr>
            <w:r>
              <w:rPr>
                <w:spacing w:val="-2"/>
                <w:sz w:val="22"/>
              </w:rPr>
              <w:t>0.168</w:t>
            </w:r>
          </w:p>
        </w:tc>
        <w:tc>
          <w:tcPr>
            <w:tcW w:w="861" w:type="dxa"/>
          </w:tcPr>
          <w:p>
            <w:pPr>
              <w:pStyle w:val="TableParagraph"/>
              <w:spacing w:before="93"/>
              <w:rPr>
                <w:b/>
                <w:i/>
                <w:sz w:val="22"/>
              </w:rPr>
            </w:pPr>
          </w:p>
          <w:p>
            <w:pPr>
              <w:pStyle w:val="TableParagraph"/>
              <w:ind w:left="5" w:right="98"/>
              <w:jc w:val="center"/>
              <w:rPr>
                <w:sz w:val="22"/>
              </w:rPr>
            </w:pPr>
            <w:r>
              <w:rPr>
                <w:spacing w:val="-5"/>
                <w:sz w:val="22"/>
              </w:rPr>
              <w:t>NS</w:t>
            </w:r>
          </w:p>
        </w:tc>
      </w:tr>
      <w:tr>
        <w:trPr>
          <w:trHeight w:val="450" w:hRule="atLeast"/>
        </w:trPr>
        <w:tc>
          <w:tcPr>
            <w:tcW w:w="2244" w:type="dxa"/>
          </w:tcPr>
          <w:p>
            <w:pPr>
              <w:pStyle w:val="TableParagraph"/>
              <w:rPr>
                <w:rFonts w:ascii="Times New Roman"/>
                <w:sz w:val="22"/>
              </w:rPr>
            </w:pPr>
          </w:p>
        </w:tc>
        <w:tc>
          <w:tcPr>
            <w:tcW w:w="1093" w:type="dxa"/>
          </w:tcPr>
          <w:p>
            <w:pPr>
              <w:pStyle w:val="TableParagraph"/>
              <w:spacing w:before="70"/>
              <w:ind w:left="475"/>
              <w:rPr>
                <w:sz w:val="22"/>
              </w:rPr>
            </w:pPr>
            <w:r>
              <w:rPr>
                <w:spacing w:val="-5"/>
                <w:sz w:val="22"/>
              </w:rPr>
              <w:t>LEV</w:t>
            </w:r>
          </w:p>
        </w:tc>
        <w:tc>
          <w:tcPr>
            <w:tcW w:w="1542" w:type="dxa"/>
          </w:tcPr>
          <w:p>
            <w:pPr>
              <w:pStyle w:val="TableParagraph"/>
              <w:spacing w:before="70"/>
              <w:ind w:left="27" w:right="4"/>
              <w:jc w:val="center"/>
              <w:rPr>
                <w:sz w:val="22"/>
              </w:rPr>
            </w:pPr>
            <w:r>
              <w:rPr>
                <w:spacing w:val="-2"/>
                <w:sz w:val="22"/>
              </w:rPr>
              <w:t>19.867±1.171</w:t>
            </w:r>
          </w:p>
        </w:tc>
        <w:tc>
          <w:tcPr>
            <w:tcW w:w="1024" w:type="dxa"/>
          </w:tcPr>
          <w:p>
            <w:pPr>
              <w:pStyle w:val="TableParagraph"/>
              <w:spacing w:before="70"/>
              <w:ind w:right="73"/>
              <w:jc w:val="center"/>
              <w:rPr>
                <w:sz w:val="22"/>
              </w:rPr>
            </w:pPr>
            <w:r>
              <w:rPr>
                <w:spacing w:val="-2"/>
                <w:sz w:val="22"/>
              </w:rPr>
              <w:t>0.970</w:t>
            </w:r>
          </w:p>
        </w:tc>
        <w:tc>
          <w:tcPr>
            <w:tcW w:w="861" w:type="dxa"/>
          </w:tcPr>
          <w:p>
            <w:pPr>
              <w:pStyle w:val="TableParagraph"/>
              <w:spacing w:before="70"/>
              <w:ind w:left="5" w:right="98"/>
              <w:jc w:val="center"/>
              <w:rPr>
                <w:sz w:val="22"/>
              </w:rPr>
            </w:pPr>
            <w:r>
              <w:rPr>
                <w:spacing w:val="-5"/>
                <w:sz w:val="22"/>
              </w:rPr>
              <w:t>NS</w:t>
            </w:r>
          </w:p>
        </w:tc>
      </w:tr>
      <w:tr>
        <w:trPr>
          <w:trHeight w:val="522" w:hRule="atLeast"/>
        </w:trPr>
        <w:tc>
          <w:tcPr>
            <w:tcW w:w="2244" w:type="dxa"/>
            <w:tcBorders>
              <w:bottom w:val="single" w:sz="4" w:space="0" w:color="000000"/>
            </w:tcBorders>
          </w:tcPr>
          <w:p>
            <w:pPr>
              <w:pStyle w:val="TableParagraph"/>
              <w:rPr>
                <w:rFonts w:ascii="Times New Roman"/>
                <w:sz w:val="22"/>
              </w:rPr>
            </w:pPr>
          </w:p>
        </w:tc>
        <w:tc>
          <w:tcPr>
            <w:tcW w:w="1093" w:type="dxa"/>
            <w:tcBorders>
              <w:bottom w:val="single" w:sz="4" w:space="0" w:color="000000"/>
            </w:tcBorders>
          </w:tcPr>
          <w:p>
            <w:pPr>
              <w:pStyle w:val="TableParagraph"/>
              <w:spacing w:before="71"/>
              <w:ind w:left="427"/>
              <w:rPr>
                <w:sz w:val="22"/>
              </w:rPr>
            </w:pPr>
            <w:r>
              <w:rPr>
                <w:spacing w:val="-5"/>
                <w:sz w:val="22"/>
              </w:rPr>
              <w:t>AZM</w:t>
            </w:r>
          </w:p>
        </w:tc>
        <w:tc>
          <w:tcPr>
            <w:tcW w:w="1542" w:type="dxa"/>
            <w:tcBorders>
              <w:bottom w:val="single" w:sz="4" w:space="0" w:color="000000"/>
            </w:tcBorders>
          </w:tcPr>
          <w:p>
            <w:pPr>
              <w:pStyle w:val="TableParagraph"/>
              <w:spacing w:before="71"/>
              <w:ind w:left="27" w:right="4"/>
              <w:jc w:val="center"/>
              <w:rPr>
                <w:sz w:val="22"/>
              </w:rPr>
            </w:pPr>
            <w:r>
              <w:rPr>
                <w:spacing w:val="-2"/>
                <w:sz w:val="22"/>
              </w:rPr>
              <w:t>15.467±1.050</w:t>
            </w:r>
          </w:p>
        </w:tc>
        <w:tc>
          <w:tcPr>
            <w:tcW w:w="1024" w:type="dxa"/>
            <w:tcBorders>
              <w:bottom w:val="single" w:sz="4" w:space="0" w:color="000000"/>
            </w:tcBorders>
          </w:tcPr>
          <w:p>
            <w:pPr>
              <w:pStyle w:val="TableParagraph"/>
              <w:spacing w:before="71"/>
              <w:ind w:right="73"/>
              <w:jc w:val="center"/>
              <w:rPr>
                <w:sz w:val="22"/>
              </w:rPr>
            </w:pPr>
            <w:r>
              <w:rPr>
                <w:spacing w:val="-2"/>
                <w:sz w:val="22"/>
              </w:rPr>
              <w:t>0.001</w:t>
            </w:r>
          </w:p>
        </w:tc>
        <w:tc>
          <w:tcPr>
            <w:tcW w:w="861" w:type="dxa"/>
            <w:tcBorders>
              <w:bottom w:val="single" w:sz="4" w:space="0" w:color="000000"/>
            </w:tcBorders>
          </w:tcPr>
          <w:p>
            <w:pPr>
              <w:pStyle w:val="TableParagraph"/>
              <w:spacing w:before="71"/>
              <w:ind w:left="5" w:right="100"/>
              <w:jc w:val="center"/>
              <w:rPr>
                <w:sz w:val="22"/>
              </w:rPr>
            </w:pPr>
            <w:r>
              <w:rPr>
                <w:spacing w:val="-5"/>
                <w:sz w:val="22"/>
              </w:rPr>
              <w:t>SF</w:t>
            </w:r>
          </w:p>
        </w:tc>
      </w:tr>
      <w:tr>
        <w:trPr>
          <w:trHeight w:val="376" w:hRule="atLeast"/>
        </w:trPr>
        <w:tc>
          <w:tcPr>
            <w:tcW w:w="2244" w:type="dxa"/>
            <w:tcBorders>
              <w:top w:val="single" w:sz="4" w:space="0" w:color="000000"/>
            </w:tcBorders>
          </w:tcPr>
          <w:p>
            <w:pPr>
              <w:pStyle w:val="TableParagraph"/>
              <w:rPr>
                <w:rFonts w:ascii="Times New Roman"/>
                <w:sz w:val="22"/>
              </w:rPr>
            </w:pPr>
          </w:p>
        </w:tc>
        <w:tc>
          <w:tcPr>
            <w:tcW w:w="1093" w:type="dxa"/>
            <w:tcBorders>
              <w:top w:val="single" w:sz="4" w:space="0" w:color="000000"/>
            </w:tcBorders>
          </w:tcPr>
          <w:p>
            <w:pPr>
              <w:pStyle w:val="TableParagraph"/>
              <w:spacing w:line="265" w:lineRule="exact"/>
              <w:ind w:left="447"/>
              <w:rPr>
                <w:sz w:val="22"/>
              </w:rPr>
            </w:pPr>
            <w:r>
              <w:rPr>
                <w:spacing w:val="-5"/>
                <w:sz w:val="22"/>
              </w:rPr>
              <w:t>CRO</w:t>
            </w:r>
          </w:p>
        </w:tc>
        <w:tc>
          <w:tcPr>
            <w:tcW w:w="1542" w:type="dxa"/>
            <w:tcBorders>
              <w:top w:val="single" w:sz="4" w:space="0" w:color="000000"/>
            </w:tcBorders>
          </w:tcPr>
          <w:p>
            <w:pPr>
              <w:pStyle w:val="TableParagraph"/>
              <w:spacing w:line="265" w:lineRule="exact"/>
              <w:ind w:left="27" w:right="4"/>
              <w:jc w:val="center"/>
              <w:rPr>
                <w:sz w:val="22"/>
              </w:rPr>
            </w:pPr>
            <w:r>
              <w:rPr>
                <w:spacing w:val="-2"/>
                <w:sz w:val="22"/>
              </w:rPr>
              <w:t>20.667±1.511</w:t>
            </w:r>
          </w:p>
        </w:tc>
        <w:tc>
          <w:tcPr>
            <w:tcW w:w="1024" w:type="dxa"/>
            <w:tcBorders>
              <w:top w:val="single" w:sz="4" w:space="0" w:color="000000"/>
            </w:tcBorders>
          </w:tcPr>
          <w:p>
            <w:pPr>
              <w:pStyle w:val="TableParagraph"/>
              <w:spacing w:line="265" w:lineRule="exact"/>
              <w:ind w:right="73"/>
              <w:jc w:val="center"/>
              <w:rPr>
                <w:sz w:val="22"/>
              </w:rPr>
            </w:pPr>
            <w:r>
              <w:rPr>
                <w:spacing w:val="-2"/>
                <w:sz w:val="22"/>
              </w:rPr>
              <w:t>0.997</w:t>
            </w:r>
          </w:p>
        </w:tc>
        <w:tc>
          <w:tcPr>
            <w:tcW w:w="861" w:type="dxa"/>
            <w:tcBorders>
              <w:top w:val="single" w:sz="4" w:space="0" w:color="000000"/>
            </w:tcBorders>
          </w:tcPr>
          <w:p>
            <w:pPr>
              <w:pStyle w:val="TableParagraph"/>
              <w:spacing w:line="265" w:lineRule="exact"/>
              <w:ind w:left="5" w:right="98"/>
              <w:jc w:val="center"/>
              <w:rPr>
                <w:sz w:val="22"/>
              </w:rPr>
            </w:pPr>
            <w:r>
              <w:rPr>
                <w:spacing w:val="-5"/>
                <w:sz w:val="22"/>
              </w:rPr>
              <w:t>NS</w:t>
            </w:r>
          </w:p>
        </w:tc>
      </w:tr>
      <w:tr>
        <w:trPr>
          <w:trHeight w:val="450" w:hRule="atLeast"/>
        </w:trPr>
        <w:tc>
          <w:tcPr>
            <w:tcW w:w="2244" w:type="dxa"/>
          </w:tcPr>
          <w:p>
            <w:pPr>
              <w:pStyle w:val="TableParagraph"/>
              <w:rPr>
                <w:rFonts w:ascii="Times New Roman"/>
                <w:sz w:val="22"/>
              </w:rPr>
            </w:pPr>
          </w:p>
        </w:tc>
        <w:tc>
          <w:tcPr>
            <w:tcW w:w="1093" w:type="dxa"/>
          </w:tcPr>
          <w:p>
            <w:pPr>
              <w:pStyle w:val="TableParagraph"/>
              <w:spacing w:before="71"/>
              <w:ind w:left="507"/>
              <w:rPr>
                <w:sz w:val="22"/>
              </w:rPr>
            </w:pPr>
            <w:r>
              <w:rPr>
                <w:spacing w:val="-5"/>
                <w:sz w:val="22"/>
              </w:rPr>
              <w:t>CN</w:t>
            </w:r>
          </w:p>
        </w:tc>
        <w:tc>
          <w:tcPr>
            <w:tcW w:w="1542" w:type="dxa"/>
          </w:tcPr>
          <w:p>
            <w:pPr>
              <w:pStyle w:val="TableParagraph"/>
              <w:spacing w:before="71"/>
              <w:ind w:left="27" w:right="4"/>
              <w:jc w:val="center"/>
              <w:rPr>
                <w:sz w:val="22"/>
              </w:rPr>
            </w:pPr>
            <w:r>
              <w:rPr>
                <w:spacing w:val="-2"/>
                <w:sz w:val="22"/>
              </w:rPr>
              <w:t>19.267±1.523</w:t>
            </w:r>
          </w:p>
        </w:tc>
        <w:tc>
          <w:tcPr>
            <w:tcW w:w="1024" w:type="dxa"/>
          </w:tcPr>
          <w:p>
            <w:pPr>
              <w:pStyle w:val="TableParagraph"/>
              <w:spacing w:before="71"/>
              <w:ind w:right="73"/>
              <w:jc w:val="center"/>
              <w:rPr>
                <w:sz w:val="22"/>
              </w:rPr>
            </w:pPr>
            <w:r>
              <w:rPr>
                <w:spacing w:val="-2"/>
                <w:sz w:val="22"/>
              </w:rPr>
              <w:t>0.697</w:t>
            </w:r>
          </w:p>
        </w:tc>
        <w:tc>
          <w:tcPr>
            <w:tcW w:w="861" w:type="dxa"/>
          </w:tcPr>
          <w:p>
            <w:pPr>
              <w:pStyle w:val="TableParagraph"/>
              <w:spacing w:before="71"/>
              <w:ind w:left="5" w:right="98"/>
              <w:jc w:val="center"/>
              <w:rPr>
                <w:sz w:val="22"/>
              </w:rPr>
            </w:pPr>
            <w:r>
              <w:rPr>
                <w:spacing w:val="-5"/>
                <w:sz w:val="22"/>
              </w:rPr>
              <w:t>NS</w:t>
            </w:r>
          </w:p>
        </w:tc>
      </w:tr>
      <w:tr>
        <w:trPr>
          <w:trHeight w:val="739" w:hRule="atLeast"/>
        </w:trPr>
        <w:tc>
          <w:tcPr>
            <w:tcW w:w="2244" w:type="dxa"/>
          </w:tcPr>
          <w:p>
            <w:pPr>
              <w:pStyle w:val="TableParagraph"/>
              <w:spacing w:before="70"/>
              <w:ind w:left="174" w:right="5"/>
              <w:jc w:val="center"/>
              <w:rPr>
                <w:sz w:val="22"/>
              </w:rPr>
            </w:pPr>
            <w:r>
              <w:rPr>
                <w:sz w:val="22"/>
              </w:rPr>
              <w:t>H/L;</w:t>
            </w:r>
            <w:r>
              <w:rPr>
                <w:spacing w:val="-4"/>
                <w:sz w:val="22"/>
              </w:rPr>
              <w:t> </w:t>
            </w:r>
            <w:r>
              <w:rPr>
                <w:sz w:val="22"/>
              </w:rPr>
              <w:t>20:</w:t>
            </w:r>
            <w:r>
              <w:rPr>
                <w:spacing w:val="-3"/>
                <w:sz w:val="22"/>
              </w:rPr>
              <w:t> </w:t>
            </w:r>
            <w:r>
              <w:rPr>
                <w:spacing w:val="-5"/>
                <w:sz w:val="22"/>
              </w:rPr>
              <w:t>50</w:t>
            </w:r>
          </w:p>
          <w:p>
            <w:pPr>
              <w:pStyle w:val="TableParagraph"/>
              <w:spacing w:before="22"/>
              <w:ind w:left="174" w:right="3"/>
              <w:jc w:val="center"/>
              <w:rPr>
                <w:sz w:val="22"/>
              </w:rPr>
            </w:pPr>
            <w:r>
              <w:rPr>
                <w:spacing w:val="-2"/>
                <w:sz w:val="22"/>
              </w:rPr>
              <w:t>(21.933±0.248)</w:t>
            </w:r>
          </w:p>
        </w:tc>
        <w:tc>
          <w:tcPr>
            <w:tcW w:w="1093" w:type="dxa"/>
          </w:tcPr>
          <w:p>
            <w:pPr>
              <w:pStyle w:val="TableParagraph"/>
              <w:spacing w:before="214"/>
              <w:ind w:left="420"/>
              <w:rPr>
                <w:sz w:val="22"/>
              </w:rPr>
            </w:pPr>
            <w:r>
              <w:rPr>
                <w:spacing w:val="-5"/>
                <w:sz w:val="22"/>
              </w:rPr>
              <w:t>AMC</w:t>
            </w:r>
          </w:p>
        </w:tc>
        <w:tc>
          <w:tcPr>
            <w:tcW w:w="1542" w:type="dxa"/>
          </w:tcPr>
          <w:p>
            <w:pPr>
              <w:pStyle w:val="TableParagraph"/>
              <w:spacing w:before="214"/>
              <w:ind w:left="27" w:right="4"/>
              <w:jc w:val="center"/>
              <w:rPr>
                <w:sz w:val="22"/>
              </w:rPr>
            </w:pPr>
            <w:r>
              <w:rPr>
                <w:spacing w:val="-2"/>
                <w:sz w:val="22"/>
              </w:rPr>
              <w:t>17.667±1.670</w:t>
            </w:r>
          </w:p>
        </w:tc>
        <w:tc>
          <w:tcPr>
            <w:tcW w:w="1024" w:type="dxa"/>
          </w:tcPr>
          <w:p>
            <w:pPr>
              <w:pStyle w:val="TableParagraph"/>
              <w:spacing w:before="214"/>
              <w:ind w:right="73"/>
              <w:jc w:val="center"/>
              <w:rPr>
                <w:sz w:val="22"/>
              </w:rPr>
            </w:pPr>
            <w:r>
              <w:rPr>
                <w:spacing w:val="-2"/>
                <w:sz w:val="22"/>
              </w:rPr>
              <w:t>0.096</w:t>
            </w:r>
          </w:p>
        </w:tc>
        <w:tc>
          <w:tcPr>
            <w:tcW w:w="861" w:type="dxa"/>
          </w:tcPr>
          <w:p>
            <w:pPr>
              <w:pStyle w:val="TableParagraph"/>
              <w:spacing w:before="91"/>
              <w:rPr>
                <w:b/>
                <w:i/>
                <w:sz w:val="22"/>
              </w:rPr>
            </w:pPr>
          </w:p>
          <w:p>
            <w:pPr>
              <w:pStyle w:val="TableParagraph"/>
              <w:spacing w:before="1"/>
              <w:ind w:left="5" w:right="98"/>
              <w:jc w:val="center"/>
              <w:rPr>
                <w:sz w:val="22"/>
              </w:rPr>
            </w:pPr>
            <w:r>
              <w:rPr>
                <w:spacing w:val="-5"/>
                <w:sz w:val="22"/>
              </w:rPr>
              <w:t>NS</w:t>
            </w:r>
          </w:p>
        </w:tc>
      </w:tr>
      <w:tr>
        <w:trPr>
          <w:trHeight w:val="450" w:hRule="atLeast"/>
        </w:trPr>
        <w:tc>
          <w:tcPr>
            <w:tcW w:w="2244" w:type="dxa"/>
          </w:tcPr>
          <w:p>
            <w:pPr>
              <w:pStyle w:val="TableParagraph"/>
              <w:rPr>
                <w:rFonts w:ascii="Times New Roman"/>
                <w:sz w:val="22"/>
              </w:rPr>
            </w:pPr>
          </w:p>
        </w:tc>
        <w:tc>
          <w:tcPr>
            <w:tcW w:w="1093" w:type="dxa"/>
          </w:tcPr>
          <w:p>
            <w:pPr>
              <w:pStyle w:val="TableParagraph"/>
              <w:spacing w:before="70"/>
              <w:ind w:left="475"/>
              <w:rPr>
                <w:sz w:val="22"/>
              </w:rPr>
            </w:pPr>
            <w:r>
              <w:rPr>
                <w:spacing w:val="-5"/>
                <w:sz w:val="22"/>
              </w:rPr>
              <w:t>LEV</w:t>
            </w:r>
          </w:p>
        </w:tc>
        <w:tc>
          <w:tcPr>
            <w:tcW w:w="1542" w:type="dxa"/>
          </w:tcPr>
          <w:p>
            <w:pPr>
              <w:pStyle w:val="TableParagraph"/>
              <w:spacing w:before="70"/>
              <w:ind w:left="27" w:right="4"/>
              <w:jc w:val="center"/>
              <w:rPr>
                <w:sz w:val="22"/>
              </w:rPr>
            </w:pPr>
            <w:r>
              <w:rPr>
                <w:spacing w:val="-2"/>
                <w:sz w:val="22"/>
              </w:rPr>
              <w:t>19.867±1.171</w:t>
            </w:r>
          </w:p>
        </w:tc>
        <w:tc>
          <w:tcPr>
            <w:tcW w:w="1024" w:type="dxa"/>
          </w:tcPr>
          <w:p>
            <w:pPr>
              <w:pStyle w:val="TableParagraph"/>
              <w:spacing w:before="70"/>
              <w:ind w:right="73"/>
              <w:jc w:val="center"/>
              <w:rPr>
                <w:sz w:val="22"/>
              </w:rPr>
            </w:pPr>
            <w:r>
              <w:rPr>
                <w:spacing w:val="-2"/>
                <w:sz w:val="22"/>
              </w:rPr>
              <w:t>0.912</w:t>
            </w:r>
          </w:p>
        </w:tc>
        <w:tc>
          <w:tcPr>
            <w:tcW w:w="861" w:type="dxa"/>
          </w:tcPr>
          <w:p>
            <w:pPr>
              <w:pStyle w:val="TableParagraph"/>
              <w:spacing w:before="70"/>
              <w:ind w:left="5" w:right="98"/>
              <w:jc w:val="center"/>
              <w:rPr>
                <w:sz w:val="22"/>
              </w:rPr>
            </w:pPr>
            <w:r>
              <w:rPr>
                <w:spacing w:val="-5"/>
                <w:sz w:val="22"/>
              </w:rPr>
              <w:t>NS</w:t>
            </w:r>
          </w:p>
        </w:tc>
      </w:tr>
      <w:tr>
        <w:trPr>
          <w:trHeight w:val="523" w:hRule="atLeast"/>
        </w:trPr>
        <w:tc>
          <w:tcPr>
            <w:tcW w:w="2244" w:type="dxa"/>
            <w:tcBorders>
              <w:bottom w:val="single" w:sz="4" w:space="0" w:color="000000"/>
            </w:tcBorders>
          </w:tcPr>
          <w:p>
            <w:pPr>
              <w:pStyle w:val="TableParagraph"/>
              <w:rPr>
                <w:rFonts w:ascii="Times New Roman"/>
                <w:sz w:val="22"/>
              </w:rPr>
            </w:pPr>
          </w:p>
        </w:tc>
        <w:tc>
          <w:tcPr>
            <w:tcW w:w="1093" w:type="dxa"/>
            <w:tcBorders>
              <w:bottom w:val="single" w:sz="4" w:space="0" w:color="000000"/>
            </w:tcBorders>
          </w:tcPr>
          <w:p>
            <w:pPr>
              <w:pStyle w:val="TableParagraph"/>
              <w:spacing w:before="71"/>
              <w:ind w:left="427"/>
              <w:rPr>
                <w:sz w:val="22"/>
              </w:rPr>
            </w:pPr>
            <w:r>
              <w:rPr>
                <w:spacing w:val="-5"/>
                <w:sz w:val="22"/>
              </w:rPr>
              <w:t>AZM</w:t>
            </w:r>
          </w:p>
        </w:tc>
        <w:tc>
          <w:tcPr>
            <w:tcW w:w="1542" w:type="dxa"/>
            <w:tcBorders>
              <w:bottom w:val="single" w:sz="4" w:space="0" w:color="000000"/>
            </w:tcBorders>
          </w:tcPr>
          <w:p>
            <w:pPr>
              <w:pStyle w:val="TableParagraph"/>
              <w:spacing w:before="71"/>
              <w:ind w:left="27" w:right="4"/>
              <w:jc w:val="center"/>
              <w:rPr>
                <w:sz w:val="22"/>
              </w:rPr>
            </w:pPr>
            <w:r>
              <w:rPr>
                <w:spacing w:val="-2"/>
                <w:sz w:val="22"/>
              </w:rPr>
              <w:t>15.467±1.050</w:t>
            </w:r>
          </w:p>
        </w:tc>
        <w:tc>
          <w:tcPr>
            <w:tcW w:w="1024" w:type="dxa"/>
            <w:tcBorders>
              <w:bottom w:val="single" w:sz="4" w:space="0" w:color="000000"/>
            </w:tcBorders>
          </w:tcPr>
          <w:p>
            <w:pPr>
              <w:pStyle w:val="TableParagraph"/>
              <w:spacing w:before="71"/>
              <w:ind w:right="73"/>
              <w:jc w:val="center"/>
              <w:rPr>
                <w:sz w:val="22"/>
              </w:rPr>
            </w:pPr>
            <w:r>
              <w:rPr>
                <w:spacing w:val="-2"/>
                <w:sz w:val="22"/>
              </w:rPr>
              <w:t>0.001</w:t>
            </w:r>
          </w:p>
        </w:tc>
        <w:tc>
          <w:tcPr>
            <w:tcW w:w="861" w:type="dxa"/>
            <w:tcBorders>
              <w:bottom w:val="single" w:sz="4" w:space="0" w:color="000000"/>
            </w:tcBorders>
          </w:tcPr>
          <w:p>
            <w:pPr>
              <w:pStyle w:val="TableParagraph"/>
              <w:spacing w:before="71"/>
              <w:ind w:left="5" w:right="100"/>
              <w:jc w:val="center"/>
              <w:rPr>
                <w:sz w:val="22"/>
              </w:rPr>
            </w:pPr>
            <w:r>
              <w:rPr>
                <w:spacing w:val="-5"/>
                <w:sz w:val="22"/>
              </w:rPr>
              <w:t>SF</w:t>
            </w:r>
          </w:p>
        </w:tc>
      </w:tr>
      <w:tr>
        <w:trPr>
          <w:trHeight w:val="376" w:hRule="atLeast"/>
        </w:trPr>
        <w:tc>
          <w:tcPr>
            <w:tcW w:w="2244" w:type="dxa"/>
            <w:tcBorders>
              <w:top w:val="single" w:sz="4" w:space="0" w:color="000000"/>
            </w:tcBorders>
          </w:tcPr>
          <w:p>
            <w:pPr>
              <w:pStyle w:val="TableParagraph"/>
              <w:rPr>
                <w:rFonts w:ascii="Times New Roman"/>
                <w:sz w:val="22"/>
              </w:rPr>
            </w:pPr>
          </w:p>
        </w:tc>
        <w:tc>
          <w:tcPr>
            <w:tcW w:w="1093" w:type="dxa"/>
            <w:tcBorders>
              <w:top w:val="single" w:sz="4" w:space="0" w:color="000000"/>
            </w:tcBorders>
          </w:tcPr>
          <w:p>
            <w:pPr>
              <w:pStyle w:val="TableParagraph"/>
              <w:spacing w:line="265" w:lineRule="exact"/>
              <w:ind w:left="447"/>
              <w:rPr>
                <w:sz w:val="22"/>
              </w:rPr>
            </w:pPr>
            <w:r>
              <w:rPr>
                <w:spacing w:val="-5"/>
                <w:sz w:val="22"/>
              </w:rPr>
              <w:t>CRO</w:t>
            </w:r>
          </w:p>
        </w:tc>
        <w:tc>
          <w:tcPr>
            <w:tcW w:w="1542" w:type="dxa"/>
            <w:tcBorders>
              <w:top w:val="single" w:sz="4" w:space="0" w:color="000000"/>
            </w:tcBorders>
          </w:tcPr>
          <w:p>
            <w:pPr>
              <w:pStyle w:val="TableParagraph"/>
              <w:spacing w:line="265" w:lineRule="exact"/>
              <w:ind w:left="27" w:right="4"/>
              <w:jc w:val="center"/>
              <w:rPr>
                <w:sz w:val="22"/>
              </w:rPr>
            </w:pPr>
            <w:r>
              <w:rPr>
                <w:spacing w:val="-2"/>
                <w:sz w:val="22"/>
              </w:rPr>
              <w:t>20.667±1.511</w:t>
            </w:r>
          </w:p>
        </w:tc>
        <w:tc>
          <w:tcPr>
            <w:tcW w:w="1024" w:type="dxa"/>
            <w:tcBorders>
              <w:top w:val="single" w:sz="4" w:space="0" w:color="000000"/>
            </w:tcBorders>
          </w:tcPr>
          <w:p>
            <w:pPr>
              <w:pStyle w:val="TableParagraph"/>
              <w:spacing w:line="265" w:lineRule="exact"/>
              <w:ind w:right="73"/>
              <w:jc w:val="center"/>
              <w:rPr>
                <w:sz w:val="22"/>
              </w:rPr>
            </w:pPr>
            <w:r>
              <w:rPr>
                <w:spacing w:val="-2"/>
                <w:sz w:val="22"/>
              </w:rPr>
              <w:t>0.995</w:t>
            </w:r>
          </w:p>
        </w:tc>
        <w:tc>
          <w:tcPr>
            <w:tcW w:w="861" w:type="dxa"/>
            <w:tcBorders>
              <w:top w:val="single" w:sz="4" w:space="0" w:color="000000"/>
            </w:tcBorders>
          </w:tcPr>
          <w:p>
            <w:pPr>
              <w:pStyle w:val="TableParagraph"/>
              <w:spacing w:line="265" w:lineRule="exact"/>
              <w:ind w:left="5" w:right="98"/>
              <w:jc w:val="center"/>
              <w:rPr>
                <w:sz w:val="22"/>
              </w:rPr>
            </w:pPr>
            <w:r>
              <w:rPr>
                <w:spacing w:val="-5"/>
                <w:sz w:val="22"/>
              </w:rPr>
              <w:t>NS</w:t>
            </w:r>
          </w:p>
        </w:tc>
      </w:tr>
      <w:tr>
        <w:trPr>
          <w:trHeight w:val="450" w:hRule="atLeast"/>
        </w:trPr>
        <w:tc>
          <w:tcPr>
            <w:tcW w:w="2244" w:type="dxa"/>
          </w:tcPr>
          <w:p>
            <w:pPr>
              <w:pStyle w:val="TableParagraph"/>
              <w:rPr>
                <w:rFonts w:ascii="Times New Roman"/>
                <w:sz w:val="22"/>
              </w:rPr>
            </w:pPr>
          </w:p>
        </w:tc>
        <w:tc>
          <w:tcPr>
            <w:tcW w:w="1093" w:type="dxa"/>
          </w:tcPr>
          <w:p>
            <w:pPr>
              <w:pStyle w:val="TableParagraph"/>
              <w:spacing w:before="71"/>
              <w:ind w:left="507"/>
              <w:rPr>
                <w:sz w:val="22"/>
              </w:rPr>
            </w:pPr>
            <w:r>
              <w:rPr>
                <w:spacing w:val="-5"/>
                <w:sz w:val="22"/>
              </w:rPr>
              <w:t>CN</w:t>
            </w:r>
          </w:p>
        </w:tc>
        <w:tc>
          <w:tcPr>
            <w:tcW w:w="1542" w:type="dxa"/>
          </w:tcPr>
          <w:p>
            <w:pPr>
              <w:pStyle w:val="TableParagraph"/>
              <w:spacing w:before="71"/>
              <w:ind w:left="27" w:right="4"/>
              <w:jc w:val="center"/>
              <w:rPr>
                <w:sz w:val="22"/>
              </w:rPr>
            </w:pPr>
            <w:r>
              <w:rPr>
                <w:spacing w:val="-2"/>
                <w:sz w:val="22"/>
              </w:rPr>
              <w:t>19.267±1.523</w:t>
            </w:r>
          </w:p>
        </w:tc>
        <w:tc>
          <w:tcPr>
            <w:tcW w:w="1024" w:type="dxa"/>
          </w:tcPr>
          <w:p>
            <w:pPr>
              <w:pStyle w:val="TableParagraph"/>
              <w:spacing w:before="71"/>
              <w:ind w:right="73"/>
              <w:jc w:val="center"/>
              <w:rPr>
                <w:sz w:val="22"/>
              </w:rPr>
            </w:pPr>
            <w:r>
              <w:rPr>
                <w:spacing w:val="-2"/>
                <w:sz w:val="22"/>
              </w:rPr>
              <w:t>0.666</w:t>
            </w:r>
          </w:p>
        </w:tc>
        <w:tc>
          <w:tcPr>
            <w:tcW w:w="861" w:type="dxa"/>
          </w:tcPr>
          <w:p>
            <w:pPr>
              <w:pStyle w:val="TableParagraph"/>
              <w:spacing w:before="71"/>
              <w:ind w:left="5" w:right="98"/>
              <w:jc w:val="center"/>
              <w:rPr>
                <w:sz w:val="22"/>
              </w:rPr>
            </w:pPr>
            <w:r>
              <w:rPr>
                <w:spacing w:val="-5"/>
                <w:sz w:val="22"/>
              </w:rPr>
              <w:t>NS</w:t>
            </w:r>
          </w:p>
        </w:tc>
      </w:tr>
      <w:tr>
        <w:trPr>
          <w:trHeight w:val="739" w:hRule="atLeast"/>
        </w:trPr>
        <w:tc>
          <w:tcPr>
            <w:tcW w:w="2244" w:type="dxa"/>
          </w:tcPr>
          <w:p>
            <w:pPr>
              <w:pStyle w:val="TableParagraph"/>
              <w:spacing w:before="70"/>
              <w:ind w:left="174"/>
              <w:jc w:val="center"/>
              <w:rPr>
                <w:sz w:val="22"/>
              </w:rPr>
            </w:pPr>
            <w:r>
              <w:rPr>
                <w:sz w:val="22"/>
              </w:rPr>
              <w:t>H/L;</w:t>
            </w:r>
            <w:r>
              <w:rPr>
                <w:spacing w:val="-5"/>
                <w:sz w:val="22"/>
              </w:rPr>
              <w:t> </w:t>
            </w:r>
            <w:r>
              <w:rPr>
                <w:spacing w:val="-2"/>
                <w:sz w:val="22"/>
              </w:rPr>
              <w:t>30:50</w:t>
            </w:r>
          </w:p>
          <w:p>
            <w:pPr>
              <w:pStyle w:val="TableParagraph"/>
              <w:spacing w:before="22"/>
              <w:ind w:left="174" w:right="3"/>
              <w:jc w:val="center"/>
              <w:rPr>
                <w:sz w:val="22"/>
              </w:rPr>
            </w:pPr>
            <w:r>
              <w:rPr>
                <w:spacing w:val="-2"/>
                <w:sz w:val="22"/>
              </w:rPr>
              <w:t>(22.000±0.218)</w:t>
            </w:r>
          </w:p>
        </w:tc>
        <w:tc>
          <w:tcPr>
            <w:tcW w:w="1093" w:type="dxa"/>
          </w:tcPr>
          <w:p>
            <w:pPr>
              <w:pStyle w:val="TableParagraph"/>
              <w:spacing w:before="214"/>
              <w:ind w:left="420"/>
              <w:rPr>
                <w:sz w:val="22"/>
              </w:rPr>
            </w:pPr>
            <w:r>
              <w:rPr>
                <w:spacing w:val="-5"/>
                <w:sz w:val="22"/>
              </w:rPr>
              <w:t>AMC</w:t>
            </w:r>
          </w:p>
        </w:tc>
        <w:tc>
          <w:tcPr>
            <w:tcW w:w="1542" w:type="dxa"/>
          </w:tcPr>
          <w:p>
            <w:pPr>
              <w:pStyle w:val="TableParagraph"/>
              <w:spacing w:before="214"/>
              <w:ind w:left="27" w:right="4"/>
              <w:jc w:val="center"/>
              <w:rPr>
                <w:sz w:val="22"/>
              </w:rPr>
            </w:pPr>
            <w:r>
              <w:rPr>
                <w:spacing w:val="-2"/>
                <w:sz w:val="22"/>
              </w:rPr>
              <w:t>17.667±1.670</w:t>
            </w:r>
          </w:p>
        </w:tc>
        <w:tc>
          <w:tcPr>
            <w:tcW w:w="1024" w:type="dxa"/>
          </w:tcPr>
          <w:p>
            <w:pPr>
              <w:pStyle w:val="TableParagraph"/>
              <w:spacing w:before="214"/>
              <w:ind w:right="73"/>
              <w:jc w:val="center"/>
              <w:rPr>
                <w:sz w:val="22"/>
              </w:rPr>
            </w:pPr>
            <w:r>
              <w:rPr>
                <w:spacing w:val="-2"/>
                <w:sz w:val="22"/>
              </w:rPr>
              <w:t>0.085</w:t>
            </w:r>
          </w:p>
        </w:tc>
        <w:tc>
          <w:tcPr>
            <w:tcW w:w="861" w:type="dxa"/>
          </w:tcPr>
          <w:p>
            <w:pPr>
              <w:pStyle w:val="TableParagraph"/>
              <w:spacing w:before="91"/>
              <w:rPr>
                <w:b/>
                <w:i/>
                <w:sz w:val="22"/>
              </w:rPr>
            </w:pPr>
          </w:p>
          <w:p>
            <w:pPr>
              <w:pStyle w:val="TableParagraph"/>
              <w:spacing w:before="1"/>
              <w:ind w:left="5" w:right="98"/>
              <w:jc w:val="center"/>
              <w:rPr>
                <w:sz w:val="22"/>
              </w:rPr>
            </w:pPr>
            <w:r>
              <w:rPr>
                <w:spacing w:val="-5"/>
                <w:sz w:val="22"/>
              </w:rPr>
              <w:t>NS</w:t>
            </w:r>
          </w:p>
        </w:tc>
      </w:tr>
      <w:tr>
        <w:trPr>
          <w:trHeight w:val="450" w:hRule="atLeast"/>
        </w:trPr>
        <w:tc>
          <w:tcPr>
            <w:tcW w:w="2244" w:type="dxa"/>
          </w:tcPr>
          <w:p>
            <w:pPr>
              <w:pStyle w:val="TableParagraph"/>
              <w:rPr>
                <w:rFonts w:ascii="Times New Roman"/>
                <w:sz w:val="22"/>
              </w:rPr>
            </w:pPr>
          </w:p>
        </w:tc>
        <w:tc>
          <w:tcPr>
            <w:tcW w:w="1093" w:type="dxa"/>
          </w:tcPr>
          <w:p>
            <w:pPr>
              <w:pStyle w:val="TableParagraph"/>
              <w:spacing w:before="70"/>
              <w:ind w:left="475"/>
              <w:rPr>
                <w:sz w:val="22"/>
              </w:rPr>
            </w:pPr>
            <w:r>
              <w:rPr>
                <w:spacing w:val="-5"/>
                <w:sz w:val="22"/>
              </w:rPr>
              <w:t>LEV</w:t>
            </w:r>
          </w:p>
        </w:tc>
        <w:tc>
          <w:tcPr>
            <w:tcW w:w="1542" w:type="dxa"/>
          </w:tcPr>
          <w:p>
            <w:pPr>
              <w:pStyle w:val="TableParagraph"/>
              <w:spacing w:before="70"/>
              <w:ind w:left="27" w:right="4"/>
              <w:jc w:val="center"/>
              <w:rPr>
                <w:sz w:val="22"/>
              </w:rPr>
            </w:pPr>
            <w:r>
              <w:rPr>
                <w:spacing w:val="-2"/>
                <w:sz w:val="22"/>
              </w:rPr>
              <w:t>19.867±1.171</w:t>
            </w:r>
          </w:p>
        </w:tc>
        <w:tc>
          <w:tcPr>
            <w:tcW w:w="1024" w:type="dxa"/>
          </w:tcPr>
          <w:p>
            <w:pPr>
              <w:pStyle w:val="TableParagraph"/>
              <w:spacing w:before="70"/>
              <w:ind w:right="73"/>
              <w:jc w:val="center"/>
              <w:rPr>
                <w:sz w:val="22"/>
              </w:rPr>
            </w:pPr>
            <w:r>
              <w:rPr>
                <w:spacing w:val="-2"/>
                <w:sz w:val="22"/>
              </w:rPr>
              <w:t>0.895</w:t>
            </w:r>
          </w:p>
        </w:tc>
        <w:tc>
          <w:tcPr>
            <w:tcW w:w="861" w:type="dxa"/>
          </w:tcPr>
          <w:p>
            <w:pPr>
              <w:pStyle w:val="TableParagraph"/>
              <w:spacing w:before="70"/>
              <w:ind w:left="5" w:right="98"/>
              <w:jc w:val="center"/>
              <w:rPr>
                <w:sz w:val="22"/>
              </w:rPr>
            </w:pPr>
            <w:r>
              <w:rPr>
                <w:spacing w:val="-5"/>
                <w:sz w:val="22"/>
              </w:rPr>
              <w:t>NS</w:t>
            </w:r>
          </w:p>
        </w:tc>
      </w:tr>
      <w:tr>
        <w:trPr>
          <w:trHeight w:val="523" w:hRule="atLeast"/>
        </w:trPr>
        <w:tc>
          <w:tcPr>
            <w:tcW w:w="2244" w:type="dxa"/>
            <w:tcBorders>
              <w:bottom w:val="single" w:sz="4" w:space="0" w:color="000000"/>
            </w:tcBorders>
          </w:tcPr>
          <w:p>
            <w:pPr>
              <w:pStyle w:val="TableParagraph"/>
              <w:rPr>
                <w:rFonts w:ascii="Times New Roman"/>
                <w:sz w:val="22"/>
              </w:rPr>
            </w:pPr>
          </w:p>
        </w:tc>
        <w:tc>
          <w:tcPr>
            <w:tcW w:w="1093" w:type="dxa"/>
            <w:tcBorders>
              <w:bottom w:val="single" w:sz="4" w:space="0" w:color="000000"/>
            </w:tcBorders>
          </w:tcPr>
          <w:p>
            <w:pPr>
              <w:pStyle w:val="TableParagraph"/>
              <w:spacing w:before="71"/>
              <w:ind w:left="427"/>
              <w:rPr>
                <w:sz w:val="22"/>
              </w:rPr>
            </w:pPr>
            <w:r>
              <w:rPr>
                <w:spacing w:val="-5"/>
                <w:sz w:val="22"/>
              </w:rPr>
              <w:t>AZM</w:t>
            </w:r>
          </w:p>
        </w:tc>
        <w:tc>
          <w:tcPr>
            <w:tcW w:w="1542" w:type="dxa"/>
            <w:tcBorders>
              <w:bottom w:val="single" w:sz="4" w:space="0" w:color="000000"/>
            </w:tcBorders>
          </w:tcPr>
          <w:p>
            <w:pPr>
              <w:pStyle w:val="TableParagraph"/>
              <w:spacing w:before="71"/>
              <w:ind w:left="27" w:right="4"/>
              <w:jc w:val="center"/>
              <w:rPr>
                <w:sz w:val="22"/>
              </w:rPr>
            </w:pPr>
            <w:r>
              <w:rPr>
                <w:spacing w:val="-2"/>
                <w:sz w:val="22"/>
              </w:rPr>
              <w:t>15.467±1.050</w:t>
            </w:r>
          </w:p>
        </w:tc>
        <w:tc>
          <w:tcPr>
            <w:tcW w:w="1024" w:type="dxa"/>
            <w:tcBorders>
              <w:bottom w:val="single" w:sz="4" w:space="0" w:color="000000"/>
            </w:tcBorders>
          </w:tcPr>
          <w:p>
            <w:pPr>
              <w:pStyle w:val="TableParagraph"/>
              <w:spacing w:before="71"/>
              <w:ind w:right="73"/>
              <w:jc w:val="center"/>
              <w:rPr>
                <w:sz w:val="22"/>
              </w:rPr>
            </w:pPr>
            <w:r>
              <w:rPr>
                <w:spacing w:val="-2"/>
                <w:sz w:val="22"/>
              </w:rPr>
              <w:t>0.000</w:t>
            </w:r>
          </w:p>
        </w:tc>
        <w:tc>
          <w:tcPr>
            <w:tcW w:w="861" w:type="dxa"/>
            <w:tcBorders>
              <w:bottom w:val="single" w:sz="4" w:space="0" w:color="000000"/>
            </w:tcBorders>
          </w:tcPr>
          <w:p>
            <w:pPr>
              <w:pStyle w:val="TableParagraph"/>
              <w:spacing w:before="71"/>
              <w:ind w:left="5" w:right="100"/>
              <w:jc w:val="center"/>
              <w:rPr>
                <w:sz w:val="22"/>
              </w:rPr>
            </w:pPr>
            <w:r>
              <w:rPr>
                <w:spacing w:val="-5"/>
                <w:sz w:val="22"/>
              </w:rPr>
              <w:t>SF</w:t>
            </w:r>
          </w:p>
        </w:tc>
      </w:tr>
      <w:tr>
        <w:trPr>
          <w:trHeight w:val="376" w:hRule="atLeast"/>
        </w:trPr>
        <w:tc>
          <w:tcPr>
            <w:tcW w:w="2244" w:type="dxa"/>
            <w:tcBorders>
              <w:top w:val="single" w:sz="4" w:space="0" w:color="000000"/>
            </w:tcBorders>
          </w:tcPr>
          <w:p>
            <w:pPr>
              <w:pStyle w:val="TableParagraph"/>
              <w:rPr>
                <w:rFonts w:ascii="Times New Roman"/>
                <w:sz w:val="22"/>
              </w:rPr>
            </w:pPr>
          </w:p>
        </w:tc>
        <w:tc>
          <w:tcPr>
            <w:tcW w:w="1093" w:type="dxa"/>
            <w:tcBorders>
              <w:top w:val="single" w:sz="4" w:space="0" w:color="000000"/>
            </w:tcBorders>
          </w:tcPr>
          <w:p>
            <w:pPr>
              <w:pStyle w:val="TableParagraph"/>
              <w:spacing w:line="265" w:lineRule="exact"/>
              <w:ind w:left="447"/>
              <w:rPr>
                <w:sz w:val="22"/>
              </w:rPr>
            </w:pPr>
            <w:r>
              <w:rPr>
                <w:spacing w:val="-5"/>
                <w:sz w:val="22"/>
              </w:rPr>
              <w:t>CRO</w:t>
            </w:r>
          </w:p>
        </w:tc>
        <w:tc>
          <w:tcPr>
            <w:tcW w:w="1542" w:type="dxa"/>
            <w:tcBorders>
              <w:top w:val="single" w:sz="4" w:space="0" w:color="000000"/>
            </w:tcBorders>
          </w:tcPr>
          <w:p>
            <w:pPr>
              <w:pStyle w:val="TableParagraph"/>
              <w:spacing w:line="265" w:lineRule="exact"/>
              <w:ind w:left="27" w:right="4"/>
              <w:jc w:val="center"/>
              <w:rPr>
                <w:sz w:val="22"/>
              </w:rPr>
            </w:pPr>
            <w:r>
              <w:rPr>
                <w:spacing w:val="-2"/>
                <w:sz w:val="22"/>
              </w:rPr>
              <w:t>20.667±1.511</w:t>
            </w:r>
          </w:p>
        </w:tc>
        <w:tc>
          <w:tcPr>
            <w:tcW w:w="1024" w:type="dxa"/>
            <w:tcBorders>
              <w:top w:val="single" w:sz="4" w:space="0" w:color="000000"/>
            </w:tcBorders>
          </w:tcPr>
          <w:p>
            <w:pPr>
              <w:pStyle w:val="TableParagraph"/>
              <w:spacing w:line="265" w:lineRule="exact"/>
              <w:ind w:right="73"/>
              <w:jc w:val="center"/>
              <w:rPr>
                <w:sz w:val="22"/>
              </w:rPr>
            </w:pPr>
            <w:r>
              <w:rPr>
                <w:spacing w:val="-2"/>
                <w:sz w:val="22"/>
              </w:rPr>
              <w:t>0.993</w:t>
            </w:r>
          </w:p>
        </w:tc>
        <w:tc>
          <w:tcPr>
            <w:tcW w:w="861" w:type="dxa"/>
            <w:tcBorders>
              <w:top w:val="single" w:sz="4" w:space="0" w:color="000000"/>
            </w:tcBorders>
          </w:tcPr>
          <w:p>
            <w:pPr>
              <w:pStyle w:val="TableParagraph"/>
              <w:spacing w:line="265" w:lineRule="exact"/>
              <w:ind w:left="5" w:right="98"/>
              <w:jc w:val="center"/>
              <w:rPr>
                <w:sz w:val="22"/>
              </w:rPr>
            </w:pPr>
            <w:r>
              <w:rPr>
                <w:spacing w:val="-5"/>
                <w:sz w:val="22"/>
              </w:rPr>
              <w:t>NS</w:t>
            </w:r>
          </w:p>
        </w:tc>
      </w:tr>
      <w:tr>
        <w:trPr>
          <w:trHeight w:val="336" w:hRule="atLeast"/>
        </w:trPr>
        <w:tc>
          <w:tcPr>
            <w:tcW w:w="2244" w:type="dxa"/>
          </w:tcPr>
          <w:p>
            <w:pPr>
              <w:pStyle w:val="TableParagraph"/>
              <w:rPr>
                <w:rFonts w:ascii="Times New Roman"/>
                <w:sz w:val="22"/>
              </w:rPr>
            </w:pPr>
          </w:p>
        </w:tc>
        <w:tc>
          <w:tcPr>
            <w:tcW w:w="1093" w:type="dxa"/>
          </w:tcPr>
          <w:p>
            <w:pPr>
              <w:pStyle w:val="TableParagraph"/>
              <w:spacing w:line="245" w:lineRule="exact" w:before="71"/>
              <w:ind w:left="507"/>
              <w:rPr>
                <w:sz w:val="22"/>
              </w:rPr>
            </w:pPr>
            <w:r>
              <w:rPr>
                <w:spacing w:val="-5"/>
                <w:sz w:val="22"/>
              </w:rPr>
              <w:t>CN</w:t>
            </w:r>
          </w:p>
        </w:tc>
        <w:tc>
          <w:tcPr>
            <w:tcW w:w="1542" w:type="dxa"/>
          </w:tcPr>
          <w:p>
            <w:pPr>
              <w:pStyle w:val="TableParagraph"/>
              <w:spacing w:line="245" w:lineRule="exact" w:before="71"/>
              <w:ind w:left="27" w:right="4"/>
              <w:jc w:val="center"/>
              <w:rPr>
                <w:sz w:val="22"/>
              </w:rPr>
            </w:pPr>
            <w:r>
              <w:rPr>
                <w:spacing w:val="-2"/>
                <w:sz w:val="22"/>
              </w:rPr>
              <w:t>19.267±1.523</w:t>
            </w:r>
          </w:p>
        </w:tc>
        <w:tc>
          <w:tcPr>
            <w:tcW w:w="1024" w:type="dxa"/>
          </w:tcPr>
          <w:p>
            <w:pPr>
              <w:pStyle w:val="TableParagraph"/>
              <w:spacing w:line="245" w:lineRule="exact" w:before="71"/>
              <w:ind w:right="73"/>
              <w:jc w:val="center"/>
              <w:rPr>
                <w:sz w:val="22"/>
              </w:rPr>
            </w:pPr>
            <w:r>
              <w:rPr>
                <w:spacing w:val="-2"/>
                <w:sz w:val="22"/>
              </w:rPr>
              <w:t>0.634</w:t>
            </w:r>
          </w:p>
        </w:tc>
        <w:tc>
          <w:tcPr>
            <w:tcW w:w="861" w:type="dxa"/>
          </w:tcPr>
          <w:p>
            <w:pPr>
              <w:pStyle w:val="TableParagraph"/>
              <w:spacing w:line="245" w:lineRule="exact" w:before="71"/>
              <w:ind w:left="5" w:right="98"/>
              <w:jc w:val="center"/>
              <w:rPr>
                <w:sz w:val="22"/>
              </w:rPr>
            </w:pPr>
            <w:r>
              <w:rPr>
                <w:spacing w:val="-5"/>
                <w:sz w:val="22"/>
              </w:rPr>
              <w:t>NS</w:t>
            </w:r>
          </w:p>
        </w:tc>
      </w:tr>
    </w:tbl>
    <w:p>
      <w:pPr>
        <w:spacing w:after="0" w:line="245" w:lineRule="exact"/>
        <w:jc w:val="center"/>
        <w:rPr>
          <w:sz w:val="22"/>
        </w:rPr>
        <w:sectPr>
          <w:pgSz w:w="11910" w:h="16840"/>
          <w:pgMar w:header="0" w:footer="1055" w:top="1920" w:bottom="1482" w:left="1060" w:right="460"/>
        </w:sectPr>
      </w:pPr>
    </w:p>
    <w:tbl>
      <w:tblPr>
        <w:tblW w:w="0" w:type="auto"/>
        <w:jc w:val="left"/>
        <w:tblInd w:w="1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0"/>
        <w:gridCol w:w="1027"/>
        <w:gridCol w:w="1614"/>
        <w:gridCol w:w="968"/>
        <w:gridCol w:w="878"/>
      </w:tblGrid>
      <w:tr>
        <w:trPr>
          <w:trHeight w:val="625" w:hRule="atLeast"/>
        </w:trPr>
        <w:tc>
          <w:tcPr>
            <w:tcW w:w="2290" w:type="dxa"/>
          </w:tcPr>
          <w:p>
            <w:pPr>
              <w:pStyle w:val="TableParagraph"/>
              <w:spacing w:line="225" w:lineRule="exact"/>
              <w:ind w:left="157"/>
              <w:jc w:val="center"/>
              <w:rPr>
                <w:sz w:val="22"/>
              </w:rPr>
            </w:pPr>
            <w:r>
              <w:rPr>
                <w:sz w:val="22"/>
              </w:rPr>
              <w:t>H/L;</w:t>
            </w:r>
            <w:r>
              <w:rPr>
                <w:spacing w:val="-5"/>
                <w:sz w:val="22"/>
              </w:rPr>
              <w:t> </w:t>
            </w:r>
            <w:r>
              <w:rPr>
                <w:spacing w:val="-2"/>
                <w:sz w:val="22"/>
              </w:rPr>
              <w:t>40:50</w:t>
            </w:r>
          </w:p>
          <w:p>
            <w:pPr>
              <w:pStyle w:val="TableParagraph"/>
              <w:spacing w:before="22"/>
              <w:ind w:left="157" w:right="3"/>
              <w:jc w:val="center"/>
              <w:rPr>
                <w:sz w:val="22"/>
              </w:rPr>
            </w:pPr>
            <w:r>
              <w:rPr>
                <w:spacing w:val="-2"/>
                <w:sz w:val="22"/>
              </w:rPr>
              <w:t>(22.067±0.300)</w:t>
            </w:r>
          </w:p>
        </w:tc>
        <w:tc>
          <w:tcPr>
            <w:tcW w:w="1027" w:type="dxa"/>
          </w:tcPr>
          <w:p>
            <w:pPr>
              <w:pStyle w:val="TableParagraph"/>
              <w:spacing w:before="100"/>
              <w:ind w:left="388"/>
              <w:rPr>
                <w:sz w:val="22"/>
              </w:rPr>
            </w:pPr>
            <w:r>
              <w:rPr>
                <w:spacing w:val="-5"/>
                <w:sz w:val="22"/>
              </w:rPr>
              <w:t>AMC</w:t>
            </w:r>
          </w:p>
        </w:tc>
        <w:tc>
          <w:tcPr>
            <w:tcW w:w="1614" w:type="dxa"/>
          </w:tcPr>
          <w:p>
            <w:pPr>
              <w:pStyle w:val="TableParagraph"/>
              <w:spacing w:before="100"/>
              <w:ind w:left="20"/>
              <w:jc w:val="center"/>
              <w:rPr>
                <w:sz w:val="22"/>
              </w:rPr>
            </w:pPr>
            <w:r>
              <w:rPr>
                <w:spacing w:val="-2"/>
                <w:sz w:val="22"/>
              </w:rPr>
              <w:t>17.667±1.670</w:t>
            </w:r>
          </w:p>
        </w:tc>
        <w:tc>
          <w:tcPr>
            <w:tcW w:w="968" w:type="dxa"/>
          </w:tcPr>
          <w:p>
            <w:pPr>
              <w:pStyle w:val="TableParagraph"/>
              <w:spacing w:before="100"/>
              <w:ind w:right="92"/>
              <w:jc w:val="center"/>
              <w:rPr>
                <w:sz w:val="22"/>
              </w:rPr>
            </w:pPr>
            <w:r>
              <w:rPr>
                <w:spacing w:val="-2"/>
                <w:sz w:val="22"/>
              </w:rPr>
              <w:t>0.075</w:t>
            </w:r>
          </w:p>
        </w:tc>
        <w:tc>
          <w:tcPr>
            <w:tcW w:w="878" w:type="dxa"/>
          </w:tcPr>
          <w:p>
            <w:pPr>
              <w:pStyle w:val="TableParagraph"/>
              <w:spacing w:before="247"/>
              <w:ind w:left="2" w:right="75"/>
              <w:jc w:val="center"/>
              <w:rPr>
                <w:sz w:val="22"/>
              </w:rPr>
            </w:pPr>
            <w:r>
              <w:rPr>
                <w:spacing w:val="-5"/>
                <w:sz w:val="22"/>
              </w:rPr>
              <w:t>NS</w:t>
            </w:r>
          </w:p>
        </w:tc>
      </w:tr>
      <w:tr>
        <w:trPr>
          <w:trHeight w:val="450" w:hRule="atLeast"/>
        </w:trPr>
        <w:tc>
          <w:tcPr>
            <w:tcW w:w="2290" w:type="dxa"/>
          </w:tcPr>
          <w:p>
            <w:pPr>
              <w:pStyle w:val="TableParagraph"/>
              <w:rPr>
                <w:rFonts w:ascii="Times New Roman"/>
                <w:sz w:val="22"/>
              </w:rPr>
            </w:pPr>
          </w:p>
        </w:tc>
        <w:tc>
          <w:tcPr>
            <w:tcW w:w="1027" w:type="dxa"/>
          </w:tcPr>
          <w:p>
            <w:pPr>
              <w:pStyle w:val="TableParagraph"/>
              <w:spacing w:before="70"/>
              <w:ind w:left="444"/>
              <w:rPr>
                <w:sz w:val="22"/>
              </w:rPr>
            </w:pPr>
            <w:r>
              <w:rPr>
                <w:spacing w:val="-5"/>
                <w:sz w:val="22"/>
              </w:rPr>
              <w:t>LEV</w:t>
            </w:r>
          </w:p>
        </w:tc>
        <w:tc>
          <w:tcPr>
            <w:tcW w:w="1614" w:type="dxa"/>
          </w:tcPr>
          <w:p>
            <w:pPr>
              <w:pStyle w:val="TableParagraph"/>
              <w:spacing w:before="70"/>
              <w:ind w:left="20"/>
              <w:jc w:val="center"/>
              <w:rPr>
                <w:sz w:val="22"/>
              </w:rPr>
            </w:pPr>
            <w:r>
              <w:rPr>
                <w:spacing w:val="-2"/>
                <w:sz w:val="22"/>
              </w:rPr>
              <w:t>19.867±1.171</w:t>
            </w:r>
          </w:p>
        </w:tc>
        <w:tc>
          <w:tcPr>
            <w:tcW w:w="968" w:type="dxa"/>
          </w:tcPr>
          <w:p>
            <w:pPr>
              <w:pStyle w:val="TableParagraph"/>
              <w:spacing w:before="70"/>
              <w:ind w:right="92"/>
              <w:jc w:val="center"/>
              <w:rPr>
                <w:sz w:val="22"/>
              </w:rPr>
            </w:pPr>
            <w:r>
              <w:rPr>
                <w:spacing w:val="-2"/>
                <w:sz w:val="22"/>
              </w:rPr>
              <w:t>0.876</w:t>
            </w:r>
          </w:p>
        </w:tc>
        <w:tc>
          <w:tcPr>
            <w:tcW w:w="878" w:type="dxa"/>
          </w:tcPr>
          <w:p>
            <w:pPr>
              <w:pStyle w:val="TableParagraph"/>
              <w:spacing w:before="70"/>
              <w:ind w:left="2" w:right="75"/>
              <w:jc w:val="center"/>
              <w:rPr>
                <w:sz w:val="22"/>
              </w:rPr>
            </w:pPr>
            <w:r>
              <w:rPr>
                <w:spacing w:val="-5"/>
                <w:sz w:val="22"/>
              </w:rPr>
              <w:t>NS</w:t>
            </w:r>
          </w:p>
        </w:tc>
      </w:tr>
      <w:tr>
        <w:trPr>
          <w:trHeight w:val="522" w:hRule="atLeast"/>
        </w:trPr>
        <w:tc>
          <w:tcPr>
            <w:tcW w:w="2290" w:type="dxa"/>
            <w:tcBorders>
              <w:bottom w:val="single" w:sz="4" w:space="0" w:color="000000"/>
            </w:tcBorders>
          </w:tcPr>
          <w:p>
            <w:pPr>
              <w:pStyle w:val="TableParagraph"/>
              <w:rPr>
                <w:rFonts w:ascii="Times New Roman"/>
                <w:sz w:val="22"/>
              </w:rPr>
            </w:pPr>
          </w:p>
        </w:tc>
        <w:tc>
          <w:tcPr>
            <w:tcW w:w="1027" w:type="dxa"/>
            <w:tcBorders>
              <w:bottom w:val="single" w:sz="4" w:space="0" w:color="000000"/>
            </w:tcBorders>
          </w:tcPr>
          <w:p>
            <w:pPr>
              <w:pStyle w:val="TableParagraph"/>
              <w:spacing w:before="71"/>
              <w:ind w:left="396"/>
              <w:rPr>
                <w:sz w:val="22"/>
              </w:rPr>
            </w:pPr>
            <w:r>
              <w:rPr>
                <w:spacing w:val="-5"/>
                <w:sz w:val="22"/>
              </w:rPr>
              <w:t>AZM</w:t>
            </w:r>
          </w:p>
        </w:tc>
        <w:tc>
          <w:tcPr>
            <w:tcW w:w="1614" w:type="dxa"/>
            <w:tcBorders>
              <w:bottom w:val="single" w:sz="4" w:space="0" w:color="000000"/>
            </w:tcBorders>
          </w:tcPr>
          <w:p>
            <w:pPr>
              <w:pStyle w:val="TableParagraph"/>
              <w:spacing w:before="71"/>
              <w:ind w:left="20"/>
              <w:jc w:val="center"/>
              <w:rPr>
                <w:sz w:val="22"/>
              </w:rPr>
            </w:pPr>
            <w:r>
              <w:rPr>
                <w:spacing w:val="-2"/>
                <w:sz w:val="22"/>
              </w:rPr>
              <w:t>15.467±1.050</w:t>
            </w:r>
          </w:p>
        </w:tc>
        <w:tc>
          <w:tcPr>
            <w:tcW w:w="968" w:type="dxa"/>
            <w:tcBorders>
              <w:bottom w:val="single" w:sz="4" w:space="0" w:color="000000"/>
            </w:tcBorders>
          </w:tcPr>
          <w:p>
            <w:pPr>
              <w:pStyle w:val="TableParagraph"/>
              <w:spacing w:before="71"/>
              <w:ind w:right="92"/>
              <w:jc w:val="center"/>
              <w:rPr>
                <w:sz w:val="22"/>
              </w:rPr>
            </w:pPr>
            <w:r>
              <w:rPr>
                <w:spacing w:val="-2"/>
                <w:sz w:val="22"/>
              </w:rPr>
              <w:t>0.000</w:t>
            </w:r>
          </w:p>
        </w:tc>
        <w:tc>
          <w:tcPr>
            <w:tcW w:w="878" w:type="dxa"/>
            <w:tcBorders>
              <w:bottom w:val="single" w:sz="4" w:space="0" w:color="000000"/>
            </w:tcBorders>
          </w:tcPr>
          <w:p>
            <w:pPr>
              <w:pStyle w:val="TableParagraph"/>
              <w:spacing w:before="71"/>
              <w:ind w:right="75"/>
              <w:jc w:val="center"/>
              <w:rPr>
                <w:sz w:val="22"/>
              </w:rPr>
            </w:pPr>
            <w:r>
              <w:rPr>
                <w:spacing w:val="-5"/>
                <w:sz w:val="22"/>
              </w:rPr>
              <w:t>SF</w:t>
            </w:r>
          </w:p>
        </w:tc>
      </w:tr>
      <w:tr>
        <w:trPr>
          <w:trHeight w:val="376" w:hRule="atLeast"/>
        </w:trPr>
        <w:tc>
          <w:tcPr>
            <w:tcW w:w="2290" w:type="dxa"/>
            <w:tcBorders>
              <w:top w:val="single" w:sz="4" w:space="0" w:color="000000"/>
            </w:tcBorders>
          </w:tcPr>
          <w:p>
            <w:pPr>
              <w:pStyle w:val="TableParagraph"/>
              <w:rPr>
                <w:rFonts w:ascii="Times New Roman"/>
                <w:sz w:val="22"/>
              </w:rPr>
            </w:pPr>
          </w:p>
        </w:tc>
        <w:tc>
          <w:tcPr>
            <w:tcW w:w="1027" w:type="dxa"/>
            <w:tcBorders>
              <w:top w:val="single" w:sz="4" w:space="0" w:color="000000"/>
            </w:tcBorders>
          </w:tcPr>
          <w:p>
            <w:pPr>
              <w:pStyle w:val="TableParagraph"/>
              <w:spacing w:line="265" w:lineRule="exact"/>
              <w:ind w:left="415"/>
              <w:rPr>
                <w:sz w:val="22"/>
              </w:rPr>
            </w:pPr>
            <w:r>
              <w:rPr>
                <w:spacing w:val="-5"/>
                <w:sz w:val="22"/>
              </w:rPr>
              <w:t>CRO</w:t>
            </w:r>
          </w:p>
        </w:tc>
        <w:tc>
          <w:tcPr>
            <w:tcW w:w="1614" w:type="dxa"/>
            <w:tcBorders>
              <w:top w:val="single" w:sz="4" w:space="0" w:color="000000"/>
            </w:tcBorders>
          </w:tcPr>
          <w:p>
            <w:pPr>
              <w:pStyle w:val="TableParagraph"/>
              <w:spacing w:line="265" w:lineRule="exact"/>
              <w:ind w:left="20"/>
              <w:jc w:val="center"/>
              <w:rPr>
                <w:sz w:val="22"/>
              </w:rPr>
            </w:pPr>
            <w:r>
              <w:rPr>
                <w:spacing w:val="-2"/>
                <w:sz w:val="22"/>
              </w:rPr>
              <w:t>20.667±1.511</w:t>
            </w:r>
          </w:p>
        </w:tc>
        <w:tc>
          <w:tcPr>
            <w:tcW w:w="968" w:type="dxa"/>
            <w:tcBorders>
              <w:top w:val="single" w:sz="4" w:space="0" w:color="000000"/>
            </w:tcBorders>
          </w:tcPr>
          <w:p>
            <w:pPr>
              <w:pStyle w:val="TableParagraph"/>
              <w:spacing w:line="265" w:lineRule="exact"/>
              <w:ind w:right="92"/>
              <w:jc w:val="center"/>
              <w:rPr>
                <w:sz w:val="22"/>
              </w:rPr>
            </w:pPr>
            <w:r>
              <w:rPr>
                <w:spacing w:val="-2"/>
                <w:sz w:val="22"/>
              </w:rPr>
              <w:t>0.352</w:t>
            </w:r>
          </w:p>
        </w:tc>
        <w:tc>
          <w:tcPr>
            <w:tcW w:w="878" w:type="dxa"/>
            <w:tcBorders>
              <w:top w:val="single" w:sz="4" w:space="0" w:color="000000"/>
            </w:tcBorders>
          </w:tcPr>
          <w:p>
            <w:pPr>
              <w:pStyle w:val="TableParagraph"/>
              <w:spacing w:line="265" w:lineRule="exact"/>
              <w:ind w:left="2" w:right="75"/>
              <w:jc w:val="center"/>
              <w:rPr>
                <w:sz w:val="22"/>
              </w:rPr>
            </w:pPr>
            <w:r>
              <w:rPr>
                <w:spacing w:val="-5"/>
                <w:sz w:val="22"/>
              </w:rPr>
              <w:t>NS</w:t>
            </w:r>
          </w:p>
        </w:tc>
      </w:tr>
      <w:tr>
        <w:trPr>
          <w:trHeight w:val="450" w:hRule="atLeast"/>
        </w:trPr>
        <w:tc>
          <w:tcPr>
            <w:tcW w:w="2290" w:type="dxa"/>
          </w:tcPr>
          <w:p>
            <w:pPr>
              <w:pStyle w:val="TableParagraph"/>
              <w:rPr>
                <w:rFonts w:ascii="Times New Roman"/>
                <w:sz w:val="22"/>
              </w:rPr>
            </w:pPr>
          </w:p>
        </w:tc>
        <w:tc>
          <w:tcPr>
            <w:tcW w:w="1027" w:type="dxa"/>
          </w:tcPr>
          <w:p>
            <w:pPr>
              <w:pStyle w:val="TableParagraph"/>
              <w:spacing w:before="71"/>
              <w:ind w:left="475"/>
              <w:rPr>
                <w:sz w:val="22"/>
              </w:rPr>
            </w:pPr>
            <w:r>
              <w:rPr>
                <w:spacing w:val="-5"/>
                <w:sz w:val="22"/>
              </w:rPr>
              <w:t>CN</w:t>
            </w:r>
          </w:p>
        </w:tc>
        <w:tc>
          <w:tcPr>
            <w:tcW w:w="1614" w:type="dxa"/>
          </w:tcPr>
          <w:p>
            <w:pPr>
              <w:pStyle w:val="TableParagraph"/>
              <w:spacing w:before="71"/>
              <w:ind w:left="20"/>
              <w:jc w:val="center"/>
              <w:rPr>
                <w:sz w:val="22"/>
              </w:rPr>
            </w:pPr>
            <w:r>
              <w:rPr>
                <w:spacing w:val="-2"/>
                <w:sz w:val="22"/>
              </w:rPr>
              <w:t>19.267±1.523</w:t>
            </w:r>
          </w:p>
        </w:tc>
        <w:tc>
          <w:tcPr>
            <w:tcW w:w="968" w:type="dxa"/>
          </w:tcPr>
          <w:p>
            <w:pPr>
              <w:pStyle w:val="TableParagraph"/>
              <w:spacing w:before="71"/>
              <w:ind w:right="92"/>
              <w:jc w:val="center"/>
              <w:rPr>
                <w:sz w:val="22"/>
              </w:rPr>
            </w:pPr>
            <w:r>
              <w:rPr>
                <w:spacing w:val="-2"/>
                <w:sz w:val="22"/>
              </w:rPr>
              <w:t>0.034</w:t>
            </w:r>
          </w:p>
        </w:tc>
        <w:tc>
          <w:tcPr>
            <w:tcW w:w="878" w:type="dxa"/>
          </w:tcPr>
          <w:p>
            <w:pPr>
              <w:pStyle w:val="TableParagraph"/>
              <w:spacing w:before="71"/>
              <w:ind w:right="75"/>
              <w:jc w:val="center"/>
              <w:rPr>
                <w:sz w:val="22"/>
              </w:rPr>
            </w:pPr>
            <w:r>
              <w:rPr>
                <w:spacing w:val="-5"/>
                <w:sz w:val="22"/>
              </w:rPr>
              <w:t>SF</w:t>
            </w:r>
          </w:p>
        </w:tc>
      </w:tr>
      <w:tr>
        <w:trPr>
          <w:trHeight w:val="739" w:hRule="atLeast"/>
        </w:trPr>
        <w:tc>
          <w:tcPr>
            <w:tcW w:w="2290" w:type="dxa"/>
          </w:tcPr>
          <w:p>
            <w:pPr>
              <w:pStyle w:val="TableParagraph"/>
              <w:spacing w:before="70"/>
              <w:ind w:left="157"/>
              <w:jc w:val="center"/>
              <w:rPr>
                <w:sz w:val="22"/>
              </w:rPr>
            </w:pPr>
            <w:r>
              <w:rPr>
                <w:sz w:val="22"/>
              </w:rPr>
              <w:t>H/L;</w:t>
            </w:r>
            <w:r>
              <w:rPr>
                <w:spacing w:val="-5"/>
                <w:sz w:val="22"/>
              </w:rPr>
              <w:t> </w:t>
            </w:r>
            <w:r>
              <w:rPr>
                <w:spacing w:val="-2"/>
                <w:sz w:val="22"/>
              </w:rPr>
              <w:t>50:50</w:t>
            </w:r>
          </w:p>
          <w:p>
            <w:pPr>
              <w:pStyle w:val="TableParagraph"/>
              <w:spacing w:before="22"/>
              <w:ind w:left="157" w:right="3"/>
              <w:jc w:val="center"/>
              <w:rPr>
                <w:sz w:val="22"/>
              </w:rPr>
            </w:pPr>
            <w:r>
              <w:rPr>
                <w:spacing w:val="-2"/>
                <w:sz w:val="22"/>
              </w:rPr>
              <w:t>(24.067±0.358)</w:t>
            </w:r>
          </w:p>
        </w:tc>
        <w:tc>
          <w:tcPr>
            <w:tcW w:w="1027" w:type="dxa"/>
          </w:tcPr>
          <w:p>
            <w:pPr>
              <w:pStyle w:val="TableParagraph"/>
              <w:spacing w:before="214"/>
              <w:ind w:left="388"/>
              <w:rPr>
                <w:sz w:val="22"/>
              </w:rPr>
            </w:pPr>
            <w:r>
              <w:rPr>
                <w:spacing w:val="-5"/>
                <w:sz w:val="22"/>
              </w:rPr>
              <w:t>AMC</w:t>
            </w:r>
          </w:p>
        </w:tc>
        <w:tc>
          <w:tcPr>
            <w:tcW w:w="1614" w:type="dxa"/>
          </w:tcPr>
          <w:p>
            <w:pPr>
              <w:pStyle w:val="TableParagraph"/>
              <w:spacing w:before="214"/>
              <w:ind w:left="20"/>
              <w:jc w:val="center"/>
              <w:rPr>
                <w:sz w:val="22"/>
              </w:rPr>
            </w:pPr>
            <w:r>
              <w:rPr>
                <w:spacing w:val="-2"/>
                <w:sz w:val="22"/>
              </w:rPr>
              <w:t>17.667±1.670</w:t>
            </w:r>
          </w:p>
        </w:tc>
        <w:tc>
          <w:tcPr>
            <w:tcW w:w="968" w:type="dxa"/>
          </w:tcPr>
          <w:p>
            <w:pPr>
              <w:pStyle w:val="TableParagraph"/>
              <w:spacing w:before="214"/>
              <w:ind w:right="92"/>
              <w:jc w:val="center"/>
              <w:rPr>
                <w:sz w:val="22"/>
              </w:rPr>
            </w:pPr>
            <w:r>
              <w:rPr>
                <w:spacing w:val="-2"/>
                <w:sz w:val="22"/>
              </w:rPr>
              <w:t>0.001</w:t>
            </w:r>
          </w:p>
        </w:tc>
        <w:tc>
          <w:tcPr>
            <w:tcW w:w="878" w:type="dxa"/>
          </w:tcPr>
          <w:p>
            <w:pPr>
              <w:pStyle w:val="TableParagraph"/>
              <w:spacing w:before="91"/>
              <w:rPr>
                <w:b/>
                <w:i/>
                <w:sz w:val="22"/>
              </w:rPr>
            </w:pPr>
          </w:p>
          <w:p>
            <w:pPr>
              <w:pStyle w:val="TableParagraph"/>
              <w:spacing w:before="1"/>
              <w:ind w:right="75"/>
              <w:jc w:val="center"/>
              <w:rPr>
                <w:sz w:val="22"/>
              </w:rPr>
            </w:pPr>
            <w:r>
              <w:rPr>
                <w:spacing w:val="-5"/>
                <w:sz w:val="22"/>
              </w:rPr>
              <w:t>SF</w:t>
            </w:r>
          </w:p>
        </w:tc>
      </w:tr>
      <w:tr>
        <w:trPr>
          <w:trHeight w:val="450" w:hRule="atLeast"/>
        </w:trPr>
        <w:tc>
          <w:tcPr>
            <w:tcW w:w="2290" w:type="dxa"/>
          </w:tcPr>
          <w:p>
            <w:pPr>
              <w:pStyle w:val="TableParagraph"/>
              <w:rPr>
                <w:rFonts w:ascii="Times New Roman"/>
                <w:sz w:val="22"/>
              </w:rPr>
            </w:pPr>
          </w:p>
        </w:tc>
        <w:tc>
          <w:tcPr>
            <w:tcW w:w="1027" w:type="dxa"/>
          </w:tcPr>
          <w:p>
            <w:pPr>
              <w:pStyle w:val="TableParagraph"/>
              <w:spacing w:before="70"/>
              <w:ind w:left="444"/>
              <w:rPr>
                <w:sz w:val="22"/>
              </w:rPr>
            </w:pPr>
            <w:r>
              <w:rPr>
                <w:spacing w:val="-5"/>
                <w:sz w:val="22"/>
              </w:rPr>
              <w:t>LEV</w:t>
            </w:r>
          </w:p>
        </w:tc>
        <w:tc>
          <w:tcPr>
            <w:tcW w:w="1614" w:type="dxa"/>
          </w:tcPr>
          <w:p>
            <w:pPr>
              <w:pStyle w:val="TableParagraph"/>
              <w:spacing w:before="70"/>
              <w:ind w:left="20"/>
              <w:jc w:val="center"/>
              <w:rPr>
                <w:sz w:val="22"/>
              </w:rPr>
            </w:pPr>
            <w:r>
              <w:rPr>
                <w:spacing w:val="-2"/>
                <w:sz w:val="22"/>
              </w:rPr>
              <w:t>19.867±1.171</w:t>
            </w:r>
          </w:p>
        </w:tc>
        <w:tc>
          <w:tcPr>
            <w:tcW w:w="968" w:type="dxa"/>
          </w:tcPr>
          <w:p>
            <w:pPr>
              <w:pStyle w:val="TableParagraph"/>
              <w:spacing w:before="70"/>
              <w:ind w:right="92"/>
              <w:jc w:val="center"/>
              <w:rPr>
                <w:sz w:val="22"/>
              </w:rPr>
            </w:pPr>
            <w:r>
              <w:rPr>
                <w:spacing w:val="-2"/>
                <w:sz w:val="22"/>
              </w:rPr>
              <w:t>0.108</w:t>
            </w:r>
          </w:p>
        </w:tc>
        <w:tc>
          <w:tcPr>
            <w:tcW w:w="878" w:type="dxa"/>
          </w:tcPr>
          <w:p>
            <w:pPr>
              <w:pStyle w:val="TableParagraph"/>
              <w:spacing w:before="70"/>
              <w:ind w:left="2" w:right="75"/>
              <w:jc w:val="center"/>
              <w:rPr>
                <w:sz w:val="22"/>
              </w:rPr>
            </w:pPr>
            <w:r>
              <w:rPr>
                <w:spacing w:val="-5"/>
                <w:sz w:val="22"/>
              </w:rPr>
              <w:t>NS</w:t>
            </w:r>
          </w:p>
        </w:tc>
      </w:tr>
      <w:tr>
        <w:trPr>
          <w:trHeight w:val="523" w:hRule="atLeast"/>
        </w:trPr>
        <w:tc>
          <w:tcPr>
            <w:tcW w:w="2290" w:type="dxa"/>
            <w:tcBorders>
              <w:bottom w:val="single" w:sz="4" w:space="0" w:color="000000"/>
            </w:tcBorders>
          </w:tcPr>
          <w:p>
            <w:pPr>
              <w:pStyle w:val="TableParagraph"/>
              <w:rPr>
                <w:rFonts w:ascii="Times New Roman"/>
                <w:sz w:val="22"/>
              </w:rPr>
            </w:pPr>
          </w:p>
        </w:tc>
        <w:tc>
          <w:tcPr>
            <w:tcW w:w="1027" w:type="dxa"/>
            <w:tcBorders>
              <w:bottom w:val="single" w:sz="4" w:space="0" w:color="000000"/>
            </w:tcBorders>
          </w:tcPr>
          <w:p>
            <w:pPr>
              <w:pStyle w:val="TableParagraph"/>
              <w:spacing w:before="71"/>
              <w:ind w:left="396"/>
              <w:rPr>
                <w:sz w:val="22"/>
              </w:rPr>
            </w:pPr>
            <w:r>
              <w:rPr>
                <w:spacing w:val="-5"/>
                <w:sz w:val="22"/>
              </w:rPr>
              <w:t>AZM</w:t>
            </w:r>
          </w:p>
        </w:tc>
        <w:tc>
          <w:tcPr>
            <w:tcW w:w="1614" w:type="dxa"/>
            <w:tcBorders>
              <w:bottom w:val="single" w:sz="4" w:space="0" w:color="000000"/>
            </w:tcBorders>
          </w:tcPr>
          <w:p>
            <w:pPr>
              <w:pStyle w:val="TableParagraph"/>
              <w:spacing w:before="71"/>
              <w:ind w:left="20"/>
              <w:jc w:val="center"/>
              <w:rPr>
                <w:sz w:val="22"/>
              </w:rPr>
            </w:pPr>
            <w:r>
              <w:rPr>
                <w:spacing w:val="-2"/>
                <w:sz w:val="22"/>
              </w:rPr>
              <w:t>15.467±1.050</w:t>
            </w:r>
          </w:p>
        </w:tc>
        <w:tc>
          <w:tcPr>
            <w:tcW w:w="968" w:type="dxa"/>
            <w:tcBorders>
              <w:bottom w:val="single" w:sz="4" w:space="0" w:color="000000"/>
            </w:tcBorders>
          </w:tcPr>
          <w:p>
            <w:pPr>
              <w:pStyle w:val="TableParagraph"/>
              <w:spacing w:before="71"/>
              <w:ind w:right="92"/>
              <w:jc w:val="center"/>
              <w:rPr>
                <w:sz w:val="22"/>
              </w:rPr>
            </w:pPr>
            <w:r>
              <w:rPr>
                <w:spacing w:val="-2"/>
                <w:sz w:val="22"/>
              </w:rPr>
              <w:t>0.000</w:t>
            </w:r>
          </w:p>
        </w:tc>
        <w:tc>
          <w:tcPr>
            <w:tcW w:w="878" w:type="dxa"/>
            <w:tcBorders>
              <w:bottom w:val="single" w:sz="4" w:space="0" w:color="000000"/>
            </w:tcBorders>
          </w:tcPr>
          <w:p>
            <w:pPr>
              <w:pStyle w:val="TableParagraph"/>
              <w:spacing w:before="71"/>
              <w:ind w:right="75"/>
              <w:jc w:val="center"/>
              <w:rPr>
                <w:sz w:val="22"/>
              </w:rPr>
            </w:pPr>
            <w:r>
              <w:rPr>
                <w:spacing w:val="-5"/>
                <w:sz w:val="22"/>
              </w:rPr>
              <w:t>SF</w:t>
            </w:r>
          </w:p>
        </w:tc>
      </w:tr>
    </w:tbl>
    <w:p>
      <w:pPr>
        <w:pStyle w:val="BodyText"/>
        <w:spacing w:line="403" w:lineRule="auto" w:before="22"/>
        <w:ind w:left="1870" w:right="3061" w:hanging="51"/>
      </w:pPr>
      <w:r>
        <w:rPr/>
        <w:t>Key:</w:t>
      </w:r>
      <w:r>
        <w:rPr>
          <w:spacing w:val="-3"/>
        </w:rPr>
        <w:t> </w:t>
      </w:r>
      <w:r>
        <w:rPr/>
        <w:t>LOS=Level</w:t>
      </w:r>
      <w:r>
        <w:rPr>
          <w:spacing w:val="-7"/>
        </w:rPr>
        <w:t> </w:t>
      </w:r>
      <w:r>
        <w:rPr/>
        <w:t>of</w:t>
      </w:r>
      <w:r>
        <w:rPr>
          <w:spacing w:val="-5"/>
        </w:rPr>
        <w:t> </w:t>
      </w:r>
      <w:r>
        <w:rPr/>
        <w:t>Significance;</w:t>
      </w:r>
      <w:r>
        <w:rPr>
          <w:spacing w:val="-5"/>
        </w:rPr>
        <w:t> </w:t>
      </w:r>
      <w:r>
        <w:rPr/>
        <w:t>NS=Not</w:t>
      </w:r>
      <w:r>
        <w:rPr>
          <w:spacing w:val="-5"/>
        </w:rPr>
        <w:t> </w:t>
      </w:r>
      <w:r>
        <w:rPr/>
        <w:t>significantly</w:t>
      </w:r>
      <w:r>
        <w:rPr>
          <w:spacing w:val="-5"/>
        </w:rPr>
        <w:t> </w:t>
      </w:r>
      <w:r>
        <w:rPr/>
        <w:t>different; SF=Significantly different; L=Lemon juice, H=Honey.</w:t>
      </w:r>
    </w:p>
    <w:p>
      <w:pPr>
        <w:pStyle w:val="BodyText"/>
      </w:pPr>
    </w:p>
    <w:p>
      <w:pPr>
        <w:pStyle w:val="BodyText"/>
      </w:pPr>
    </w:p>
    <w:p>
      <w:pPr>
        <w:pStyle w:val="BodyText"/>
      </w:pPr>
    </w:p>
    <w:p>
      <w:pPr>
        <w:pStyle w:val="BodyText"/>
      </w:pPr>
    </w:p>
    <w:p>
      <w:pPr>
        <w:pStyle w:val="BodyText"/>
      </w:pPr>
    </w:p>
    <w:p>
      <w:pPr>
        <w:pStyle w:val="BodyText"/>
      </w:pPr>
    </w:p>
    <w:p>
      <w:pPr>
        <w:pStyle w:val="BodyText"/>
        <w:spacing w:before="208"/>
      </w:pPr>
    </w:p>
    <w:p>
      <w:pPr>
        <w:pStyle w:val="Heading3"/>
        <w:tabs>
          <w:tab w:pos="1820" w:val="left" w:leader="none"/>
        </w:tabs>
        <w:spacing w:line="259" w:lineRule="auto"/>
        <w:ind w:left="1820" w:right="1385" w:hanging="1440"/>
        <w:rPr>
          <w:i/>
        </w:rPr>
      </w:pPr>
      <w:r>
        <w:rPr/>
        <w:t>Table 4.23:</w:t>
        <w:tab/>
        <w:t>Comparing</w:t>
      </w:r>
      <w:r>
        <w:rPr>
          <w:spacing w:val="-4"/>
        </w:rPr>
        <w:t> </w:t>
      </w:r>
      <w:r>
        <w:rPr/>
        <w:t>the</w:t>
      </w:r>
      <w:r>
        <w:rPr>
          <w:spacing w:val="-3"/>
        </w:rPr>
        <w:t> </w:t>
      </w:r>
      <w:r>
        <w:rPr/>
        <w:t>Mean</w:t>
      </w:r>
      <w:r>
        <w:rPr>
          <w:spacing w:val="-3"/>
        </w:rPr>
        <w:t> </w:t>
      </w:r>
      <w:r>
        <w:rPr/>
        <w:t>zone</w:t>
      </w:r>
      <w:r>
        <w:rPr>
          <w:spacing w:val="-3"/>
        </w:rPr>
        <w:t> </w:t>
      </w:r>
      <w:r>
        <w:rPr/>
        <w:t>of</w:t>
      </w:r>
      <w:r>
        <w:rPr>
          <w:spacing w:val="-2"/>
        </w:rPr>
        <w:t> </w:t>
      </w:r>
      <w:r>
        <w:rPr/>
        <w:t>inhibition</w:t>
      </w:r>
      <w:r>
        <w:rPr>
          <w:spacing w:val="-3"/>
        </w:rPr>
        <w:t> </w:t>
      </w:r>
      <w:r>
        <w:rPr/>
        <w:t>of</w:t>
      </w:r>
      <w:r>
        <w:rPr>
          <w:spacing w:val="-2"/>
        </w:rPr>
        <w:t> </w:t>
      </w:r>
      <w:r>
        <w:rPr/>
        <w:t>Honey/Lemon</w:t>
      </w:r>
      <w:r>
        <w:rPr>
          <w:spacing w:val="-1"/>
        </w:rPr>
        <w:t> </w:t>
      </w:r>
      <w:r>
        <w:rPr/>
        <w:t>juice</w:t>
      </w:r>
      <w:r>
        <w:rPr>
          <w:spacing w:val="-2"/>
        </w:rPr>
        <w:t> </w:t>
      </w:r>
      <w:r>
        <w:rPr/>
        <w:t>mixture</w:t>
      </w:r>
      <w:r>
        <w:rPr>
          <w:spacing w:val="-3"/>
        </w:rPr>
        <w:t> </w:t>
      </w:r>
      <w:r>
        <w:rPr/>
        <w:t>and</w:t>
      </w:r>
      <w:r>
        <w:rPr>
          <w:spacing w:val="-3"/>
        </w:rPr>
        <w:t> </w:t>
      </w:r>
      <w:r>
        <w:rPr/>
        <w:t>the Standard antibiotic formulations against </w:t>
      </w:r>
      <w:r>
        <w:rPr>
          <w:i/>
        </w:rPr>
        <w:t>Staphylococcus aureus</w:t>
      </w:r>
    </w:p>
    <w:p>
      <w:pPr>
        <w:pStyle w:val="BodyText"/>
        <w:rPr>
          <w:b/>
          <w:i/>
          <w:sz w:val="20"/>
        </w:rPr>
      </w:pPr>
    </w:p>
    <w:p>
      <w:pPr>
        <w:pStyle w:val="BodyText"/>
        <w:spacing w:before="125" w:after="1"/>
        <w:rPr>
          <w:b/>
          <w:i/>
          <w:sz w:val="20"/>
        </w:rPr>
      </w:pPr>
    </w:p>
    <w:tbl>
      <w:tblPr>
        <w:tblW w:w="0" w:type="auto"/>
        <w:jc w:val="left"/>
        <w:tblInd w:w="1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5"/>
        <w:gridCol w:w="1094"/>
        <w:gridCol w:w="1542"/>
        <w:gridCol w:w="1025"/>
        <w:gridCol w:w="859"/>
      </w:tblGrid>
      <w:tr>
        <w:trPr>
          <w:trHeight w:val="909" w:hRule="atLeast"/>
        </w:trPr>
        <w:tc>
          <w:tcPr>
            <w:tcW w:w="2245" w:type="dxa"/>
            <w:tcBorders>
              <w:top w:val="single" w:sz="4" w:space="0" w:color="000000"/>
              <w:bottom w:val="single" w:sz="4" w:space="0" w:color="000000"/>
            </w:tcBorders>
          </w:tcPr>
          <w:p>
            <w:pPr>
              <w:pStyle w:val="TableParagraph"/>
              <w:spacing w:before="227"/>
              <w:ind w:left="806"/>
              <w:rPr>
                <w:sz w:val="22"/>
              </w:rPr>
            </w:pPr>
            <w:r>
              <w:rPr>
                <w:sz w:val="22"/>
              </w:rPr>
              <w:t>(I)</w:t>
            </w:r>
            <w:r>
              <w:rPr>
                <w:spacing w:val="-2"/>
                <w:sz w:val="22"/>
              </w:rPr>
              <w:t> Group</w:t>
            </w:r>
          </w:p>
        </w:tc>
        <w:tc>
          <w:tcPr>
            <w:tcW w:w="1094" w:type="dxa"/>
            <w:tcBorders>
              <w:top w:val="single" w:sz="4" w:space="0" w:color="000000"/>
              <w:bottom w:val="single" w:sz="4" w:space="0" w:color="000000"/>
            </w:tcBorders>
          </w:tcPr>
          <w:p>
            <w:pPr>
              <w:pStyle w:val="TableParagraph"/>
              <w:spacing w:before="83"/>
              <w:ind w:left="179"/>
              <w:jc w:val="center"/>
              <w:rPr>
                <w:sz w:val="22"/>
              </w:rPr>
            </w:pPr>
            <w:r>
              <w:rPr>
                <w:spacing w:val="-5"/>
                <w:sz w:val="22"/>
              </w:rPr>
              <w:t>(J)</w:t>
            </w:r>
          </w:p>
          <w:p>
            <w:pPr>
              <w:pStyle w:val="TableParagraph"/>
              <w:spacing w:before="19"/>
              <w:ind w:left="184"/>
              <w:jc w:val="center"/>
              <w:rPr>
                <w:sz w:val="22"/>
              </w:rPr>
            </w:pPr>
            <w:r>
              <w:rPr>
                <w:spacing w:val="-2"/>
                <w:sz w:val="22"/>
              </w:rPr>
              <w:t>Group</w:t>
            </w:r>
          </w:p>
        </w:tc>
        <w:tc>
          <w:tcPr>
            <w:tcW w:w="1542" w:type="dxa"/>
            <w:tcBorders>
              <w:top w:val="single" w:sz="4" w:space="0" w:color="000000"/>
              <w:bottom w:val="single" w:sz="4" w:space="0" w:color="000000"/>
            </w:tcBorders>
          </w:tcPr>
          <w:p>
            <w:pPr>
              <w:pStyle w:val="TableParagraph"/>
              <w:spacing w:before="227"/>
              <w:ind w:left="27"/>
              <w:jc w:val="center"/>
              <w:rPr>
                <w:sz w:val="22"/>
              </w:rPr>
            </w:pPr>
            <w:r>
              <w:rPr>
                <w:spacing w:val="-2"/>
                <w:sz w:val="22"/>
              </w:rPr>
              <w:t>Mean±SEM</w:t>
            </w:r>
          </w:p>
        </w:tc>
        <w:tc>
          <w:tcPr>
            <w:tcW w:w="1025" w:type="dxa"/>
            <w:tcBorders>
              <w:top w:val="single" w:sz="4" w:space="0" w:color="000000"/>
              <w:bottom w:val="single" w:sz="4" w:space="0" w:color="000000"/>
            </w:tcBorders>
          </w:tcPr>
          <w:p>
            <w:pPr>
              <w:pStyle w:val="TableParagraph"/>
              <w:spacing w:before="227"/>
              <w:ind w:left="2" w:right="73"/>
              <w:jc w:val="center"/>
              <w:rPr>
                <w:sz w:val="22"/>
              </w:rPr>
            </w:pPr>
            <w:r>
              <w:rPr>
                <w:sz w:val="22"/>
              </w:rPr>
              <w:t>P-</w:t>
            </w:r>
            <w:r>
              <w:rPr>
                <w:spacing w:val="-2"/>
                <w:sz w:val="22"/>
              </w:rPr>
              <w:t>value</w:t>
            </w:r>
          </w:p>
        </w:tc>
        <w:tc>
          <w:tcPr>
            <w:tcW w:w="859" w:type="dxa"/>
            <w:tcBorders>
              <w:top w:val="single" w:sz="4" w:space="0" w:color="000000"/>
              <w:bottom w:val="single" w:sz="4" w:space="0" w:color="000000"/>
            </w:tcBorders>
          </w:tcPr>
          <w:p>
            <w:pPr>
              <w:pStyle w:val="TableParagraph"/>
              <w:spacing w:before="227"/>
              <w:ind w:left="213"/>
              <w:rPr>
                <w:sz w:val="22"/>
              </w:rPr>
            </w:pPr>
            <w:r>
              <w:rPr>
                <w:spacing w:val="-5"/>
                <w:sz w:val="22"/>
              </w:rPr>
              <w:t>LOS</w:t>
            </w:r>
          </w:p>
        </w:tc>
      </w:tr>
      <w:tr>
        <w:trPr>
          <w:trHeight w:val="377" w:hRule="atLeast"/>
        </w:trPr>
        <w:tc>
          <w:tcPr>
            <w:tcW w:w="2245" w:type="dxa"/>
            <w:tcBorders>
              <w:top w:val="single" w:sz="4" w:space="0" w:color="000000"/>
            </w:tcBorders>
          </w:tcPr>
          <w:p>
            <w:pPr>
              <w:pStyle w:val="TableParagraph"/>
              <w:rPr>
                <w:rFonts w:ascii="Times New Roman"/>
                <w:sz w:val="22"/>
              </w:rPr>
            </w:pPr>
          </w:p>
        </w:tc>
        <w:tc>
          <w:tcPr>
            <w:tcW w:w="1094" w:type="dxa"/>
            <w:tcBorders>
              <w:top w:val="single" w:sz="4" w:space="0" w:color="000000"/>
            </w:tcBorders>
          </w:tcPr>
          <w:p>
            <w:pPr>
              <w:pStyle w:val="TableParagraph"/>
              <w:spacing w:line="268" w:lineRule="exact"/>
              <w:ind w:right="262"/>
              <w:jc w:val="right"/>
              <w:rPr>
                <w:sz w:val="22"/>
              </w:rPr>
            </w:pPr>
            <w:r>
              <w:rPr>
                <w:spacing w:val="-5"/>
                <w:sz w:val="22"/>
              </w:rPr>
              <w:t>CRO</w:t>
            </w:r>
          </w:p>
        </w:tc>
        <w:tc>
          <w:tcPr>
            <w:tcW w:w="1542" w:type="dxa"/>
            <w:tcBorders>
              <w:top w:val="single" w:sz="4" w:space="0" w:color="000000"/>
            </w:tcBorders>
          </w:tcPr>
          <w:p>
            <w:pPr>
              <w:pStyle w:val="TableParagraph"/>
              <w:spacing w:line="268" w:lineRule="exact"/>
              <w:ind w:left="27" w:right="3"/>
              <w:jc w:val="center"/>
              <w:rPr>
                <w:sz w:val="22"/>
              </w:rPr>
            </w:pPr>
            <w:r>
              <w:rPr>
                <w:spacing w:val="-2"/>
                <w:sz w:val="22"/>
              </w:rPr>
              <w:t>20.000±1.129</w:t>
            </w:r>
          </w:p>
        </w:tc>
        <w:tc>
          <w:tcPr>
            <w:tcW w:w="1025" w:type="dxa"/>
            <w:tcBorders>
              <w:top w:val="single" w:sz="4" w:space="0" w:color="000000"/>
            </w:tcBorders>
          </w:tcPr>
          <w:p>
            <w:pPr>
              <w:pStyle w:val="TableParagraph"/>
              <w:spacing w:line="268" w:lineRule="exact"/>
              <w:ind w:right="73"/>
              <w:jc w:val="center"/>
              <w:rPr>
                <w:sz w:val="22"/>
              </w:rPr>
            </w:pPr>
            <w:r>
              <w:rPr>
                <w:spacing w:val="-2"/>
                <w:sz w:val="22"/>
              </w:rPr>
              <w:t>0.898</w:t>
            </w:r>
          </w:p>
        </w:tc>
        <w:tc>
          <w:tcPr>
            <w:tcW w:w="859" w:type="dxa"/>
            <w:tcBorders>
              <w:top w:val="single" w:sz="4" w:space="0" w:color="000000"/>
            </w:tcBorders>
          </w:tcPr>
          <w:p>
            <w:pPr>
              <w:pStyle w:val="TableParagraph"/>
              <w:spacing w:line="268" w:lineRule="exact"/>
              <w:ind w:left="261"/>
              <w:rPr>
                <w:sz w:val="22"/>
              </w:rPr>
            </w:pPr>
            <w:r>
              <w:rPr>
                <w:spacing w:val="-5"/>
                <w:sz w:val="22"/>
              </w:rPr>
              <w:t>NS</w:t>
            </w:r>
          </w:p>
        </w:tc>
      </w:tr>
      <w:tr>
        <w:trPr>
          <w:trHeight w:val="449" w:hRule="atLeast"/>
        </w:trPr>
        <w:tc>
          <w:tcPr>
            <w:tcW w:w="2245" w:type="dxa"/>
          </w:tcPr>
          <w:p>
            <w:pPr>
              <w:pStyle w:val="TableParagraph"/>
              <w:rPr>
                <w:rFonts w:ascii="Times New Roman"/>
                <w:sz w:val="22"/>
              </w:rPr>
            </w:pPr>
          </w:p>
        </w:tc>
        <w:tc>
          <w:tcPr>
            <w:tcW w:w="1094" w:type="dxa"/>
          </w:tcPr>
          <w:p>
            <w:pPr>
              <w:pStyle w:val="TableParagraph"/>
              <w:spacing w:before="70"/>
              <w:ind w:right="323"/>
              <w:jc w:val="right"/>
              <w:rPr>
                <w:sz w:val="22"/>
              </w:rPr>
            </w:pPr>
            <w:r>
              <w:rPr>
                <w:spacing w:val="-5"/>
                <w:sz w:val="22"/>
              </w:rPr>
              <w:t>CN</w:t>
            </w:r>
          </w:p>
        </w:tc>
        <w:tc>
          <w:tcPr>
            <w:tcW w:w="1542" w:type="dxa"/>
          </w:tcPr>
          <w:p>
            <w:pPr>
              <w:pStyle w:val="TableParagraph"/>
              <w:spacing w:before="70"/>
              <w:ind w:left="27" w:right="3"/>
              <w:jc w:val="center"/>
              <w:rPr>
                <w:sz w:val="22"/>
              </w:rPr>
            </w:pPr>
            <w:r>
              <w:rPr>
                <w:spacing w:val="-2"/>
                <w:sz w:val="22"/>
              </w:rPr>
              <w:t>21.571±1.073</w:t>
            </w:r>
          </w:p>
        </w:tc>
        <w:tc>
          <w:tcPr>
            <w:tcW w:w="1025" w:type="dxa"/>
          </w:tcPr>
          <w:p>
            <w:pPr>
              <w:pStyle w:val="TableParagraph"/>
              <w:spacing w:before="70"/>
              <w:ind w:right="73"/>
              <w:jc w:val="center"/>
              <w:rPr>
                <w:sz w:val="22"/>
              </w:rPr>
            </w:pPr>
            <w:r>
              <w:rPr>
                <w:spacing w:val="-2"/>
                <w:sz w:val="22"/>
              </w:rPr>
              <w:t>1.000</w:t>
            </w:r>
          </w:p>
        </w:tc>
        <w:tc>
          <w:tcPr>
            <w:tcW w:w="859" w:type="dxa"/>
          </w:tcPr>
          <w:p>
            <w:pPr>
              <w:pStyle w:val="TableParagraph"/>
              <w:spacing w:before="70"/>
              <w:ind w:left="261"/>
              <w:rPr>
                <w:sz w:val="22"/>
              </w:rPr>
            </w:pPr>
            <w:r>
              <w:rPr>
                <w:spacing w:val="-5"/>
                <w:sz w:val="22"/>
              </w:rPr>
              <w:t>NS</w:t>
            </w:r>
          </w:p>
        </w:tc>
      </w:tr>
      <w:tr>
        <w:trPr>
          <w:trHeight w:val="740" w:hRule="atLeast"/>
        </w:trPr>
        <w:tc>
          <w:tcPr>
            <w:tcW w:w="2245" w:type="dxa"/>
          </w:tcPr>
          <w:p>
            <w:pPr>
              <w:pStyle w:val="TableParagraph"/>
              <w:spacing w:before="70"/>
              <w:ind w:left="173"/>
              <w:jc w:val="center"/>
              <w:rPr>
                <w:sz w:val="22"/>
              </w:rPr>
            </w:pPr>
            <w:r>
              <w:rPr>
                <w:sz w:val="22"/>
              </w:rPr>
              <w:t>H/L;</w:t>
            </w:r>
            <w:r>
              <w:rPr>
                <w:spacing w:val="-5"/>
                <w:sz w:val="22"/>
              </w:rPr>
              <w:t> </w:t>
            </w:r>
            <w:r>
              <w:rPr>
                <w:spacing w:val="-2"/>
                <w:sz w:val="22"/>
              </w:rPr>
              <w:t>10:50</w:t>
            </w:r>
          </w:p>
          <w:p>
            <w:pPr>
              <w:pStyle w:val="TableParagraph"/>
              <w:spacing w:before="22"/>
              <w:ind w:left="173" w:right="3"/>
              <w:jc w:val="center"/>
              <w:rPr>
                <w:sz w:val="22"/>
              </w:rPr>
            </w:pPr>
            <w:r>
              <w:rPr>
                <w:spacing w:val="-2"/>
                <w:sz w:val="22"/>
              </w:rPr>
              <w:t>(22.071±0.529)</w:t>
            </w:r>
          </w:p>
        </w:tc>
        <w:tc>
          <w:tcPr>
            <w:tcW w:w="1094" w:type="dxa"/>
          </w:tcPr>
          <w:p>
            <w:pPr>
              <w:pStyle w:val="TableParagraph"/>
              <w:spacing w:before="217"/>
              <w:ind w:right="235"/>
              <w:jc w:val="right"/>
              <w:rPr>
                <w:sz w:val="22"/>
              </w:rPr>
            </w:pPr>
            <w:r>
              <w:rPr>
                <w:spacing w:val="-5"/>
                <w:sz w:val="22"/>
              </w:rPr>
              <w:t>AMC</w:t>
            </w:r>
          </w:p>
        </w:tc>
        <w:tc>
          <w:tcPr>
            <w:tcW w:w="1542" w:type="dxa"/>
          </w:tcPr>
          <w:p>
            <w:pPr>
              <w:pStyle w:val="TableParagraph"/>
              <w:spacing w:before="92"/>
              <w:rPr>
                <w:b/>
                <w:i/>
                <w:sz w:val="22"/>
              </w:rPr>
            </w:pPr>
          </w:p>
          <w:p>
            <w:pPr>
              <w:pStyle w:val="TableParagraph"/>
              <w:ind w:left="27" w:right="3"/>
              <w:jc w:val="center"/>
              <w:rPr>
                <w:sz w:val="22"/>
              </w:rPr>
            </w:pPr>
            <w:r>
              <w:rPr>
                <w:spacing w:val="-2"/>
                <w:sz w:val="22"/>
              </w:rPr>
              <w:t>20.286±1.669</w:t>
            </w:r>
          </w:p>
        </w:tc>
        <w:tc>
          <w:tcPr>
            <w:tcW w:w="1025" w:type="dxa"/>
          </w:tcPr>
          <w:p>
            <w:pPr>
              <w:pStyle w:val="TableParagraph"/>
              <w:spacing w:before="217"/>
              <w:ind w:right="73"/>
              <w:jc w:val="center"/>
              <w:rPr>
                <w:sz w:val="22"/>
              </w:rPr>
            </w:pPr>
            <w:r>
              <w:rPr>
                <w:spacing w:val="-2"/>
                <w:sz w:val="22"/>
              </w:rPr>
              <w:t>0.957</w:t>
            </w:r>
          </w:p>
        </w:tc>
        <w:tc>
          <w:tcPr>
            <w:tcW w:w="859" w:type="dxa"/>
          </w:tcPr>
          <w:p>
            <w:pPr>
              <w:pStyle w:val="TableParagraph"/>
              <w:spacing w:before="92"/>
              <w:rPr>
                <w:b/>
                <w:i/>
                <w:sz w:val="22"/>
              </w:rPr>
            </w:pPr>
          </w:p>
          <w:p>
            <w:pPr>
              <w:pStyle w:val="TableParagraph"/>
              <w:ind w:left="261"/>
              <w:rPr>
                <w:sz w:val="22"/>
              </w:rPr>
            </w:pPr>
            <w:r>
              <w:rPr>
                <w:spacing w:val="-5"/>
                <w:sz w:val="22"/>
              </w:rPr>
              <w:t>NS</w:t>
            </w:r>
          </w:p>
        </w:tc>
      </w:tr>
      <w:tr>
        <w:trPr>
          <w:trHeight w:val="450" w:hRule="atLeast"/>
        </w:trPr>
        <w:tc>
          <w:tcPr>
            <w:tcW w:w="2245" w:type="dxa"/>
          </w:tcPr>
          <w:p>
            <w:pPr>
              <w:pStyle w:val="TableParagraph"/>
              <w:rPr>
                <w:rFonts w:ascii="Times New Roman"/>
                <w:sz w:val="22"/>
              </w:rPr>
            </w:pPr>
          </w:p>
        </w:tc>
        <w:tc>
          <w:tcPr>
            <w:tcW w:w="1094" w:type="dxa"/>
          </w:tcPr>
          <w:p>
            <w:pPr>
              <w:pStyle w:val="TableParagraph"/>
              <w:spacing w:before="71"/>
              <w:ind w:right="290"/>
              <w:jc w:val="right"/>
              <w:rPr>
                <w:sz w:val="22"/>
              </w:rPr>
            </w:pPr>
            <w:r>
              <w:rPr>
                <w:spacing w:val="-5"/>
                <w:sz w:val="22"/>
              </w:rPr>
              <w:t>LEV</w:t>
            </w:r>
          </w:p>
        </w:tc>
        <w:tc>
          <w:tcPr>
            <w:tcW w:w="1542" w:type="dxa"/>
          </w:tcPr>
          <w:p>
            <w:pPr>
              <w:pStyle w:val="TableParagraph"/>
              <w:spacing w:before="71"/>
              <w:ind w:left="27" w:right="3"/>
              <w:jc w:val="center"/>
              <w:rPr>
                <w:sz w:val="22"/>
              </w:rPr>
            </w:pPr>
            <w:r>
              <w:rPr>
                <w:spacing w:val="-2"/>
                <w:sz w:val="22"/>
              </w:rPr>
              <w:t>25.857±1.148</w:t>
            </w:r>
          </w:p>
        </w:tc>
        <w:tc>
          <w:tcPr>
            <w:tcW w:w="1025" w:type="dxa"/>
          </w:tcPr>
          <w:p>
            <w:pPr>
              <w:pStyle w:val="TableParagraph"/>
              <w:spacing w:before="71"/>
              <w:ind w:right="73"/>
              <w:jc w:val="center"/>
              <w:rPr>
                <w:sz w:val="22"/>
              </w:rPr>
            </w:pPr>
            <w:r>
              <w:rPr>
                <w:spacing w:val="-2"/>
                <w:sz w:val="22"/>
              </w:rPr>
              <w:t>0.183</w:t>
            </w:r>
          </w:p>
        </w:tc>
        <w:tc>
          <w:tcPr>
            <w:tcW w:w="859" w:type="dxa"/>
          </w:tcPr>
          <w:p>
            <w:pPr>
              <w:pStyle w:val="TableParagraph"/>
              <w:spacing w:before="71"/>
              <w:ind w:left="261"/>
              <w:rPr>
                <w:sz w:val="22"/>
              </w:rPr>
            </w:pPr>
            <w:r>
              <w:rPr>
                <w:spacing w:val="-5"/>
                <w:sz w:val="22"/>
              </w:rPr>
              <w:t>NS</w:t>
            </w:r>
          </w:p>
        </w:tc>
      </w:tr>
      <w:tr>
        <w:trPr>
          <w:trHeight w:val="521" w:hRule="atLeast"/>
        </w:trPr>
        <w:tc>
          <w:tcPr>
            <w:tcW w:w="2245" w:type="dxa"/>
            <w:tcBorders>
              <w:bottom w:val="single" w:sz="4" w:space="0" w:color="000000"/>
            </w:tcBorders>
          </w:tcPr>
          <w:p>
            <w:pPr>
              <w:pStyle w:val="TableParagraph"/>
              <w:rPr>
                <w:rFonts w:ascii="Times New Roman"/>
                <w:sz w:val="22"/>
              </w:rPr>
            </w:pPr>
          </w:p>
        </w:tc>
        <w:tc>
          <w:tcPr>
            <w:tcW w:w="1094" w:type="dxa"/>
            <w:tcBorders>
              <w:bottom w:val="single" w:sz="4" w:space="0" w:color="000000"/>
            </w:tcBorders>
          </w:tcPr>
          <w:p>
            <w:pPr>
              <w:pStyle w:val="TableParagraph"/>
              <w:spacing w:before="70"/>
              <w:ind w:right="243"/>
              <w:jc w:val="right"/>
              <w:rPr>
                <w:sz w:val="22"/>
              </w:rPr>
            </w:pPr>
            <w:r>
              <w:rPr>
                <w:spacing w:val="-5"/>
                <w:sz w:val="22"/>
              </w:rPr>
              <w:t>AZM</w:t>
            </w:r>
          </w:p>
        </w:tc>
        <w:tc>
          <w:tcPr>
            <w:tcW w:w="1542" w:type="dxa"/>
            <w:tcBorders>
              <w:bottom w:val="single" w:sz="4" w:space="0" w:color="000000"/>
            </w:tcBorders>
          </w:tcPr>
          <w:p>
            <w:pPr>
              <w:pStyle w:val="TableParagraph"/>
              <w:spacing w:before="70"/>
              <w:ind w:left="27" w:right="3"/>
              <w:jc w:val="center"/>
              <w:rPr>
                <w:sz w:val="22"/>
              </w:rPr>
            </w:pPr>
            <w:r>
              <w:rPr>
                <w:spacing w:val="-2"/>
                <w:sz w:val="22"/>
              </w:rPr>
              <w:t>19.643±1.243</w:t>
            </w:r>
          </w:p>
        </w:tc>
        <w:tc>
          <w:tcPr>
            <w:tcW w:w="1025" w:type="dxa"/>
            <w:tcBorders>
              <w:bottom w:val="single" w:sz="4" w:space="0" w:color="000000"/>
            </w:tcBorders>
          </w:tcPr>
          <w:p>
            <w:pPr>
              <w:pStyle w:val="TableParagraph"/>
              <w:spacing w:before="70"/>
              <w:ind w:right="73"/>
              <w:jc w:val="center"/>
              <w:rPr>
                <w:sz w:val="22"/>
              </w:rPr>
            </w:pPr>
            <w:r>
              <w:rPr>
                <w:spacing w:val="-2"/>
                <w:sz w:val="22"/>
              </w:rPr>
              <w:t>0.773</w:t>
            </w:r>
          </w:p>
        </w:tc>
        <w:tc>
          <w:tcPr>
            <w:tcW w:w="859" w:type="dxa"/>
            <w:tcBorders>
              <w:bottom w:val="single" w:sz="4" w:space="0" w:color="000000"/>
            </w:tcBorders>
          </w:tcPr>
          <w:p>
            <w:pPr>
              <w:pStyle w:val="TableParagraph"/>
              <w:spacing w:before="70"/>
              <w:ind w:left="261"/>
              <w:rPr>
                <w:sz w:val="22"/>
              </w:rPr>
            </w:pPr>
            <w:r>
              <w:rPr>
                <w:spacing w:val="-5"/>
                <w:sz w:val="22"/>
              </w:rPr>
              <w:t>NS</w:t>
            </w:r>
          </w:p>
        </w:tc>
      </w:tr>
      <w:tr>
        <w:trPr>
          <w:trHeight w:val="377" w:hRule="atLeast"/>
        </w:trPr>
        <w:tc>
          <w:tcPr>
            <w:tcW w:w="2245" w:type="dxa"/>
            <w:tcBorders>
              <w:top w:val="single" w:sz="4" w:space="0" w:color="000000"/>
            </w:tcBorders>
          </w:tcPr>
          <w:p>
            <w:pPr>
              <w:pStyle w:val="TableParagraph"/>
              <w:rPr>
                <w:rFonts w:ascii="Times New Roman"/>
                <w:sz w:val="22"/>
              </w:rPr>
            </w:pPr>
          </w:p>
        </w:tc>
        <w:tc>
          <w:tcPr>
            <w:tcW w:w="1094" w:type="dxa"/>
            <w:tcBorders>
              <w:top w:val="single" w:sz="4" w:space="0" w:color="000000"/>
            </w:tcBorders>
          </w:tcPr>
          <w:p>
            <w:pPr>
              <w:pStyle w:val="TableParagraph"/>
              <w:spacing w:line="268" w:lineRule="exact"/>
              <w:ind w:right="262"/>
              <w:jc w:val="right"/>
              <w:rPr>
                <w:sz w:val="22"/>
              </w:rPr>
            </w:pPr>
            <w:r>
              <w:rPr>
                <w:spacing w:val="-5"/>
                <w:sz w:val="22"/>
              </w:rPr>
              <w:t>CRO</w:t>
            </w:r>
          </w:p>
        </w:tc>
        <w:tc>
          <w:tcPr>
            <w:tcW w:w="1542" w:type="dxa"/>
            <w:tcBorders>
              <w:top w:val="single" w:sz="4" w:space="0" w:color="000000"/>
            </w:tcBorders>
          </w:tcPr>
          <w:p>
            <w:pPr>
              <w:pStyle w:val="TableParagraph"/>
              <w:spacing w:line="268" w:lineRule="exact"/>
              <w:ind w:left="27" w:right="3"/>
              <w:jc w:val="center"/>
              <w:rPr>
                <w:sz w:val="22"/>
              </w:rPr>
            </w:pPr>
            <w:r>
              <w:rPr>
                <w:spacing w:val="-2"/>
                <w:sz w:val="22"/>
              </w:rPr>
              <w:t>20.000±1.129</w:t>
            </w:r>
          </w:p>
        </w:tc>
        <w:tc>
          <w:tcPr>
            <w:tcW w:w="1025" w:type="dxa"/>
            <w:tcBorders>
              <w:top w:val="single" w:sz="4" w:space="0" w:color="000000"/>
            </w:tcBorders>
          </w:tcPr>
          <w:p>
            <w:pPr>
              <w:pStyle w:val="TableParagraph"/>
              <w:spacing w:line="268" w:lineRule="exact"/>
              <w:ind w:right="73"/>
              <w:jc w:val="center"/>
              <w:rPr>
                <w:sz w:val="22"/>
              </w:rPr>
            </w:pPr>
            <w:r>
              <w:rPr>
                <w:spacing w:val="-2"/>
                <w:sz w:val="22"/>
              </w:rPr>
              <w:t>0.877</w:t>
            </w:r>
          </w:p>
        </w:tc>
        <w:tc>
          <w:tcPr>
            <w:tcW w:w="859" w:type="dxa"/>
            <w:tcBorders>
              <w:top w:val="single" w:sz="4" w:space="0" w:color="000000"/>
            </w:tcBorders>
          </w:tcPr>
          <w:p>
            <w:pPr>
              <w:pStyle w:val="TableParagraph"/>
              <w:spacing w:line="268" w:lineRule="exact"/>
              <w:ind w:left="261"/>
              <w:rPr>
                <w:sz w:val="22"/>
              </w:rPr>
            </w:pPr>
            <w:r>
              <w:rPr>
                <w:spacing w:val="-5"/>
                <w:sz w:val="22"/>
              </w:rPr>
              <w:t>NS</w:t>
            </w:r>
          </w:p>
        </w:tc>
      </w:tr>
      <w:tr>
        <w:trPr>
          <w:trHeight w:val="448" w:hRule="atLeast"/>
        </w:trPr>
        <w:tc>
          <w:tcPr>
            <w:tcW w:w="2245" w:type="dxa"/>
          </w:tcPr>
          <w:p>
            <w:pPr>
              <w:pStyle w:val="TableParagraph"/>
              <w:rPr>
                <w:rFonts w:ascii="Times New Roman"/>
                <w:sz w:val="22"/>
              </w:rPr>
            </w:pPr>
          </w:p>
        </w:tc>
        <w:tc>
          <w:tcPr>
            <w:tcW w:w="1094" w:type="dxa"/>
          </w:tcPr>
          <w:p>
            <w:pPr>
              <w:pStyle w:val="TableParagraph"/>
              <w:spacing w:before="70"/>
              <w:ind w:right="323"/>
              <w:jc w:val="right"/>
              <w:rPr>
                <w:sz w:val="22"/>
              </w:rPr>
            </w:pPr>
            <w:r>
              <w:rPr>
                <w:spacing w:val="-5"/>
                <w:sz w:val="22"/>
              </w:rPr>
              <w:t>CN</w:t>
            </w:r>
          </w:p>
        </w:tc>
        <w:tc>
          <w:tcPr>
            <w:tcW w:w="1542" w:type="dxa"/>
          </w:tcPr>
          <w:p>
            <w:pPr>
              <w:pStyle w:val="TableParagraph"/>
              <w:spacing w:before="70"/>
              <w:ind w:left="27" w:right="3"/>
              <w:jc w:val="center"/>
              <w:rPr>
                <w:sz w:val="22"/>
              </w:rPr>
            </w:pPr>
            <w:r>
              <w:rPr>
                <w:spacing w:val="-2"/>
                <w:sz w:val="22"/>
              </w:rPr>
              <w:t>21.571±1.073</w:t>
            </w:r>
          </w:p>
        </w:tc>
        <w:tc>
          <w:tcPr>
            <w:tcW w:w="1025" w:type="dxa"/>
          </w:tcPr>
          <w:p>
            <w:pPr>
              <w:pStyle w:val="TableParagraph"/>
              <w:spacing w:before="70"/>
              <w:ind w:right="73"/>
              <w:jc w:val="center"/>
              <w:rPr>
                <w:sz w:val="22"/>
              </w:rPr>
            </w:pPr>
            <w:r>
              <w:rPr>
                <w:spacing w:val="-2"/>
                <w:sz w:val="22"/>
              </w:rPr>
              <w:t>1.000</w:t>
            </w:r>
          </w:p>
        </w:tc>
        <w:tc>
          <w:tcPr>
            <w:tcW w:w="859" w:type="dxa"/>
          </w:tcPr>
          <w:p>
            <w:pPr>
              <w:pStyle w:val="TableParagraph"/>
              <w:spacing w:before="70"/>
              <w:ind w:left="261"/>
              <w:rPr>
                <w:sz w:val="22"/>
              </w:rPr>
            </w:pPr>
            <w:r>
              <w:rPr>
                <w:spacing w:val="-5"/>
                <w:sz w:val="22"/>
              </w:rPr>
              <w:t>NS</w:t>
            </w:r>
          </w:p>
        </w:tc>
      </w:tr>
      <w:tr>
        <w:trPr>
          <w:trHeight w:val="740" w:hRule="atLeast"/>
        </w:trPr>
        <w:tc>
          <w:tcPr>
            <w:tcW w:w="2245" w:type="dxa"/>
          </w:tcPr>
          <w:p>
            <w:pPr>
              <w:pStyle w:val="TableParagraph"/>
              <w:spacing w:before="70"/>
              <w:ind w:left="173" w:right="5"/>
              <w:jc w:val="center"/>
              <w:rPr>
                <w:sz w:val="22"/>
              </w:rPr>
            </w:pPr>
            <w:r>
              <w:rPr>
                <w:sz w:val="22"/>
              </w:rPr>
              <w:t>H/L;</w:t>
            </w:r>
            <w:r>
              <w:rPr>
                <w:spacing w:val="-4"/>
                <w:sz w:val="22"/>
              </w:rPr>
              <w:t> </w:t>
            </w:r>
            <w:r>
              <w:rPr>
                <w:sz w:val="22"/>
              </w:rPr>
              <w:t>20:</w:t>
            </w:r>
            <w:r>
              <w:rPr>
                <w:spacing w:val="-3"/>
                <w:sz w:val="22"/>
              </w:rPr>
              <w:t> </w:t>
            </w:r>
            <w:r>
              <w:rPr>
                <w:spacing w:val="-5"/>
                <w:sz w:val="22"/>
              </w:rPr>
              <w:t>50</w:t>
            </w:r>
          </w:p>
          <w:p>
            <w:pPr>
              <w:pStyle w:val="TableParagraph"/>
              <w:spacing w:before="22"/>
              <w:ind w:left="173" w:right="3"/>
              <w:jc w:val="center"/>
              <w:rPr>
                <w:sz w:val="22"/>
              </w:rPr>
            </w:pPr>
            <w:r>
              <w:rPr>
                <w:spacing w:val="-2"/>
                <w:sz w:val="22"/>
              </w:rPr>
              <w:t>(22.143±0.501)</w:t>
            </w:r>
          </w:p>
        </w:tc>
        <w:tc>
          <w:tcPr>
            <w:tcW w:w="1094" w:type="dxa"/>
          </w:tcPr>
          <w:p>
            <w:pPr>
              <w:pStyle w:val="TableParagraph"/>
              <w:spacing w:before="216"/>
              <w:ind w:right="235"/>
              <w:jc w:val="right"/>
              <w:rPr>
                <w:sz w:val="22"/>
              </w:rPr>
            </w:pPr>
            <w:r>
              <w:rPr>
                <w:spacing w:val="-5"/>
                <w:sz w:val="22"/>
              </w:rPr>
              <w:t>AMC</w:t>
            </w:r>
          </w:p>
        </w:tc>
        <w:tc>
          <w:tcPr>
            <w:tcW w:w="1542" w:type="dxa"/>
          </w:tcPr>
          <w:p>
            <w:pPr>
              <w:pStyle w:val="TableParagraph"/>
              <w:spacing w:before="91"/>
              <w:rPr>
                <w:b/>
                <w:i/>
                <w:sz w:val="22"/>
              </w:rPr>
            </w:pPr>
          </w:p>
          <w:p>
            <w:pPr>
              <w:pStyle w:val="TableParagraph"/>
              <w:spacing w:before="1"/>
              <w:ind w:left="27" w:right="3"/>
              <w:jc w:val="center"/>
              <w:rPr>
                <w:sz w:val="22"/>
              </w:rPr>
            </w:pPr>
            <w:r>
              <w:rPr>
                <w:spacing w:val="-2"/>
                <w:sz w:val="22"/>
              </w:rPr>
              <w:t>20.286±1.669</w:t>
            </w:r>
          </w:p>
        </w:tc>
        <w:tc>
          <w:tcPr>
            <w:tcW w:w="1025" w:type="dxa"/>
          </w:tcPr>
          <w:p>
            <w:pPr>
              <w:pStyle w:val="TableParagraph"/>
              <w:spacing w:before="216"/>
              <w:ind w:right="73"/>
              <w:jc w:val="center"/>
              <w:rPr>
                <w:sz w:val="22"/>
              </w:rPr>
            </w:pPr>
            <w:r>
              <w:rPr>
                <w:spacing w:val="-2"/>
                <w:sz w:val="22"/>
              </w:rPr>
              <w:t>0.946</w:t>
            </w:r>
          </w:p>
        </w:tc>
        <w:tc>
          <w:tcPr>
            <w:tcW w:w="859" w:type="dxa"/>
          </w:tcPr>
          <w:p>
            <w:pPr>
              <w:pStyle w:val="TableParagraph"/>
              <w:spacing w:before="91"/>
              <w:rPr>
                <w:b/>
                <w:i/>
                <w:sz w:val="22"/>
              </w:rPr>
            </w:pPr>
          </w:p>
          <w:p>
            <w:pPr>
              <w:pStyle w:val="TableParagraph"/>
              <w:spacing w:before="1"/>
              <w:ind w:left="261"/>
              <w:rPr>
                <w:sz w:val="22"/>
              </w:rPr>
            </w:pPr>
            <w:r>
              <w:rPr>
                <w:spacing w:val="-5"/>
                <w:sz w:val="22"/>
              </w:rPr>
              <w:t>NS</w:t>
            </w:r>
          </w:p>
        </w:tc>
      </w:tr>
      <w:tr>
        <w:trPr>
          <w:trHeight w:val="336" w:hRule="atLeast"/>
        </w:trPr>
        <w:tc>
          <w:tcPr>
            <w:tcW w:w="2245" w:type="dxa"/>
          </w:tcPr>
          <w:p>
            <w:pPr>
              <w:pStyle w:val="TableParagraph"/>
              <w:rPr>
                <w:rFonts w:ascii="Times New Roman"/>
                <w:sz w:val="22"/>
              </w:rPr>
            </w:pPr>
          </w:p>
        </w:tc>
        <w:tc>
          <w:tcPr>
            <w:tcW w:w="1094" w:type="dxa"/>
          </w:tcPr>
          <w:p>
            <w:pPr>
              <w:pStyle w:val="TableParagraph"/>
              <w:spacing w:line="245" w:lineRule="exact" w:before="71"/>
              <w:ind w:right="290"/>
              <w:jc w:val="right"/>
              <w:rPr>
                <w:sz w:val="22"/>
              </w:rPr>
            </w:pPr>
            <w:r>
              <w:rPr>
                <w:spacing w:val="-5"/>
                <w:sz w:val="22"/>
              </w:rPr>
              <w:t>LEV</w:t>
            </w:r>
          </w:p>
        </w:tc>
        <w:tc>
          <w:tcPr>
            <w:tcW w:w="1542" w:type="dxa"/>
          </w:tcPr>
          <w:p>
            <w:pPr>
              <w:pStyle w:val="TableParagraph"/>
              <w:spacing w:line="245" w:lineRule="exact" w:before="71"/>
              <w:ind w:left="27" w:right="3"/>
              <w:jc w:val="center"/>
              <w:rPr>
                <w:sz w:val="22"/>
              </w:rPr>
            </w:pPr>
            <w:r>
              <w:rPr>
                <w:spacing w:val="-2"/>
                <w:sz w:val="22"/>
              </w:rPr>
              <w:t>25.857±1.148</w:t>
            </w:r>
          </w:p>
        </w:tc>
        <w:tc>
          <w:tcPr>
            <w:tcW w:w="1025" w:type="dxa"/>
          </w:tcPr>
          <w:p>
            <w:pPr>
              <w:pStyle w:val="TableParagraph"/>
              <w:spacing w:line="245" w:lineRule="exact" w:before="71"/>
              <w:ind w:right="73"/>
              <w:jc w:val="center"/>
              <w:rPr>
                <w:sz w:val="22"/>
              </w:rPr>
            </w:pPr>
            <w:r>
              <w:rPr>
                <w:spacing w:val="-2"/>
                <w:sz w:val="22"/>
              </w:rPr>
              <w:t>0.204</w:t>
            </w:r>
          </w:p>
        </w:tc>
        <w:tc>
          <w:tcPr>
            <w:tcW w:w="859" w:type="dxa"/>
          </w:tcPr>
          <w:p>
            <w:pPr>
              <w:pStyle w:val="TableParagraph"/>
              <w:spacing w:line="245" w:lineRule="exact" w:before="71"/>
              <w:ind w:left="261"/>
              <w:rPr>
                <w:sz w:val="22"/>
              </w:rPr>
            </w:pPr>
            <w:r>
              <w:rPr>
                <w:spacing w:val="-5"/>
                <w:sz w:val="22"/>
              </w:rPr>
              <w:t>NS</w:t>
            </w:r>
          </w:p>
        </w:tc>
      </w:tr>
    </w:tbl>
    <w:p>
      <w:pPr>
        <w:spacing w:after="0" w:line="245" w:lineRule="exact"/>
        <w:rPr>
          <w:sz w:val="22"/>
        </w:rPr>
        <w:sectPr>
          <w:type w:val="continuous"/>
          <w:pgSz w:w="11910" w:h="16840"/>
          <w:pgMar w:header="0" w:footer="1055" w:top="1440" w:bottom="1457" w:left="1060" w:right="460"/>
        </w:sectPr>
      </w:pPr>
    </w:p>
    <w:tbl>
      <w:tblPr>
        <w:tblW w:w="0" w:type="auto"/>
        <w:jc w:val="left"/>
        <w:tblInd w:w="1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2"/>
        <w:gridCol w:w="1029"/>
        <w:gridCol w:w="1615"/>
        <w:gridCol w:w="969"/>
        <w:gridCol w:w="877"/>
      </w:tblGrid>
      <w:tr>
        <w:trPr>
          <w:trHeight w:val="408" w:hRule="atLeast"/>
        </w:trPr>
        <w:tc>
          <w:tcPr>
            <w:tcW w:w="2292" w:type="dxa"/>
            <w:tcBorders>
              <w:bottom w:val="single" w:sz="4" w:space="0" w:color="000000"/>
            </w:tcBorders>
          </w:tcPr>
          <w:p>
            <w:pPr>
              <w:pStyle w:val="TableParagraph"/>
              <w:rPr>
                <w:rFonts w:ascii="Times New Roman"/>
                <w:sz w:val="22"/>
              </w:rPr>
            </w:pPr>
          </w:p>
        </w:tc>
        <w:tc>
          <w:tcPr>
            <w:tcW w:w="1029" w:type="dxa"/>
            <w:tcBorders>
              <w:bottom w:val="single" w:sz="4" w:space="0" w:color="000000"/>
            </w:tcBorders>
          </w:tcPr>
          <w:p>
            <w:pPr>
              <w:pStyle w:val="TableParagraph"/>
              <w:spacing w:line="225" w:lineRule="exact"/>
              <w:ind w:left="183"/>
              <w:jc w:val="center"/>
              <w:rPr>
                <w:sz w:val="22"/>
              </w:rPr>
            </w:pPr>
            <w:r>
              <w:rPr>
                <w:spacing w:val="-5"/>
                <w:sz w:val="22"/>
              </w:rPr>
              <w:t>AZM</w:t>
            </w:r>
          </w:p>
        </w:tc>
        <w:tc>
          <w:tcPr>
            <w:tcW w:w="1615" w:type="dxa"/>
            <w:tcBorders>
              <w:bottom w:val="single" w:sz="4" w:space="0" w:color="000000"/>
            </w:tcBorders>
          </w:tcPr>
          <w:p>
            <w:pPr>
              <w:pStyle w:val="TableParagraph"/>
              <w:spacing w:line="225" w:lineRule="exact"/>
              <w:ind w:left="16"/>
              <w:jc w:val="center"/>
              <w:rPr>
                <w:sz w:val="22"/>
              </w:rPr>
            </w:pPr>
            <w:r>
              <w:rPr>
                <w:spacing w:val="-2"/>
                <w:sz w:val="22"/>
              </w:rPr>
              <w:t>19.643±1.243</w:t>
            </w:r>
          </w:p>
        </w:tc>
        <w:tc>
          <w:tcPr>
            <w:tcW w:w="969" w:type="dxa"/>
            <w:tcBorders>
              <w:bottom w:val="single" w:sz="4" w:space="0" w:color="000000"/>
            </w:tcBorders>
          </w:tcPr>
          <w:p>
            <w:pPr>
              <w:pStyle w:val="TableParagraph"/>
              <w:spacing w:line="225" w:lineRule="exact"/>
              <w:ind w:left="182"/>
              <w:rPr>
                <w:sz w:val="22"/>
              </w:rPr>
            </w:pPr>
            <w:r>
              <w:rPr>
                <w:spacing w:val="-2"/>
                <w:sz w:val="22"/>
              </w:rPr>
              <w:t>0.742</w:t>
            </w:r>
          </w:p>
        </w:tc>
        <w:tc>
          <w:tcPr>
            <w:tcW w:w="877" w:type="dxa"/>
            <w:tcBorders>
              <w:bottom w:val="single" w:sz="4" w:space="0" w:color="000000"/>
            </w:tcBorders>
          </w:tcPr>
          <w:p>
            <w:pPr>
              <w:pStyle w:val="TableParagraph"/>
              <w:spacing w:line="225" w:lineRule="exact"/>
              <w:ind w:left="276"/>
              <w:rPr>
                <w:sz w:val="22"/>
              </w:rPr>
            </w:pPr>
            <w:r>
              <w:rPr>
                <w:spacing w:val="-5"/>
                <w:sz w:val="22"/>
              </w:rPr>
              <w:t>NS</w:t>
            </w:r>
          </w:p>
        </w:tc>
      </w:tr>
      <w:tr>
        <w:trPr>
          <w:trHeight w:val="377" w:hRule="atLeast"/>
        </w:trPr>
        <w:tc>
          <w:tcPr>
            <w:tcW w:w="2292" w:type="dxa"/>
            <w:tcBorders>
              <w:top w:val="single" w:sz="4" w:space="0" w:color="000000"/>
            </w:tcBorders>
          </w:tcPr>
          <w:p>
            <w:pPr>
              <w:pStyle w:val="TableParagraph"/>
              <w:rPr>
                <w:rFonts w:ascii="Times New Roman"/>
                <w:sz w:val="22"/>
              </w:rPr>
            </w:pPr>
          </w:p>
        </w:tc>
        <w:tc>
          <w:tcPr>
            <w:tcW w:w="1029" w:type="dxa"/>
            <w:tcBorders>
              <w:top w:val="single" w:sz="4" w:space="0" w:color="000000"/>
            </w:tcBorders>
          </w:tcPr>
          <w:p>
            <w:pPr>
              <w:pStyle w:val="TableParagraph"/>
              <w:spacing w:line="268" w:lineRule="exact"/>
              <w:ind w:left="183" w:right="2"/>
              <w:jc w:val="center"/>
              <w:rPr>
                <w:sz w:val="22"/>
              </w:rPr>
            </w:pPr>
            <w:r>
              <w:rPr>
                <w:spacing w:val="-5"/>
                <w:sz w:val="22"/>
              </w:rPr>
              <w:t>CRO</w:t>
            </w:r>
          </w:p>
        </w:tc>
        <w:tc>
          <w:tcPr>
            <w:tcW w:w="1615" w:type="dxa"/>
            <w:tcBorders>
              <w:top w:val="single" w:sz="4" w:space="0" w:color="000000"/>
            </w:tcBorders>
          </w:tcPr>
          <w:p>
            <w:pPr>
              <w:pStyle w:val="TableParagraph"/>
              <w:spacing w:line="268" w:lineRule="exact"/>
              <w:ind w:left="16"/>
              <w:jc w:val="center"/>
              <w:rPr>
                <w:sz w:val="22"/>
              </w:rPr>
            </w:pPr>
            <w:r>
              <w:rPr>
                <w:spacing w:val="-2"/>
                <w:sz w:val="22"/>
              </w:rPr>
              <w:t>20.000±1.129</w:t>
            </w:r>
          </w:p>
        </w:tc>
        <w:tc>
          <w:tcPr>
            <w:tcW w:w="969" w:type="dxa"/>
            <w:tcBorders>
              <w:top w:val="single" w:sz="4" w:space="0" w:color="000000"/>
            </w:tcBorders>
          </w:tcPr>
          <w:p>
            <w:pPr>
              <w:pStyle w:val="TableParagraph"/>
              <w:spacing w:line="268" w:lineRule="exact"/>
              <w:ind w:left="182"/>
              <w:rPr>
                <w:sz w:val="22"/>
              </w:rPr>
            </w:pPr>
            <w:r>
              <w:rPr>
                <w:spacing w:val="-2"/>
                <w:sz w:val="22"/>
              </w:rPr>
              <w:t>0.677</w:t>
            </w:r>
          </w:p>
        </w:tc>
        <w:tc>
          <w:tcPr>
            <w:tcW w:w="877" w:type="dxa"/>
            <w:tcBorders>
              <w:top w:val="single" w:sz="4" w:space="0" w:color="000000"/>
            </w:tcBorders>
          </w:tcPr>
          <w:p>
            <w:pPr>
              <w:pStyle w:val="TableParagraph"/>
              <w:spacing w:line="268" w:lineRule="exact"/>
              <w:ind w:left="276"/>
              <w:rPr>
                <w:sz w:val="22"/>
              </w:rPr>
            </w:pPr>
            <w:r>
              <w:rPr>
                <w:spacing w:val="-5"/>
                <w:sz w:val="22"/>
              </w:rPr>
              <w:t>NS</w:t>
            </w:r>
          </w:p>
        </w:tc>
      </w:tr>
      <w:tr>
        <w:trPr>
          <w:trHeight w:val="448" w:hRule="atLeast"/>
        </w:trPr>
        <w:tc>
          <w:tcPr>
            <w:tcW w:w="2292" w:type="dxa"/>
          </w:tcPr>
          <w:p>
            <w:pPr>
              <w:pStyle w:val="TableParagraph"/>
              <w:rPr>
                <w:rFonts w:ascii="Times New Roman"/>
                <w:sz w:val="22"/>
              </w:rPr>
            </w:pPr>
          </w:p>
        </w:tc>
        <w:tc>
          <w:tcPr>
            <w:tcW w:w="1029" w:type="dxa"/>
          </w:tcPr>
          <w:p>
            <w:pPr>
              <w:pStyle w:val="TableParagraph"/>
              <w:spacing w:before="70"/>
              <w:ind w:left="183" w:right="1"/>
              <w:jc w:val="center"/>
              <w:rPr>
                <w:sz w:val="22"/>
              </w:rPr>
            </w:pPr>
            <w:r>
              <w:rPr>
                <w:spacing w:val="-5"/>
                <w:sz w:val="22"/>
              </w:rPr>
              <w:t>CN</w:t>
            </w:r>
          </w:p>
        </w:tc>
        <w:tc>
          <w:tcPr>
            <w:tcW w:w="1615" w:type="dxa"/>
          </w:tcPr>
          <w:p>
            <w:pPr>
              <w:pStyle w:val="TableParagraph"/>
              <w:spacing w:before="70"/>
              <w:ind w:left="16"/>
              <w:jc w:val="center"/>
              <w:rPr>
                <w:sz w:val="22"/>
              </w:rPr>
            </w:pPr>
            <w:r>
              <w:rPr>
                <w:spacing w:val="-2"/>
                <w:sz w:val="22"/>
              </w:rPr>
              <w:t>21.571±1.073</w:t>
            </w:r>
          </w:p>
        </w:tc>
        <w:tc>
          <w:tcPr>
            <w:tcW w:w="969" w:type="dxa"/>
          </w:tcPr>
          <w:p>
            <w:pPr>
              <w:pStyle w:val="TableParagraph"/>
              <w:spacing w:before="70"/>
              <w:ind w:left="182"/>
              <w:rPr>
                <w:sz w:val="22"/>
              </w:rPr>
            </w:pPr>
            <w:r>
              <w:rPr>
                <w:spacing w:val="-2"/>
                <w:sz w:val="22"/>
              </w:rPr>
              <w:t>0.999</w:t>
            </w:r>
          </w:p>
        </w:tc>
        <w:tc>
          <w:tcPr>
            <w:tcW w:w="877" w:type="dxa"/>
          </w:tcPr>
          <w:p>
            <w:pPr>
              <w:pStyle w:val="TableParagraph"/>
              <w:spacing w:before="70"/>
              <w:ind w:left="276"/>
              <w:rPr>
                <w:sz w:val="22"/>
              </w:rPr>
            </w:pPr>
            <w:r>
              <w:rPr>
                <w:spacing w:val="-5"/>
                <w:sz w:val="22"/>
              </w:rPr>
              <w:t>NS</w:t>
            </w:r>
          </w:p>
        </w:tc>
      </w:tr>
      <w:tr>
        <w:trPr>
          <w:trHeight w:val="740" w:hRule="atLeast"/>
        </w:trPr>
        <w:tc>
          <w:tcPr>
            <w:tcW w:w="2292" w:type="dxa"/>
          </w:tcPr>
          <w:p>
            <w:pPr>
              <w:pStyle w:val="TableParagraph"/>
              <w:spacing w:before="70"/>
              <w:ind w:left="155"/>
              <w:jc w:val="center"/>
              <w:rPr>
                <w:sz w:val="22"/>
              </w:rPr>
            </w:pPr>
            <w:r>
              <w:rPr>
                <w:sz w:val="22"/>
              </w:rPr>
              <w:t>H/L;</w:t>
            </w:r>
            <w:r>
              <w:rPr>
                <w:spacing w:val="-5"/>
                <w:sz w:val="22"/>
              </w:rPr>
              <w:t> </w:t>
            </w:r>
            <w:r>
              <w:rPr>
                <w:spacing w:val="-2"/>
                <w:sz w:val="22"/>
              </w:rPr>
              <w:t>30:50</w:t>
            </w:r>
          </w:p>
          <w:p>
            <w:pPr>
              <w:pStyle w:val="TableParagraph"/>
              <w:spacing w:before="22"/>
              <w:ind w:left="155" w:right="3"/>
              <w:jc w:val="center"/>
              <w:rPr>
                <w:sz w:val="22"/>
              </w:rPr>
            </w:pPr>
            <w:r>
              <w:rPr>
                <w:spacing w:val="-2"/>
                <w:sz w:val="22"/>
              </w:rPr>
              <w:t>(22.643±0.829)</w:t>
            </w:r>
          </w:p>
        </w:tc>
        <w:tc>
          <w:tcPr>
            <w:tcW w:w="1029" w:type="dxa"/>
          </w:tcPr>
          <w:p>
            <w:pPr>
              <w:pStyle w:val="TableParagraph"/>
              <w:spacing w:before="216"/>
              <w:ind w:left="183"/>
              <w:jc w:val="center"/>
              <w:rPr>
                <w:sz w:val="22"/>
              </w:rPr>
            </w:pPr>
            <w:r>
              <w:rPr>
                <w:spacing w:val="-5"/>
                <w:sz w:val="22"/>
              </w:rPr>
              <w:t>AMC</w:t>
            </w:r>
          </w:p>
        </w:tc>
        <w:tc>
          <w:tcPr>
            <w:tcW w:w="1615" w:type="dxa"/>
          </w:tcPr>
          <w:p>
            <w:pPr>
              <w:pStyle w:val="TableParagraph"/>
              <w:spacing w:before="91"/>
              <w:rPr>
                <w:b/>
                <w:i/>
                <w:sz w:val="22"/>
              </w:rPr>
            </w:pPr>
          </w:p>
          <w:p>
            <w:pPr>
              <w:pStyle w:val="TableParagraph"/>
              <w:spacing w:before="1"/>
              <w:ind w:left="16"/>
              <w:jc w:val="center"/>
              <w:rPr>
                <w:sz w:val="22"/>
              </w:rPr>
            </w:pPr>
            <w:r>
              <w:rPr>
                <w:spacing w:val="-2"/>
                <w:sz w:val="22"/>
              </w:rPr>
              <w:t>20.286±1.669</w:t>
            </w:r>
          </w:p>
        </w:tc>
        <w:tc>
          <w:tcPr>
            <w:tcW w:w="969" w:type="dxa"/>
          </w:tcPr>
          <w:p>
            <w:pPr>
              <w:pStyle w:val="TableParagraph"/>
              <w:spacing w:before="216"/>
              <w:ind w:left="182"/>
              <w:rPr>
                <w:sz w:val="22"/>
              </w:rPr>
            </w:pPr>
            <w:r>
              <w:rPr>
                <w:spacing w:val="-2"/>
                <w:sz w:val="22"/>
              </w:rPr>
              <w:t>0.802</w:t>
            </w:r>
          </w:p>
        </w:tc>
        <w:tc>
          <w:tcPr>
            <w:tcW w:w="877" w:type="dxa"/>
          </w:tcPr>
          <w:p>
            <w:pPr>
              <w:pStyle w:val="TableParagraph"/>
              <w:spacing w:before="91"/>
              <w:rPr>
                <w:b/>
                <w:i/>
                <w:sz w:val="22"/>
              </w:rPr>
            </w:pPr>
          </w:p>
          <w:p>
            <w:pPr>
              <w:pStyle w:val="TableParagraph"/>
              <w:spacing w:before="1"/>
              <w:ind w:left="276"/>
              <w:rPr>
                <w:sz w:val="22"/>
              </w:rPr>
            </w:pPr>
            <w:r>
              <w:rPr>
                <w:spacing w:val="-5"/>
                <w:sz w:val="22"/>
              </w:rPr>
              <w:t>NS</w:t>
            </w:r>
          </w:p>
        </w:tc>
      </w:tr>
      <w:tr>
        <w:trPr>
          <w:trHeight w:val="450" w:hRule="atLeast"/>
        </w:trPr>
        <w:tc>
          <w:tcPr>
            <w:tcW w:w="2292" w:type="dxa"/>
          </w:tcPr>
          <w:p>
            <w:pPr>
              <w:pStyle w:val="TableParagraph"/>
              <w:rPr>
                <w:rFonts w:ascii="Times New Roman"/>
                <w:sz w:val="22"/>
              </w:rPr>
            </w:pPr>
          </w:p>
        </w:tc>
        <w:tc>
          <w:tcPr>
            <w:tcW w:w="1029" w:type="dxa"/>
          </w:tcPr>
          <w:p>
            <w:pPr>
              <w:pStyle w:val="TableParagraph"/>
              <w:spacing w:before="71"/>
              <w:ind w:left="183" w:right="2"/>
              <w:jc w:val="center"/>
              <w:rPr>
                <w:sz w:val="22"/>
              </w:rPr>
            </w:pPr>
            <w:r>
              <w:rPr>
                <w:spacing w:val="-5"/>
                <w:sz w:val="22"/>
              </w:rPr>
              <w:t>LEV</w:t>
            </w:r>
          </w:p>
        </w:tc>
        <w:tc>
          <w:tcPr>
            <w:tcW w:w="1615" w:type="dxa"/>
          </w:tcPr>
          <w:p>
            <w:pPr>
              <w:pStyle w:val="TableParagraph"/>
              <w:spacing w:before="71"/>
              <w:ind w:left="16"/>
              <w:jc w:val="center"/>
              <w:rPr>
                <w:sz w:val="22"/>
              </w:rPr>
            </w:pPr>
            <w:r>
              <w:rPr>
                <w:spacing w:val="-2"/>
                <w:sz w:val="22"/>
              </w:rPr>
              <w:t>25.857±1.148</w:t>
            </w:r>
          </w:p>
        </w:tc>
        <w:tc>
          <w:tcPr>
            <w:tcW w:w="969" w:type="dxa"/>
          </w:tcPr>
          <w:p>
            <w:pPr>
              <w:pStyle w:val="TableParagraph"/>
              <w:spacing w:before="71"/>
              <w:ind w:left="182"/>
              <w:rPr>
                <w:sz w:val="22"/>
              </w:rPr>
            </w:pPr>
            <w:r>
              <w:rPr>
                <w:spacing w:val="-2"/>
                <w:sz w:val="22"/>
              </w:rPr>
              <w:t>0.398</w:t>
            </w:r>
          </w:p>
        </w:tc>
        <w:tc>
          <w:tcPr>
            <w:tcW w:w="877" w:type="dxa"/>
          </w:tcPr>
          <w:p>
            <w:pPr>
              <w:pStyle w:val="TableParagraph"/>
              <w:spacing w:before="71"/>
              <w:ind w:left="276"/>
              <w:rPr>
                <w:sz w:val="22"/>
              </w:rPr>
            </w:pPr>
            <w:r>
              <w:rPr>
                <w:spacing w:val="-5"/>
                <w:sz w:val="22"/>
              </w:rPr>
              <w:t>NS</w:t>
            </w:r>
          </w:p>
        </w:tc>
      </w:tr>
      <w:tr>
        <w:trPr>
          <w:trHeight w:val="521" w:hRule="atLeast"/>
        </w:trPr>
        <w:tc>
          <w:tcPr>
            <w:tcW w:w="2292" w:type="dxa"/>
            <w:tcBorders>
              <w:bottom w:val="single" w:sz="4" w:space="0" w:color="000000"/>
            </w:tcBorders>
          </w:tcPr>
          <w:p>
            <w:pPr>
              <w:pStyle w:val="TableParagraph"/>
              <w:rPr>
                <w:rFonts w:ascii="Times New Roman"/>
                <w:sz w:val="22"/>
              </w:rPr>
            </w:pPr>
          </w:p>
        </w:tc>
        <w:tc>
          <w:tcPr>
            <w:tcW w:w="1029" w:type="dxa"/>
            <w:tcBorders>
              <w:bottom w:val="single" w:sz="4" w:space="0" w:color="000000"/>
            </w:tcBorders>
          </w:tcPr>
          <w:p>
            <w:pPr>
              <w:pStyle w:val="TableParagraph"/>
              <w:spacing w:before="70"/>
              <w:ind w:left="183"/>
              <w:jc w:val="center"/>
              <w:rPr>
                <w:sz w:val="22"/>
              </w:rPr>
            </w:pPr>
            <w:r>
              <w:rPr>
                <w:spacing w:val="-5"/>
                <w:sz w:val="22"/>
              </w:rPr>
              <w:t>AZM</w:t>
            </w:r>
          </w:p>
        </w:tc>
        <w:tc>
          <w:tcPr>
            <w:tcW w:w="1615" w:type="dxa"/>
            <w:tcBorders>
              <w:bottom w:val="single" w:sz="4" w:space="0" w:color="000000"/>
            </w:tcBorders>
          </w:tcPr>
          <w:p>
            <w:pPr>
              <w:pStyle w:val="TableParagraph"/>
              <w:spacing w:before="70"/>
              <w:ind w:left="16"/>
              <w:jc w:val="center"/>
              <w:rPr>
                <w:sz w:val="22"/>
              </w:rPr>
            </w:pPr>
            <w:r>
              <w:rPr>
                <w:spacing w:val="-2"/>
                <w:sz w:val="22"/>
              </w:rPr>
              <w:t>19.643±1.243</w:t>
            </w:r>
          </w:p>
        </w:tc>
        <w:tc>
          <w:tcPr>
            <w:tcW w:w="969" w:type="dxa"/>
            <w:tcBorders>
              <w:bottom w:val="single" w:sz="4" w:space="0" w:color="000000"/>
            </w:tcBorders>
          </w:tcPr>
          <w:p>
            <w:pPr>
              <w:pStyle w:val="TableParagraph"/>
              <w:spacing w:before="70"/>
              <w:ind w:left="182"/>
              <w:rPr>
                <w:sz w:val="22"/>
              </w:rPr>
            </w:pPr>
            <w:r>
              <w:rPr>
                <w:spacing w:val="-2"/>
                <w:sz w:val="22"/>
              </w:rPr>
              <w:t>0.501</w:t>
            </w:r>
          </w:p>
        </w:tc>
        <w:tc>
          <w:tcPr>
            <w:tcW w:w="877" w:type="dxa"/>
            <w:tcBorders>
              <w:bottom w:val="single" w:sz="4" w:space="0" w:color="000000"/>
            </w:tcBorders>
          </w:tcPr>
          <w:p>
            <w:pPr>
              <w:pStyle w:val="TableParagraph"/>
              <w:spacing w:before="70"/>
              <w:ind w:left="276"/>
              <w:rPr>
                <w:sz w:val="22"/>
              </w:rPr>
            </w:pPr>
            <w:r>
              <w:rPr>
                <w:spacing w:val="-5"/>
                <w:sz w:val="22"/>
              </w:rPr>
              <w:t>NS</w:t>
            </w:r>
          </w:p>
        </w:tc>
      </w:tr>
      <w:tr>
        <w:trPr>
          <w:trHeight w:val="378" w:hRule="atLeast"/>
        </w:trPr>
        <w:tc>
          <w:tcPr>
            <w:tcW w:w="2292" w:type="dxa"/>
            <w:tcBorders>
              <w:top w:val="single" w:sz="4" w:space="0" w:color="000000"/>
            </w:tcBorders>
          </w:tcPr>
          <w:p>
            <w:pPr>
              <w:pStyle w:val="TableParagraph"/>
              <w:rPr>
                <w:rFonts w:ascii="Times New Roman"/>
                <w:sz w:val="22"/>
              </w:rPr>
            </w:pPr>
          </w:p>
        </w:tc>
        <w:tc>
          <w:tcPr>
            <w:tcW w:w="1029" w:type="dxa"/>
            <w:tcBorders>
              <w:top w:val="single" w:sz="4" w:space="0" w:color="000000"/>
            </w:tcBorders>
          </w:tcPr>
          <w:p>
            <w:pPr>
              <w:pStyle w:val="TableParagraph"/>
              <w:spacing w:line="268" w:lineRule="exact"/>
              <w:ind w:left="183" w:right="2"/>
              <w:jc w:val="center"/>
              <w:rPr>
                <w:sz w:val="22"/>
              </w:rPr>
            </w:pPr>
            <w:r>
              <w:rPr>
                <w:spacing w:val="-5"/>
                <w:sz w:val="22"/>
              </w:rPr>
              <w:t>CRO</w:t>
            </w:r>
          </w:p>
        </w:tc>
        <w:tc>
          <w:tcPr>
            <w:tcW w:w="1615" w:type="dxa"/>
            <w:tcBorders>
              <w:top w:val="single" w:sz="4" w:space="0" w:color="000000"/>
            </w:tcBorders>
          </w:tcPr>
          <w:p>
            <w:pPr>
              <w:pStyle w:val="TableParagraph"/>
              <w:spacing w:line="268" w:lineRule="exact"/>
              <w:ind w:left="16"/>
              <w:jc w:val="center"/>
              <w:rPr>
                <w:sz w:val="22"/>
              </w:rPr>
            </w:pPr>
            <w:r>
              <w:rPr>
                <w:spacing w:val="-2"/>
                <w:sz w:val="22"/>
              </w:rPr>
              <w:t>20.000±1.129</w:t>
            </w:r>
          </w:p>
        </w:tc>
        <w:tc>
          <w:tcPr>
            <w:tcW w:w="969" w:type="dxa"/>
            <w:tcBorders>
              <w:top w:val="single" w:sz="4" w:space="0" w:color="000000"/>
            </w:tcBorders>
          </w:tcPr>
          <w:p>
            <w:pPr>
              <w:pStyle w:val="TableParagraph"/>
              <w:spacing w:line="268" w:lineRule="exact"/>
              <w:ind w:left="182"/>
              <w:rPr>
                <w:sz w:val="22"/>
              </w:rPr>
            </w:pPr>
            <w:r>
              <w:rPr>
                <w:spacing w:val="-2"/>
                <w:sz w:val="22"/>
              </w:rPr>
              <w:t>0.773</w:t>
            </w:r>
          </w:p>
        </w:tc>
        <w:tc>
          <w:tcPr>
            <w:tcW w:w="877" w:type="dxa"/>
            <w:tcBorders>
              <w:top w:val="single" w:sz="4" w:space="0" w:color="000000"/>
            </w:tcBorders>
          </w:tcPr>
          <w:p>
            <w:pPr>
              <w:pStyle w:val="TableParagraph"/>
              <w:spacing w:line="268" w:lineRule="exact"/>
              <w:ind w:left="276"/>
              <w:rPr>
                <w:sz w:val="22"/>
              </w:rPr>
            </w:pPr>
            <w:r>
              <w:rPr>
                <w:spacing w:val="-5"/>
                <w:sz w:val="22"/>
              </w:rPr>
              <w:t>NS</w:t>
            </w:r>
          </w:p>
        </w:tc>
      </w:tr>
      <w:tr>
        <w:trPr>
          <w:trHeight w:val="449" w:hRule="atLeast"/>
        </w:trPr>
        <w:tc>
          <w:tcPr>
            <w:tcW w:w="2292" w:type="dxa"/>
          </w:tcPr>
          <w:p>
            <w:pPr>
              <w:pStyle w:val="TableParagraph"/>
              <w:rPr>
                <w:rFonts w:ascii="Times New Roman"/>
                <w:sz w:val="22"/>
              </w:rPr>
            </w:pPr>
          </w:p>
        </w:tc>
        <w:tc>
          <w:tcPr>
            <w:tcW w:w="1029" w:type="dxa"/>
          </w:tcPr>
          <w:p>
            <w:pPr>
              <w:pStyle w:val="TableParagraph"/>
              <w:spacing w:before="70"/>
              <w:ind w:left="183" w:right="1"/>
              <w:jc w:val="center"/>
              <w:rPr>
                <w:sz w:val="22"/>
              </w:rPr>
            </w:pPr>
            <w:r>
              <w:rPr>
                <w:spacing w:val="-5"/>
                <w:sz w:val="22"/>
              </w:rPr>
              <w:t>CN</w:t>
            </w:r>
          </w:p>
        </w:tc>
        <w:tc>
          <w:tcPr>
            <w:tcW w:w="1615" w:type="dxa"/>
          </w:tcPr>
          <w:p>
            <w:pPr>
              <w:pStyle w:val="TableParagraph"/>
              <w:spacing w:before="70"/>
              <w:ind w:left="16"/>
              <w:jc w:val="center"/>
              <w:rPr>
                <w:sz w:val="22"/>
              </w:rPr>
            </w:pPr>
            <w:r>
              <w:rPr>
                <w:spacing w:val="-2"/>
                <w:sz w:val="22"/>
              </w:rPr>
              <w:t>21.571±1.073</w:t>
            </w:r>
          </w:p>
        </w:tc>
        <w:tc>
          <w:tcPr>
            <w:tcW w:w="969" w:type="dxa"/>
          </w:tcPr>
          <w:p>
            <w:pPr>
              <w:pStyle w:val="TableParagraph"/>
              <w:spacing w:before="70"/>
              <w:ind w:left="182"/>
              <w:rPr>
                <w:sz w:val="22"/>
              </w:rPr>
            </w:pPr>
            <w:r>
              <w:rPr>
                <w:spacing w:val="-2"/>
                <w:sz w:val="22"/>
              </w:rPr>
              <w:t>1.000</w:t>
            </w:r>
          </w:p>
        </w:tc>
        <w:tc>
          <w:tcPr>
            <w:tcW w:w="877" w:type="dxa"/>
          </w:tcPr>
          <w:p>
            <w:pPr>
              <w:pStyle w:val="TableParagraph"/>
              <w:spacing w:before="70"/>
              <w:ind w:left="276"/>
              <w:rPr>
                <w:sz w:val="22"/>
              </w:rPr>
            </w:pPr>
            <w:r>
              <w:rPr>
                <w:spacing w:val="-5"/>
                <w:sz w:val="22"/>
              </w:rPr>
              <w:t>NS</w:t>
            </w:r>
          </w:p>
        </w:tc>
      </w:tr>
      <w:tr>
        <w:trPr>
          <w:trHeight w:val="740" w:hRule="atLeast"/>
        </w:trPr>
        <w:tc>
          <w:tcPr>
            <w:tcW w:w="2292" w:type="dxa"/>
          </w:tcPr>
          <w:p>
            <w:pPr>
              <w:pStyle w:val="TableParagraph"/>
              <w:spacing w:before="70"/>
              <w:ind w:left="155"/>
              <w:jc w:val="center"/>
              <w:rPr>
                <w:sz w:val="22"/>
              </w:rPr>
            </w:pPr>
            <w:r>
              <w:rPr>
                <w:sz w:val="22"/>
              </w:rPr>
              <w:t>H/L;</w:t>
            </w:r>
            <w:r>
              <w:rPr>
                <w:spacing w:val="-5"/>
                <w:sz w:val="22"/>
              </w:rPr>
              <w:t> </w:t>
            </w:r>
            <w:r>
              <w:rPr>
                <w:spacing w:val="-2"/>
                <w:sz w:val="22"/>
              </w:rPr>
              <w:t>40:50</w:t>
            </w:r>
          </w:p>
          <w:p>
            <w:pPr>
              <w:pStyle w:val="TableParagraph"/>
              <w:spacing w:before="22"/>
              <w:ind w:left="155" w:right="3"/>
              <w:jc w:val="center"/>
              <w:rPr>
                <w:sz w:val="22"/>
              </w:rPr>
            </w:pPr>
            <w:r>
              <w:rPr>
                <w:spacing w:val="-2"/>
                <w:sz w:val="22"/>
              </w:rPr>
              <w:t>(22.429±0.510)</w:t>
            </w:r>
          </w:p>
        </w:tc>
        <w:tc>
          <w:tcPr>
            <w:tcW w:w="1029" w:type="dxa"/>
          </w:tcPr>
          <w:p>
            <w:pPr>
              <w:pStyle w:val="TableParagraph"/>
              <w:spacing w:before="216"/>
              <w:ind w:left="183"/>
              <w:jc w:val="center"/>
              <w:rPr>
                <w:sz w:val="22"/>
              </w:rPr>
            </w:pPr>
            <w:r>
              <w:rPr>
                <w:spacing w:val="-5"/>
                <w:sz w:val="22"/>
              </w:rPr>
              <w:t>AMC</w:t>
            </w:r>
          </w:p>
        </w:tc>
        <w:tc>
          <w:tcPr>
            <w:tcW w:w="1615" w:type="dxa"/>
          </w:tcPr>
          <w:p>
            <w:pPr>
              <w:pStyle w:val="TableParagraph"/>
              <w:spacing w:before="91"/>
              <w:rPr>
                <w:b/>
                <w:i/>
                <w:sz w:val="22"/>
              </w:rPr>
            </w:pPr>
          </w:p>
          <w:p>
            <w:pPr>
              <w:pStyle w:val="TableParagraph"/>
              <w:spacing w:before="1"/>
              <w:ind w:left="16"/>
              <w:jc w:val="center"/>
              <w:rPr>
                <w:sz w:val="22"/>
              </w:rPr>
            </w:pPr>
            <w:r>
              <w:rPr>
                <w:spacing w:val="-2"/>
                <w:sz w:val="22"/>
              </w:rPr>
              <w:t>20.286±1.669</w:t>
            </w:r>
          </w:p>
        </w:tc>
        <w:tc>
          <w:tcPr>
            <w:tcW w:w="969" w:type="dxa"/>
          </w:tcPr>
          <w:p>
            <w:pPr>
              <w:pStyle w:val="TableParagraph"/>
              <w:spacing w:before="216"/>
              <w:ind w:left="182"/>
              <w:rPr>
                <w:sz w:val="22"/>
              </w:rPr>
            </w:pPr>
            <w:r>
              <w:rPr>
                <w:spacing w:val="-2"/>
                <w:sz w:val="22"/>
              </w:rPr>
              <w:t>0.877</w:t>
            </w:r>
          </w:p>
        </w:tc>
        <w:tc>
          <w:tcPr>
            <w:tcW w:w="877" w:type="dxa"/>
          </w:tcPr>
          <w:p>
            <w:pPr>
              <w:pStyle w:val="TableParagraph"/>
              <w:spacing w:before="91"/>
              <w:rPr>
                <w:b/>
                <w:i/>
                <w:sz w:val="22"/>
              </w:rPr>
            </w:pPr>
          </w:p>
          <w:p>
            <w:pPr>
              <w:pStyle w:val="TableParagraph"/>
              <w:spacing w:before="1"/>
              <w:ind w:left="276"/>
              <w:rPr>
                <w:sz w:val="22"/>
              </w:rPr>
            </w:pPr>
            <w:r>
              <w:rPr>
                <w:spacing w:val="-5"/>
                <w:sz w:val="22"/>
              </w:rPr>
              <w:t>NS</w:t>
            </w:r>
          </w:p>
        </w:tc>
      </w:tr>
      <w:tr>
        <w:trPr>
          <w:trHeight w:val="449" w:hRule="atLeast"/>
        </w:trPr>
        <w:tc>
          <w:tcPr>
            <w:tcW w:w="2292" w:type="dxa"/>
          </w:tcPr>
          <w:p>
            <w:pPr>
              <w:pStyle w:val="TableParagraph"/>
              <w:rPr>
                <w:rFonts w:ascii="Times New Roman"/>
                <w:sz w:val="22"/>
              </w:rPr>
            </w:pPr>
          </w:p>
        </w:tc>
        <w:tc>
          <w:tcPr>
            <w:tcW w:w="1029" w:type="dxa"/>
          </w:tcPr>
          <w:p>
            <w:pPr>
              <w:pStyle w:val="TableParagraph"/>
              <w:spacing w:before="71"/>
              <w:ind w:left="183" w:right="2"/>
              <w:jc w:val="center"/>
              <w:rPr>
                <w:sz w:val="22"/>
              </w:rPr>
            </w:pPr>
            <w:r>
              <w:rPr>
                <w:spacing w:val="-5"/>
                <w:sz w:val="22"/>
              </w:rPr>
              <w:t>LEV</w:t>
            </w:r>
          </w:p>
        </w:tc>
        <w:tc>
          <w:tcPr>
            <w:tcW w:w="1615" w:type="dxa"/>
          </w:tcPr>
          <w:p>
            <w:pPr>
              <w:pStyle w:val="TableParagraph"/>
              <w:spacing w:before="71"/>
              <w:ind w:left="16"/>
              <w:jc w:val="center"/>
              <w:rPr>
                <w:sz w:val="22"/>
              </w:rPr>
            </w:pPr>
            <w:r>
              <w:rPr>
                <w:spacing w:val="-2"/>
                <w:sz w:val="22"/>
              </w:rPr>
              <w:t>25.857±1.148</w:t>
            </w:r>
          </w:p>
        </w:tc>
        <w:tc>
          <w:tcPr>
            <w:tcW w:w="969" w:type="dxa"/>
          </w:tcPr>
          <w:p>
            <w:pPr>
              <w:pStyle w:val="TableParagraph"/>
              <w:spacing w:before="71"/>
              <w:ind w:left="182"/>
              <w:rPr>
                <w:sz w:val="22"/>
              </w:rPr>
            </w:pPr>
            <w:r>
              <w:rPr>
                <w:spacing w:val="-2"/>
                <w:sz w:val="22"/>
              </w:rPr>
              <w:t>0.306</w:t>
            </w:r>
          </w:p>
        </w:tc>
        <w:tc>
          <w:tcPr>
            <w:tcW w:w="877" w:type="dxa"/>
          </w:tcPr>
          <w:p>
            <w:pPr>
              <w:pStyle w:val="TableParagraph"/>
              <w:spacing w:before="71"/>
              <w:ind w:left="276"/>
              <w:rPr>
                <w:sz w:val="22"/>
              </w:rPr>
            </w:pPr>
            <w:r>
              <w:rPr>
                <w:spacing w:val="-5"/>
                <w:sz w:val="22"/>
              </w:rPr>
              <w:t>NS</w:t>
            </w:r>
          </w:p>
        </w:tc>
      </w:tr>
      <w:tr>
        <w:trPr>
          <w:trHeight w:val="521" w:hRule="atLeast"/>
        </w:trPr>
        <w:tc>
          <w:tcPr>
            <w:tcW w:w="2292" w:type="dxa"/>
            <w:tcBorders>
              <w:bottom w:val="single" w:sz="4" w:space="0" w:color="000000"/>
            </w:tcBorders>
          </w:tcPr>
          <w:p>
            <w:pPr>
              <w:pStyle w:val="TableParagraph"/>
              <w:rPr>
                <w:rFonts w:ascii="Times New Roman"/>
                <w:sz w:val="22"/>
              </w:rPr>
            </w:pPr>
          </w:p>
        </w:tc>
        <w:tc>
          <w:tcPr>
            <w:tcW w:w="1029" w:type="dxa"/>
            <w:tcBorders>
              <w:bottom w:val="single" w:sz="4" w:space="0" w:color="000000"/>
            </w:tcBorders>
          </w:tcPr>
          <w:p>
            <w:pPr>
              <w:pStyle w:val="TableParagraph"/>
              <w:spacing w:before="70"/>
              <w:ind w:left="183"/>
              <w:jc w:val="center"/>
              <w:rPr>
                <w:sz w:val="22"/>
              </w:rPr>
            </w:pPr>
            <w:r>
              <w:rPr>
                <w:spacing w:val="-5"/>
                <w:sz w:val="22"/>
              </w:rPr>
              <w:t>AZM</w:t>
            </w:r>
          </w:p>
        </w:tc>
        <w:tc>
          <w:tcPr>
            <w:tcW w:w="1615" w:type="dxa"/>
            <w:tcBorders>
              <w:bottom w:val="single" w:sz="4" w:space="0" w:color="000000"/>
            </w:tcBorders>
          </w:tcPr>
          <w:p>
            <w:pPr>
              <w:pStyle w:val="TableParagraph"/>
              <w:spacing w:before="70"/>
              <w:ind w:left="16"/>
              <w:jc w:val="center"/>
              <w:rPr>
                <w:sz w:val="22"/>
              </w:rPr>
            </w:pPr>
            <w:r>
              <w:rPr>
                <w:spacing w:val="-2"/>
                <w:sz w:val="22"/>
              </w:rPr>
              <w:t>19.643±1.243</w:t>
            </w:r>
          </w:p>
        </w:tc>
        <w:tc>
          <w:tcPr>
            <w:tcW w:w="969" w:type="dxa"/>
            <w:tcBorders>
              <w:bottom w:val="single" w:sz="4" w:space="0" w:color="000000"/>
            </w:tcBorders>
          </w:tcPr>
          <w:p>
            <w:pPr>
              <w:pStyle w:val="TableParagraph"/>
              <w:spacing w:before="70"/>
              <w:ind w:left="182"/>
              <w:rPr>
                <w:sz w:val="22"/>
              </w:rPr>
            </w:pPr>
            <w:r>
              <w:rPr>
                <w:spacing w:val="-2"/>
                <w:sz w:val="22"/>
              </w:rPr>
              <w:t>0.607</w:t>
            </w:r>
          </w:p>
        </w:tc>
        <w:tc>
          <w:tcPr>
            <w:tcW w:w="877" w:type="dxa"/>
            <w:tcBorders>
              <w:bottom w:val="single" w:sz="4" w:space="0" w:color="000000"/>
            </w:tcBorders>
          </w:tcPr>
          <w:p>
            <w:pPr>
              <w:pStyle w:val="TableParagraph"/>
              <w:spacing w:before="70"/>
              <w:ind w:left="276"/>
              <w:rPr>
                <w:sz w:val="22"/>
              </w:rPr>
            </w:pPr>
            <w:r>
              <w:rPr>
                <w:spacing w:val="-5"/>
                <w:sz w:val="22"/>
              </w:rPr>
              <w:t>NS</w:t>
            </w:r>
          </w:p>
        </w:tc>
      </w:tr>
      <w:tr>
        <w:trPr>
          <w:trHeight w:val="377" w:hRule="atLeast"/>
        </w:trPr>
        <w:tc>
          <w:tcPr>
            <w:tcW w:w="2292" w:type="dxa"/>
            <w:tcBorders>
              <w:top w:val="single" w:sz="4" w:space="0" w:color="000000"/>
            </w:tcBorders>
          </w:tcPr>
          <w:p>
            <w:pPr>
              <w:pStyle w:val="TableParagraph"/>
              <w:rPr>
                <w:rFonts w:ascii="Times New Roman"/>
                <w:sz w:val="22"/>
              </w:rPr>
            </w:pPr>
          </w:p>
        </w:tc>
        <w:tc>
          <w:tcPr>
            <w:tcW w:w="1029" w:type="dxa"/>
            <w:tcBorders>
              <w:top w:val="single" w:sz="4" w:space="0" w:color="000000"/>
            </w:tcBorders>
          </w:tcPr>
          <w:p>
            <w:pPr>
              <w:pStyle w:val="TableParagraph"/>
              <w:spacing w:line="268" w:lineRule="exact"/>
              <w:ind w:left="183" w:right="2"/>
              <w:jc w:val="center"/>
              <w:rPr>
                <w:sz w:val="22"/>
              </w:rPr>
            </w:pPr>
            <w:r>
              <w:rPr>
                <w:spacing w:val="-5"/>
                <w:sz w:val="22"/>
              </w:rPr>
              <w:t>CRO</w:t>
            </w:r>
          </w:p>
        </w:tc>
        <w:tc>
          <w:tcPr>
            <w:tcW w:w="1615" w:type="dxa"/>
            <w:tcBorders>
              <w:top w:val="single" w:sz="4" w:space="0" w:color="000000"/>
            </w:tcBorders>
          </w:tcPr>
          <w:p>
            <w:pPr>
              <w:pStyle w:val="TableParagraph"/>
              <w:spacing w:line="268" w:lineRule="exact"/>
              <w:ind w:left="16"/>
              <w:jc w:val="center"/>
              <w:rPr>
                <w:sz w:val="22"/>
              </w:rPr>
            </w:pPr>
            <w:r>
              <w:rPr>
                <w:spacing w:val="-2"/>
                <w:sz w:val="22"/>
              </w:rPr>
              <w:t>20.000±1.129</w:t>
            </w:r>
          </w:p>
        </w:tc>
        <w:tc>
          <w:tcPr>
            <w:tcW w:w="969" w:type="dxa"/>
            <w:tcBorders>
              <w:top w:val="single" w:sz="4" w:space="0" w:color="000000"/>
            </w:tcBorders>
          </w:tcPr>
          <w:p>
            <w:pPr>
              <w:pStyle w:val="TableParagraph"/>
              <w:spacing w:line="268" w:lineRule="exact"/>
              <w:ind w:left="182"/>
              <w:rPr>
                <w:sz w:val="22"/>
              </w:rPr>
            </w:pPr>
            <w:r>
              <w:rPr>
                <w:spacing w:val="-2"/>
                <w:sz w:val="22"/>
              </w:rPr>
              <w:t>0.051</w:t>
            </w:r>
          </w:p>
        </w:tc>
        <w:tc>
          <w:tcPr>
            <w:tcW w:w="877" w:type="dxa"/>
            <w:tcBorders>
              <w:top w:val="single" w:sz="4" w:space="0" w:color="000000"/>
            </w:tcBorders>
          </w:tcPr>
          <w:p>
            <w:pPr>
              <w:pStyle w:val="TableParagraph"/>
              <w:spacing w:line="268" w:lineRule="exact"/>
              <w:ind w:left="295"/>
              <w:rPr>
                <w:sz w:val="22"/>
              </w:rPr>
            </w:pPr>
            <w:r>
              <w:rPr>
                <w:spacing w:val="-5"/>
                <w:sz w:val="22"/>
              </w:rPr>
              <w:t>SF</w:t>
            </w:r>
          </w:p>
        </w:tc>
      </w:tr>
      <w:tr>
        <w:trPr>
          <w:trHeight w:val="450" w:hRule="atLeast"/>
        </w:trPr>
        <w:tc>
          <w:tcPr>
            <w:tcW w:w="2292" w:type="dxa"/>
          </w:tcPr>
          <w:p>
            <w:pPr>
              <w:pStyle w:val="TableParagraph"/>
              <w:rPr>
                <w:rFonts w:ascii="Times New Roman"/>
                <w:sz w:val="22"/>
              </w:rPr>
            </w:pPr>
          </w:p>
        </w:tc>
        <w:tc>
          <w:tcPr>
            <w:tcW w:w="1029" w:type="dxa"/>
          </w:tcPr>
          <w:p>
            <w:pPr>
              <w:pStyle w:val="TableParagraph"/>
              <w:spacing w:before="70"/>
              <w:ind w:left="183" w:right="1"/>
              <w:jc w:val="center"/>
              <w:rPr>
                <w:sz w:val="22"/>
              </w:rPr>
            </w:pPr>
            <w:r>
              <w:rPr>
                <w:spacing w:val="-5"/>
                <w:sz w:val="22"/>
              </w:rPr>
              <w:t>CN</w:t>
            </w:r>
          </w:p>
        </w:tc>
        <w:tc>
          <w:tcPr>
            <w:tcW w:w="1615" w:type="dxa"/>
          </w:tcPr>
          <w:p>
            <w:pPr>
              <w:pStyle w:val="TableParagraph"/>
              <w:spacing w:before="70"/>
              <w:ind w:left="16"/>
              <w:jc w:val="center"/>
              <w:rPr>
                <w:sz w:val="22"/>
              </w:rPr>
            </w:pPr>
            <w:r>
              <w:rPr>
                <w:spacing w:val="-2"/>
                <w:sz w:val="22"/>
              </w:rPr>
              <w:t>21.571±1.073</w:t>
            </w:r>
          </w:p>
        </w:tc>
        <w:tc>
          <w:tcPr>
            <w:tcW w:w="969" w:type="dxa"/>
          </w:tcPr>
          <w:p>
            <w:pPr>
              <w:pStyle w:val="TableParagraph"/>
              <w:spacing w:before="70"/>
              <w:ind w:left="182"/>
              <w:rPr>
                <w:sz w:val="22"/>
              </w:rPr>
            </w:pPr>
            <w:r>
              <w:rPr>
                <w:spacing w:val="-2"/>
                <w:sz w:val="22"/>
              </w:rPr>
              <w:t>0.536</w:t>
            </w:r>
          </w:p>
        </w:tc>
        <w:tc>
          <w:tcPr>
            <w:tcW w:w="877" w:type="dxa"/>
          </w:tcPr>
          <w:p>
            <w:pPr>
              <w:pStyle w:val="TableParagraph"/>
              <w:spacing w:before="70"/>
              <w:ind w:left="276"/>
              <w:rPr>
                <w:sz w:val="22"/>
              </w:rPr>
            </w:pPr>
            <w:r>
              <w:rPr>
                <w:spacing w:val="-5"/>
                <w:sz w:val="22"/>
              </w:rPr>
              <w:t>NS</w:t>
            </w:r>
          </w:p>
        </w:tc>
      </w:tr>
      <w:tr>
        <w:trPr>
          <w:trHeight w:val="739" w:hRule="atLeast"/>
        </w:trPr>
        <w:tc>
          <w:tcPr>
            <w:tcW w:w="2292" w:type="dxa"/>
          </w:tcPr>
          <w:p>
            <w:pPr>
              <w:pStyle w:val="TableParagraph"/>
              <w:spacing w:before="71"/>
              <w:ind w:left="155"/>
              <w:jc w:val="center"/>
              <w:rPr>
                <w:sz w:val="22"/>
              </w:rPr>
            </w:pPr>
            <w:r>
              <w:rPr>
                <w:sz w:val="22"/>
              </w:rPr>
              <w:t>H/L;</w:t>
            </w:r>
            <w:r>
              <w:rPr>
                <w:spacing w:val="-5"/>
                <w:sz w:val="22"/>
              </w:rPr>
              <w:t> </w:t>
            </w:r>
            <w:r>
              <w:rPr>
                <w:spacing w:val="-2"/>
                <w:sz w:val="22"/>
              </w:rPr>
              <w:t>50:50</w:t>
            </w:r>
          </w:p>
          <w:p>
            <w:pPr>
              <w:pStyle w:val="TableParagraph"/>
              <w:spacing w:before="20"/>
              <w:ind w:left="155" w:right="3"/>
              <w:jc w:val="center"/>
              <w:rPr>
                <w:sz w:val="22"/>
              </w:rPr>
            </w:pPr>
            <w:r>
              <w:rPr>
                <w:spacing w:val="-2"/>
                <w:sz w:val="22"/>
              </w:rPr>
              <w:t>(24.500±0.489)</w:t>
            </w:r>
          </w:p>
        </w:tc>
        <w:tc>
          <w:tcPr>
            <w:tcW w:w="1029" w:type="dxa"/>
          </w:tcPr>
          <w:p>
            <w:pPr>
              <w:pStyle w:val="TableParagraph"/>
              <w:spacing w:before="215"/>
              <w:ind w:left="183"/>
              <w:jc w:val="center"/>
              <w:rPr>
                <w:sz w:val="22"/>
              </w:rPr>
            </w:pPr>
            <w:r>
              <w:rPr>
                <w:spacing w:val="-5"/>
                <w:sz w:val="22"/>
              </w:rPr>
              <w:t>AMC</w:t>
            </w:r>
          </w:p>
        </w:tc>
        <w:tc>
          <w:tcPr>
            <w:tcW w:w="1615" w:type="dxa"/>
          </w:tcPr>
          <w:p>
            <w:pPr>
              <w:pStyle w:val="TableParagraph"/>
              <w:spacing w:before="91"/>
              <w:rPr>
                <w:b/>
                <w:i/>
                <w:sz w:val="22"/>
              </w:rPr>
            </w:pPr>
          </w:p>
          <w:p>
            <w:pPr>
              <w:pStyle w:val="TableParagraph"/>
              <w:ind w:left="16"/>
              <w:jc w:val="center"/>
              <w:rPr>
                <w:sz w:val="22"/>
              </w:rPr>
            </w:pPr>
            <w:r>
              <w:rPr>
                <w:spacing w:val="-2"/>
                <w:sz w:val="22"/>
              </w:rPr>
              <w:t>20.286±1.669</w:t>
            </w:r>
          </w:p>
        </w:tc>
        <w:tc>
          <w:tcPr>
            <w:tcW w:w="969" w:type="dxa"/>
          </w:tcPr>
          <w:p>
            <w:pPr>
              <w:pStyle w:val="TableParagraph"/>
              <w:spacing w:before="215"/>
              <w:ind w:left="182"/>
              <w:rPr>
                <w:sz w:val="22"/>
              </w:rPr>
            </w:pPr>
            <w:r>
              <w:rPr>
                <w:spacing w:val="-2"/>
                <w:sz w:val="22"/>
              </w:rPr>
              <w:t>0.088</w:t>
            </w:r>
          </w:p>
        </w:tc>
        <w:tc>
          <w:tcPr>
            <w:tcW w:w="877" w:type="dxa"/>
          </w:tcPr>
          <w:p>
            <w:pPr>
              <w:pStyle w:val="TableParagraph"/>
              <w:spacing w:before="91"/>
              <w:rPr>
                <w:b/>
                <w:i/>
                <w:sz w:val="22"/>
              </w:rPr>
            </w:pPr>
          </w:p>
          <w:p>
            <w:pPr>
              <w:pStyle w:val="TableParagraph"/>
              <w:ind w:left="276"/>
              <w:rPr>
                <w:sz w:val="22"/>
              </w:rPr>
            </w:pPr>
            <w:r>
              <w:rPr>
                <w:spacing w:val="-5"/>
                <w:sz w:val="22"/>
              </w:rPr>
              <w:t>NS</w:t>
            </w:r>
          </w:p>
        </w:tc>
      </w:tr>
      <w:tr>
        <w:trPr>
          <w:trHeight w:val="450" w:hRule="atLeast"/>
        </w:trPr>
        <w:tc>
          <w:tcPr>
            <w:tcW w:w="2292" w:type="dxa"/>
          </w:tcPr>
          <w:p>
            <w:pPr>
              <w:pStyle w:val="TableParagraph"/>
              <w:rPr>
                <w:rFonts w:ascii="Times New Roman"/>
                <w:sz w:val="22"/>
              </w:rPr>
            </w:pPr>
          </w:p>
        </w:tc>
        <w:tc>
          <w:tcPr>
            <w:tcW w:w="1029" w:type="dxa"/>
          </w:tcPr>
          <w:p>
            <w:pPr>
              <w:pStyle w:val="TableParagraph"/>
              <w:spacing w:before="71"/>
              <w:ind w:left="183" w:right="2"/>
              <w:jc w:val="center"/>
              <w:rPr>
                <w:sz w:val="22"/>
              </w:rPr>
            </w:pPr>
            <w:r>
              <w:rPr>
                <w:spacing w:val="-5"/>
                <w:sz w:val="22"/>
              </w:rPr>
              <w:t>LEV</w:t>
            </w:r>
          </w:p>
        </w:tc>
        <w:tc>
          <w:tcPr>
            <w:tcW w:w="1615" w:type="dxa"/>
          </w:tcPr>
          <w:p>
            <w:pPr>
              <w:pStyle w:val="TableParagraph"/>
              <w:spacing w:before="71"/>
              <w:ind w:left="16"/>
              <w:jc w:val="center"/>
              <w:rPr>
                <w:sz w:val="22"/>
              </w:rPr>
            </w:pPr>
            <w:r>
              <w:rPr>
                <w:spacing w:val="-2"/>
                <w:sz w:val="22"/>
              </w:rPr>
              <w:t>25.857±1.148</w:t>
            </w:r>
          </w:p>
        </w:tc>
        <w:tc>
          <w:tcPr>
            <w:tcW w:w="969" w:type="dxa"/>
          </w:tcPr>
          <w:p>
            <w:pPr>
              <w:pStyle w:val="TableParagraph"/>
              <w:spacing w:before="71"/>
              <w:ind w:left="182"/>
              <w:rPr>
                <w:sz w:val="22"/>
              </w:rPr>
            </w:pPr>
            <w:r>
              <w:rPr>
                <w:spacing w:val="-2"/>
                <w:sz w:val="22"/>
              </w:rPr>
              <w:t>0.993</w:t>
            </w:r>
          </w:p>
        </w:tc>
        <w:tc>
          <w:tcPr>
            <w:tcW w:w="877" w:type="dxa"/>
          </w:tcPr>
          <w:p>
            <w:pPr>
              <w:pStyle w:val="TableParagraph"/>
              <w:spacing w:before="71"/>
              <w:ind w:left="276"/>
              <w:rPr>
                <w:sz w:val="22"/>
              </w:rPr>
            </w:pPr>
            <w:r>
              <w:rPr>
                <w:spacing w:val="-5"/>
                <w:sz w:val="22"/>
              </w:rPr>
              <w:t>NS</w:t>
            </w:r>
          </w:p>
        </w:tc>
      </w:tr>
      <w:tr>
        <w:trPr>
          <w:trHeight w:val="524" w:hRule="atLeast"/>
        </w:trPr>
        <w:tc>
          <w:tcPr>
            <w:tcW w:w="2292" w:type="dxa"/>
            <w:tcBorders>
              <w:bottom w:val="single" w:sz="4" w:space="0" w:color="000000"/>
            </w:tcBorders>
          </w:tcPr>
          <w:p>
            <w:pPr>
              <w:pStyle w:val="TableParagraph"/>
              <w:rPr>
                <w:rFonts w:ascii="Times New Roman"/>
                <w:sz w:val="22"/>
              </w:rPr>
            </w:pPr>
          </w:p>
        </w:tc>
        <w:tc>
          <w:tcPr>
            <w:tcW w:w="1029" w:type="dxa"/>
            <w:tcBorders>
              <w:bottom w:val="single" w:sz="4" w:space="0" w:color="000000"/>
            </w:tcBorders>
          </w:tcPr>
          <w:p>
            <w:pPr>
              <w:pStyle w:val="TableParagraph"/>
              <w:spacing w:before="70"/>
              <w:ind w:left="183"/>
              <w:jc w:val="center"/>
              <w:rPr>
                <w:sz w:val="22"/>
              </w:rPr>
            </w:pPr>
            <w:r>
              <w:rPr>
                <w:spacing w:val="-5"/>
                <w:sz w:val="22"/>
              </w:rPr>
              <w:t>AZM</w:t>
            </w:r>
          </w:p>
        </w:tc>
        <w:tc>
          <w:tcPr>
            <w:tcW w:w="1615" w:type="dxa"/>
            <w:tcBorders>
              <w:bottom w:val="single" w:sz="4" w:space="0" w:color="000000"/>
            </w:tcBorders>
          </w:tcPr>
          <w:p>
            <w:pPr>
              <w:pStyle w:val="TableParagraph"/>
              <w:spacing w:before="70"/>
              <w:ind w:left="16"/>
              <w:jc w:val="center"/>
              <w:rPr>
                <w:sz w:val="22"/>
              </w:rPr>
            </w:pPr>
            <w:r>
              <w:rPr>
                <w:spacing w:val="-2"/>
                <w:sz w:val="22"/>
              </w:rPr>
              <w:t>19.643±1.243</w:t>
            </w:r>
          </w:p>
        </w:tc>
        <w:tc>
          <w:tcPr>
            <w:tcW w:w="969" w:type="dxa"/>
            <w:tcBorders>
              <w:bottom w:val="single" w:sz="4" w:space="0" w:color="000000"/>
            </w:tcBorders>
          </w:tcPr>
          <w:p>
            <w:pPr>
              <w:pStyle w:val="TableParagraph"/>
              <w:spacing w:before="70"/>
              <w:ind w:left="182"/>
              <w:rPr>
                <w:sz w:val="22"/>
              </w:rPr>
            </w:pPr>
            <w:r>
              <w:rPr>
                <w:spacing w:val="-2"/>
                <w:sz w:val="22"/>
              </w:rPr>
              <w:t>0.024</w:t>
            </w:r>
          </w:p>
        </w:tc>
        <w:tc>
          <w:tcPr>
            <w:tcW w:w="877" w:type="dxa"/>
            <w:tcBorders>
              <w:bottom w:val="single" w:sz="4" w:space="0" w:color="000000"/>
            </w:tcBorders>
          </w:tcPr>
          <w:p>
            <w:pPr>
              <w:pStyle w:val="TableParagraph"/>
              <w:spacing w:before="70"/>
              <w:ind w:left="295"/>
              <w:rPr>
                <w:sz w:val="22"/>
              </w:rPr>
            </w:pPr>
            <w:r>
              <w:rPr>
                <w:spacing w:val="-5"/>
                <w:sz w:val="22"/>
              </w:rPr>
              <w:t>SF</w:t>
            </w:r>
          </w:p>
        </w:tc>
      </w:tr>
    </w:tbl>
    <w:p>
      <w:pPr>
        <w:pStyle w:val="BodyText"/>
        <w:spacing w:line="400" w:lineRule="auto" w:before="26"/>
        <w:ind w:left="1820" w:right="3061"/>
      </w:pPr>
      <w:r>
        <w:rPr/>
        <w:t>Key:</w:t>
      </w:r>
      <w:r>
        <w:rPr>
          <w:spacing w:val="-4"/>
        </w:rPr>
        <w:t> </w:t>
      </w:r>
      <w:r>
        <w:rPr/>
        <w:t>LOS=Level</w:t>
      </w:r>
      <w:r>
        <w:rPr>
          <w:spacing w:val="-7"/>
        </w:rPr>
        <w:t> </w:t>
      </w:r>
      <w:r>
        <w:rPr/>
        <w:t>of</w:t>
      </w:r>
      <w:r>
        <w:rPr>
          <w:spacing w:val="-6"/>
        </w:rPr>
        <w:t> </w:t>
      </w:r>
      <w:r>
        <w:rPr/>
        <w:t>Significance;</w:t>
      </w:r>
      <w:r>
        <w:rPr>
          <w:spacing w:val="-6"/>
        </w:rPr>
        <w:t> </w:t>
      </w:r>
      <w:r>
        <w:rPr/>
        <w:t>NS=Not</w:t>
      </w:r>
      <w:r>
        <w:rPr>
          <w:spacing w:val="-6"/>
        </w:rPr>
        <w:t> </w:t>
      </w:r>
      <w:r>
        <w:rPr/>
        <w:t>significantly</w:t>
      </w:r>
      <w:r>
        <w:rPr>
          <w:spacing w:val="-6"/>
        </w:rPr>
        <w:t> </w:t>
      </w:r>
      <w:r>
        <w:rPr/>
        <w:t>different; SF=Significantly different; L=Lemon juice, H=Honey.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
      </w:pPr>
    </w:p>
    <w:p>
      <w:pPr>
        <w:pStyle w:val="Heading3"/>
        <w:tabs>
          <w:tab w:pos="1820" w:val="left" w:leader="none"/>
        </w:tabs>
        <w:spacing w:line="259" w:lineRule="auto" w:before="1"/>
        <w:ind w:left="1820" w:right="1385" w:hanging="1440"/>
        <w:rPr>
          <w:i/>
        </w:rPr>
      </w:pPr>
      <w:r>
        <w:rPr/>
        <w:t>Table 4.24:</w:t>
        <w:tab/>
        <w:t>Comparing</w:t>
      </w:r>
      <w:r>
        <w:rPr>
          <w:spacing w:val="-4"/>
        </w:rPr>
        <w:t> </w:t>
      </w:r>
      <w:r>
        <w:rPr/>
        <w:t>the</w:t>
      </w:r>
      <w:r>
        <w:rPr>
          <w:spacing w:val="-3"/>
        </w:rPr>
        <w:t> </w:t>
      </w:r>
      <w:r>
        <w:rPr/>
        <w:t>Mean</w:t>
      </w:r>
      <w:r>
        <w:rPr>
          <w:spacing w:val="-3"/>
        </w:rPr>
        <w:t> </w:t>
      </w:r>
      <w:r>
        <w:rPr/>
        <w:t>zone</w:t>
      </w:r>
      <w:r>
        <w:rPr>
          <w:spacing w:val="-3"/>
        </w:rPr>
        <w:t> </w:t>
      </w:r>
      <w:r>
        <w:rPr/>
        <w:t>of</w:t>
      </w:r>
      <w:r>
        <w:rPr>
          <w:spacing w:val="-2"/>
        </w:rPr>
        <w:t> </w:t>
      </w:r>
      <w:r>
        <w:rPr/>
        <w:t>inhibition</w:t>
      </w:r>
      <w:r>
        <w:rPr>
          <w:spacing w:val="-3"/>
        </w:rPr>
        <w:t> </w:t>
      </w:r>
      <w:r>
        <w:rPr/>
        <w:t>of</w:t>
      </w:r>
      <w:r>
        <w:rPr>
          <w:spacing w:val="-2"/>
        </w:rPr>
        <w:t> </w:t>
      </w:r>
      <w:r>
        <w:rPr/>
        <w:t>Honey/Lemon</w:t>
      </w:r>
      <w:r>
        <w:rPr>
          <w:spacing w:val="-2"/>
        </w:rPr>
        <w:t> </w:t>
      </w:r>
      <w:r>
        <w:rPr/>
        <w:t>juice</w:t>
      </w:r>
      <w:r>
        <w:rPr>
          <w:spacing w:val="-2"/>
        </w:rPr>
        <w:t> </w:t>
      </w:r>
      <w:r>
        <w:rPr/>
        <w:t>mixture</w:t>
      </w:r>
      <w:r>
        <w:rPr>
          <w:spacing w:val="-3"/>
        </w:rPr>
        <w:t> </w:t>
      </w:r>
      <w:r>
        <w:rPr/>
        <w:t>and</w:t>
      </w:r>
      <w:r>
        <w:rPr>
          <w:spacing w:val="-3"/>
        </w:rPr>
        <w:t> </w:t>
      </w:r>
      <w:r>
        <w:rPr/>
        <w:t>the Standard antibiotic formulations against </w:t>
      </w:r>
      <w:r>
        <w:rPr>
          <w:i/>
        </w:rPr>
        <w:t>Haemophilus influenzae</w:t>
      </w:r>
    </w:p>
    <w:p>
      <w:pPr>
        <w:pStyle w:val="BodyText"/>
        <w:rPr>
          <w:b/>
          <w:i/>
          <w:sz w:val="20"/>
        </w:rPr>
      </w:pPr>
    </w:p>
    <w:p>
      <w:pPr>
        <w:pStyle w:val="BodyText"/>
        <w:spacing w:before="124" w:after="1"/>
        <w:rPr>
          <w:b/>
          <w:i/>
          <w:sz w:val="20"/>
        </w:rPr>
      </w:pPr>
    </w:p>
    <w:tbl>
      <w:tblPr>
        <w:tblW w:w="0" w:type="auto"/>
        <w:jc w:val="left"/>
        <w:tblInd w:w="1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7"/>
        <w:gridCol w:w="1282"/>
        <w:gridCol w:w="1442"/>
        <w:gridCol w:w="1073"/>
        <w:gridCol w:w="858"/>
      </w:tblGrid>
      <w:tr>
        <w:trPr>
          <w:trHeight w:val="909" w:hRule="atLeast"/>
        </w:trPr>
        <w:tc>
          <w:tcPr>
            <w:tcW w:w="2107" w:type="dxa"/>
            <w:tcBorders>
              <w:top w:val="single" w:sz="4" w:space="0" w:color="000000"/>
              <w:bottom w:val="single" w:sz="4" w:space="0" w:color="000000"/>
            </w:tcBorders>
          </w:tcPr>
          <w:p>
            <w:pPr>
              <w:pStyle w:val="TableParagraph"/>
              <w:spacing w:before="227"/>
              <w:ind w:left="806"/>
              <w:rPr>
                <w:sz w:val="22"/>
              </w:rPr>
            </w:pPr>
            <w:r>
              <w:rPr>
                <w:sz w:val="22"/>
              </w:rPr>
              <w:t>(I)</w:t>
            </w:r>
            <w:r>
              <w:rPr>
                <w:spacing w:val="-2"/>
                <w:sz w:val="22"/>
              </w:rPr>
              <w:t> Group</w:t>
            </w:r>
          </w:p>
        </w:tc>
        <w:tc>
          <w:tcPr>
            <w:tcW w:w="1282" w:type="dxa"/>
            <w:tcBorders>
              <w:top w:val="single" w:sz="4" w:space="0" w:color="000000"/>
              <w:bottom w:val="single" w:sz="4" w:space="0" w:color="000000"/>
            </w:tcBorders>
          </w:tcPr>
          <w:p>
            <w:pPr>
              <w:pStyle w:val="TableParagraph"/>
              <w:spacing w:before="80"/>
              <w:ind w:left="272" w:right="5"/>
              <w:jc w:val="center"/>
              <w:rPr>
                <w:sz w:val="22"/>
              </w:rPr>
            </w:pPr>
            <w:r>
              <w:rPr>
                <w:spacing w:val="-5"/>
                <w:sz w:val="22"/>
              </w:rPr>
              <w:t>(J)</w:t>
            </w:r>
          </w:p>
          <w:p>
            <w:pPr>
              <w:pStyle w:val="TableParagraph"/>
              <w:spacing w:before="22"/>
              <w:ind w:left="272"/>
              <w:jc w:val="center"/>
              <w:rPr>
                <w:sz w:val="22"/>
              </w:rPr>
            </w:pPr>
            <w:r>
              <w:rPr>
                <w:spacing w:val="-2"/>
                <w:sz w:val="22"/>
              </w:rPr>
              <w:t>Group</w:t>
            </w:r>
          </w:p>
        </w:tc>
        <w:tc>
          <w:tcPr>
            <w:tcW w:w="1442" w:type="dxa"/>
            <w:tcBorders>
              <w:top w:val="single" w:sz="4" w:space="0" w:color="000000"/>
              <w:bottom w:val="single" w:sz="4" w:space="0" w:color="000000"/>
            </w:tcBorders>
          </w:tcPr>
          <w:p>
            <w:pPr>
              <w:pStyle w:val="TableParagraph"/>
              <w:spacing w:before="227"/>
              <w:ind w:left="221"/>
              <w:rPr>
                <w:sz w:val="22"/>
              </w:rPr>
            </w:pPr>
            <w:r>
              <w:rPr>
                <w:spacing w:val="-2"/>
                <w:sz w:val="22"/>
              </w:rPr>
              <w:t>Mean±SEM</w:t>
            </w:r>
          </w:p>
        </w:tc>
        <w:tc>
          <w:tcPr>
            <w:tcW w:w="1073" w:type="dxa"/>
            <w:tcBorders>
              <w:top w:val="single" w:sz="4" w:space="0" w:color="000000"/>
              <w:bottom w:val="single" w:sz="4" w:space="0" w:color="000000"/>
            </w:tcBorders>
          </w:tcPr>
          <w:p>
            <w:pPr>
              <w:pStyle w:val="TableParagraph"/>
              <w:spacing w:before="227"/>
              <w:ind w:left="193"/>
              <w:rPr>
                <w:sz w:val="22"/>
              </w:rPr>
            </w:pPr>
            <w:r>
              <w:rPr>
                <w:sz w:val="22"/>
              </w:rPr>
              <w:t>P-</w:t>
            </w:r>
            <w:r>
              <w:rPr>
                <w:spacing w:val="-2"/>
                <w:sz w:val="22"/>
              </w:rPr>
              <w:t>value</w:t>
            </w:r>
          </w:p>
        </w:tc>
        <w:tc>
          <w:tcPr>
            <w:tcW w:w="858" w:type="dxa"/>
            <w:tcBorders>
              <w:top w:val="single" w:sz="4" w:space="0" w:color="000000"/>
              <w:bottom w:val="single" w:sz="4" w:space="0" w:color="000000"/>
            </w:tcBorders>
          </w:tcPr>
          <w:p>
            <w:pPr>
              <w:pStyle w:val="TableParagraph"/>
              <w:spacing w:before="227"/>
              <w:ind w:left="215"/>
              <w:rPr>
                <w:sz w:val="22"/>
              </w:rPr>
            </w:pPr>
            <w:r>
              <w:rPr>
                <w:spacing w:val="-5"/>
                <w:sz w:val="22"/>
              </w:rPr>
              <w:t>LOS</w:t>
            </w:r>
          </w:p>
        </w:tc>
      </w:tr>
    </w:tbl>
    <w:p>
      <w:pPr>
        <w:spacing w:after="0"/>
        <w:rPr>
          <w:sz w:val="22"/>
        </w:rPr>
        <w:sectPr>
          <w:type w:val="continuous"/>
          <w:pgSz w:w="11910" w:h="16840"/>
          <w:pgMar w:header="0" w:footer="1055" w:top="1440" w:bottom="1404" w:left="1060" w:right="460"/>
        </w:sectPr>
      </w:pPr>
    </w:p>
    <w:tbl>
      <w:tblPr>
        <w:tblW w:w="0" w:type="auto"/>
        <w:jc w:val="left"/>
        <w:tblInd w:w="1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2"/>
        <w:gridCol w:w="1029"/>
        <w:gridCol w:w="1615"/>
        <w:gridCol w:w="969"/>
        <w:gridCol w:w="877"/>
      </w:tblGrid>
      <w:tr>
        <w:trPr>
          <w:trHeight w:val="376" w:hRule="atLeast"/>
        </w:trPr>
        <w:tc>
          <w:tcPr>
            <w:tcW w:w="2292" w:type="dxa"/>
            <w:tcBorders>
              <w:top w:val="single" w:sz="4" w:space="0" w:color="000000"/>
            </w:tcBorders>
          </w:tcPr>
          <w:p>
            <w:pPr>
              <w:pStyle w:val="TableParagraph"/>
              <w:rPr>
                <w:rFonts w:ascii="Times New Roman"/>
                <w:sz w:val="22"/>
              </w:rPr>
            </w:pPr>
          </w:p>
        </w:tc>
        <w:tc>
          <w:tcPr>
            <w:tcW w:w="1029" w:type="dxa"/>
            <w:tcBorders>
              <w:top w:val="single" w:sz="4" w:space="0" w:color="000000"/>
            </w:tcBorders>
          </w:tcPr>
          <w:p>
            <w:pPr>
              <w:pStyle w:val="TableParagraph"/>
              <w:spacing w:line="265" w:lineRule="exact"/>
              <w:ind w:left="413"/>
              <w:rPr>
                <w:sz w:val="22"/>
              </w:rPr>
            </w:pPr>
            <w:r>
              <w:rPr>
                <w:spacing w:val="-5"/>
                <w:sz w:val="22"/>
              </w:rPr>
              <w:t>CRO</w:t>
            </w:r>
          </w:p>
        </w:tc>
        <w:tc>
          <w:tcPr>
            <w:tcW w:w="1615" w:type="dxa"/>
            <w:tcBorders>
              <w:top w:val="single" w:sz="4" w:space="0" w:color="000000"/>
            </w:tcBorders>
          </w:tcPr>
          <w:p>
            <w:pPr>
              <w:pStyle w:val="TableParagraph"/>
              <w:spacing w:line="265" w:lineRule="exact"/>
              <w:ind w:left="16"/>
              <w:jc w:val="center"/>
              <w:rPr>
                <w:sz w:val="22"/>
              </w:rPr>
            </w:pPr>
            <w:r>
              <w:rPr>
                <w:spacing w:val="-2"/>
                <w:sz w:val="22"/>
              </w:rPr>
              <w:t>25.500±2.500</w:t>
            </w:r>
          </w:p>
        </w:tc>
        <w:tc>
          <w:tcPr>
            <w:tcW w:w="969" w:type="dxa"/>
            <w:tcBorders>
              <w:top w:val="single" w:sz="4" w:space="0" w:color="000000"/>
            </w:tcBorders>
          </w:tcPr>
          <w:p>
            <w:pPr>
              <w:pStyle w:val="TableParagraph"/>
              <w:spacing w:line="265" w:lineRule="exact"/>
              <w:ind w:right="99"/>
              <w:jc w:val="center"/>
              <w:rPr>
                <w:sz w:val="22"/>
              </w:rPr>
            </w:pPr>
            <w:r>
              <w:rPr>
                <w:spacing w:val="-2"/>
                <w:sz w:val="22"/>
              </w:rPr>
              <w:t>0.981</w:t>
            </w:r>
          </w:p>
        </w:tc>
        <w:tc>
          <w:tcPr>
            <w:tcW w:w="877" w:type="dxa"/>
            <w:tcBorders>
              <w:top w:val="single" w:sz="4" w:space="0" w:color="000000"/>
            </w:tcBorders>
          </w:tcPr>
          <w:p>
            <w:pPr>
              <w:pStyle w:val="TableParagraph"/>
              <w:spacing w:line="265" w:lineRule="exact"/>
              <w:ind w:left="20" w:right="100"/>
              <w:jc w:val="center"/>
              <w:rPr>
                <w:sz w:val="22"/>
              </w:rPr>
            </w:pPr>
            <w:r>
              <w:rPr>
                <w:spacing w:val="-5"/>
                <w:sz w:val="22"/>
              </w:rPr>
              <w:t>NS</w:t>
            </w:r>
          </w:p>
        </w:tc>
      </w:tr>
      <w:tr>
        <w:trPr>
          <w:trHeight w:val="450" w:hRule="atLeast"/>
        </w:trPr>
        <w:tc>
          <w:tcPr>
            <w:tcW w:w="2292" w:type="dxa"/>
          </w:tcPr>
          <w:p>
            <w:pPr>
              <w:pStyle w:val="TableParagraph"/>
              <w:rPr>
                <w:rFonts w:ascii="Times New Roman"/>
                <w:sz w:val="22"/>
              </w:rPr>
            </w:pPr>
          </w:p>
        </w:tc>
        <w:tc>
          <w:tcPr>
            <w:tcW w:w="1029" w:type="dxa"/>
          </w:tcPr>
          <w:p>
            <w:pPr>
              <w:pStyle w:val="TableParagraph"/>
              <w:spacing w:before="71"/>
              <w:ind w:left="475"/>
              <w:rPr>
                <w:sz w:val="22"/>
              </w:rPr>
            </w:pPr>
            <w:r>
              <w:rPr>
                <w:spacing w:val="-5"/>
                <w:sz w:val="22"/>
              </w:rPr>
              <w:t>CN</w:t>
            </w:r>
          </w:p>
        </w:tc>
        <w:tc>
          <w:tcPr>
            <w:tcW w:w="1615" w:type="dxa"/>
          </w:tcPr>
          <w:p>
            <w:pPr>
              <w:pStyle w:val="TableParagraph"/>
              <w:spacing w:before="71"/>
              <w:ind w:left="16"/>
              <w:jc w:val="center"/>
              <w:rPr>
                <w:sz w:val="22"/>
              </w:rPr>
            </w:pPr>
            <w:r>
              <w:rPr>
                <w:spacing w:val="-2"/>
                <w:sz w:val="22"/>
              </w:rPr>
              <w:t>20.500±0.500</w:t>
            </w:r>
          </w:p>
        </w:tc>
        <w:tc>
          <w:tcPr>
            <w:tcW w:w="969" w:type="dxa"/>
          </w:tcPr>
          <w:p>
            <w:pPr>
              <w:pStyle w:val="TableParagraph"/>
              <w:spacing w:before="71"/>
              <w:ind w:right="99"/>
              <w:jc w:val="center"/>
              <w:rPr>
                <w:sz w:val="22"/>
              </w:rPr>
            </w:pPr>
            <w:r>
              <w:rPr>
                <w:spacing w:val="-2"/>
                <w:sz w:val="22"/>
              </w:rPr>
              <w:t>0.841</w:t>
            </w:r>
          </w:p>
        </w:tc>
        <w:tc>
          <w:tcPr>
            <w:tcW w:w="877" w:type="dxa"/>
          </w:tcPr>
          <w:p>
            <w:pPr>
              <w:pStyle w:val="TableParagraph"/>
              <w:spacing w:before="71"/>
              <w:ind w:left="20" w:right="100"/>
              <w:jc w:val="center"/>
              <w:rPr>
                <w:sz w:val="22"/>
              </w:rPr>
            </w:pPr>
            <w:r>
              <w:rPr>
                <w:spacing w:val="-5"/>
                <w:sz w:val="22"/>
              </w:rPr>
              <w:t>NS</w:t>
            </w:r>
          </w:p>
        </w:tc>
      </w:tr>
      <w:tr>
        <w:trPr>
          <w:trHeight w:val="739" w:hRule="atLeast"/>
        </w:trPr>
        <w:tc>
          <w:tcPr>
            <w:tcW w:w="2292" w:type="dxa"/>
          </w:tcPr>
          <w:p>
            <w:pPr>
              <w:pStyle w:val="TableParagraph"/>
              <w:spacing w:before="70"/>
              <w:ind w:left="155"/>
              <w:jc w:val="center"/>
              <w:rPr>
                <w:sz w:val="22"/>
              </w:rPr>
            </w:pPr>
            <w:r>
              <w:rPr>
                <w:sz w:val="22"/>
              </w:rPr>
              <w:t>H/L;</w:t>
            </w:r>
            <w:r>
              <w:rPr>
                <w:spacing w:val="-5"/>
                <w:sz w:val="22"/>
              </w:rPr>
              <w:t> </w:t>
            </w:r>
            <w:r>
              <w:rPr>
                <w:spacing w:val="-2"/>
                <w:sz w:val="22"/>
              </w:rPr>
              <w:t>10:50</w:t>
            </w:r>
          </w:p>
          <w:p>
            <w:pPr>
              <w:pStyle w:val="TableParagraph"/>
              <w:spacing w:before="22"/>
              <w:ind w:left="155" w:right="3"/>
              <w:jc w:val="center"/>
              <w:rPr>
                <w:sz w:val="22"/>
              </w:rPr>
            </w:pPr>
            <w:r>
              <w:rPr>
                <w:spacing w:val="-2"/>
                <w:sz w:val="22"/>
              </w:rPr>
              <w:t>(23.500±0.500)</w:t>
            </w:r>
          </w:p>
        </w:tc>
        <w:tc>
          <w:tcPr>
            <w:tcW w:w="1029" w:type="dxa"/>
          </w:tcPr>
          <w:p>
            <w:pPr>
              <w:pStyle w:val="TableParagraph"/>
              <w:spacing w:before="214"/>
              <w:ind w:left="389"/>
              <w:rPr>
                <w:sz w:val="22"/>
              </w:rPr>
            </w:pPr>
            <w:r>
              <w:rPr>
                <w:spacing w:val="-5"/>
                <w:sz w:val="22"/>
              </w:rPr>
              <w:t>AMC</w:t>
            </w:r>
          </w:p>
        </w:tc>
        <w:tc>
          <w:tcPr>
            <w:tcW w:w="1615" w:type="dxa"/>
          </w:tcPr>
          <w:p>
            <w:pPr>
              <w:pStyle w:val="TableParagraph"/>
              <w:spacing w:before="91"/>
              <w:rPr>
                <w:b/>
                <w:i/>
                <w:sz w:val="22"/>
              </w:rPr>
            </w:pPr>
          </w:p>
          <w:p>
            <w:pPr>
              <w:pStyle w:val="TableParagraph"/>
              <w:spacing w:before="1"/>
              <w:ind w:left="16"/>
              <w:jc w:val="center"/>
              <w:rPr>
                <w:sz w:val="22"/>
              </w:rPr>
            </w:pPr>
            <w:r>
              <w:rPr>
                <w:spacing w:val="-2"/>
                <w:sz w:val="22"/>
              </w:rPr>
              <w:t>18.000±0.000</w:t>
            </w:r>
          </w:p>
        </w:tc>
        <w:tc>
          <w:tcPr>
            <w:tcW w:w="969" w:type="dxa"/>
          </w:tcPr>
          <w:p>
            <w:pPr>
              <w:pStyle w:val="TableParagraph"/>
              <w:spacing w:before="214"/>
              <w:ind w:right="99"/>
              <w:jc w:val="center"/>
              <w:rPr>
                <w:sz w:val="22"/>
              </w:rPr>
            </w:pPr>
            <w:r>
              <w:rPr>
                <w:spacing w:val="-2"/>
                <w:sz w:val="22"/>
              </w:rPr>
              <w:t>0.233</w:t>
            </w:r>
          </w:p>
        </w:tc>
        <w:tc>
          <w:tcPr>
            <w:tcW w:w="877" w:type="dxa"/>
          </w:tcPr>
          <w:p>
            <w:pPr>
              <w:pStyle w:val="TableParagraph"/>
              <w:spacing w:before="91"/>
              <w:rPr>
                <w:b/>
                <w:i/>
                <w:sz w:val="22"/>
              </w:rPr>
            </w:pPr>
          </w:p>
          <w:p>
            <w:pPr>
              <w:pStyle w:val="TableParagraph"/>
              <w:spacing w:before="1"/>
              <w:ind w:left="20" w:right="100"/>
              <w:jc w:val="center"/>
              <w:rPr>
                <w:sz w:val="22"/>
              </w:rPr>
            </w:pPr>
            <w:r>
              <w:rPr>
                <w:spacing w:val="-5"/>
                <w:sz w:val="22"/>
              </w:rPr>
              <w:t>NS</w:t>
            </w:r>
          </w:p>
        </w:tc>
      </w:tr>
      <w:tr>
        <w:trPr>
          <w:trHeight w:val="450" w:hRule="atLeast"/>
        </w:trPr>
        <w:tc>
          <w:tcPr>
            <w:tcW w:w="2292" w:type="dxa"/>
          </w:tcPr>
          <w:p>
            <w:pPr>
              <w:pStyle w:val="TableParagraph"/>
              <w:rPr>
                <w:rFonts w:ascii="Times New Roman"/>
                <w:sz w:val="22"/>
              </w:rPr>
            </w:pPr>
          </w:p>
        </w:tc>
        <w:tc>
          <w:tcPr>
            <w:tcW w:w="1029" w:type="dxa"/>
          </w:tcPr>
          <w:p>
            <w:pPr>
              <w:pStyle w:val="TableParagraph"/>
              <w:spacing w:before="70"/>
              <w:ind w:left="442"/>
              <w:rPr>
                <w:sz w:val="22"/>
              </w:rPr>
            </w:pPr>
            <w:r>
              <w:rPr>
                <w:spacing w:val="-5"/>
                <w:sz w:val="22"/>
              </w:rPr>
              <w:t>LEV</w:t>
            </w:r>
          </w:p>
        </w:tc>
        <w:tc>
          <w:tcPr>
            <w:tcW w:w="1615" w:type="dxa"/>
          </w:tcPr>
          <w:p>
            <w:pPr>
              <w:pStyle w:val="TableParagraph"/>
              <w:spacing w:before="70"/>
              <w:ind w:left="16"/>
              <w:jc w:val="center"/>
              <w:rPr>
                <w:sz w:val="22"/>
              </w:rPr>
            </w:pPr>
            <w:r>
              <w:rPr>
                <w:spacing w:val="-2"/>
                <w:sz w:val="22"/>
              </w:rPr>
              <w:t>22.500±0.500</w:t>
            </w:r>
          </w:p>
        </w:tc>
        <w:tc>
          <w:tcPr>
            <w:tcW w:w="969" w:type="dxa"/>
          </w:tcPr>
          <w:p>
            <w:pPr>
              <w:pStyle w:val="TableParagraph"/>
              <w:spacing w:before="70"/>
              <w:ind w:right="99"/>
              <w:jc w:val="center"/>
              <w:rPr>
                <w:sz w:val="22"/>
              </w:rPr>
            </w:pPr>
            <w:r>
              <w:rPr>
                <w:spacing w:val="-2"/>
                <w:sz w:val="22"/>
              </w:rPr>
              <w:t>1.000</w:t>
            </w:r>
          </w:p>
        </w:tc>
        <w:tc>
          <w:tcPr>
            <w:tcW w:w="877" w:type="dxa"/>
          </w:tcPr>
          <w:p>
            <w:pPr>
              <w:pStyle w:val="TableParagraph"/>
              <w:spacing w:before="70"/>
              <w:ind w:left="20" w:right="100"/>
              <w:jc w:val="center"/>
              <w:rPr>
                <w:sz w:val="22"/>
              </w:rPr>
            </w:pPr>
            <w:r>
              <w:rPr>
                <w:spacing w:val="-5"/>
                <w:sz w:val="22"/>
              </w:rPr>
              <w:t>NS</w:t>
            </w:r>
          </w:p>
        </w:tc>
      </w:tr>
      <w:tr>
        <w:trPr>
          <w:trHeight w:val="522" w:hRule="atLeast"/>
        </w:trPr>
        <w:tc>
          <w:tcPr>
            <w:tcW w:w="2292" w:type="dxa"/>
            <w:tcBorders>
              <w:bottom w:val="single" w:sz="4" w:space="0" w:color="000000"/>
            </w:tcBorders>
          </w:tcPr>
          <w:p>
            <w:pPr>
              <w:pStyle w:val="TableParagraph"/>
              <w:rPr>
                <w:rFonts w:ascii="Times New Roman"/>
                <w:sz w:val="22"/>
              </w:rPr>
            </w:pPr>
          </w:p>
        </w:tc>
        <w:tc>
          <w:tcPr>
            <w:tcW w:w="1029" w:type="dxa"/>
            <w:tcBorders>
              <w:bottom w:val="single" w:sz="4" w:space="0" w:color="000000"/>
            </w:tcBorders>
          </w:tcPr>
          <w:p>
            <w:pPr>
              <w:pStyle w:val="TableParagraph"/>
              <w:spacing w:before="71"/>
              <w:ind w:left="396"/>
              <w:rPr>
                <w:sz w:val="22"/>
              </w:rPr>
            </w:pPr>
            <w:r>
              <w:rPr>
                <w:spacing w:val="-5"/>
                <w:sz w:val="22"/>
              </w:rPr>
              <w:t>AZM</w:t>
            </w:r>
          </w:p>
        </w:tc>
        <w:tc>
          <w:tcPr>
            <w:tcW w:w="1615" w:type="dxa"/>
            <w:tcBorders>
              <w:bottom w:val="single" w:sz="4" w:space="0" w:color="000000"/>
            </w:tcBorders>
          </w:tcPr>
          <w:p>
            <w:pPr>
              <w:pStyle w:val="TableParagraph"/>
              <w:spacing w:before="71"/>
              <w:ind w:left="16"/>
              <w:jc w:val="center"/>
              <w:rPr>
                <w:sz w:val="22"/>
              </w:rPr>
            </w:pPr>
            <w:r>
              <w:rPr>
                <w:spacing w:val="-2"/>
                <w:sz w:val="22"/>
              </w:rPr>
              <w:t>14.500±0.500</w:t>
            </w:r>
          </w:p>
        </w:tc>
        <w:tc>
          <w:tcPr>
            <w:tcW w:w="969" w:type="dxa"/>
            <w:tcBorders>
              <w:bottom w:val="single" w:sz="4" w:space="0" w:color="000000"/>
            </w:tcBorders>
          </w:tcPr>
          <w:p>
            <w:pPr>
              <w:pStyle w:val="TableParagraph"/>
              <w:spacing w:before="71"/>
              <w:ind w:right="99"/>
              <w:jc w:val="center"/>
              <w:rPr>
                <w:sz w:val="22"/>
              </w:rPr>
            </w:pPr>
            <w:r>
              <w:rPr>
                <w:spacing w:val="-2"/>
                <w:sz w:val="22"/>
              </w:rPr>
              <w:t>0.018</w:t>
            </w:r>
          </w:p>
        </w:tc>
        <w:tc>
          <w:tcPr>
            <w:tcW w:w="877" w:type="dxa"/>
            <w:tcBorders>
              <w:bottom w:val="single" w:sz="4" w:space="0" w:color="000000"/>
            </w:tcBorders>
          </w:tcPr>
          <w:p>
            <w:pPr>
              <w:pStyle w:val="TableParagraph"/>
              <w:spacing w:before="71"/>
              <w:ind w:left="20" w:right="101"/>
              <w:jc w:val="center"/>
              <w:rPr>
                <w:sz w:val="22"/>
              </w:rPr>
            </w:pPr>
            <w:r>
              <w:rPr>
                <w:spacing w:val="-5"/>
                <w:sz w:val="22"/>
              </w:rPr>
              <w:t>SF</w:t>
            </w:r>
          </w:p>
        </w:tc>
      </w:tr>
      <w:tr>
        <w:trPr>
          <w:trHeight w:val="376" w:hRule="atLeast"/>
        </w:trPr>
        <w:tc>
          <w:tcPr>
            <w:tcW w:w="2292" w:type="dxa"/>
            <w:tcBorders>
              <w:top w:val="single" w:sz="4" w:space="0" w:color="000000"/>
            </w:tcBorders>
          </w:tcPr>
          <w:p>
            <w:pPr>
              <w:pStyle w:val="TableParagraph"/>
              <w:rPr>
                <w:rFonts w:ascii="Times New Roman"/>
                <w:sz w:val="22"/>
              </w:rPr>
            </w:pPr>
          </w:p>
        </w:tc>
        <w:tc>
          <w:tcPr>
            <w:tcW w:w="1029" w:type="dxa"/>
            <w:tcBorders>
              <w:top w:val="single" w:sz="4" w:space="0" w:color="000000"/>
            </w:tcBorders>
          </w:tcPr>
          <w:p>
            <w:pPr>
              <w:pStyle w:val="TableParagraph"/>
              <w:spacing w:line="265" w:lineRule="exact"/>
              <w:ind w:left="413"/>
              <w:rPr>
                <w:sz w:val="22"/>
              </w:rPr>
            </w:pPr>
            <w:r>
              <w:rPr>
                <w:spacing w:val="-5"/>
                <w:sz w:val="22"/>
              </w:rPr>
              <w:t>CRO</w:t>
            </w:r>
          </w:p>
        </w:tc>
        <w:tc>
          <w:tcPr>
            <w:tcW w:w="1615" w:type="dxa"/>
            <w:tcBorders>
              <w:top w:val="single" w:sz="4" w:space="0" w:color="000000"/>
            </w:tcBorders>
          </w:tcPr>
          <w:p>
            <w:pPr>
              <w:pStyle w:val="TableParagraph"/>
              <w:spacing w:line="265" w:lineRule="exact"/>
              <w:ind w:left="16"/>
              <w:jc w:val="center"/>
              <w:rPr>
                <w:sz w:val="22"/>
              </w:rPr>
            </w:pPr>
            <w:r>
              <w:rPr>
                <w:spacing w:val="-2"/>
                <w:sz w:val="22"/>
              </w:rPr>
              <w:t>25.500±2.500</w:t>
            </w:r>
          </w:p>
        </w:tc>
        <w:tc>
          <w:tcPr>
            <w:tcW w:w="969" w:type="dxa"/>
            <w:tcBorders>
              <w:top w:val="single" w:sz="4" w:space="0" w:color="000000"/>
            </w:tcBorders>
          </w:tcPr>
          <w:p>
            <w:pPr>
              <w:pStyle w:val="TableParagraph"/>
              <w:spacing w:line="265" w:lineRule="exact"/>
              <w:ind w:right="99"/>
              <w:jc w:val="center"/>
              <w:rPr>
                <w:sz w:val="22"/>
              </w:rPr>
            </w:pPr>
            <w:r>
              <w:rPr>
                <w:spacing w:val="-2"/>
                <w:sz w:val="22"/>
              </w:rPr>
              <w:t>0.933</w:t>
            </w:r>
          </w:p>
        </w:tc>
        <w:tc>
          <w:tcPr>
            <w:tcW w:w="877" w:type="dxa"/>
            <w:tcBorders>
              <w:top w:val="single" w:sz="4" w:space="0" w:color="000000"/>
            </w:tcBorders>
          </w:tcPr>
          <w:p>
            <w:pPr>
              <w:pStyle w:val="TableParagraph"/>
              <w:spacing w:line="265" w:lineRule="exact"/>
              <w:ind w:left="20" w:right="100"/>
              <w:jc w:val="center"/>
              <w:rPr>
                <w:sz w:val="22"/>
              </w:rPr>
            </w:pPr>
            <w:r>
              <w:rPr>
                <w:spacing w:val="-5"/>
                <w:sz w:val="22"/>
              </w:rPr>
              <w:t>NS</w:t>
            </w:r>
          </w:p>
        </w:tc>
      </w:tr>
      <w:tr>
        <w:trPr>
          <w:trHeight w:val="450" w:hRule="atLeast"/>
        </w:trPr>
        <w:tc>
          <w:tcPr>
            <w:tcW w:w="2292" w:type="dxa"/>
          </w:tcPr>
          <w:p>
            <w:pPr>
              <w:pStyle w:val="TableParagraph"/>
              <w:rPr>
                <w:rFonts w:ascii="Times New Roman"/>
                <w:sz w:val="22"/>
              </w:rPr>
            </w:pPr>
          </w:p>
        </w:tc>
        <w:tc>
          <w:tcPr>
            <w:tcW w:w="1029" w:type="dxa"/>
          </w:tcPr>
          <w:p>
            <w:pPr>
              <w:pStyle w:val="TableParagraph"/>
              <w:spacing w:before="71"/>
              <w:ind w:left="475"/>
              <w:rPr>
                <w:sz w:val="22"/>
              </w:rPr>
            </w:pPr>
            <w:r>
              <w:rPr>
                <w:spacing w:val="-5"/>
                <w:sz w:val="22"/>
              </w:rPr>
              <w:t>CN</w:t>
            </w:r>
          </w:p>
        </w:tc>
        <w:tc>
          <w:tcPr>
            <w:tcW w:w="1615" w:type="dxa"/>
          </w:tcPr>
          <w:p>
            <w:pPr>
              <w:pStyle w:val="TableParagraph"/>
              <w:spacing w:before="71"/>
              <w:ind w:left="16"/>
              <w:jc w:val="center"/>
              <w:rPr>
                <w:sz w:val="22"/>
              </w:rPr>
            </w:pPr>
            <w:r>
              <w:rPr>
                <w:spacing w:val="-2"/>
                <w:sz w:val="22"/>
              </w:rPr>
              <w:t>20.500±0.500</w:t>
            </w:r>
          </w:p>
        </w:tc>
        <w:tc>
          <w:tcPr>
            <w:tcW w:w="969" w:type="dxa"/>
          </w:tcPr>
          <w:p>
            <w:pPr>
              <w:pStyle w:val="TableParagraph"/>
              <w:spacing w:before="71"/>
              <w:ind w:right="99"/>
              <w:jc w:val="center"/>
              <w:rPr>
                <w:sz w:val="22"/>
              </w:rPr>
            </w:pPr>
            <w:r>
              <w:rPr>
                <w:spacing w:val="-2"/>
                <w:sz w:val="22"/>
              </w:rPr>
              <w:t>0.933</w:t>
            </w:r>
          </w:p>
        </w:tc>
        <w:tc>
          <w:tcPr>
            <w:tcW w:w="877" w:type="dxa"/>
          </w:tcPr>
          <w:p>
            <w:pPr>
              <w:pStyle w:val="TableParagraph"/>
              <w:spacing w:before="71"/>
              <w:ind w:left="20" w:right="100"/>
              <w:jc w:val="center"/>
              <w:rPr>
                <w:sz w:val="22"/>
              </w:rPr>
            </w:pPr>
            <w:r>
              <w:rPr>
                <w:spacing w:val="-5"/>
                <w:sz w:val="22"/>
              </w:rPr>
              <w:t>NS</w:t>
            </w:r>
          </w:p>
        </w:tc>
      </w:tr>
      <w:tr>
        <w:trPr>
          <w:trHeight w:val="739" w:hRule="atLeast"/>
        </w:trPr>
        <w:tc>
          <w:tcPr>
            <w:tcW w:w="2292" w:type="dxa"/>
          </w:tcPr>
          <w:p>
            <w:pPr>
              <w:pStyle w:val="TableParagraph"/>
              <w:spacing w:before="70"/>
              <w:ind w:left="155" w:right="5"/>
              <w:jc w:val="center"/>
              <w:rPr>
                <w:sz w:val="22"/>
              </w:rPr>
            </w:pPr>
            <w:r>
              <w:rPr>
                <w:sz w:val="22"/>
              </w:rPr>
              <w:t>H/L;</w:t>
            </w:r>
            <w:r>
              <w:rPr>
                <w:spacing w:val="-4"/>
                <w:sz w:val="22"/>
              </w:rPr>
              <w:t> </w:t>
            </w:r>
            <w:r>
              <w:rPr>
                <w:sz w:val="22"/>
              </w:rPr>
              <w:t>20:</w:t>
            </w:r>
            <w:r>
              <w:rPr>
                <w:spacing w:val="-3"/>
                <w:sz w:val="22"/>
              </w:rPr>
              <w:t> </w:t>
            </w:r>
            <w:r>
              <w:rPr>
                <w:spacing w:val="-5"/>
                <w:sz w:val="22"/>
              </w:rPr>
              <w:t>50</w:t>
            </w:r>
          </w:p>
          <w:p>
            <w:pPr>
              <w:pStyle w:val="TableParagraph"/>
              <w:spacing w:before="22"/>
              <w:ind w:left="155" w:right="3"/>
              <w:jc w:val="center"/>
              <w:rPr>
                <w:sz w:val="22"/>
              </w:rPr>
            </w:pPr>
            <w:r>
              <w:rPr>
                <w:spacing w:val="-2"/>
                <w:sz w:val="22"/>
              </w:rPr>
              <w:t>(23.000±2.000)</w:t>
            </w:r>
          </w:p>
        </w:tc>
        <w:tc>
          <w:tcPr>
            <w:tcW w:w="1029" w:type="dxa"/>
          </w:tcPr>
          <w:p>
            <w:pPr>
              <w:pStyle w:val="TableParagraph"/>
              <w:spacing w:before="214"/>
              <w:ind w:left="389"/>
              <w:rPr>
                <w:sz w:val="22"/>
              </w:rPr>
            </w:pPr>
            <w:r>
              <w:rPr>
                <w:spacing w:val="-5"/>
                <w:sz w:val="22"/>
              </w:rPr>
              <w:t>AMC</w:t>
            </w:r>
          </w:p>
        </w:tc>
        <w:tc>
          <w:tcPr>
            <w:tcW w:w="1615" w:type="dxa"/>
          </w:tcPr>
          <w:p>
            <w:pPr>
              <w:pStyle w:val="TableParagraph"/>
              <w:spacing w:before="92"/>
              <w:rPr>
                <w:b/>
                <w:i/>
                <w:sz w:val="22"/>
              </w:rPr>
            </w:pPr>
          </w:p>
          <w:p>
            <w:pPr>
              <w:pStyle w:val="TableParagraph"/>
              <w:ind w:left="16"/>
              <w:jc w:val="center"/>
              <w:rPr>
                <w:sz w:val="22"/>
              </w:rPr>
            </w:pPr>
            <w:r>
              <w:rPr>
                <w:spacing w:val="-2"/>
                <w:sz w:val="22"/>
              </w:rPr>
              <w:t>18.000±0.000</w:t>
            </w:r>
          </w:p>
        </w:tc>
        <w:tc>
          <w:tcPr>
            <w:tcW w:w="969" w:type="dxa"/>
          </w:tcPr>
          <w:p>
            <w:pPr>
              <w:pStyle w:val="TableParagraph"/>
              <w:spacing w:before="214"/>
              <w:ind w:right="99"/>
              <w:jc w:val="center"/>
              <w:rPr>
                <w:sz w:val="22"/>
              </w:rPr>
            </w:pPr>
            <w:r>
              <w:rPr>
                <w:spacing w:val="-2"/>
                <w:sz w:val="22"/>
              </w:rPr>
              <w:t>0.324</w:t>
            </w:r>
          </w:p>
        </w:tc>
        <w:tc>
          <w:tcPr>
            <w:tcW w:w="877" w:type="dxa"/>
          </w:tcPr>
          <w:p>
            <w:pPr>
              <w:pStyle w:val="TableParagraph"/>
              <w:spacing w:before="92"/>
              <w:rPr>
                <w:b/>
                <w:i/>
                <w:sz w:val="22"/>
              </w:rPr>
            </w:pPr>
          </w:p>
          <w:p>
            <w:pPr>
              <w:pStyle w:val="TableParagraph"/>
              <w:ind w:left="20" w:right="100"/>
              <w:jc w:val="center"/>
              <w:rPr>
                <w:sz w:val="22"/>
              </w:rPr>
            </w:pPr>
            <w:r>
              <w:rPr>
                <w:spacing w:val="-5"/>
                <w:sz w:val="22"/>
              </w:rPr>
              <w:t>NS</w:t>
            </w:r>
          </w:p>
        </w:tc>
      </w:tr>
      <w:tr>
        <w:trPr>
          <w:trHeight w:val="450" w:hRule="atLeast"/>
        </w:trPr>
        <w:tc>
          <w:tcPr>
            <w:tcW w:w="2292" w:type="dxa"/>
          </w:tcPr>
          <w:p>
            <w:pPr>
              <w:pStyle w:val="TableParagraph"/>
              <w:rPr>
                <w:rFonts w:ascii="Times New Roman"/>
                <w:sz w:val="22"/>
              </w:rPr>
            </w:pPr>
          </w:p>
        </w:tc>
        <w:tc>
          <w:tcPr>
            <w:tcW w:w="1029" w:type="dxa"/>
          </w:tcPr>
          <w:p>
            <w:pPr>
              <w:pStyle w:val="TableParagraph"/>
              <w:spacing w:before="70"/>
              <w:ind w:left="442"/>
              <w:rPr>
                <w:sz w:val="22"/>
              </w:rPr>
            </w:pPr>
            <w:r>
              <w:rPr>
                <w:spacing w:val="-5"/>
                <w:sz w:val="22"/>
              </w:rPr>
              <w:t>LEV</w:t>
            </w:r>
          </w:p>
        </w:tc>
        <w:tc>
          <w:tcPr>
            <w:tcW w:w="1615" w:type="dxa"/>
          </w:tcPr>
          <w:p>
            <w:pPr>
              <w:pStyle w:val="TableParagraph"/>
              <w:spacing w:before="70"/>
              <w:ind w:left="16"/>
              <w:jc w:val="center"/>
              <w:rPr>
                <w:sz w:val="22"/>
              </w:rPr>
            </w:pPr>
            <w:r>
              <w:rPr>
                <w:spacing w:val="-2"/>
                <w:sz w:val="22"/>
              </w:rPr>
              <w:t>22.500±0.500</w:t>
            </w:r>
          </w:p>
        </w:tc>
        <w:tc>
          <w:tcPr>
            <w:tcW w:w="969" w:type="dxa"/>
          </w:tcPr>
          <w:p>
            <w:pPr>
              <w:pStyle w:val="TableParagraph"/>
              <w:spacing w:before="70"/>
              <w:ind w:right="99"/>
              <w:jc w:val="center"/>
              <w:rPr>
                <w:sz w:val="22"/>
              </w:rPr>
            </w:pPr>
            <w:r>
              <w:rPr>
                <w:spacing w:val="-2"/>
                <w:sz w:val="22"/>
              </w:rPr>
              <w:t>1.000</w:t>
            </w:r>
          </w:p>
        </w:tc>
        <w:tc>
          <w:tcPr>
            <w:tcW w:w="877" w:type="dxa"/>
          </w:tcPr>
          <w:p>
            <w:pPr>
              <w:pStyle w:val="TableParagraph"/>
              <w:spacing w:before="70"/>
              <w:ind w:left="20" w:right="100"/>
              <w:jc w:val="center"/>
              <w:rPr>
                <w:sz w:val="22"/>
              </w:rPr>
            </w:pPr>
            <w:r>
              <w:rPr>
                <w:spacing w:val="-5"/>
                <w:sz w:val="22"/>
              </w:rPr>
              <w:t>NS</w:t>
            </w:r>
          </w:p>
        </w:tc>
      </w:tr>
      <w:tr>
        <w:trPr>
          <w:trHeight w:val="523" w:hRule="atLeast"/>
        </w:trPr>
        <w:tc>
          <w:tcPr>
            <w:tcW w:w="2292" w:type="dxa"/>
            <w:tcBorders>
              <w:bottom w:val="single" w:sz="4" w:space="0" w:color="000000"/>
            </w:tcBorders>
          </w:tcPr>
          <w:p>
            <w:pPr>
              <w:pStyle w:val="TableParagraph"/>
              <w:rPr>
                <w:rFonts w:ascii="Times New Roman"/>
                <w:sz w:val="22"/>
              </w:rPr>
            </w:pPr>
          </w:p>
        </w:tc>
        <w:tc>
          <w:tcPr>
            <w:tcW w:w="1029" w:type="dxa"/>
            <w:tcBorders>
              <w:bottom w:val="single" w:sz="4" w:space="0" w:color="000000"/>
            </w:tcBorders>
          </w:tcPr>
          <w:p>
            <w:pPr>
              <w:pStyle w:val="TableParagraph"/>
              <w:spacing w:before="71"/>
              <w:ind w:left="396"/>
              <w:rPr>
                <w:sz w:val="22"/>
              </w:rPr>
            </w:pPr>
            <w:r>
              <w:rPr>
                <w:spacing w:val="-5"/>
                <w:sz w:val="22"/>
              </w:rPr>
              <w:t>AZM</w:t>
            </w:r>
          </w:p>
        </w:tc>
        <w:tc>
          <w:tcPr>
            <w:tcW w:w="1615" w:type="dxa"/>
            <w:tcBorders>
              <w:bottom w:val="single" w:sz="4" w:space="0" w:color="000000"/>
            </w:tcBorders>
          </w:tcPr>
          <w:p>
            <w:pPr>
              <w:pStyle w:val="TableParagraph"/>
              <w:spacing w:before="71"/>
              <w:ind w:left="16"/>
              <w:jc w:val="center"/>
              <w:rPr>
                <w:sz w:val="22"/>
              </w:rPr>
            </w:pPr>
            <w:r>
              <w:rPr>
                <w:spacing w:val="-2"/>
                <w:sz w:val="22"/>
              </w:rPr>
              <w:t>14.500±0.500</w:t>
            </w:r>
          </w:p>
        </w:tc>
        <w:tc>
          <w:tcPr>
            <w:tcW w:w="969" w:type="dxa"/>
            <w:tcBorders>
              <w:bottom w:val="single" w:sz="4" w:space="0" w:color="000000"/>
            </w:tcBorders>
          </w:tcPr>
          <w:p>
            <w:pPr>
              <w:pStyle w:val="TableParagraph"/>
              <w:spacing w:before="71"/>
              <w:ind w:right="99"/>
              <w:jc w:val="center"/>
              <w:rPr>
                <w:sz w:val="22"/>
              </w:rPr>
            </w:pPr>
            <w:r>
              <w:rPr>
                <w:spacing w:val="-2"/>
                <w:sz w:val="22"/>
              </w:rPr>
              <w:t>0.026</w:t>
            </w:r>
          </w:p>
        </w:tc>
        <w:tc>
          <w:tcPr>
            <w:tcW w:w="877" w:type="dxa"/>
            <w:tcBorders>
              <w:bottom w:val="single" w:sz="4" w:space="0" w:color="000000"/>
            </w:tcBorders>
          </w:tcPr>
          <w:p>
            <w:pPr>
              <w:pStyle w:val="TableParagraph"/>
              <w:spacing w:before="71"/>
              <w:ind w:left="20" w:right="101"/>
              <w:jc w:val="center"/>
              <w:rPr>
                <w:sz w:val="22"/>
              </w:rPr>
            </w:pPr>
            <w:r>
              <w:rPr>
                <w:spacing w:val="-5"/>
                <w:sz w:val="22"/>
              </w:rPr>
              <w:t>SF</w:t>
            </w:r>
          </w:p>
        </w:tc>
      </w:tr>
      <w:tr>
        <w:trPr>
          <w:trHeight w:val="376" w:hRule="atLeast"/>
        </w:trPr>
        <w:tc>
          <w:tcPr>
            <w:tcW w:w="2292" w:type="dxa"/>
            <w:tcBorders>
              <w:top w:val="single" w:sz="4" w:space="0" w:color="000000"/>
            </w:tcBorders>
          </w:tcPr>
          <w:p>
            <w:pPr>
              <w:pStyle w:val="TableParagraph"/>
              <w:rPr>
                <w:rFonts w:ascii="Times New Roman"/>
                <w:sz w:val="22"/>
              </w:rPr>
            </w:pPr>
          </w:p>
        </w:tc>
        <w:tc>
          <w:tcPr>
            <w:tcW w:w="1029" w:type="dxa"/>
            <w:tcBorders>
              <w:top w:val="single" w:sz="4" w:space="0" w:color="000000"/>
            </w:tcBorders>
          </w:tcPr>
          <w:p>
            <w:pPr>
              <w:pStyle w:val="TableParagraph"/>
              <w:spacing w:line="265" w:lineRule="exact"/>
              <w:ind w:left="413"/>
              <w:rPr>
                <w:sz w:val="22"/>
              </w:rPr>
            </w:pPr>
            <w:r>
              <w:rPr>
                <w:spacing w:val="-5"/>
                <w:sz w:val="22"/>
              </w:rPr>
              <w:t>CRO</w:t>
            </w:r>
          </w:p>
        </w:tc>
        <w:tc>
          <w:tcPr>
            <w:tcW w:w="1615" w:type="dxa"/>
            <w:tcBorders>
              <w:top w:val="single" w:sz="4" w:space="0" w:color="000000"/>
            </w:tcBorders>
          </w:tcPr>
          <w:p>
            <w:pPr>
              <w:pStyle w:val="TableParagraph"/>
              <w:spacing w:line="265" w:lineRule="exact"/>
              <w:ind w:left="16"/>
              <w:jc w:val="center"/>
              <w:rPr>
                <w:sz w:val="22"/>
              </w:rPr>
            </w:pPr>
            <w:r>
              <w:rPr>
                <w:spacing w:val="-2"/>
                <w:sz w:val="22"/>
              </w:rPr>
              <w:t>25.500±2.500</w:t>
            </w:r>
          </w:p>
        </w:tc>
        <w:tc>
          <w:tcPr>
            <w:tcW w:w="969" w:type="dxa"/>
            <w:tcBorders>
              <w:top w:val="single" w:sz="4" w:space="0" w:color="000000"/>
            </w:tcBorders>
          </w:tcPr>
          <w:p>
            <w:pPr>
              <w:pStyle w:val="TableParagraph"/>
              <w:spacing w:line="265" w:lineRule="exact"/>
              <w:ind w:right="99"/>
              <w:jc w:val="center"/>
              <w:rPr>
                <w:sz w:val="22"/>
              </w:rPr>
            </w:pPr>
            <w:r>
              <w:rPr>
                <w:spacing w:val="-2"/>
                <w:sz w:val="22"/>
              </w:rPr>
              <w:t>0.439</w:t>
            </w:r>
          </w:p>
        </w:tc>
        <w:tc>
          <w:tcPr>
            <w:tcW w:w="877" w:type="dxa"/>
            <w:tcBorders>
              <w:top w:val="single" w:sz="4" w:space="0" w:color="000000"/>
            </w:tcBorders>
          </w:tcPr>
          <w:p>
            <w:pPr>
              <w:pStyle w:val="TableParagraph"/>
              <w:spacing w:line="265" w:lineRule="exact"/>
              <w:ind w:left="20" w:right="100"/>
              <w:jc w:val="center"/>
              <w:rPr>
                <w:sz w:val="22"/>
              </w:rPr>
            </w:pPr>
            <w:r>
              <w:rPr>
                <w:spacing w:val="-5"/>
                <w:sz w:val="22"/>
              </w:rPr>
              <w:t>NS</w:t>
            </w:r>
          </w:p>
        </w:tc>
      </w:tr>
      <w:tr>
        <w:trPr>
          <w:trHeight w:val="450" w:hRule="atLeast"/>
        </w:trPr>
        <w:tc>
          <w:tcPr>
            <w:tcW w:w="2292" w:type="dxa"/>
          </w:tcPr>
          <w:p>
            <w:pPr>
              <w:pStyle w:val="TableParagraph"/>
              <w:rPr>
                <w:rFonts w:ascii="Times New Roman"/>
                <w:sz w:val="22"/>
              </w:rPr>
            </w:pPr>
          </w:p>
        </w:tc>
        <w:tc>
          <w:tcPr>
            <w:tcW w:w="1029" w:type="dxa"/>
          </w:tcPr>
          <w:p>
            <w:pPr>
              <w:pStyle w:val="TableParagraph"/>
              <w:spacing w:before="71"/>
              <w:ind w:left="475"/>
              <w:rPr>
                <w:sz w:val="22"/>
              </w:rPr>
            </w:pPr>
            <w:r>
              <w:rPr>
                <w:spacing w:val="-5"/>
                <w:sz w:val="22"/>
              </w:rPr>
              <w:t>CN</w:t>
            </w:r>
          </w:p>
        </w:tc>
        <w:tc>
          <w:tcPr>
            <w:tcW w:w="1615" w:type="dxa"/>
          </w:tcPr>
          <w:p>
            <w:pPr>
              <w:pStyle w:val="TableParagraph"/>
              <w:spacing w:before="71"/>
              <w:ind w:left="16"/>
              <w:jc w:val="center"/>
              <w:rPr>
                <w:sz w:val="22"/>
              </w:rPr>
            </w:pPr>
            <w:r>
              <w:rPr>
                <w:spacing w:val="-2"/>
                <w:sz w:val="22"/>
              </w:rPr>
              <w:t>20.500±0.500</w:t>
            </w:r>
          </w:p>
        </w:tc>
        <w:tc>
          <w:tcPr>
            <w:tcW w:w="969" w:type="dxa"/>
          </w:tcPr>
          <w:p>
            <w:pPr>
              <w:pStyle w:val="TableParagraph"/>
              <w:spacing w:before="71"/>
              <w:ind w:right="99"/>
              <w:jc w:val="center"/>
              <w:rPr>
                <w:sz w:val="22"/>
              </w:rPr>
            </w:pPr>
            <w:r>
              <w:rPr>
                <w:spacing w:val="-2"/>
                <w:sz w:val="22"/>
              </w:rPr>
              <w:t>1.000</w:t>
            </w:r>
          </w:p>
        </w:tc>
        <w:tc>
          <w:tcPr>
            <w:tcW w:w="877" w:type="dxa"/>
          </w:tcPr>
          <w:p>
            <w:pPr>
              <w:pStyle w:val="TableParagraph"/>
              <w:spacing w:before="71"/>
              <w:ind w:left="20" w:right="100"/>
              <w:jc w:val="center"/>
              <w:rPr>
                <w:sz w:val="22"/>
              </w:rPr>
            </w:pPr>
            <w:r>
              <w:rPr>
                <w:spacing w:val="-5"/>
                <w:sz w:val="22"/>
              </w:rPr>
              <w:t>NS</w:t>
            </w:r>
          </w:p>
        </w:tc>
      </w:tr>
      <w:tr>
        <w:trPr>
          <w:trHeight w:val="739" w:hRule="atLeast"/>
        </w:trPr>
        <w:tc>
          <w:tcPr>
            <w:tcW w:w="2292" w:type="dxa"/>
          </w:tcPr>
          <w:p>
            <w:pPr>
              <w:pStyle w:val="TableParagraph"/>
              <w:spacing w:before="70"/>
              <w:ind w:left="155"/>
              <w:jc w:val="center"/>
              <w:rPr>
                <w:sz w:val="22"/>
              </w:rPr>
            </w:pPr>
            <w:r>
              <w:rPr>
                <w:sz w:val="22"/>
              </w:rPr>
              <w:t>H/L;</w:t>
            </w:r>
            <w:r>
              <w:rPr>
                <w:spacing w:val="-5"/>
                <w:sz w:val="22"/>
              </w:rPr>
              <w:t> </w:t>
            </w:r>
            <w:r>
              <w:rPr>
                <w:spacing w:val="-2"/>
                <w:sz w:val="22"/>
              </w:rPr>
              <w:t>30:50</w:t>
            </w:r>
          </w:p>
          <w:p>
            <w:pPr>
              <w:pStyle w:val="TableParagraph"/>
              <w:spacing w:before="22"/>
              <w:ind w:left="155" w:right="3"/>
              <w:jc w:val="center"/>
              <w:rPr>
                <w:sz w:val="22"/>
              </w:rPr>
            </w:pPr>
            <w:r>
              <w:rPr>
                <w:spacing w:val="-2"/>
                <w:sz w:val="22"/>
              </w:rPr>
              <w:t>(21.000±1.000)</w:t>
            </w:r>
          </w:p>
        </w:tc>
        <w:tc>
          <w:tcPr>
            <w:tcW w:w="1029" w:type="dxa"/>
          </w:tcPr>
          <w:p>
            <w:pPr>
              <w:pStyle w:val="TableParagraph"/>
              <w:spacing w:before="214"/>
              <w:ind w:left="389"/>
              <w:rPr>
                <w:sz w:val="22"/>
              </w:rPr>
            </w:pPr>
            <w:r>
              <w:rPr>
                <w:spacing w:val="-5"/>
                <w:sz w:val="22"/>
              </w:rPr>
              <w:t>AMC</w:t>
            </w:r>
          </w:p>
        </w:tc>
        <w:tc>
          <w:tcPr>
            <w:tcW w:w="1615" w:type="dxa"/>
          </w:tcPr>
          <w:p>
            <w:pPr>
              <w:pStyle w:val="TableParagraph"/>
              <w:spacing w:before="91"/>
              <w:rPr>
                <w:b/>
                <w:i/>
                <w:sz w:val="22"/>
              </w:rPr>
            </w:pPr>
          </w:p>
          <w:p>
            <w:pPr>
              <w:pStyle w:val="TableParagraph"/>
              <w:spacing w:before="1"/>
              <w:ind w:left="16"/>
              <w:jc w:val="center"/>
              <w:rPr>
                <w:sz w:val="22"/>
              </w:rPr>
            </w:pPr>
            <w:r>
              <w:rPr>
                <w:spacing w:val="-2"/>
                <w:sz w:val="22"/>
              </w:rPr>
              <w:t>18.000±0.000</w:t>
            </w:r>
          </w:p>
        </w:tc>
        <w:tc>
          <w:tcPr>
            <w:tcW w:w="969" w:type="dxa"/>
          </w:tcPr>
          <w:p>
            <w:pPr>
              <w:pStyle w:val="TableParagraph"/>
              <w:spacing w:before="214"/>
              <w:ind w:right="99"/>
              <w:jc w:val="center"/>
              <w:rPr>
                <w:sz w:val="22"/>
              </w:rPr>
            </w:pPr>
            <w:r>
              <w:rPr>
                <w:spacing w:val="-2"/>
                <w:sz w:val="22"/>
              </w:rPr>
              <w:t>0.841</w:t>
            </w:r>
          </w:p>
        </w:tc>
        <w:tc>
          <w:tcPr>
            <w:tcW w:w="877" w:type="dxa"/>
          </w:tcPr>
          <w:p>
            <w:pPr>
              <w:pStyle w:val="TableParagraph"/>
              <w:spacing w:before="91"/>
              <w:rPr>
                <w:b/>
                <w:i/>
                <w:sz w:val="22"/>
              </w:rPr>
            </w:pPr>
          </w:p>
          <w:p>
            <w:pPr>
              <w:pStyle w:val="TableParagraph"/>
              <w:spacing w:before="1"/>
              <w:ind w:left="20" w:right="100"/>
              <w:jc w:val="center"/>
              <w:rPr>
                <w:sz w:val="22"/>
              </w:rPr>
            </w:pPr>
            <w:r>
              <w:rPr>
                <w:spacing w:val="-5"/>
                <w:sz w:val="22"/>
              </w:rPr>
              <w:t>NS</w:t>
            </w:r>
          </w:p>
        </w:tc>
      </w:tr>
      <w:tr>
        <w:trPr>
          <w:trHeight w:val="450" w:hRule="atLeast"/>
        </w:trPr>
        <w:tc>
          <w:tcPr>
            <w:tcW w:w="2292" w:type="dxa"/>
          </w:tcPr>
          <w:p>
            <w:pPr>
              <w:pStyle w:val="TableParagraph"/>
              <w:rPr>
                <w:rFonts w:ascii="Times New Roman"/>
                <w:sz w:val="22"/>
              </w:rPr>
            </w:pPr>
          </w:p>
        </w:tc>
        <w:tc>
          <w:tcPr>
            <w:tcW w:w="1029" w:type="dxa"/>
          </w:tcPr>
          <w:p>
            <w:pPr>
              <w:pStyle w:val="TableParagraph"/>
              <w:spacing w:before="70"/>
              <w:ind w:left="442"/>
              <w:rPr>
                <w:sz w:val="22"/>
              </w:rPr>
            </w:pPr>
            <w:r>
              <w:rPr>
                <w:spacing w:val="-5"/>
                <w:sz w:val="22"/>
              </w:rPr>
              <w:t>LEV</w:t>
            </w:r>
          </w:p>
        </w:tc>
        <w:tc>
          <w:tcPr>
            <w:tcW w:w="1615" w:type="dxa"/>
          </w:tcPr>
          <w:p>
            <w:pPr>
              <w:pStyle w:val="TableParagraph"/>
              <w:spacing w:before="70"/>
              <w:ind w:left="16"/>
              <w:jc w:val="center"/>
              <w:rPr>
                <w:sz w:val="22"/>
              </w:rPr>
            </w:pPr>
            <w:r>
              <w:rPr>
                <w:spacing w:val="-2"/>
                <w:sz w:val="22"/>
              </w:rPr>
              <w:t>22.500±0.500</w:t>
            </w:r>
          </w:p>
        </w:tc>
        <w:tc>
          <w:tcPr>
            <w:tcW w:w="969" w:type="dxa"/>
          </w:tcPr>
          <w:p>
            <w:pPr>
              <w:pStyle w:val="TableParagraph"/>
              <w:spacing w:before="70"/>
              <w:ind w:right="99"/>
              <w:jc w:val="center"/>
              <w:rPr>
                <w:sz w:val="22"/>
              </w:rPr>
            </w:pPr>
            <w:r>
              <w:rPr>
                <w:spacing w:val="-2"/>
                <w:sz w:val="22"/>
              </w:rPr>
              <w:t>0.997</w:t>
            </w:r>
          </w:p>
        </w:tc>
        <w:tc>
          <w:tcPr>
            <w:tcW w:w="877" w:type="dxa"/>
          </w:tcPr>
          <w:p>
            <w:pPr>
              <w:pStyle w:val="TableParagraph"/>
              <w:spacing w:before="70"/>
              <w:ind w:left="20" w:right="100"/>
              <w:jc w:val="center"/>
              <w:rPr>
                <w:sz w:val="22"/>
              </w:rPr>
            </w:pPr>
            <w:r>
              <w:rPr>
                <w:spacing w:val="-5"/>
                <w:sz w:val="22"/>
              </w:rPr>
              <w:t>NS</w:t>
            </w:r>
          </w:p>
        </w:tc>
      </w:tr>
      <w:tr>
        <w:trPr>
          <w:trHeight w:val="522" w:hRule="atLeast"/>
        </w:trPr>
        <w:tc>
          <w:tcPr>
            <w:tcW w:w="2292" w:type="dxa"/>
            <w:tcBorders>
              <w:bottom w:val="single" w:sz="4" w:space="0" w:color="000000"/>
            </w:tcBorders>
          </w:tcPr>
          <w:p>
            <w:pPr>
              <w:pStyle w:val="TableParagraph"/>
              <w:rPr>
                <w:rFonts w:ascii="Times New Roman"/>
                <w:sz w:val="22"/>
              </w:rPr>
            </w:pPr>
          </w:p>
        </w:tc>
        <w:tc>
          <w:tcPr>
            <w:tcW w:w="1029" w:type="dxa"/>
            <w:tcBorders>
              <w:bottom w:val="single" w:sz="4" w:space="0" w:color="000000"/>
            </w:tcBorders>
          </w:tcPr>
          <w:p>
            <w:pPr>
              <w:pStyle w:val="TableParagraph"/>
              <w:spacing w:before="71"/>
              <w:ind w:left="396"/>
              <w:rPr>
                <w:sz w:val="22"/>
              </w:rPr>
            </w:pPr>
            <w:r>
              <w:rPr>
                <w:spacing w:val="-5"/>
                <w:sz w:val="22"/>
              </w:rPr>
              <w:t>AZM</w:t>
            </w:r>
          </w:p>
        </w:tc>
        <w:tc>
          <w:tcPr>
            <w:tcW w:w="1615" w:type="dxa"/>
            <w:tcBorders>
              <w:bottom w:val="single" w:sz="4" w:space="0" w:color="000000"/>
            </w:tcBorders>
          </w:tcPr>
          <w:p>
            <w:pPr>
              <w:pStyle w:val="TableParagraph"/>
              <w:spacing w:before="71"/>
              <w:ind w:left="16"/>
              <w:jc w:val="center"/>
              <w:rPr>
                <w:sz w:val="22"/>
              </w:rPr>
            </w:pPr>
            <w:r>
              <w:rPr>
                <w:spacing w:val="-2"/>
                <w:sz w:val="22"/>
              </w:rPr>
              <w:t>14.500±0.500</w:t>
            </w:r>
          </w:p>
        </w:tc>
        <w:tc>
          <w:tcPr>
            <w:tcW w:w="969" w:type="dxa"/>
            <w:tcBorders>
              <w:bottom w:val="single" w:sz="4" w:space="0" w:color="000000"/>
            </w:tcBorders>
          </w:tcPr>
          <w:p>
            <w:pPr>
              <w:pStyle w:val="TableParagraph"/>
              <w:spacing w:before="71"/>
              <w:ind w:right="99"/>
              <w:jc w:val="center"/>
              <w:rPr>
                <w:sz w:val="22"/>
              </w:rPr>
            </w:pPr>
            <w:r>
              <w:rPr>
                <w:spacing w:val="-2"/>
                <w:sz w:val="22"/>
              </w:rPr>
              <w:t>0.114</w:t>
            </w:r>
          </w:p>
        </w:tc>
        <w:tc>
          <w:tcPr>
            <w:tcW w:w="877" w:type="dxa"/>
            <w:tcBorders>
              <w:bottom w:val="single" w:sz="4" w:space="0" w:color="000000"/>
            </w:tcBorders>
          </w:tcPr>
          <w:p>
            <w:pPr>
              <w:pStyle w:val="TableParagraph"/>
              <w:spacing w:before="71"/>
              <w:ind w:left="20" w:right="100"/>
              <w:jc w:val="center"/>
              <w:rPr>
                <w:sz w:val="22"/>
              </w:rPr>
            </w:pPr>
            <w:r>
              <w:rPr>
                <w:spacing w:val="-5"/>
                <w:sz w:val="22"/>
              </w:rPr>
              <w:t>NS</w:t>
            </w:r>
          </w:p>
        </w:tc>
      </w:tr>
      <w:tr>
        <w:trPr>
          <w:trHeight w:val="376" w:hRule="atLeast"/>
        </w:trPr>
        <w:tc>
          <w:tcPr>
            <w:tcW w:w="2292" w:type="dxa"/>
            <w:tcBorders>
              <w:top w:val="single" w:sz="4" w:space="0" w:color="000000"/>
            </w:tcBorders>
          </w:tcPr>
          <w:p>
            <w:pPr>
              <w:pStyle w:val="TableParagraph"/>
              <w:rPr>
                <w:rFonts w:ascii="Times New Roman"/>
                <w:sz w:val="22"/>
              </w:rPr>
            </w:pPr>
          </w:p>
        </w:tc>
        <w:tc>
          <w:tcPr>
            <w:tcW w:w="1029" w:type="dxa"/>
            <w:tcBorders>
              <w:top w:val="single" w:sz="4" w:space="0" w:color="000000"/>
            </w:tcBorders>
          </w:tcPr>
          <w:p>
            <w:pPr>
              <w:pStyle w:val="TableParagraph"/>
              <w:spacing w:line="265" w:lineRule="exact"/>
              <w:ind w:left="413"/>
              <w:rPr>
                <w:sz w:val="22"/>
              </w:rPr>
            </w:pPr>
            <w:r>
              <w:rPr>
                <w:spacing w:val="-5"/>
                <w:sz w:val="22"/>
              </w:rPr>
              <w:t>CRO</w:t>
            </w:r>
          </w:p>
        </w:tc>
        <w:tc>
          <w:tcPr>
            <w:tcW w:w="1615" w:type="dxa"/>
            <w:tcBorders>
              <w:top w:val="single" w:sz="4" w:space="0" w:color="000000"/>
            </w:tcBorders>
          </w:tcPr>
          <w:p>
            <w:pPr>
              <w:pStyle w:val="TableParagraph"/>
              <w:spacing w:line="265" w:lineRule="exact"/>
              <w:ind w:left="16"/>
              <w:jc w:val="center"/>
              <w:rPr>
                <w:sz w:val="22"/>
              </w:rPr>
            </w:pPr>
            <w:r>
              <w:rPr>
                <w:spacing w:val="-2"/>
                <w:sz w:val="22"/>
              </w:rPr>
              <w:t>25.500±2.500</w:t>
            </w:r>
          </w:p>
        </w:tc>
        <w:tc>
          <w:tcPr>
            <w:tcW w:w="969" w:type="dxa"/>
            <w:tcBorders>
              <w:top w:val="single" w:sz="4" w:space="0" w:color="000000"/>
            </w:tcBorders>
          </w:tcPr>
          <w:p>
            <w:pPr>
              <w:pStyle w:val="TableParagraph"/>
              <w:spacing w:line="265" w:lineRule="exact"/>
              <w:ind w:right="99"/>
              <w:jc w:val="center"/>
              <w:rPr>
                <w:sz w:val="22"/>
              </w:rPr>
            </w:pPr>
            <w:r>
              <w:rPr>
                <w:spacing w:val="-2"/>
                <w:sz w:val="22"/>
              </w:rPr>
              <w:t>0.997</w:t>
            </w:r>
          </w:p>
        </w:tc>
        <w:tc>
          <w:tcPr>
            <w:tcW w:w="877" w:type="dxa"/>
            <w:tcBorders>
              <w:top w:val="single" w:sz="4" w:space="0" w:color="000000"/>
            </w:tcBorders>
          </w:tcPr>
          <w:p>
            <w:pPr>
              <w:pStyle w:val="TableParagraph"/>
              <w:spacing w:line="265" w:lineRule="exact"/>
              <w:ind w:left="20" w:right="100"/>
              <w:jc w:val="center"/>
              <w:rPr>
                <w:sz w:val="22"/>
              </w:rPr>
            </w:pPr>
            <w:r>
              <w:rPr>
                <w:spacing w:val="-5"/>
                <w:sz w:val="22"/>
              </w:rPr>
              <w:t>NS</w:t>
            </w:r>
          </w:p>
        </w:tc>
      </w:tr>
      <w:tr>
        <w:trPr>
          <w:trHeight w:val="450" w:hRule="atLeast"/>
        </w:trPr>
        <w:tc>
          <w:tcPr>
            <w:tcW w:w="2292" w:type="dxa"/>
          </w:tcPr>
          <w:p>
            <w:pPr>
              <w:pStyle w:val="TableParagraph"/>
              <w:rPr>
                <w:rFonts w:ascii="Times New Roman"/>
                <w:sz w:val="22"/>
              </w:rPr>
            </w:pPr>
          </w:p>
        </w:tc>
        <w:tc>
          <w:tcPr>
            <w:tcW w:w="1029" w:type="dxa"/>
          </w:tcPr>
          <w:p>
            <w:pPr>
              <w:pStyle w:val="TableParagraph"/>
              <w:spacing w:before="71"/>
              <w:ind w:left="475"/>
              <w:rPr>
                <w:sz w:val="22"/>
              </w:rPr>
            </w:pPr>
            <w:r>
              <w:rPr>
                <w:spacing w:val="-5"/>
                <w:sz w:val="22"/>
              </w:rPr>
              <w:t>CN</w:t>
            </w:r>
          </w:p>
        </w:tc>
        <w:tc>
          <w:tcPr>
            <w:tcW w:w="1615" w:type="dxa"/>
          </w:tcPr>
          <w:p>
            <w:pPr>
              <w:pStyle w:val="TableParagraph"/>
              <w:spacing w:before="71"/>
              <w:ind w:left="16"/>
              <w:jc w:val="center"/>
              <w:rPr>
                <w:sz w:val="22"/>
              </w:rPr>
            </w:pPr>
            <w:r>
              <w:rPr>
                <w:spacing w:val="-2"/>
                <w:sz w:val="22"/>
              </w:rPr>
              <w:t>20.500±0.500</w:t>
            </w:r>
          </w:p>
        </w:tc>
        <w:tc>
          <w:tcPr>
            <w:tcW w:w="969" w:type="dxa"/>
          </w:tcPr>
          <w:p>
            <w:pPr>
              <w:pStyle w:val="TableParagraph"/>
              <w:spacing w:before="71"/>
              <w:ind w:right="99"/>
              <w:jc w:val="center"/>
              <w:rPr>
                <w:sz w:val="22"/>
              </w:rPr>
            </w:pPr>
            <w:r>
              <w:rPr>
                <w:spacing w:val="-2"/>
                <w:sz w:val="22"/>
              </w:rPr>
              <w:t>0.714</w:t>
            </w:r>
          </w:p>
        </w:tc>
        <w:tc>
          <w:tcPr>
            <w:tcW w:w="877" w:type="dxa"/>
          </w:tcPr>
          <w:p>
            <w:pPr>
              <w:pStyle w:val="TableParagraph"/>
              <w:spacing w:before="71"/>
              <w:ind w:left="20" w:right="100"/>
              <w:jc w:val="center"/>
              <w:rPr>
                <w:sz w:val="22"/>
              </w:rPr>
            </w:pPr>
            <w:r>
              <w:rPr>
                <w:spacing w:val="-5"/>
                <w:sz w:val="22"/>
              </w:rPr>
              <w:t>NS</w:t>
            </w:r>
          </w:p>
        </w:tc>
      </w:tr>
      <w:tr>
        <w:trPr>
          <w:trHeight w:val="739" w:hRule="atLeast"/>
        </w:trPr>
        <w:tc>
          <w:tcPr>
            <w:tcW w:w="2292" w:type="dxa"/>
          </w:tcPr>
          <w:p>
            <w:pPr>
              <w:pStyle w:val="TableParagraph"/>
              <w:spacing w:before="70"/>
              <w:ind w:left="155"/>
              <w:jc w:val="center"/>
              <w:rPr>
                <w:sz w:val="22"/>
              </w:rPr>
            </w:pPr>
            <w:r>
              <w:rPr>
                <w:sz w:val="22"/>
              </w:rPr>
              <w:t>H/L;</w:t>
            </w:r>
            <w:r>
              <w:rPr>
                <w:spacing w:val="-5"/>
                <w:sz w:val="22"/>
              </w:rPr>
              <w:t> </w:t>
            </w:r>
            <w:r>
              <w:rPr>
                <w:spacing w:val="-2"/>
                <w:sz w:val="22"/>
              </w:rPr>
              <w:t>40:50</w:t>
            </w:r>
          </w:p>
          <w:p>
            <w:pPr>
              <w:pStyle w:val="TableParagraph"/>
              <w:spacing w:before="22"/>
              <w:ind w:left="155" w:right="3"/>
              <w:jc w:val="center"/>
              <w:rPr>
                <w:sz w:val="22"/>
              </w:rPr>
            </w:pPr>
            <w:r>
              <w:rPr>
                <w:spacing w:val="-2"/>
                <w:sz w:val="22"/>
              </w:rPr>
              <w:t>(24.000±2.000)</w:t>
            </w:r>
          </w:p>
        </w:tc>
        <w:tc>
          <w:tcPr>
            <w:tcW w:w="1029" w:type="dxa"/>
          </w:tcPr>
          <w:p>
            <w:pPr>
              <w:pStyle w:val="TableParagraph"/>
              <w:spacing w:before="214"/>
              <w:ind w:left="389"/>
              <w:rPr>
                <w:sz w:val="22"/>
              </w:rPr>
            </w:pPr>
            <w:r>
              <w:rPr>
                <w:spacing w:val="-5"/>
                <w:sz w:val="22"/>
              </w:rPr>
              <w:t>AMC</w:t>
            </w:r>
          </w:p>
        </w:tc>
        <w:tc>
          <w:tcPr>
            <w:tcW w:w="1615" w:type="dxa"/>
          </w:tcPr>
          <w:p>
            <w:pPr>
              <w:pStyle w:val="TableParagraph"/>
              <w:spacing w:before="91"/>
              <w:rPr>
                <w:b/>
                <w:i/>
                <w:sz w:val="22"/>
              </w:rPr>
            </w:pPr>
          </w:p>
          <w:p>
            <w:pPr>
              <w:pStyle w:val="TableParagraph"/>
              <w:spacing w:before="1"/>
              <w:ind w:left="16"/>
              <w:jc w:val="center"/>
              <w:rPr>
                <w:sz w:val="22"/>
              </w:rPr>
            </w:pPr>
            <w:r>
              <w:rPr>
                <w:spacing w:val="-2"/>
                <w:sz w:val="22"/>
              </w:rPr>
              <w:t>18.000±0.000</w:t>
            </w:r>
          </w:p>
        </w:tc>
        <w:tc>
          <w:tcPr>
            <w:tcW w:w="969" w:type="dxa"/>
          </w:tcPr>
          <w:p>
            <w:pPr>
              <w:pStyle w:val="TableParagraph"/>
              <w:spacing w:before="214"/>
              <w:ind w:right="99"/>
              <w:jc w:val="center"/>
              <w:rPr>
                <w:sz w:val="22"/>
              </w:rPr>
            </w:pPr>
            <w:r>
              <w:rPr>
                <w:spacing w:val="-2"/>
                <w:sz w:val="22"/>
              </w:rPr>
              <w:t>0.164</w:t>
            </w:r>
          </w:p>
        </w:tc>
        <w:tc>
          <w:tcPr>
            <w:tcW w:w="877" w:type="dxa"/>
          </w:tcPr>
          <w:p>
            <w:pPr>
              <w:pStyle w:val="TableParagraph"/>
              <w:spacing w:before="91"/>
              <w:rPr>
                <w:b/>
                <w:i/>
                <w:sz w:val="22"/>
              </w:rPr>
            </w:pPr>
          </w:p>
          <w:p>
            <w:pPr>
              <w:pStyle w:val="TableParagraph"/>
              <w:spacing w:before="1"/>
              <w:ind w:left="20" w:right="100"/>
              <w:jc w:val="center"/>
              <w:rPr>
                <w:sz w:val="22"/>
              </w:rPr>
            </w:pPr>
            <w:r>
              <w:rPr>
                <w:spacing w:val="-5"/>
                <w:sz w:val="22"/>
              </w:rPr>
              <w:t>NS</w:t>
            </w:r>
          </w:p>
        </w:tc>
      </w:tr>
      <w:tr>
        <w:trPr>
          <w:trHeight w:val="450" w:hRule="atLeast"/>
        </w:trPr>
        <w:tc>
          <w:tcPr>
            <w:tcW w:w="2292" w:type="dxa"/>
          </w:tcPr>
          <w:p>
            <w:pPr>
              <w:pStyle w:val="TableParagraph"/>
              <w:rPr>
                <w:rFonts w:ascii="Times New Roman"/>
                <w:sz w:val="22"/>
              </w:rPr>
            </w:pPr>
          </w:p>
        </w:tc>
        <w:tc>
          <w:tcPr>
            <w:tcW w:w="1029" w:type="dxa"/>
          </w:tcPr>
          <w:p>
            <w:pPr>
              <w:pStyle w:val="TableParagraph"/>
              <w:spacing w:before="70"/>
              <w:ind w:left="442"/>
              <w:rPr>
                <w:sz w:val="22"/>
              </w:rPr>
            </w:pPr>
            <w:r>
              <w:rPr>
                <w:spacing w:val="-5"/>
                <w:sz w:val="22"/>
              </w:rPr>
              <w:t>LEV</w:t>
            </w:r>
          </w:p>
        </w:tc>
        <w:tc>
          <w:tcPr>
            <w:tcW w:w="1615" w:type="dxa"/>
          </w:tcPr>
          <w:p>
            <w:pPr>
              <w:pStyle w:val="TableParagraph"/>
              <w:spacing w:before="70"/>
              <w:ind w:left="16"/>
              <w:jc w:val="center"/>
              <w:rPr>
                <w:sz w:val="22"/>
              </w:rPr>
            </w:pPr>
            <w:r>
              <w:rPr>
                <w:spacing w:val="-2"/>
                <w:sz w:val="22"/>
              </w:rPr>
              <w:t>22.500±0.500</w:t>
            </w:r>
          </w:p>
        </w:tc>
        <w:tc>
          <w:tcPr>
            <w:tcW w:w="969" w:type="dxa"/>
          </w:tcPr>
          <w:p>
            <w:pPr>
              <w:pStyle w:val="TableParagraph"/>
              <w:spacing w:before="70"/>
              <w:ind w:right="99"/>
              <w:jc w:val="center"/>
              <w:rPr>
                <w:sz w:val="22"/>
              </w:rPr>
            </w:pPr>
            <w:r>
              <w:rPr>
                <w:spacing w:val="-2"/>
                <w:sz w:val="22"/>
              </w:rPr>
              <w:t>0.997</w:t>
            </w:r>
          </w:p>
        </w:tc>
        <w:tc>
          <w:tcPr>
            <w:tcW w:w="877" w:type="dxa"/>
          </w:tcPr>
          <w:p>
            <w:pPr>
              <w:pStyle w:val="TableParagraph"/>
              <w:spacing w:before="70"/>
              <w:ind w:left="20" w:right="100"/>
              <w:jc w:val="center"/>
              <w:rPr>
                <w:sz w:val="22"/>
              </w:rPr>
            </w:pPr>
            <w:r>
              <w:rPr>
                <w:spacing w:val="-5"/>
                <w:sz w:val="22"/>
              </w:rPr>
              <w:t>NS</w:t>
            </w:r>
          </w:p>
        </w:tc>
      </w:tr>
      <w:tr>
        <w:trPr>
          <w:trHeight w:val="523" w:hRule="atLeast"/>
        </w:trPr>
        <w:tc>
          <w:tcPr>
            <w:tcW w:w="2292" w:type="dxa"/>
            <w:tcBorders>
              <w:bottom w:val="single" w:sz="4" w:space="0" w:color="000000"/>
            </w:tcBorders>
          </w:tcPr>
          <w:p>
            <w:pPr>
              <w:pStyle w:val="TableParagraph"/>
              <w:rPr>
                <w:rFonts w:ascii="Times New Roman"/>
                <w:sz w:val="22"/>
              </w:rPr>
            </w:pPr>
          </w:p>
        </w:tc>
        <w:tc>
          <w:tcPr>
            <w:tcW w:w="1029" w:type="dxa"/>
            <w:tcBorders>
              <w:bottom w:val="single" w:sz="4" w:space="0" w:color="000000"/>
            </w:tcBorders>
          </w:tcPr>
          <w:p>
            <w:pPr>
              <w:pStyle w:val="TableParagraph"/>
              <w:spacing w:before="71"/>
              <w:ind w:left="396"/>
              <w:rPr>
                <w:sz w:val="22"/>
              </w:rPr>
            </w:pPr>
            <w:r>
              <w:rPr>
                <w:spacing w:val="-5"/>
                <w:sz w:val="22"/>
              </w:rPr>
              <w:t>AZM</w:t>
            </w:r>
          </w:p>
        </w:tc>
        <w:tc>
          <w:tcPr>
            <w:tcW w:w="1615" w:type="dxa"/>
            <w:tcBorders>
              <w:bottom w:val="single" w:sz="4" w:space="0" w:color="000000"/>
            </w:tcBorders>
          </w:tcPr>
          <w:p>
            <w:pPr>
              <w:pStyle w:val="TableParagraph"/>
              <w:spacing w:before="71"/>
              <w:ind w:left="16"/>
              <w:jc w:val="center"/>
              <w:rPr>
                <w:sz w:val="22"/>
              </w:rPr>
            </w:pPr>
            <w:r>
              <w:rPr>
                <w:spacing w:val="-2"/>
                <w:sz w:val="22"/>
              </w:rPr>
              <w:t>14.500±0.500</w:t>
            </w:r>
          </w:p>
        </w:tc>
        <w:tc>
          <w:tcPr>
            <w:tcW w:w="969" w:type="dxa"/>
            <w:tcBorders>
              <w:bottom w:val="single" w:sz="4" w:space="0" w:color="000000"/>
            </w:tcBorders>
          </w:tcPr>
          <w:p>
            <w:pPr>
              <w:pStyle w:val="TableParagraph"/>
              <w:spacing w:before="71"/>
              <w:ind w:right="99"/>
              <w:jc w:val="center"/>
              <w:rPr>
                <w:sz w:val="22"/>
              </w:rPr>
            </w:pPr>
            <w:r>
              <w:rPr>
                <w:spacing w:val="-2"/>
                <w:sz w:val="22"/>
              </w:rPr>
              <w:t>0.012</w:t>
            </w:r>
          </w:p>
        </w:tc>
        <w:tc>
          <w:tcPr>
            <w:tcW w:w="877" w:type="dxa"/>
            <w:tcBorders>
              <w:bottom w:val="single" w:sz="4" w:space="0" w:color="000000"/>
            </w:tcBorders>
          </w:tcPr>
          <w:p>
            <w:pPr>
              <w:pStyle w:val="TableParagraph"/>
              <w:spacing w:before="71"/>
              <w:ind w:left="20" w:right="101"/>
              <w:jc w:val="center"/>
              <w:rPr>
                <w:sz w:val="22"/>
              </w:rPr>
            </w:pPr>
            <w:r>
              <w:rPr>
                <w:spacing w:val="-5"/>
                <w:sz w:val="22"/>
              </w:rPr>
              <w:t>SF</w:t>
            </w:r>
          </w:p>
        </w:tc>
      </w:tr>
      <w:tr>
        <w:trPr>
          <w:trHeight w:val="376" w:hRule="atLeast"/>
        </w:trPr>
        <w:tc>
          <w:tcPr>
            <w:tcW w:w="2292" w:type="dxa"/>
            <w:tcBorders>
              <w:top w:val="single" w:sz="4" w:space="0" w:color="000000"/>
            </w:tcBorders>
          </w:tcPr>
          <w:p>
            <w:pPr>
              <w:pStyle w:val="TableParagraph"/>
              <w:rPr>
                <w:rFonts w:ascii="Times New Roman"/>
                <w:sz w:val="22"/>
              </w:rPr>
            </w:pPr>
          </w:p>
        </w:tc>
        <w:tc>
          <w:tcPr>
            <w:tcW w:w="1029" w:type="dxa"/>
            <w:tcBorders>
              <w:top w:val="single" w:sz="4" w:space="0" w:color="000000"/>
            </w:tcBorders>
          </w:tcPr>
          <w:p>
            <w:pPr>
              <w:pStyle w:val="TableParagraph"/>
              <w:spacing w:line="265" w:lineRule="exact"/>
              <w:ind w:left="413"/>
              <w:rPr>
                <w:sz w:val="22"/>
              </w:rPr>
            </w:pPr>
            <w:r>
              <w:rPr>
                <w:spacing w:val="-5"/>
                <w:sz w:val="22"/>
              </w:rPr>
              <w:t>CRO</w:t>
            </w:r>
          </w:p>
        </w:tc>
        <w:tc>
          <w:tcPr>
            <w:tcW w:w="1615" w:type="dxa"/>
            <w:tcBorders>
              <w:top w:val="single" w:sz="4" w:space="0" w:color="000000"/>
            </w:tcBorders>
          </w:tcPr>
          <w:p>
            <w:pPr>
              <w:pStyle w:val="TableParagraph"/>
              <w:spacing w:line="265" w:lineRule="exact"/>
              <w:ind w:left="16"/>
              <w:jc w:val="center"/>
              <w:rPr>
                <w:sz w:val="22"/>
              </w:rPr>
            </w:pPr>
            <w:r>
              <w:rPr>
                <w:spacing w:val="-2"/>
                <w:sz w:val="22"/>
              </w:rPr>
              <w:t>25.500±2.500</w:t>
            </w:r>
          </w:p>
        </w:tc>
        <w:tc>
          <w:tcPr>
            <w:tcW w:w="969" w:type="dxa"/>
            <w:tcBorders>
              <w:top w:val="single" w:sz="4" w:space="0" w:color="000000"/>
            </w:tcBorders>
          </w:tcPr>
          <w:p>
            <w:pPr>
              <w:pStyle w:val="TableParagraph"/>
              <w:spacing w:line="265" w:lineRule="exact"/>
              <w:ind w:right="99"/>
              <w:jc w:val="center"/>
              <w:rPr>
                <w:sz w:val="22"/>
              </w:rPr>
            </w:pPr>
            <w:r>
              <w:rPr>
                <w:spacing w:val="-2"/>
                <w:sz w:val="22"/>
              </w:rPr>
              <w:t>1.000</w:t>
            </w:r>
          </w:p>
        </w:tc>
        <w:tc>
          <w:tcPr>
            <w:tcW w:w="877" w:type="dxa"/>
            <w:tcBorders>
              <w:top w:val="single" w:sz="4" w:space="0" w:color="000000"/>
            </w:tcBorders>
          </w:tcPr>
          <w:p>
            <w:pPr>
              <w:pStyle w:val="TableParagraph"/>
              <w:spacing w:line="265" w:lineRule="exact"/>
              <w:ind w:left="20" w:right="100"/>
              <w:jc w:val="center"/>
              <w:rPr>
                <w:sz w:val="22"/>
              </w:rPr>
            </w:pPr>
            <w:r>
              <w:rPr>
                <w:spacing w:val="-5"/>
                <w:sz w:val="22"/>
              </w:rPr>
              <w:t>NS</w:t>
            </w:r>
          </w:p>
        </w:tc>
      </w:tr>
      <w:tr>
        <w:trPr>
          <w:trHeight w:val="450" w:hRule="atLeast"/>
        </w:trPr>
        <w:tc>
          <w:tcPr>
            <w:tcW w:w="2292" w:type="dxa"/>
          </w:tcPr>
          <w:p>
            <w:pPr>
              <w:pStyle w:val="TableParagraph"/>
              <w:rPr>
                <w:rFonts w:ascii="Times New Roman"/>
                <w:sz w:val="22"/>
              </w:rPr>
            </w:pPr>
          </w:p>
        </w:tc>
        <w:tc>
          <w:tcPr>
            <w:tcW w:w="1029" w:type="dxa"/>
          </w:tcPr>
          <w:p>
            <w:pPr>
              <w:pStyle w:val="TableParagraph"/>
              <w:spacing w:before="71"/>
              <w:ind w:left="475"/>
              <w:rPr>
                <w:sz w:val="22"/>
              </w:rPr>
            </w:pPr>
            <w:r>
              <w:rPr>
                <w:spacing w:val="-5"/>
                <w:sz w:val="22"/>
              </w:rPr>
              <w:t>CN</w:t>
            </w:r>
          </w:p>
        </w:tc>
        <w:tc>
          <w:tcPr>
            <w:tcW w:w="1615" w:type="dxa"/>
          </w:tcPr>
          <w:p>
            <w:pPr>
              <w:pStyle w:val="TableParagraph"/>
              <w:spacing w:before="71"/>
              <w:ind w:left="16"/>
              <w:jc w:val="center"/>
              <w:rPr>
                <w:sz w:val="22"/>
              </w:rPr>
            </w:pPr>
            <w:r>
              <w:rPr>
                <w:spacing w:val="-2"/>
                <w:sz w:val="22"/>
              </w:rPr>
              <w:t>20.500±0.500</w:t>
            </w:r>
          </w:p>
        </w:tc>
        <w:tc>
          <w:tcPr>
            <w:tcW w:w="969" w:type="dxa"/>
          </w:tcPr>
          <w:p>
            <w:pPr>
              <w:pStyle w:val="TableParagraph"/>
              <w:spacing w:before="71"/>
              <w:ind w:right="99"/>
              <w:jc w:val="center"/>
              <w:rPr>
                <w:sz w:val="22"/>
              </w:rPr>
            </w:pPr>
            <w:r>
              <w:rPr>
                <w:spacing w:val="-2"/>
                <w:sz w:val="22"/>
              </w:rPr>
              <w:t>0.324</w:t>
            </w:r>
          </w:p>
        </w:tc>
        <w:tc>
          <w:tcPr>
            <w:tcW w:w="877" w:type="dxa"/>
          </w:tcPr>
          <w:p>
            <w:pPr>
              <w:pStyle w:val="TableParagraph"/>
              <w:spacing w:before="71"/>
              <w:ind w:left="20" w:right="100"/>
              <w:jc w:val="center"/>
              <w:rPr>
                <w:sz w:val="22"/>
              </w:rPr>
            </w:pPr>
            <w:r>
              <w:rPr>
                <w:spacing w:val="-5"/>
                <w:sz w:val="22"/>
              </w:rPr>
              <w:t>NS</w:t>
            </w:r>
          </w:p>
        </w:tc>
      </w:tr>
      <w:tr>
        <w:trPr>
          <w:trHeight w:val="739" w:hRule="atLeast"/>
        </w:trPr>
        <w:tc>
          <w:tcPr>
            <w:tcW w:w="2292" w:type="dxa"/>
          </w:tcPr>
          <w:p>
            <w:pPr>
              <w:pStyle w:val="TableParagraph"/>
              <w:spacing w:before="70"/>
              <w:ind w:left="155"/>
              <w:jc w:val="center"/>
              <w:rPr>
                <w:sz w:val="22"/>
              </w:rPr>
            </w:pPr>
            <w:r>
              <w:rPr>
                <w:sz w:val="22"/>
              </w:rPr>
              <w:t>H/L;</w:t>
            </w:r>
            <w:r>
              <w:rPr>
                <w:spacing w:val="-5"/>
                <w:sz w:val="22"/>
              </w:rPr>
              <w:t> </w:t>
            </w:r>
            <w:r>
              <w:rPr>
                <w:spacing w:val="-2"/>
                <w:sz w:val="22"/>
              </w:rPr>
              <w:t>50:50</w:t>
            </w:r>
          </w:p>
          <w:p>
            <w:pPr>
              <w:pStyle w:val="TableParagraph"/>
              <w:spacing w:before="22"/>
              <w:ind w:left="155" w:right="3"/>
              <w:jc w:val="center"/>
              <w:rPr>
                <w:sz w:val="22"/>
              </w:rPr>
            </w:pPr>
            <w:r>
              <w:rPr>
                <w:spacing w:val="-2"/>
                <w:sz w:val="22"/>
              </w:rPr>
              <w:t>(25.500±1.500)</w:t>
            </w:r>
          </w:p>
        </w:tc>
        <w:tc>
          <w:tcPr>
            <w:tcW w:w="1029" w:type="dxa"/>
          </w:tcPr>
          <w:p>
            <w:pPr>
              <w:pStyle w:val="TableParagraph"/>
              <w:spacing w:before="216"/>
              <w:ind w:left="389"/>
              <w:rPr>
                <w:sz w:val="22"/>
              </w:rPr>
            </w:pPr>
            <w:r>
              <w:rPr>
                <w:spacing w:val="-5"/>
                <w:sz w:val="22"/>
              </w:rPr>
              <w:t>AMC</w:t>
            </w:r>
          </w:p>
        </w:tc>
        <w:tc>
          <w:tcPr>
            <w:tcW w:w="1615" w:type="dxa"/>
          </w:tcPr>
          <w:p>
            <w:pPr>
              <w:pStyle w:val="TableParagraph"/>
              <w:spacing w:before="91"/>
              <w:rPr>
                <w:b/>
                <w:i/>
                <w:sz w:val="22"/>
              </w:rPr>
            </w:pPr>
          </w:p>
          <w:p>
            <w:pPr>
              <w:pStyle w:val="TableParagraph"/>
              <w:spacing w:before="1"/>
              <w:ind w:left="16"/>
              <w:jc w:val="center"/>
              <w:rPr>
                <w:sz w:val="22"/>
              </w:rPr>
            </w:pPr>
            <w:r>
              <w:rPr>
                <w:spacing w:val="-2"/>
                <w:sz w:val="22"/>
              </w:rPr>
              <w:t>18.000±0.000</w:t>
            </w:r>
          </w:p>
        </w:tc>
        <w:tc>
          <w:tcPr>
            <w:tcW w:w="969" w:type="dxa"/>
          </w:tcPr>
          <w:p>
            <w:pPr>
              <w:pStyle w:val="TableParagraph"/>
              <w:spacing w:before="216"/>
              <w:ind w:right="99"/>
              <w:jc w:val="center"/>
              <w:rPr>
                <w:sz w:val="22"/>
              </w:rPr>
            </w:pPr>
            <w:r>
              <w:rPr>
                <w:spacing w:val="-2"/>
                <w:sz w:val="22"/>
              </w:rPr>
              <w:t>0.054</w:t>
            </w:r>
          </w:p>
        </w:tc>
        <w:tc>
          <w:tcPr>
            <w:tcW w:w="877" w:type="dxa"/>
          </w:tcPr>
          <w:p>
            <w:pPr>
              <w:pStyle w:val="TableParagraph"/>
              <w:spacing w:before="91"/>
              <w:rPr>
                <w:b/>
                <w:i/>
                <w:sz w:val="22"/>
              </w:rPr>
            </w:pPr>
          </w:p>
          <w:p>
            <w:pPr>
              <w:pStyle w:val="TableParagraph"/>
              <w:spacing w:before="1"/>
              <w:ind w:left="20" w:right="101"/>
              <w:jc w:val="center"/>
              <w:rPr>
                <w:sz w:val="22"/>
              </w:rPr>
            </w:pPr>
            <w:r>
              <w:rPr>
                <w:spacing w:val="-5"/>
                <w:sz w:val="22"/>
              </w:rPr>
              <w:t>SF</w:t>
            </w:r>
          </w:p>
        </w:tc>
      </w:tr>
      <w:tr>
        <w:trPr>
          <w:trHeight w:val="450" w:hRule="atLeast"/>
        </w:trPr>
        <w:tc>
          <w:tcPr>
            <w:tcW w:w="2292" w:type="dxa"/>
          </w:tcPr>
          <w:p>
            <w:pPr>
              <w:pStyle w:val="TableParagraph"/>
              <w:rPr>
                <w:rFonts w:ascii="Times New Roman"/>
                <w:sz w:val="22"/>
              </w:rPr>
            </w:pPr>
          </w:p>
        </w:tc>
        <w:tc>
          <w:tcPr>
            <w:tcW w:w="1029" w:type="dxa"/>
          </w:tcPr>
          <w:p>
            <w:pPr>
              <w:pStyle w:val="TableParagraph"/>
              <w:spacing w:before="70"/>
              <w:ind w:left="442"/>
              <w:rPr>
                <w:sz w:val="22"/>
              </w:rPr>
            </w:pPr>
            <w:r>
              <w:rPr>
                <w:spacing w:val="-5"/>
                <w:sz w:val="22"/>
              </w:rPr>
              <w:t>LEV</w:t>
            </w:r>
          </w:p>
        </w:tc>
        <w:tc>
          <w:tcPr>
            <w:tcW w:w="1615" w:type="dxa"/>
          </w:tcPr>
          <w:p>
            <w:pPr>
              <w:pStyle w:val="TableParagraph"/>
              <w:spacing w:before="70"/>
              <w:ind w:left="16"/>
              <w:jc w:val="center"/>
              <w:rPr>
                <w:sz w:val="22"/>
              </w:rPr>
            </w:pPr>
            <w:r>
              <w:rPr>
                <w:spacing w:val="-2"/>
                <w:sz w:val="22"/>
              </w:rPr>
              <w:t>22.500±0.500</w:t>
            </w:r>
          </w:p>
        </w:tc>
        <w:tc>
          <w:tcPr>
            <w:tcW w:w="969" w:type="dxa"/>
          </w:tcPr>
          <w:p>
            <w:pPr>
              <w:pStyle w:val="TableParagraph"/>
              <w:spacing w:before="70"/>
              <w:ind w:right="99"/>
              <w:jc w:val="center"/>
              <w:rPr>
                <w:sz w:val="22"/>
              </w:rPr>
            </w:pPr>
            <w:r>
              <w:rPr>
                <w:spacing w:val="-2"/>
                <w:sz w:val="22"/>
              </w:rPr>
              <w:t>0.841</w:t>
            </w:r>
          </w:p>
        </w:tc>
        <w:tc>
          <w:tcPr>
            <w:tcW w:w="877" w:type="dxa"/>
          </w:tcPr>
          <w:p>
            <w:pPr>
              <w:pStyle w:val="TableParagraph"/>
              <w:spacing w:before="70"/>
              <w:ind w:left="20" w:right="100"/>
              <w:jc w:val="center"/>
              <w:rPr>
                <w:sz w:val="22"/>
              </w:rPr>
            </w:pPr>
            <w:r>
              <w:rPr>
                <w:spacing w:val="-5"/>
                <w:sz w:val="22"/>
              </w:rPr>
              <w:t>NS</w:t>
            </w:r>
          </w:p>
        </w:tc>
      </w:tr>
      <w:tr>
        <w:trPr>
          <w:trHeight w:val="523" w:hRule="atLeast"/>
        </w:trPr>
        <w:tc>
          <w:tcPr>
            <w:tcW w:w="2292" w:type="dxa"/>
            <w:tcBorders>
              <w:bottom w:val="single" w:sz="4" w:space="0" w:color="000000"/>
            </w:tcBorders>
          </w:tcPr>
          <w:p>
            <w:pPr>
              <w:pStyle w:val="TableParagraph"/>
              <w:rPr>
                <w:rFonts w:ascii="Times New Roman"/>
                <w:sz w:val="22"/>
              </w:rPr>
            </w:pPr>
          </w:p>
        </w:tc>
        <w:tc>
          <w:tcPr>
            <w:tcW w:w="1029" w:type="dxa"/>
            <w:tcBorders>
              <w:bottom w:val="single" w:sz="4" w:space="0" w:color="000000"/>
            </w:tcBorders>
          </w:tcPr>
          <w:p>
            <w:pPr>
              <w:pStyle w:val="TableParagraph"/>
              <w:spacing w:before="71"/>
              <w:ind w:left="396"/>
              <w:rPr>
                <w:sz w:val="22"/>
              </w:rPr>
            </w:pPr>
            <w:r>
              <w:rPr>
                <w:spacing w:val="-5"/>
                <w:sz w:val="22"/>
              </w:rPr>
              <w:t>AZM</w:t>
            </w:r>
          </w:p>
        </w:tc>
        <w:tc>
          <w:tcPr>
            <w:tcW w:w="1615" w:type="dxa"/>
            <w:tcBorders>
              <w:bottom w:val="single" w:sz="4" w:space="0" w:color="000000"/>
            </w:tcBorders>
          </w:tcPr>
          <w:p>
            <w:pPr>
              <w:pStyle w:val="TableParagraph"/>
              <w:spacing w:before="71"/>
              <w:ind w:left="16"/>
              <w:jc w:val="center"/>
              <w:rPr>
                <w:sz w:val="22"/>
              </w:rPr>
            </w:pPr>
            <w:r>
              <w:rPr>
                <w:spacing w:val="-2"/>
                <w:sz w:val="22"/>
              </w:rPr>
              <w:t>14.500±0.500</w:t>
            </w:r>
          </w:p>
        </w:tc>
        <w:tc>
          <w:tcPr>
            <w:tcW w:w="969" w:type="dxa"/>
            <w:tcBorders>
              <w:bottom w:val="single" w:sz="4" w:space="0" w:color="000000"/>
            </w:tcBorders>
          </w:tcPr>
          <w:p>
            <w:pPr>
              <w:pStyle w:val="TableParagraph"/>
              <w:spacing w:before="71"/>
              <w:ind w:right="99"/>
              <w:jc w:val="center"/>
              <w:rPr>
                <w:sz w:val="22"/>
              </w:rPr>
            </w:pPr>
            <w:r>
              <w:rPr>
                <w:spacing w:val="-2"/>
                <w:sz w:val="22"/>
              </w:rPr>
              <w:t>0.004</w:t>
            </w:r>
          </w:p>
        </w:tc>
        <w:tc>
          <w:tcPr>
            <w:tcW w:w="877" w:type="dxa"/>
            <w:tcBorders>
              <w:bottom w:val="single" w:sz="4" w:space="0" w:color="000000"/>
            </w:tcBorders>
          </w:tcPr>
          <w:p>
            <w:pPr>
              <w:pStyle w:val="TableParagraph"/>
              <w:spacing w:before="71"/>
              <w:ind w:left="20" w:right="101"/>
              <w:jc w:val="center"/>
              <w:rPr>
                <w:sz w:val="22"/>
              </w:rPr>
            </w:pPr>
            <w:r>
              <w:rPr>
                <w:spacing w:val="-5"/>
                <w:sz w:val="22"/>
              </w:rPr>
              <w:t>SF</w:t>
            </w:r>
          </w:p>
        </w:tc>
      </w:tr>
    </w:tbl>
    <w:p>
      <w:pPr>
        <w:pStyle w:val="BodyText"/>
        <w:spacing w:line="276" w:lineRule="auto" w:before="26"/>
        <w:ind w:left="1100" w:right="975"/>
      </w:pPr>
      <w:r>
        <w:rPr/>
        <w:t>Key:</w:t>
      </w:r>
      <w:r>
        <w:rPr>
          <w:spacing w:val="40"/>
        </w:rPr>
        <w:t> </w:t>
      </w:r>
      <w:r>
        <w:rPr/>
        <w:t>LOS=Level</w:t>
      </w:r>
      <w:r>
        <w:rPr>
          <w:spacing w:val="40"/>
        </w:rPr>
        <w:t> </w:t>
      </w:r>
      <w:r>
        <w:rPr/>
        <w:t>of</w:t>
      </w:r>
      <w:r>
        <w:rPr>
          <w:spacing w:val="40"/>
        </w:rPr>
        <w:t> </w:t>
      </w:r>
      <w:r>
        <w:rPr/>
        <w:t>Significance;</w:t>
      </w:r>
      <w:r>
        <w:rPr>
          <w:spacing w:val="40"/>
        </w:rPr>
        <w:t> </w:t>
      </w:r>
      <w:r>
        <w:rPr/>
        <w:t>NS=Not</w:t>
      </w:r>
      <w:r>
        <w:rPr>
          <w:spacing w:val="40"/>
        </w:rPr>
        <w:t> </w:t>
      </w:r>
      <w:r>
        <w:rPr/>
        <w:t>significantly</w:t>
      </w:r>
      <w:r>
        <w:rPr>
          <w:spacing w:val="40"/>
        </w:rPr>
        <w:t> </w:t>
      </w:r>
      <w:r>
        <w:rPr/>
        <w:t>different;</w:t>
      </w:r>
      <w:r>
        <w:rPr>
          <w:spacing w:val="40"/>
        </w:rPr>
        <w:t> </w:t>
      </w:r>
      <w:r>
        <w:rPr/>
        <w:t>SF=Significantly</w:t>
      </w:r>
      <w:r>
        <w:rPr>
          <w:spacing w:val="40"/>
        </w:rPr>
        <w:t> </w:t>
      </w:r>
      <w:r>
        <w:rPr/>
        <w:t>different; L=Lemon juice, H=Honey.</w:t>
      </w:r>
    </w:p>
    <w:p>
      <w:pPr>
        <w:spacing w:after="0" w:line="276" w:lineRule="auto"/>
        <w:sectPr>
          <w:type w:val="continuous"/>
          <w:pgSz w:w="11910" w:h="16840"/>
          <w:pgMar w:header="0" w:footer="1055" w:top="1400" w:bottom="1240" w:left="1060" w:right="460"/>
        </w:sectPr>
      </w:pPr>
    </w:p>
    <w:p>
      <w:pPr>
        <w:pStyle w:val="BodyText"/>
      </w:pPr>
    </w:p>
    <w:p>
      <w:pPr>
        <w:pStyle w:val="BodyText"/>
      </w:pPr>
    </w:p>
    <w:p>
      <w:pPr>
        <w:pStyle w:val="BodyText"/>
        <w:spacing w:before="87"/>
      </w:pPr>
    </w:p>
    <w:p>
      <w:pPr>
        <w:pStyle w:val="Heading3"/>
        <w:tabs>
          <w:tab w:pos="1820" w:val="left" w:leader="none"/>
        </w:tabs>
        <w:spacing w:line="259" w:lineRule="auto"/>
        <w:ind w:left="1820" w:right="1385" w:hanging="1440"/>
        <w:rPr>
          <w:i/>
        </w:rPr>
      </w:pPr>
      <w:r>
        <w:rPr/>
        <w:t>Table 4.25:</w:t>
        <w:tab/>
        <w:t>Comparing</w:t>
      </w:r>
      <w:r>
        <w:rPr>
          <w:spacing w:val="-4"/>
        </w:rPr>
        <w:t> </w:t>
      </w:r>
      <w:r>
        <w:rPr/>
        <w:t>the</w:t>
      </w:r>
      <w:r>
        <w:rPr>
          <w:spacing w:val="-3"/>
        </w:rPr>
        <w:t> </w:t>
      </w:r>
      <w:r>
        <w:rPr/>
        <w:t>Mean</w:t>
      </w:r>
      <w:r>
        <w:rPr>
          <w:spacing w:val="-3"/>
        </w:rPr>
        <w:t> </w:t>
      </w:r>
      <w:r>
        <w:rPr/>
        <w:t>zone</w:t>
      </w:r>
      <w:r>
        <w:rPr>
          <w:spacing w:val="-3"/>
        </w:rPr>
        <w:t> </w:t>
      </w:r>
      <w:r>
        <w:rPr/>
        <w:t>of</w:t>
      </w:r>
      <w:r>
        <w:rPr>
          <w:spacing w:val="-2"/>
        </w:rPr>
        <w:t> </w:t>
      </w:r>
      <w:r>
        <w:rPr/>
        <w:t>inhibition</w:t>
      </w:r>
      <w:r>
        <w:rPr>
          <w:spacing w:val="-3"/>
        </w:rPr>
        <w:t> </w:t>
      </w:r>
      <w:r>
        <w:rPr/>
        <w:t>of</w:t>
      </w:r>
      <w:r>
        <w:rPr>
          <w:spacing w:val="-2"/>
        </w:rPr>
        <w:t> </w:t>
      </w:r>
      <w:r>
        <w:rPr/>
        <w:t>Honey/Lemon</w:t>
      </w:r>
      <w:r>
        <w:rPr>
          <w:spacing w:val="-1"/>
        </w:rPr>
        <w:t> </w:t>
      </w:r>
      <w:r>
        <w:rPr/>
        <w:t>juice</w:t>
      </w:r>
      <w:r>
        <w:rPr>
          <w:spacing w:val="-2"/>
        </w:rPr>
        <w:t> </w:t>
      </w:r>
      <w:r>
        <w:rPr/>
        <w:t>mixture</w:t>
      </w:r>
      <w:r>
        <w:rPr>
          <w:spacing w:val="-3"/>
        </w:rPr>
        <w:t> </w:t>
      </w:r>
      <w:r>
        <w:rPr/>
        <w:t>and</w:t>
      </w:r>
      <w:r>
        <w:rPr>
          <w:spacing w:val="-3"/>
        </w:rPr>
        <w:t> </w:t>
      </w:r>
      <w:r>
        <w:rPr/>
        <w:t>the Standard antibiotic formulations against </w:t>
      </w:r>
      <w:r>
        <w:rPr>
          <w:i/>
        </w:rPr>
        <w:t>Pseudomonas aeruginosa</w:t>
      </w:r>
    </w:p>
    <w:p>
      <w:pPr>
        <w:pStyle w:val="BodyText"/>
        <w:rPr>
          <w:b/>
          <w:i/>
          <w:sz w:val="20"/>
        </w:rPr>
      </w:pPr>
    </w:p>
    <w:p>
      <w:pPr>
        <w:pStyle w:val="BodyText"/>
        <w:rPr>
          <w:b/>
          <w:i/>
          <w:sz w:val="20"/>
        </w:rPr>
      </w:pPr>
    </w:p>
    <w:p>
      <w:pPr>
        <w:pStyle w:val="BodyText"/>
        <w:spacing w:before="128" w:after="1"/>
        <w:rPr>
          <w:b/>
          <w:i/>
          <w:sz w:val="20"/>
        </w:rPr>
      </w:pPr>
    </w:p>
    <w:tbl>
      <w:tblPr>
        <w:tblW w:w="0" w:type="auto"/>
        <w:jc w:val="left"/>
        <w:tblInd w:w="1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7"/>
        <w:gridCol w:w="1094"/>
        <w:gridCol w:w="1542"/>
        <w:gridCol w:w="1024"/>
        <w:gridCol w:w="859"/>
      </w:tblGrid>
      <w:tr>
        <w:trPr>
          <w:trHeight w:val="909" w:hRule="atLeast"/>
        </w:trPr>
        <w:tc>
          <w:tcPr>
            <w:tcW w:w="2257" w:type="dxa"/>
            <w:tcBorders>
              <w:top w:val="single" w:sz="4" w:space="0" w:color="000000"/>
              <w:bottom w:val="single" w:sz="4" w:space="0" w:color="000000"/>
            </w:tcBorders>
          </w:tcPr>
          <w:p>
            <w:pPr>
              <w:pStyle w:val="TableParagraph"/>
              <w:spacing w:before="227"/>
              <w:ind w:left="819"/>
              <w:rPr>
                <w:sz w:val="22"/>
              </w:rPr>
            </w:pPr>
            <w:r>
              <w:rPr>
                <w:sz w:val="22"/>
              </w:rPr>
              <w:t>(I)</w:t>
            </w:r>
            <w:r>
              <w:rPr>
                <w:spacing w:val="-2"/>
                <w:sz w:val="22"/>
              </w:rPr>
              <w:t> Group</w:t>
            </w:r>
          </w:p>
        </w:tc>
        <w:tc>
          <w:tcPr>
            <w:tcW w:w="1094" w:type="dxa"/>
            <w:tcBorders>
              <w:top w:val="single" w:sz="4" w:space="0" w:color="000000"/>
              <w:bottom w:val="single" w:sz="4" w:space="0" w:color="000000"/>
            </w:tcBorders>
          </w:tcPr>
          <w:p>
            <w:pPr>
              <w:pStyle w:val="TableParagraph"/>
              <w:spacing w:before="80"/>
              <w:ind w:left="180"/>
              <w:jc w:val="center"/>
              <w:rPr>
                <w:sz w:val="22"/>
              </w:rPr>
            </w:pPr>
            <w:r>
              <w:rPr>
                <w:spacing w:val="-5"/>
                <w:sz w:val="22"/>
              </w:rPr>
              <w:t>(J)</w:t>
            </w:r>
          </w:p>
          <w:p>
            <w:pPr>
              <w:pStyle w:val="TableParagraph"/>
              <w:spacing w:before="22"/>
              <w:ind w:left="184"/>
              <w:jc w:val="center"/>
              <w:rPr>
                <w:sz w:val="22"/>
              </w:rPr>
            </w:pPr>
            <w:r>
              <w:rPr>
                <w:spacing w:val="-2"/>
                <w:sz w:val="22"/>
              </w:rPr>
              <w:t>Group</w:t>
            </w:r>
          </w:p>
        </w:tc>
        <w:tc>
          <w:tcPr>
            <w:tcW w:w="1542" w:type="dxa"/>
            <w:tcBorders>
              <w:top w:val="single" w:sz="4" w:space="0" w:color="000000"/>
              <w:bottom w:val="single" w:sz="4" w:space="0" w:color="000000"/>
            </w:tcBorders>
          </w:tcPr>
          <w:p>
            <w:pPr>
              <w:pStyle w:val="TableParagraph"/>
              <w:spacing w:before="227"/>
              <w:ind w:left="27"/>
              <w:jc w:val="center"/>
              <w:rPr>
                <w:sz w:val="22"/>
              </w:rPr>
            </w:pPr>
            <w:r>
              <w:rPr>
                <w:spacing w:val="-2"/>
                <w:sz w:val="22"/>
              </w:rPr>
              <w:t>Mean±SEM</w:t>
            </w:r>
          </w:p>
        </w:tc>
        <w:tc>
          <w:tcPr>
            <w:tcW w:w="1024" w:type="dxa"/>
            <w:tcBorders>
              <w:top w:val="single" w:sz="4" w:space="0" w:color="000000"/>
              <w:bottom w:val="single" w:sz="4" w:space="0" w:color="000000"/>
            </w:tcBorders>
          </w:tcPr>
          <w:p>
            <w:pPr>
              <w:pStyle w:val="TableParagraph"/>
              <w:spacing w:before="227"/>
              <w:ind w:left="3" w:right="73"/>
              <w:jc w:val="center"/>
              <w:rPr>
                <w:sz w:val="22"/>
              </w:rPr>
            </w:pPr>
            <w:r>
              <w:rPr>
                <w:sz w:val="22"/>
              </w:rPr>
              <w:t>P-</w:t>
            </w:r>
            <w:r>
              <w:rPr>
                <w:spacing w:val="-2"/>
                <w:sz w:val="22"/>
              </w:rPr>
              <w:t>value</w:t>
            </w:r>
          </w:p>
        </w:tc>
        <w:tc>
          <w:tcPr>
            <w:tcW w:w="859" w:type="dxa"/>
            <w:tcBorders>
              <w:top w:val="single" w:sz="4" w:space="0" w:color="000000"/>
              <w:bottom w:val="single" w:sz="4" w:space="0" w:color="000000"/>
            </w:tcBorders>
          </w:tcPr>
          <w:p>
            <w:pPr>
              <w:pStyle w:val="TableParagraph"/>
              <w:spacing w:before="227"/>
              <w:ind w:right="301"/>
              <w:jc w:val="right"/>
              <w:rPr>
                <w:sz w:val="22"/>
              </w:rPr>
            </w:pPr>
            <w:r>
              <w:rPr>
                <w:spacing w:val="-5"/>
                <w:sz w:val="22"/>
              </w:rPr>
              <w:t>LOS</w:t>
            </w:r>
          </w:p>
        </w:tc>
      </w:tr>
      <w:tr>
        <w:trPr>
          <w:trHeight w:val="375" w:hRule="atLeast"/>
        </w:trPr>
        <w:tc>
          <w:tcPr>
            <w:tcW w:w="2257" w:type="dxa"/>
            <w:tcBorders>
              <w:top w:val="single" w:sz="4" w:space="0" w:color="000000"/>
            </w:tcBorders>
          </w:tcPr>
          <w:p>
            <w:pPr>
              <w:pStyle w:val="TableParagraph"/>
              <w:rPr>
                <w:rFonts w:ascii="Times New Roman"/>
                <w:sz w:val="22"/>
              </w:rPr>
            </w:pPr>
          </w:p>
        </w:tc>
        <w:tc>
          <w:tcPr>
            <w:tcW w:w="1094" w:type="dxa"/>
            <w:tcBorders>
              <w:top w:val="single" w:sz="4" w:space="0" w:color="000000"/>
            </w:tcBorders>
          </w:tcPr>
          <w:p>
            <w:pPr>
              <w:pStyle w:val="TableParagraph"/>
              <w:spacing w:line="265" w:lineRule="exact"/>
              <w:ind w:left="181"/>
              <w:jc w:val="center"/>
              <w:rPr>
                <w:sz w:val="22"/>
              </w:rPr>
            </w:pPr>
            <w:r>
              <w:rPr>
                <w:spacing w:val="-5"/>
                <w:sz w:val="22"/>
              </w:rPr>
              <w:t>CRO</w:t>
            </w:r>
          </w:p>
        </w:tc>
        <w:tc>
          <w:tcPr>
            <w:tcW w:w="1542" w:type="dxa"/>
            <w:tcBorders>
              <w:top w:val="single" w:sz="4" w:space="0" w:color="000000"/>
            </w:tcBorders>
          </w:tcPr>
          <w:p>
            <w:pPr>
              <w:pStyle w:val="TableParagraph"/>
              <w:spacing w:line="265" w:lineRule="exact"/>
              <w:ind w:left="27" w:right="3"/>
              <w:jc w:val="center"/>
              <w:rPr>
                <w:sz w:val="22"/>
              </w:rPr>
            </w:pPr>
            <w:r>
              <w:rPr>
                <w:spacing w:val="-2"/>
                <w:sz w:val="22"/>
              </w:rPr>
              <w:t>20.083±0.701</w:t>
            </w:r>
          </w:p>
        </w:tc>
        <w:tc>
          <w:tcPr>
            <w:tcW w:w="1024" w:type="dxa"/>
            <w:tcBorders>
              <w:top w:val="single" w:sz="4" w:space="0" w:color="000000"/>
            </w:tcBorders>
          </w:tcPr>
          <w:p>
            <w:pPr>
              <w:pStyle w:val="TableParagraph"/>
              <w:spacing w:line="265" w:lineRule="exact"/>
              <w:ind w:left="1" w:right="73"/>
              <w:jc w:val="center"/>
              <w:rPr>
                <w:sz w:val="22"/>
              </w:rPr>
            </w:pPr>
            <w:r>
              <w:rPr>
                <w:spacing w:val="-2"/>
                <w:sz w:val="22"/>
              </w:rPr>
              <w:t>1.000</w:t>
            </w:r>
          </w:p>
        </w:tc>
        <w:tc>
          <w:tcPr>
            <w:tcW w:w="859" w:type="dxa"/>
            <w:tcBorders>
              <w:top w:val="single" w:sz="4" w:space="0" w:color="000000"/>
            </w:tcBorders>
          </w:tcPr>
          <w:p>
            <w:pPr>
              <w:pStyle w:val="TableParagraph"/>
              <w:spacing w:line="265" w:lineRule="exact"/>
              <w:ind w:right="353"/>
              <w:jc w:val="right"/>
              <w:rPr>
                <w:sz w:val="22"/>
              </w:rPr>
            </w:pPr>
            <w:r>
              <w:rPr>
                <w:spacing w:val="-5"/>
                <w:sz w:val="22"/>
              </w:rPr>
              <w:t>NS</w:t>
            </w:r>
          </w:p>
        </w:tc>
      </w:tr>
      <w:tr>
        <w:trPr>
          <w:trHeight w:val="450" w:hRule="atLeast"/>
        </w:trPr>
        <w:tc>
          <w:tcPr>
            <w:tcW w:w="2257" w:type="dxa"/>
          </w:tcPr>
          <w:p>
            <w:pPr>
              <w:pStyle w:val="TableParagraph"/>
              <w:rPr>
                <w:rFonts w:ascii="Times New Roman"/>
                <w:sz w:val="22"/>
              </w:rPr>
            </w:pPr>
          </w:p>
        </w:tc>
        <w:tc>
          <w:tcPr>
            <w:tcW w:w="1094" w:type="dxa"/>
          </w:tcPr>
          <w:p>
            <w:pPr>
              <w:pStyle w:val="TableParagraph"/>
              <w:spacing w:before="70"/>
              <w:ind w:left="183"/>
              <w:jc w:val="center"/>
              <w:rPr>
                <w:sz w:val="22"/>
              </w:rPr>
            </w:pPr>
            <w:r>
              <w:rPr>
                <w:spacing w:val="-5"/>
                <w:sz w:val="22"/>
              </w:rPr>
              <w:t>CN</w:t>
            </w:r>
          </w:p>
        </w:tc>
        <w:tc>
          <w:tcPr>
            <w:tcW w:w="1542" w:type="dxa"/>
          </w:tcPr>
          <w:p>
            <w:pPr>
              <w:pStyle w:val="TableParagraph"/>
              <w:spacing w:before="70"/>
              <w:ind w:left="27" w:right="3"/>
              <w:jc w:val="center"/>
              <w:rPr>
                <w:sz w:val="22"/>
              </w:rPr>
            </w:pPr>
            <w:r>
              <w:rPr>
                <w:spacing w:val="-2"/>
                <w:sz w:val="22"/>
              </w:rPr>
              <w:t>20.333±0.541</w:t>
            </w:r>
          </w:p>
        </w:tc>
        <w:tc>
          <w:tcPr>
            <w:tcW w:w="1024" w:type="dxa"/>
          </w:tcPr>
          <w:p>
            <w:pPr>
              <w:pStyle w:val="TableParagraph"/>
              <w:spacing w:before="70"/>
              <w:ind w:left="1" w:right="73"/>
              <w:jc w:val="center"/>
              <w:rPr>
                <w:sz w:val="22"/>
              </w:rPr>
            </w:pPr>
            <w:r>
              <w:rPr>
                <w:spacing w:val="-2"/>
                <w:sz w:val="22"/>
              </w:rPr>
              <w:t>1.000</w:t>
            </w:r>
          </w:p>
        </w:tc>
        <w:tc>
          <w:tcPr>
            <w:tcW w:w="859" w:type="dxa"/>
          </w:tcPr>
          <w:p>
            <w:pPr>
              <w:pStyle w:val="TableParagraph"/>
              <w:spacing w:before="70"/>
              <w:ind w:right="353"/>
              <w:jc w:val="right"/>
              <w:rPr>
                <w:sz w:val="22"/>
              </w:rPr>
            </w:pPr>
            <w:r>
              <w:rPr>
                <w:spacing w:val="-5"/>
                <w:sz w:val="22"/>
              </w:rPr>
              <w:t>NS</w:t>
            </w:r>
          </w:p>
        </w:tc>
      </w:tr>
      <w:tr>
        <w:trPr>
          <w:trHeight w:val="740" w:hRule="atLeast"/>
        </w:trPr>
        <w:tc>
          <w:tcPr>
            <w:tcW w:w="2257" w:type="dxa"/>
          </w:tcPr>
          <w:p>
            <w:pPr>
              <w:pStyle w:val="TableParagraph"/>
              <w:spacing w:before="71"/>
              <w:ind w:left="185"/>
              <w:jc w:val="center"/>
              <w:rPr>
                <w:sz w:val="22"/>
              </w:rPr>
            </w:pPr>
            <w:r>
              <w:rPr>
                <w:sz w:val="22"/>
              </w:rPr>
              <w:t>H/L;</w:t>
            </w:r>
            <w:r>
              <w:rPr>
                <w:spacing w:val="-5"/>
                <w:sz w:val="22"/>
              </w:rPr>
              <w:t> </w:t>
            </w:r>
            <w:r>
              <w:rPr>
                <w:spacing w:val="-2"/>
                <w:sz w:val="22"/>
              </w:rPr>
              <w:t>10:50</w:t>
            </w:r>
          </w:p>
          <w:p>
            <w:pPr>
              <w:pStyle w:val="TableParagraph"/>
              <w:spacing w:before="22"/>
              <w:ind w:left="185" w:right="3"/>
              <w:jc w:val="center"/>
              <w:rPr>
                <w:sz w:val="22"/>
              </w:rPr>
            </w:pPr>
            <w:r>
              <w:rPr>
                <w:spacing w:val="-2"/>
                <w:sz w:val="22"/>
              </w:rPr>
              <w:t>(20.500±0.314)</w:t>
            </w:r>
          </w:p>
        </w:tc>
        <w:tc>
          <w:tcPr>
            <w:tcW w:w="1094" w:type="dxa"/>
          </w:tcPr>
          <w:p>
            <w:pPr>
              <w:pStyle w:val="TableParagraph"/>
              <w:spacing w:before="215"/>
              <w:ind w:left="184"/>
              <w:jc w:val="center"/>
              <w:rPr>
                <w:sz w:val="22"/>
              </w:rPr>
            </w:pPr>
            <w:r>
              <w:rPr>
                <w:spacing w:val="-5"/>
                <w:sz w:val="22"/>
              </w:rPr>
              <w:t>AMC</w:t>
            </w:r>
          </w:p>
        </w:tc>
        <w:tc>
          <w:tcPr>
            <w:tcW w:w="1542" w:type="dxa"/>
          </w:tcPr>
          <w:p>
            <w:pPr>
              <w:pStyle w:val="TableParagraph"/>
              <w:spacing w:before="93"/>
              <w:rPr>
                <w:b/>
                <w:i/>
                <w:sz w:val="22"/>
              </w:rPr>
            </w:pPr>
          </w:p>
          <w:p>
            <w:pPr>
              <w:pStyle w:val="TableParagraph"/>
              <w:ind w:left="27" w:right="3"/>
              <w:jc w:val="center"/>
              <w:rPr>
                <w:sz w:val="22"/>
              </w:rPr>
            </w:pPr>
            <w:r>
              <w:rPr>
                <w:spacing w:val="-2"/>
                <w:sz w:val="22"/>
              </w:rPr>
              <w:t>10.083±1.510</w:t>
            </w:r>
          </w:p>
        </w:tc>
        <w:tc>
          <w:tcPr>
            <w:tcW w:w="1024" w:type="dxa"/>
          </w:tcPr>
          <w:p>
            <w:pPr>
              <w:pStyle w:val="TableParagraph"/>
              <w:spacing w:before="215"/>
              <w:ind w:left="1" w:right="73"/>
              <w:jc w:val="center"/>
              <w:rPr>
                <w:sz w:val="22"/>
              </w:rPr>
            </w:pPr>
            <w:r>
              <w:rPr>
                <w:spacing w:val="-2"/>
                <w:sz w:val="22"/>
              </w:rPr>
              <w:t>0.000</w:t>
            </w:r>
          </w:p>
        </w:tc>
        <w:tc>
          <w:tcPr>
            <w:tcW w:w="859" w:type="dxa"/>
          </w:tcPr>
          <w:p>
            <w:pPr>
              <w:pStyle w:val="TableParagraph"/>
              <w:spacing w:before="93"/>
              <w:rPr>
                <w:b/>
                <w:i/>
                <w:sz w:val="22"/>
              </w:rPr>
            </w:pPr>
          </w:p>
          <w:p>
            <w:pPr>
              <w:pStyle w:val="TableParagraph"/>
              <w:ind w:right="374"/>
              <w:jc w:val="right"/>
              <w:rPr>
                <w:sz w:val="22"/>
              </w:rPr>
            </w:pPr>
            <w:r>
              <w:rPr>
                <w:spacing w:val="-5"/>
                <w:sz w:val="22"/>
              </w:rPr>
              <w:t>SF</w:t>
            </w:r>
          </w:p>
        </w:tc>
      </w:tr>
      <w:tr>
        <w:trPr>
          <w:trHeight w:val="450" w:hRule="atLeast"/>
        </w:trPr>
        <w:tc>
          <w:tcPr>
            <w:tcW w:w="2257" w:type="dxa"/>
          </w:tcPr>
          <w:p>
            <w:pPr>
              <w:pStyle w:val="TableParagraph"/>
              <w:rPr>
                <w:rFonts w:ascii="Times New Roman"/>
                <w:sz w:val="22"/>
              </w:rPr>
            </w:pPr>
          </w:p>
        </w:tc>
        <w:tc>
          <w:tcPr>
            <w:tcW w:w="1094" w:type="dxa"/>
          </w:tcPr>
          <w:p>
            <w:pPr>
              <w:pStyle w:val="TableParagraph"/>
              <w:spacing w:before="70"/>
              <w:ind w:left="181"/>
              <w:jc w:val="center"/>
              <w:rPr>
                <w:sz w:val="22"/>
              </w:rPr>
            </w:pPr>
            <w:r>
              <w:rPr>
                <w:spacing w:val="-5"/>
                <w:sz w:val="22"/>
              </w:rPr>
              <w:t>LEV</w:t>
            </w:r>
          </w:p>
        </w:tc>
        <w:tc>
          <w:tcPr>
            <w:tcW w:w="1542" w:type="dxa"/>
          </w:tcPr>
          <w:p>
            <w:pPr>
              <w:pStyle w:val="TableParagraph"/>
              <w:spacing w:before="70"/>
              <w:ind w:left="27" w:right="3"/>
              <w:jc w:val="center"/>
              <w:rPr>
                <w:sz w:val="22"/>
              </w:rPr>
            </w:pPr>
            <w:r>
              <w:rPr>
                <w:spacing w:val="-2"/>
                <w:sz w:val="22"/>
              </w:rPr>
              <w:t>26.333±0.948</w:t>
            </w:r>
          </w:p>
        </w:tc>
        <w:tc>
          <w:tcPr>
            <w:tcW w:w="1024" w:type="dxa"/>
          </w:tcPr>
          <w:p>
            <w:pPr>
              <w:pStyle w:val="TableParagraph"/>
              <w:spacing w:before="70"/>
              <w:ind w:left="1" w:right="73"/>
              <w:jc w:val="center"/>
              <w:rPr>
                <w:sz w:val="22"/>
              </w:rPr>
            </w:pPr>
            <w:r>
              <w:rPr>
                <w:spacing w:val="-2"/>
                <w:sz w:val="22"/>
              </w:rPr>
              <w:t>0.000</w:t>
            </w:r>
          </w:p>
        </w:tc>
        <w:tc>
          <w:tcPr>
            <w:tcW w:w="859" w:type="dxa"/>
          </w:tcPr>
          <w:p>
            <w:pPr>
              <w:pStyle w:val="TableParagraph"/>
              <w:spacing w:before="70"/>
              <w:ind w:right="374"/>
              <w:jc w:val="right"/>
              <w:rPr>
                <w:sz w:val="22"/>
              </w:rPr>
            </w:pPr>
            <w:r>
              <w:rPr>
                <w:spacing w:val="-5"/>
                <w:sz w:val="22"/>
              </w:rPr>
              <w:t>SF</w:t>
            </w:r>
          </w:p>
        </w:tc>
      </w:tr>
      <w:tr>
        <w:trPr>
          <w:trHeight w:val="522" w:hRule="atLeast"/>
        </w:trPr>
        <w:tc>
          <w:tcPr>
            <w:tcW w:w="2257" w:type="dxa"/>
            <w:tcBorders>
              <w:bottom w:val="single" w:sz="4" w:space="0" w:color="000000"/>
            </w:tcBorders>
          </w:tcPr>
          <w:p>
            <w:pPr>
              <w:pStyle w:val="TableParagraph"/>
              <w:rPr>
                <w:rFonts w:ascii="Times New Roman"/>
                <w:sz w:val="22"/>
              </w:rPr>
            </w:pPr>
          </w:p>
        </w:tc>
        <w:tc>
          <w:tcPr>
            <w:tcW w:w="1094" w:type="dxa"/>
            <w:tcBorders>
              <w:bottom w:val="single" w:sz="4" w:space="0" w:color="000000"/>
            </w:tcBorders>
          </w:tcPr>
          <w:p>
            <w:pPr>
              <w:pStyle w:val="TableParagraph"/>
              <w:spacing w:before="71"/>
              <w:ind w:left="183"/>
              <w:jc w:val="center"/>
              <w:rPr>
                <w:sz w:val="22"/>
              </w:rPr>
            </w:pPr>
            <w:r>
              <w:rPr>
                <w:spacing w:val="-5"/>
                <w:sz w:val="22"/>
              </w:rPr>
              <w:t>AZM</w:t>
            </w:r>
          </w:p>
        </w:tc>
        <w:tc>
          <w:tcPr>
            <w:tcW w:w="1542" w:type="dxa"/>
            <w:tcBorders>
              <w:bottom w:val="single" w:sz="4" w:space="0" w:color="000000"/>
            </w:tcBorders>
          </w:tcPr>
          <w:p>
            <w:pPr>
              <w:pStyle w:val="TableParagraph"/>
              <w:spacing w:before="71"/>
              <w:ind w:left="27" w:right="3"/>
              <w:jc w:val="center"/>
              <w:rPr>
                <w:sz w:val="22"/>
              </w:rPr>
            </w:pPr>
            <w:r>
              <w:rPr>
                <w:spacing w:val="-2"/>
                <w:sz w:val="22"/>
              </w:rPr>
              <w:t>18.083±0.802</w:t>
            </w:r>
          </w:p>
        </w:tc>
        <w:tc>
          <w:tcPr>
            <w:tcW w:w="1024" w:type="dxa"/>
            <w:tcBorders>
              <w:bottom w:val="single" w:sz="4" w:space="0" w:color="000000"/>
            </w:tcBorders>
          </w:tcPr>
          <w:p>
            <w:pPr>
              <w:pStyle w:val="TableParagraph"/>
              <w:spacing w:before="71"/>
              <w:ind w:left="1" w:right="73"/>
              <w:jc w:val="center"/>
              <w:rPr>
                <w:sz w:val="22"/>
              </w:rPr>
            </w:pPr>
            <w:r>
              <w:rPr>
                <w:spacing w:val="-2"/>
                <w:sz w:val="22"/>
              </w:rPr>
              <w:t>0.391</w:t>
            </w:r>
          </w:p>
        </w:tc>
        <w:tc>
          <w:tcPr>
            <w:tcW w:w="859" w:type="dxa"/>
            <w:tcBorders>
              <w:bottom w:val="single" w:sz="4" w:space="0" w:color="000000"/>
            </w:tcBorders>
          </w:tcPr>
          <w:p>
            <w:pPr>
              <w:pStyle w:val="TableParagraph"/>
              <w:spacing w:before="71"/>
              <w:ind w:right="353"/>
              <w:jc w:val="right"/>
              <w:rPr>
                <w:sz w:val="22"/>
              </w:rPr>
            </w:pPr>
            <w:r>
              <w:rPr>
                <w:spacing w:val="-5"/>
                <w:sz w:val="22"/>
              </w:rPr>
              <w:t>NS</w:t>
            </w:r>
          </w:p>
        </w:tc>
      </w:tr>
      <w:tr>
        <w:trPr>
          <w:trHeight w:val="376" w:hRule="atLeast"/>
        </w:trPr>
        <w:tc>
          <w:tcPr>
            <w:tcW w:w="2257" w:type="dxa"/>
            <w:tcBorders>
              <w:top w:val="single" w:sz="4" w:space="0" w:color="000000"/>
            </w:tcBorders>
          </w:tcPr>
          <w:p>
            <w:pPr>
              <w:pStyle w:val="TableParagraph"/>
              <w:rPr>
                <w:rFonts w:ascii="Times New Roman"/>
                <w:sz w:val="22"/>
              </w:rPr>
            </w:pPr>
          </w:p>
        </w:tc>
        <w:tc>
          <w:tcPr>
            <w:tcW w:w="1094" w:type="dxa"/>
            <w:tcBorders>
              <w:top w:val="single" w:sz="4" w:space="0" w:color="000000"/>
            </w:tcBorders>
          </w:tcPr>
          <w:p>
            <w:pPr>
              <w:pStyle w:val="TableParagraph"/>
              <w:spacing w:line="265" w:lineRule="exact"/>
              <w:ind w:left="181"/>
              <w:jc w:val="center"/>
              <w:rPr>
                <w:sz w:val="22"/>
              </w:rPr>
            </w:pPr>
            <w:r>
              <w:rPr>
                <w:spacing w:val="-5"/>
                <w:sz w:val="22"/>
              </w:rPr>
              <w:t>CRO</w:t>
            </w:r>
          </w:p>
        </w:tc>
        <w:tc>
          <w:tcPr>
            <w:tcW w:w="1542" w:type="dxa"/>
            <w:tcBorders>
              <w:top w:val="single" w:sz="4" w:space="0" w:color="000000"/>
            </w:tcBorders>
          </w:tcPr>
          <w:p>
            <w:pPr>
              <w:pStyle w:val="TableParagraph"/>
              <w:spacing w:line="265" w:lineRule="exact"/>
              <w:ind w:left="27" w:right="3"/>
              <w:jc w:val="center"/>
              <w:rPr>
                <w:sz w:val="22"/>
              </w:rPr>
            </w:pPr>
            <w:r>
              <w:rPr>
                <w:spacing w:val="-2"/>
                <w:sz w:val="22"/>
              </w:rPr>
              <w:t>20.083±0.701</w:t>
            </w:r>
          </w:p>
        </w:tc>
        <w:tc>
          <w:tcPr>
            <w:tcW w:w="1024" w:type="dxa"/>
            <w:tcBorders>
              <w:top w:val="single" w:sz="4" w:space="0" w:color="000000"/>
            </w:tcBorders>
          </w:tcPr>
          <w:p>
            <w:pPr>
              <w:pStyle w:val="TableParagraph"/>
              <w:spacing w:line="265" w:lineRule="exact"/>
              <w:ind w:left="1" w:right="73"/>
              <w:jc w:val="center"/>
              <w:rPr>
                <w:sz w:val="22"/>
              </w:rPr>
            </w:pPr>
            <w:r>
              <w:rPr>
                <w:spacing w:val="-2"/>
                <w:sz w:val="22"/>
              </w:rPr>
              <w:t>0.849</w:t>
            </w:r>
          </w:p>
        </w:tc>
        <w:tc>
          <w:tcPr>
            <w:tcW w:w="859" w:type="dxa"/>
            <w:tcBorders>
              <w:top w:val="single" w:sz="4" w:space="0" w:color="000000"/>
            </w:tcBorders>
          </w:tcPr>
          <w:p>
            <w:pPr>
              <w:pStyle w:val="TableParagraph"/>
              <w:spacing w:line="265" w:lineRule="exact"/>
              <w:ind w:right="353"/>
              <w:jc w:val="right"/>
              <w:rPr>
                <w:sz w:val="22"/>
              </w:rPr>
            </w:pPr>
            <w:r>
              <w:rPr>
                <w:spacing w:val="-5"/>
                <w:sz w:val="22"/>
              </w:rPr>
              <w:t>NS</w:t>
            </w:r>
          </w:p>
        </w:tc>
      </w:tr>
      <w:tr>
        <w:trPr>
          <w:trHeight w:val="450" w:hRule="atLeast"/>
        </w:trPr>
        <w:tc>
          <w:tcPr>
            <w:tcW w:w="2257" w:type="dxa"/>
          </w:tcPr>
          <w:p>
            <w:pPr>
              <w:pStyle w:val="TableParagraph"/>
              <w:rPr>
                <w:rFonts w:ascii="Times New Roman"/>
                <w:sz w:val="22"/>
              </w:rPr>
            </w:pPr>
          </w:p>
        </w:tc>
        <w:tc>
          <w:tcPr>
            <w:tcW w:w="1094" w:type="dxa"/>
          </w:tcPr>
          <w:p>
            <w:pPr>
              <w:pStyle w:val="TableParagraph"/>
              <w:spacing w:before="71"/>
              <w:ind w:left="183"/>
              <w:jc w:val="center"/>
              <w:rPr>
                <w:sz w:val="22"/>
              </w:rPr>
            </w:pPr>
            <w:r>
              <w:rPr>
                <w:spacing w:val="-5"/>
                <w:sz w:val="22"/>
              </w:rPr>
              <w:t>CN</w:t>
            </w:r>
          </w:p>
        </w:tc>
        <w:tc>
          <w:tcPr>
            <w:tcW w:w="1542" w:type="dxa"/>
          </w:tcPr>
          <w:p>
            <w:pPr>
              <w:pStyle w:val="TableParagraph"/>
              <w:spacing w:before="71"/>
              <w:ind w:left="27" w:right="3"/>
              <w:jc w:val="center"/>
              <w:rPr>
                <w:sz w:val="22"/>
              </w:rPr>
            </w:pPr>
            <w:r>
              <w:rPr>
                <w:spacing w:val="-2"/>
                <w:sz w:val="22"/>
              </w:rPr>
              <w:t>20.333±0.541</w:t>
            </w:r>
          </w:p>
        </w:tc>
        <w:tc>
          <w:tcPr>
            <w:tcW w:w="1024" w:type="dxa"/>
          </w:tcPr>
          <w:p>
            <w:pPr>
              <w:pStyle w:val="TableParagraph"/>
              <w:spacing w:before="71"/>
              <w:ind w:left="1" w:right="73"/>
              <w:jc w:val="center"/>
              <w:rPr>
                <w:sz w:val="22"/>
              </w:rPr>
            </w:pPr>
            <w:r>
              <w:rPr>
                <w:spacing w:val="-2"/>
                <w:sz w:val="22"/>
              </w:rPr>
              <w:t>0.938</w:t>
            </w:r>
          </w:p>
        </w:tc>
        <w:tc>
          <w:tcPr>
            <w:tcW w:w="859" w:type="dxa"/>
          </w:tcPr>
          <w:p>
            <w:pPr>
              <w:pStyle w:val="TableParagraph"/>
              <w:spacing w:before="71"/>
              <w:ind w:right="353"/>
              <w:jc w:val="right"/>
              <w:rPr>
                <w:sz w:val="22"/>
              </w:rPr>
            </w:pPr>
            <w:r>
              <w:rPr>
                <w:spacing w:val="-5"/>
                <w:sz w:val="22"/>
              </w:rPr>
              <w:t>NS</w:t>
            </w:r>
          </w:p>
        </w:tc>
      </w:tr>
      <w:tr>
        <w:trPr>
          <w:trHeight w:val="739" w:hRule="atLeast"/>
        </w:trPr>
        <w:tc>
          <w:tcPr>
            <w:tcW w:w="2257" w:type="dxa"/>
          </w:tcPr>
          <w:p>
            <w:pPr>
              <w:pStyle w:val="TableParagraph"/>
              <w:spacing w:before="70"/>
              <w:ind w:left="185" w:right="5"/>
              <w:jc w:val="center"/>
              <w:rPr>
                <w:sz w:val="22"/>
              </w:rPr>
            </w:pPr>
            <w:r>
              <w:rPr>
                <w:sz w:val="22"/>
              </w:rPr>
              <w:t>H/L;</w:t>
            </w:r>
            <w:r>
              <w:rPr>
                <w:spacing w:val="-4"/>
                <w:sz w:val="22"/>
              </w:rPr>
              <w:t> </w:t>
            </w:r>
            <w:r>
              <w:rPr>
                <w:sz w:val="22"/>
              </w:rPr>
              <w:t>20:</w:t>
            </w:r>
            <w:r>
              <w:rPr>
                <w:spacing w:val="-3"/>
                <w:sz w:val="22"/>
              </w:rPr>
              <w:t> </w:t>
            </w:r>
            <w:r>
              <w:rPr>
                <w:spacing w:val="-5"/>
                <w:sz w:val="22"/>
              </w:rPr>
              <w:t>50</w:t>
            </w:r>
          </w:p>
          <w:p>
            <w:pPr>
              <w:pStyle w:val="TableParagraph"/>
              <w:spacing w:before="22"/>
              <w:ind w:left="185" w:right="3"/>
              <w:jc w:val="center"/>
              <w:rPr>
                <w:sz w:val="22"/>
              </w:rPr>
            </w:pPr>
            <w:r>
              <w:rPr>
                <w:spacing w:val="-2"/>
                <w:sz w:val="22"/>
              </w:rPr>
              <w:t>(21.750±0.329)</w:t>
            </w:r>
          </w:p>
        </w:tc>
        <w:tc>
          <w:tcPr>
            <w:tcW w:w="1094" w:type="dxa"/>
          </w:tcPr>
          <w:p>
            <w:pPr>
              <w:pStyle w:val="TableParagraph"/>
              <w:spacing w:before="214"/>
              <w:ind w:left="184"/>
              <w:jc w:val="center"/>
              <w:rPr>
                <w:sz w:val="22"/>
              </w:rPr>
            </w:pPr>
            <w:r>
              <w:rPr>
                <w:spacing w:val="-5"/>
                <w:sz w:val="22"/>
              </w:rPr>
              <w:t>AMC</w:t>
            </w:r>
          </w:p>
        </w:tc>
        <w:tc>
          <w:tcPr>
            <w:tcW w:w="1542" w:type="dxa"/>
          </w:tcPr>
          <w:p>
            <w:pPr>
              <w:pStyle w:val="TableParagraph"/>
              <w:spacing w:before="91"/>
              <w:rPr>
                <w:b/>
                <w:i/>
                <w:sz w:val="22"/>
              </w:rPr>
            </w:pPr>
          </w:p>
          <w:p>
            <w:pPr>
              <w:pStyle w:val="TableParagraph"/>
              <w:spacing w:before="1"/>
              <w:ind w:left="27" w:right="3"/>
              <w:jc w:val="center"/>
              <w:rPr>
                <w:sz w:val="22"/>
              </w:rPr>
            </w:pPr>
            <w:r>
              <w:rPr>
                <w:spacing w:val="-2"/>
                <w:sz w:val="22"/>
              </w:rPr>
              <w:t>10.083±1.510</w:t>
            </w:r>
          </w:p>
        </w:tc>
        <w:tc>
          <w:tcPr>
            <w:tcW w:w="1024" w:type="dxa"/>
          </w:tcPr>
          <w:p>
            <w:pPr>
              <w:pStyle w:val="TableParagraph"/>
              <w:spacing w:before="214"/>
              <w:ind w:left="1" w:right="73"/>
              <w:jc w:val="center"/>
              <w:rPr>
                <w:sz w:val="22"/>
              </w:rPr>
            </w:pPr>
            <w:r>
              <w:rPr>
                <w:spacing w:val="-2"/>
                <w:sz w:val="22"/>
              </w:rPr>
              <w:t>0.000</w:t>
            </w:r>
          </w:p>
        </w:tc>
        <w:tc>
          <w:tcPr>
            <w:tcW w:w="859" w:type="dxa"/>
          </w:tcPr>
          <w:p>
            <w:pPr>
              <w:pStyle w:val="TableParagraph"/>
              <w:spacing w:before="91"/>
              <w:rPr>
                <w:b/>
                <w:i/>
                <w:sz w:val="22"/>
              </w:rPr>
            </w:pPr>
          </w:p>
          <w:p>
            <w:pPr>
              <w:pStyle w:val="TableParagraph"/>
              <w:spacing w:before="1"/>
              <w:ind w:right="374"/>
              <w:jc w:val="right"/>
              <w:rPr>
                <w:sz w:val="22"/>
              </w:rPr>
            </w:pPr>
            <w:r>
              <w:rPr>
                <w:spacing w:val="-5"/>
                <w:sz w:val="22"/>
              </w:rPr>
              <w:t>SF</w:t>
            </w:r>
          </w:p>
        </w:tc>
      </w:tr>
      <w:tr>
        <w:trPr>
          <w:trHeight w:val="450" w:hRule="atLeast"/>
        </w:trPr>
        <w:tc>
          <w:tcPr>
            <w:tcW w:w="2257" w:type="dxa"/>
          </w:tcPr>
          <w:p>
            <w:pPr>
              <w:pStyle w:val="TableParagraph"/>
              <w:rPr>
                <w:rFonts w:ascii="Times New Roman"/>
                <w:sz w:val="22"/>
              </w:rPr>
            </w:pPr>
          </w:p>
        </w:tc>
        <w:tc>
          <w:tcPr>
            <w:tcW w:w="1094" w:type="dxa"/>
          </w:tcPr>
          <w:p>
            <w:pPr>
              <w:pStyle w:val="TableParagraph"/>
              <w:spacing w:before="70"/>
              <w:ind w:left="181"/>
              <w:jc w:val="center"/>
              <w:rPr>
                <w:sz w:val="22"/>
              </w:rPr>
            </w:pPr>
            <w:r>
              <w:rPr>
                <w:spacing w:val="-5"/>
                <w:sz w:val="22"/>
              </w:rPr>
              <w:t>LEV</w:t>
            </w:r>
          </w:p>
        </w:tc>
        <w:tc>
          <w:tcPr>
            <w:tcW w:w="1542" w:type="dxa"/>
          </w:tcPr>
          <w:p>
            <w:pPr>
              <w:pStyle w:val="TableParagraph"/>
              <w:spacing w:before="70"/>
              <w:ind w:left="27" w:right="3"/>
              <w:jc w:val="center"/>
              <w:rPr>
                <w:sz w:val="22"/>
              </w:rPr>
            </w:pPr>
            <w:r>
              <w:rPr>
                <w:spacing w:val="-2"/>
                <w:sz w:val="22"/>
              </w:rPr>
              <w:t>26.333±0.948</w:t>
            </w:r>
          </w:p>
        </w:tc>
        <w:tc>
          <w:tcPr>
            <w:tcW w:w="1024" w:type="dxa"/>
          </w:tcPr>
          <w:p>
            <w:pPr>
              <w:pStyle w:val="TableParagraph"/>
              <w:spacing w:before="70"/>
              <w:ind w:left="1" w:right="73"/>
              <w:jc w:val="center"/>
              <w:rPr>
                <w:sz w:val="22"/>
              </w:rPr>
            </w:pPr>
            <w:r>
              <w:rPr>
                <w:spacing w:val="-2"/>
                <w:sz w:val="22"/>
              </w:rPr>
              <w:t>0.001</w:t>
            </w:r>
          </w:p>
        </w:tc>
        <w:tc>
          <w:tcPr>
            <w:tcW w:w="859" w:type="dxa"/>
          </w:tcPr>
          <w:p>
            <w:pPr>
              <w:pStyle w:val="TableParagraph"/>
              <w:spacing w:before="70"/>
              <w:ind w:right="374"/>
              <w:jc w:val="right"/>
              <w:rPr>
                <w:sz w:val="22"/>
              </w:rPr>
            </w:pPr>
            <w:r>
              <w:rPr>
                <w:spacing w:val="-5"/>
                <w:sz w:val="22"/>
              </w:rPr>
              <w:t>SF</w:t>
            </w:r>
          </w:p>
        </w:tc>
      </w:tr>
      <w:tr>
        <w:trPr>
          <w:trHeight w:val="523" w:hRule="atLeast"/>
        </w:trPr>
        <w:tc>
          <w:tcPr>
            <w:tcW w:w="2257" w:type="dxa"/>
            <w:tcBorders>
              <w:bottom w:val="single" w:sz="4" w:space="0" w:color="000000"/>
            </w:tcBorders>
          </w:tcPr>
          <w:p>
            <w:pPr>
              <w:pStyle w:val="TableParagraph"/>
              <w:rPr>
                <w:rFonts w:ascii="Times New Roman"/>
                <w:sz w:val="22"/>
              </w:rPr>
            </w:pPr>
          </w:p>
        </w:tc>
        <w:tc>
          <w:tcPr>
            <w:tcW w:w="1094" w:type="dxa"/>
            <w:tcBorders>
              <w:bottom w:val="single" w:sz="4" w:space="0" w:color="000000"/>
            </w:tcBorders>
          </w:tcPr>
          <w:p>
            <w:pPr>
              <w:pStyle w:val="TableParagraph"/>
              <w:spacing w:before="71"/>
              <w:ind w:left="183"/>
              <w:jc w:val="center"/>
              <w:rPr>
                <w:sz w:val="22"/>
              </w:rPr>
            </w:pPr>
            <w:r>
              <w:rPr>
                <w:spacing w:val="-5"/>
                <w:sz w:val="22"/>
              </w:rPr>
              <w:t>AZM</w:t>
            </w:r>
          </w:p>
        </w:tc>
        <w:tc>
          <w:tcPr>
            <w:tcW w:w="1542" w:type="dxa"/>
            <w:tcBorders>
              <w:bottom w:val="single" w:sz="4" w:space="0" w:color="000000"/>
            </w:tcBorders>
          </w:tcPr>
          <w:p>
            <w:pPr>
              <w:pStyle w:val="TableParagraph"/>
              <w:spacing w:before="71"/>
              <w:ind w:left="27" w:right="3"/>
              <w:jc w:val="center"/>
              <w:rPr>
                <w:sz w:val="22"/>
              </w:rPr>
            </w:pPr>
            <w:r>
              <w:rPr>
                <w:spacing w:val="-2"/>
                <w:sz w:val="22"/>
              </w:rPr>
              <w:t>18.083±0.802</w:t>
            </w:r>
          </w:p>
        </w:tc>
        <w:tc>
          <w:tcPr>
            <w:tcW w:w="1024" w:type="dxa"/>
            <w:tcBorders>
              <w:bottom w:val="single" w:sz="4" w:space="0" w:color="000000"/>
            </w:tcBorders>
          </w:tcPr>
          <w:p>
            <w:pPr>
              <w:pStyle w:val="TableParagraph"/>
              <w:spacing w:before="71"/>
              <w:ind w:left="1" w:right="73"/>
              <w:jc w:val="center"/>
              <w:rPr>
                <w:sz w:val="22"/>
              </w:rPr>
            </w:pPr>
            <w:r>
              <w:rPr>
                <w:spacing w:val="-2"/>
                <w:sz w:val="22"/>
              </w:rPr>
              <w:t>0.022</w:t>
            </w:r>
          </w:p>
        </w:tc>
        <w:tc>
          <w:tcPr>
            <w:tcW w:w="859" w:type="dxa"/>
            <w:tcBorders>
              <w:bottom w:val="single" w:sz="4" w:space="0" w:color="000000"/>
            </w:tcBorders>
          </w:tcPr>
          <w:p>
            <w:pPr>
              <w:pStyle w:val="TableParagraph"/>
              <w:spacing w:before="71"/>
              <w:ind w:right="374"/>
              <w:jc w:val="right"/>
              <w:rPr>
                <w:sz w:val="22"/>
              </w:rPr>
            </w:pPr>
            <w:r>
              <w:rPr>
                <w:spacing w:val="-5"/>
                <w:sz w:val="22"/>
              </w:rPr>
              <w:t>SF</w:t>
            </w:r>
          </w:p>
        </w:tc>
      </w:tr>
      <w:tr>
        <w:trPr>
          <w:trHeight w:val="376" w:hRule="atLeast"/>
        </w:trPr>
        <w:tc>
          <w:tcPr>
            <w:tcW w:w="2257" w:type="dxa"/>
            <w:tcBorders>
              <w:top w:val="single" w:sz="4" w:space="0" w:color="000000"/>
            </w:tcBorders>
          </w:tcPr>
          <w:p>
            <w:pPr>
              <w:pStyle w:val="TableParagraph"/>
              <w:rPr>
                <w:rFonts w:ascii="Times New Roman"/>
                <w:sz w:val="22"/>
              </w:rPr>
            </w:pPr>
          </w:p>
        </w:tc>
        <w:tc>
          <w:tcPr>
            <w:tcW w:w="1094" w:type="dxa"/>
            <w:tcBorders>
              <w:top w:val="single" w:sz="4" w:space="0" w:color="000000"/>
            </w:tcBorders>
          </w:tcPr>
          <w:p>
            <w:pPr>
              <w:pStyle w:val="TableParagraph"/>
              <w:spacing w:line="265" w:lineRule="exact"/>
              <w:ind w:left="181"/>
              <w:jc w:val="center"/>
              <w:rPr>
                <w:sz w:val="22"/>
              </w:rPr>
            </w:pPr>
            <w:r>
              <w:rPr>
                <w:spacing w:val="-5"/>
                <w:sz w:val="22"/>
              </w:rPr>
              <w:t>CRO</w:t>
            </w:r>
          </w:p>
        </w:tc>
        <w:tc>
          <w:tcPr>
            <w:tcW w:w="1542" w:type="dxa"/>
            <w:tcBorders>
              <w:top w:val="single" w:sz="4" w:space="0" w:color="000000"/>
            </w:tcBorders>
          </w:tcPr>
          <w:p>
            <w:pPr>
              <w:pStyle w:val="TableParagraph"/>
              <w:spacing w:line="265" w:lineRule="exact"/>
              <w:ind w:left="27" w:right="3"/>
              <w:jc w:val="center"/>
              <w:rPr>
                <w:sz w:val="22"/>
              </w:rPr>
            </w:pPr>
            <w:r>
              <w:rPr>
                <w:spacing w:val="-2"/>
                <w:sz w:val="22"/>
              </w:rPr>
              <w:t>20.083±0.701</w:t>
            </w:r>
          </w:p>
        </w:tc>
        <w:tc>
          <w:tcPr>
            <w:tcW w:w="1024" w:type="dxa"/>
            <w:tcBorders>
              <w:top w:val="single" w:sz="4" w:space="0" w:color="000000"/>
            </w:tcBorders>
          </w:tcPr>
          <w:p>
            <w:pPr>
              <w:pStyle w:val="TableParagraph"/>
              <w:spacing w:line="265" w:lineRule="exact"/>
              <w:ind w:left="1" w:right="73"/>
              <w:jc w:val="center"/>
              <w:rPr>
                <w:sz w:val="22"/>
              </w:rPr>
            </w:pPr>
            <w:r>
              <w:rPr>
                <w:spacing w:val="-2"/>
                <w:sz w:val="22"/>
              </w:rPr>
              <w:t>0.957</w:t>
            </w:r>
          </w:p>
        </w:tc>
        <w:tc>
          <w:tcPr>
            <w:tcW w:w="859" w:type="dxa"/>
            <w:tcBorders>
              <w:top w:val="single" w:sz="4" w:space="0" w:color="000000"/>
            </w:tcBorders>
          </w:tcPr>
          <w:p>
            <w:pPr>
              <w:pStyle w:val="TableParagraph"/>
              <w:spacing w:line="265" w:lineRule="exact"/>
              <w:ind w:right="353"/>
              <w:jc w:val="right"/>
              <w:rPr>
                <w:sz w:val="22"/>
              </w:rPr>
            </w:pPr>
            <w:r>
              <w:rPr>
                <w:spacing w:val="-5"/>
                <w:sz w:val="22"/>
              </w:rPr>
              <w:t>NS</w:t>
            </w:r>
          </w:p>
        </w:tc>
      </w:tr>
      <w:tr>
        <w:trPr>
          <w:trHeight w:val="450" w:hRule="atLeast"/>
        </w:trPr>
        <w:tc>
          <w:tcPr>
            <w:tcW w:w="2257" w:type="dxa"/>
          </w:tcPr>
          <w:p>
            <w:pPr>
              <w:pStyle w:val="TableParagraph"/>
              <w:rPr>
                <w:rFonts w:ascii="Times New Roman"/>
                <w:sz w:val="22"/>
              </w:rPr>
            </w:pPr>
          </w:p>
        </w:tc>
        <w:tc>
          <w:tcPr>
            <w:tcW w:w="1094" w:type="dxa"/>
          </w:tcPr>
          <w:p>
            <w:pPr>
              <w:pStyle w:val="TableParagraph"/>
              <w:spacing w:before="71"/>
              <w:ind w:left="183"/>
              <w:jc w:val="center"/>
              <w:rPr>
                <w:sz w:val="22"/>
              </w:rPr>
            </w:pPr>
            <w:r>
              <w:rPr>
                <w:spacing w:val="-5"/>
                <w:sz w:val="22"/>
              </w:rPr>
              <w:t>CN</w:t>
            </w:r>
          </w:p>
        </w:tc>
        <w:tc>
          <w:tcPr>
            <w:tcW w:w="1542" w:type="dxa"/>
          </w:tcPr>
          <w:p>
            <w:pPr>
              <w:pStyle w:val="TableParagraph"/>
              <w:spacing w:before="71"/>
              <w:ind w:left="27" w:right="3"/>
              <w:jc w:val="center"/>
              <w:rPr>
                <w:sz w:val="22"/>
              </w:rPr>
            </w:pPr>
            <w:r>
              <w:rPr>
                <w:spacing w:val="-2"/>
                <w:sz w:val="22"/>
              </w:rPr>
              <w:t>20.333±0.541</w:t>
            </w:r>
          </w:p>
        </w:tc>
        <w:tc>
          <w:tcPr>
            <w:tcW w:w="1024" w:type="dxa"/>
          </w:tcPr>
          <w:p>
            <w:pPr>
              <w:pStyle w:val="TableParagraph"/>
              <w:spacing w:before="71"/>
              <w:ind w:left="1" w:right="73"/>
              <w:jc w:val="center"/>
              <w:rPr>
                <w:sz w:val="22"/>
              </w:rPr>
            </w:pPr>
            <w:r>
              <w:rPr>
                <w:spacing w:val="-2"/>
                <w:sz w:val="22"/>
              </w:rPr>
              <w:t>0.989</w:t>
            </w:r>
          </w:p>
        </w:tc>
        <w:tc>
          <w:tcPr>
            <w:tcW w:w="859" w:type="dxa"/>
          </w:tcPr>
          <w:p>
            <w:pPr>
              <w:pStyle w:val="TableParagraph"/>
              <w:spacing w:before="71"/>
              <w:ind w:right="353"/>
              <w:jc w:val="right"/>
              <w:rPr>
                <w:sz w:val="22"/>
              </w:rPr>
            </w:pPr>
            <w:r>
              <w:rPr>
                <w:spacing w:val="-5"/>
                <w:sz w:val="22"/>
              </w:rPr>
              <w:t>NS</w:t>
            </w:r>
          </w:p>
        </w:tc>
      </w:tr>
      <w:tr>
        <w:trPr>
          <w:trHeight w:val="739" w:hRule="atLeast"/>
        </w:trPr>
        <w:tc>
          <w:tcPr>
            <w:tcW w:w="2257" w:type="dxa"/>
          </w:tcPr>
          <w:p>
            <w:pPr>
              <w:pStyle w:val="TableParagraph"/>
              <w:spacing w:before="70"/>
              <w:ind w:left="185"/>
              <w:jc w:val="center"/>
              <w:rPr>
                <w:sz w:val="22"/>
              </w:rPr>
            </w:pPr>
            <w:r>
              <w:rPr>
                <w:sz w:val="22"/>
              </w:rPr>
              <w:t>H/L;</w:t>
            </w:r>
            <w:r>
              <w:rPr>
                <w:spacing w:val="-5"/>
                <w:sz w:val="22"/>
              </w:rPr>
              <w:t> </w:t>
            </w:r>
            <w:r>
              <w:rPr>
                <w:spacing w:val="-2"/>
                <w:sz w:val="22"/>
              </w:rPr>
              <w:t>30:50</w:t>
            </w:r>
          </w:p>
          <w:p>
            <w:pPr>
              <w:pStyle w:val="TableParagraph"/>
              <w:spacing w:before="22"/>
              <w:ind w:left="185" w:right="3"/>
              <w:jc w:val="center"/>
              <w:rPr>
                <w:sz w:val="22"/>
              </w:rPr>
            </w:pPr>
            <w:r>
              <w:rPr>
                <w:spacing w:val="-2"/>
                <w:sz w:val="22"/>
              </w:rPr>
              <w:t>(21.417±0.621)</w:t>
            </w:r>
          </w:p>
        </w:tc>
        <w:tc>
          <w:tcPr>
            <w:tcW w:w="1094" w:type="dxa"/>
          </w:tcPr>
          <w:p>
            <w:pPr>
              <w:pStyle w:val="TableParagraph"/>
              <w:spacing w:before="214"/>
              <w:ind w:left="184"/>
              <w:jc w:val="center"/>
              <w:rPr>
                <w:sz w:val="22"/>
              </w:rPr>
            </w:pPr>
            <w:r>
              <w:rPr>
                <w:spacing w:val="-5"/>
                <w:sz w:val="22"/>
              </w:rPr>
              <w:t>AMC</w:t>
            </w:r>
          </w:p>
        </w:tc>
        <w:tc>
          <w:tcPr>
            <w:tcW w:w="1542" w:type="dxa"/>
          </w:tcPr>
          <w:p>
            <w:pPr>
              <w:pStyle w:val="TableParagraph"/>
              <w:spacing w:before="92"/>
              <w:rPr>
                <w:b/>
                <w:i/>
                <w:sz w:val="22"/>
              </w:rPr>
            </w:pPr>
          </w:p>
          <w:p>
            <w:pPr>
              <w:pStyle w:val="TableParagraph"/>
              <w:ind w:left="27" w:right="3"/>
              <w:jc w:val="center"/>
              <w:rPr>
                <w:sz w:val="22"/>
              </w:rPr>
            </w:pPr>
            <w:r>
              <w:rPr>
                <w:spacing w:val="-2"/>
                <w:sz w:val="22"/>
              </w:rPr>
              <w:t>10.083±1.510</w:t>
            </w:r>
          </w:p>
        </w:tc>
        <w:tc>
          <w:tcPr>
            <w:tcW w:w="1024" w:type="dxa"/>
          </w:tcPr>
          <w:p>
            <w:pPr>
              <w:pStyle w:val="TableParagraph"/>
              <w:spacing w:before="214"/>
              <w:ind w:left="1" w:right="73"/>
              <w:jc w:val="center"/>
              <w:rPr>
                <w:sz w:val="22"/>
              </w:rPr>
            </w:pPr>
            <w:r>
              <w:rPr>
                <w:spacing w:val="-2"/>
                <w:sz w:val="22"/>
              </w:rPr>
              <w:t>0.000</w:t>
            </w:r>
          </w:p>
        </w:tc>
        <w:tc>
          <w:tcPr>
            <w:tcW w:w="859" w:type="dxa"/>
          </w:tcPr>
          <w:p>
            <w:pPr>
              <w:pStyle w:val="TableParagraph"/>
              <w:spacing w:before="92"/>
              <w:rPr>
                <w:b/>
                <w:i/>
                <w:sz w:val="22"/>
              </w:rPr>
            </w:pPr>
          </w:p>
          <w:p>
            <w:pPr>
              <w:pStyle w:val="TableParagraph"/>
              <w:ind w:right="374"/>
              <w:jc w:val="right"/>
              <w:rPr>
                <w:sz w:val="22"/>
              </w:rPr>
            </w:pPr>
            <w:r>
              <w:rPr>
                <w:spacing w:val="-5"/>
                <w:sz w:val="22"/>
              </w:rPr>
              <w:t>SF</w:t>
            </w:r>
          </w:p>
        </w:tc>
      </w:tr>
      <w:tr>
        <w:trPr>
          <w:trHeight w:val="450" w:hRule="atLeast"/>
        </w:trPr>
        <w:tc>
          <w:tcPr>
            <w:tcW w:w="2257" w:type="dxa"/>
          </w:tcPr>
          <w:p>
            <w:pPr>
              <w:pStyle w:val="TableParagraph"/>
              <w:rPr>
                <w:rFonts w:ascii="Times New Roman"/>
                <w:sz w:val="22"/>
              </w:rPr>
            </w:pPr>
          </w:p>
        </w:tc>
        <w:tc>
          <w:tcPr>
            <w:tcW w:w="1094" w:type="dxa"/>
          </w:tcPr>
          <w:p>
            <w:pPr>
              <w:pStyle w:val="TableParagraph"/>
              <w:spacing w:before="70"/>
              <w:ind w:left="181"/>
              <w:jc w:val="center"/>
              <w:rPr>
                <w:sz w:val="22"/>
              </w:rPr>
            </w:pPr>
            <w:r>
              <w:rPr>
                <w:spacing w:val="-5"/>
                <w:sz w:val="22"/>
              </w:rPr>
              <w:t>LEV</w:t>
            </w:r>
          </w:p>
        </w:tc>
        <w:tc>
          <w:tcPr>
            <w:tcW w:w="1542" w:type="dxa"/>
          </w:tcPr>
          <w:p>
            <w:pPr>
              <w:pStyle w:val="TableParagraph"/>
              <w:spacing w:before="70"/>
              <w:ind w:left="27" w:right="3"/>
              <w:jc w:val="center"/>
              <w:rPr>
                <w:sz w:val="22"/>
              </w:rPr>
            </w:pPr>
            <w:r>
              <w:rPr>
                <w:spacing w:val="-2"/>
                <w:sz w:val="22"/>
              </w:rPr>
              <w:t>26.333±0.948</w:t>
            </w:r>
          </w:p>
        </w:tc>
        <w:tc>
          <w:tcPr>
            <w:tcW w:w="1024" w:type="dxa"/>
          </w:tcPr>
          <w:p>
            <w:pPr>
              <w:pStyle w:val="TableParagraph"/>
              <w:spacing w:before="70"/>
              <w:ind w:left="1" w:right="73"/>
              <w:jc w:val="center"/>
              <w:rPr>
                <w:sz w:val="22"/>
              </w:rPr>
            </w:pPr>
            <w:r>
              <w:rPr>
                <w:spacing w:val="-2"/>
                <w:sz w:val="22"/>
              </w:rPr>
              <w:t>0.000</w:t>
            </w:r>
          </w:p>
        </w:tc>
        <w:tc>
          <w:tcPr>
            <w:tcW w:w="859" w:type="dxa"/>
          </w:tcPr>
          <w:p>
            <w:pPr>
              <w:pStyle w:val="TableParagraph"/>
              <w:spacing w:before="70"/>
              <w:ind w:right="374"/>
              <w:jc w:val="right"/>
              <w:rPr>
                <w:sz w:val="22"/>
              </w:rPr>
            </w:pPr>
            <w:r>
              <w:rPr>
                <w:spacing w:val="-5"/>
                <w:sz w:val="22"/>
              </w:rPr>
              <w:t>SF</w:t>
            </w:r>
          </w:p>
        </w:tc>
      </w:tr>
      <w:tr>
        <w:trPr>
          <w:trHeight w:val="523" w:hRule="atLeast"/>
        </w:trPr>
        <w:tc>
          <w:tcPr>
            <w:tcW w:w="2257" w:type="dxa"/>
            <w:tcBorders>
              <w:bottom w:val="single" w:sz="4" w:space="0" w:color="000000"/>
            </w:tcBorders>
          </w:tcPr>
          <w:p>
            <w:pPr>
              <w:pStyle w:val="TableParagraph"/>
              <w:rPr>
                <w:rFonts w:ascii="Times New Roman"/>
                <w:sz w:val="22"/>
              </w:rPr>
            </w:pPr>
          </w:p>
        </w:tc>
        <w:tc>
          <w:tcPr>
            <w:tcW w:w="1094" w:type="dxa"/>
            <w:tcBorders>
              <w:bottom w:val="single" w:sz="4" w:space="0" w:color="000000"/>
            </w:tcBorders>
          </w:tcPr>
          <w:p>
            <w:pPr>
              <w:pStyle w:val="TableParagraph"/>
              <w:spacing w:before="71"/>
              <w:ind w:left="183"/>
              <w:jc w:val="center"/>
              <w:rPr>
                <w:sz w:val="22"/>
              </w:rPr>
            </w:pPr>
            <w:r>
              <w:rPr>
                <w:spacing w:val="-5"/>
                <w:sz w:val="22"/>
              </w:rPr>
              <w:t>AZM</w:t>
            </w:r>
          </w:p>
        </w:tc>
        <w:tc>
          <w:tcPr>
            <w:tcW w:w="1542" w:type="dxa"/>
            <w:tcBorders>
              <w:bottom w:val="single" w:sz="4" w:space="0" w:color="000000"/>
            </w:tcBorders>
          </w:tcPr>
          <w:p>
            <w:pPr>
              <w:pStyle w:val="TableParagraph"/>
              <w:spacing w:before="71"/>
              <w:ind w:left="27" w:right="3"/>
              <w:jc w:val="center"/>
              <w:rPr>
                <w:sz w:val="22"/>
              </w:rPr>
            </w:pPr>
            <w:r>
              <w:rPr>
                <w:spacing w:val="-2"/>
                <w:sz w:val="22"/>
              </w:rPr>
              <w:t>18.083±0.802</w:t>
            </w:r>
          </w:p>
        </w:tc>
        <w:tc>
          <w:tcPr>
            <w:tcW w:w="1024" w:type="dxa"/>
            <w:tcBorders>
              <w:bottom w:val="single" w:sz="4" w:space="0" w:color="000000"/>
            </w:tcBorders>
          </w:tcPr>
          <w:p>
            <w:pPr>
              <w:pStyle w:val="TableParagraph"/>
              <w:spacing w:before="71"/>
              <w:ind w:left="1" w:right="73"/>
              <w:jc w:val="center"/>
              <w:rPr>
                <w:sz w:val="22"/>
              </w:rPr>
            </w:pPr>
            <w:r>
              <w:rPr>
                <w:spacing w:val="-2"/>
                <w:sz w:val="22"/>
              </w:rPr>
              <w:t>0.056</w:t>
            </w:r>
          </w:p>
        </w:tc>
        <w:tc>
          <w:tcPr>
            <w:tcW w:w="859" w:type="dxa"/>
            <w:tcBorders>
              <w:bottom w:val="single" w:sz="4" w:space="0" w:color="000000"/>
            </w:tcBorders>
          </w:tcPr>
          <w:p>
            <w:pPr>
              <w:pStyle w:val="TableParagraph"/>
              <w:spacing w:before="71"/>
              <w:ind w:right="374"/>
              <w:jc w:val="right"/>
              <w:rPr>
                <w:sz w:val="22"/>
              </w:rPr>
            </w:pPr>
            <w:r>
              <w:rPr>
                <w:spacing w:val="-5"/>
                <w:sz w:val="22"/>
              </w:rPr>
              <w:t>SF</w:t>
            </w:r>
          </w:p>
        </w:tc>
      </w:tr>
      <w:tr>
        <w:trPr>
          <w:trHeight w:val="376" w:hRule="atLeast"/>
        </w:trPr>
        <w:tc>
          <w:tcPr>
            <w:tcW w:w="2257" w:type="dxa"/>
            <w:tcBorders>
              <w:top w:val="single" w:sz="4" w:space="0" w:color="000000"/>
            </w:tcBorders>
          </w:tcPr>
          <w:p>
            <w:pPr>
              <w:pStyle w:val="TableParagraph"/>
              <w:rPr>
                <w:rFonts w:ascii="Times New Roman"/>
                <w:sz w:val="22"/>
              </w:rPr>
            </w:pPr>
          </w:p>
        </w:tc>
        <w:tc>
          <w:tcPr>
            <w:tcW w:w="1094" w:type="dxa"/>
            <w:tcBorders>
              <w:top w:val="single" w:sz="4" w:space="0" w:color="000000"/>
            </w:tcBorders>
          </w:tcPr>
          <w:p>
            <w:pPr>
              <w:pStyle w:val="TableParagraph"/>
              <w:spacing w:line="265" w:lineRule="exact"/>
              <w:ind w:left="181"/>
              <w:jc w:val="center"/>
              <w:rPr>
                <w:sz w:val="22"/>
              </w:rPr>
            </w:pPr>
            <w:r>
              <w:rPr>
                <w:spacing w:val="-5"/>
                <w:sz w:val="22"/>
              </w:rPr>
              <w:t>CRO</w:t>
            </w:r>
          </w:p>
        </w:tc>
        <w:tc>
          <w:tcPr>
            <w:tcW w:w="1542" w:type="dxa"/>
            <w:tcBorders>
              <w:top w:val="single" w:sz="4" w:space="0" w:color="000000"/>
            </w:tcBorders>
          </w:tcPr>
          <w:p>
            <w:pPr>
              <w:pStyle w:val="TableParagraph"/>
              <w:spacing w:line="265" w:lineRule="exact"/>
              <w:ind w:left="27" w:right="3"/>
              <w:jc w:val="center"/>
              <w:rPr>
                <w:sz w:val="22"/>
              </w:rPr>
            </w:pPr>
            <w:r>
              <w:rPr>
                <w:spacing w:val="-2"/>
                <w:sz w:val="22"/>
              </w:rPr>
              <w:t>20.083±0.701</w:t>
            </w:r>
          </w:p>
        </w:tc>
        <w:tc>
          <w:tcPr>
            <w:tcW w:w="1024" w:type="dxa"/>
            <w:tcBorders>
              <w:top w:val="single" w:sz="4" w:space="0" w:color="000000"/>
            </w:tcBorders>
          </w:tcPr>
          <w:p>
            <w:pPr>
              <w:pStyle w:val="TableParagraph"/>
              <w:spacing w:line="265" w:lineRule="exact"/>
              <w:ind w:left="1" w:right="73"/>
              <w:jc w:val="center"/>
              <w:rPr>
                <w:sz w:val="22"/>
              </w:rPr>
            </w:pPr>
            <w:r>
              <w:rPr>
                <w:spacing w:val="-2"/>
                <w:sz w:val="22"/>
              </w:rPr>
              <w:t>0.808</w:t>
            </w:r>
          </w:p>
        </w:tc>
        <w:tc>
          <w:tcPr>
            <w:tcW w:w="859" w:type="dxa"/>
            <w:tcBorders>
              <w:top w:val="single" w:sz="4" w:space="0" w:color="000000"/>
            </w:tcBorders>
          </w:tcPr>
          <w:p>
            <w:pPr>
              <w:pStyle w:val="TableParagraph"/>
              <w:spacing w:line="265" w:lineRule="exact"/>
              <w:ind w:right="353"/>
              <w:jc w:val="right"/>
              <w:rPr>
                <w:sz w:val="22"/>
              </w:rPr>
            </w:pPr>
            <w:r>
              <w:rPr>
                <w:spacing w:val="-5"/>
                <w:sz w:val="22"/>
              </w:rPr>
              <w:t>NS</w:t>
            </w:r>
          </w:p>
        </w:tc>
      </w:tr>
      <w:tr>
        <w:trPr>
          <w:trHeight w:val="450" w:hRule="atLeast"/>
        </w:trPr>
        <w:tc>
          <w:tcPr>
            <w:tcW w:w="2257" w:type="dxa"/>
          </w:tcPr>
          <w:p>
            <w:pPr>
              <w:pStyle w:val="TableParagraph"/>
              <w:rPr>
                <w:rFonts w:ascii="Times New Roman"/>
                <w:sz w:val="22"/>
              </w:rPr>
            </w:pPr>
          </w:p>
        </w:tc>
        <w:tc>
          <w:tcPr>
            <w:tcW w:w="1094" w:type="dxa"/>
          </w:tcPr>
          <w:p>
            <w:pPr>
              <w:pStyle w:val="TableParagraph"/>
              <w:spacing w:before="71"/>
              <w:ind w:left="183"/>
              <w:jc w:val="center"/>
              <w:rPr>
                <w:sz w:val="22"/>
              </w:rPr>
            </w:pPr>
            <w:r>
              <w:rPr>
                <w:spacing w:val="-5"/>
                <w:sz w:val="22"/>
              </w:rPr>
              <w:t>CN</w:t>
            </w:r>
          </w:p>
        </w:tc>
        <w:tc>
          <w:tcPr>
            <w:tcW w:w="1542" w:type="dxa"/>
          </w:tcPr>
          <w:p>
            <w:pPr>
              <w:pStyle w:val="TableParagraph"/>
              <w:spacing w:before="71"/>
              <w:ind w:left="27" w:right="3"/>
              <w:jc w:val="center"/>
              <w:rPr>
                <w:sz w:val="22"/>
              </w:rPr>
            </w:pPr>
            <w:r>
              <w:rPr>
                <w:spacing w:val="-2"/>
                <w:sz w:val="22"/>
              </w:rPr>
              <w:t>20.333±0.541</w:t>
            </w:r>
          </w:p>
        </w:tc>
        <w:tc>
          <w:tcPr>
            <w:tcW w:w="1024" w:type="dxa"/>
          </w:tcPr>
          <w:p>
            <w:pPr>
              <w:pStyle w:val="TableParagraph"/>
              <w:spacing w:before="71"/>
              <w:ind w:left="1" w:right="73"/>
              <w:jc w:val="center"/>
              <w:rPr>
                <w:sz w:val="22"/>
              </w:rPr>
            </w:pPr>
            <w:r>
              <w:rPr>
                <w:spacing w:val="-2"/>
                <w:sz w:val="22"/>
              </w:rPr>
              <w:t>0.914</w:t>
            </w:r>
          </w:p>
        </w:tc>
        <w:tc>
          <w:tcPr>
            <w:tcW w:w="859" w:type="dxa"/>
          </w:tcPr>
          <w:p>
            <w:pPr>
              <w:pStyle w:val="TableParagraph"/>
              <w:spacing w:before="71"/>
              <w:ind w:right="353"/>
              <w:jc w:val="right"/>
              <w:rPr>
                <w:sz w:val="22"/>
              </w:rPr>
            </w:pPr>
            <w:r>
              <w:rPr>
                <w:spacing w:val="-5"/>
                <w:sz w:val="22"/>
              </w:rPr>
              <w:t>NS</w:t>
            </w:r>
          </w:p>
        </w:tc>
      </w:tr>
      <w:tr>
        <w:trPr>
          <w:trHeight w:val="739" w:hRule="atLeast"/>
        </w:trPr>
        <w:tc>
          <w:tcPr>
            <w:tcW w:w="2257" w:type="dxa"/>
          </w:tcPr>
          <w:p>
            <w:pPr>
              <w:pStyle w:val="TableParagraph"/>
              <w:spacing w:before="70"/>
              <w:ind w:left="185"/>
              <w:jc w:val="center"/>
              <w:rPr>
                <w:sz w:val="22"/>
              </w:rPr>
            </w:pPr>
            <w:r>
              <w:rPr>
                <w:sz w:val="22"/>
              </w:rPr>
              <w:t>H/L;</w:t>
            </w:r>
            <w:r>
              <w:rPr>
                <w:spacing w:val="-5"/>
                <w:sz w:val="22"/>
              </w:rPr>
              <w:t> </w:t>
            </w:r>
            <w:r>
              <w:rPr>
                <w:spacing w:val="-2"/>
                <w:sz w:val="22"/>
              </w:rPr>
              <w:t>40:50</w:t>
            </w:r>
          </w:p>
          <w:p>
            <w:pPr>
              <w:pStyle w:val="TableParagraph"/>
              <w:spacing w:before="22"/>
              <w:ind w:left="185" w:right="3"/>
              <w:jc w:val="center"/>
              <w:rPr>
                <w:sz w:val="22"/>
              </w:rPr>
            </w:pPr>
            <w:r>
              <w:rPr>
                <w:spacing w:val="-2"/>
                <w:sz w:val="22"/>
              </w:rPr>
              <w:t>(21.833±0.366)</w:t>
            </w:r>
          </w:p>
        </w:tc>
        <w:tc>
          <w:tcPr>
            <w:tcW w:w="1094" w:type="dxa"/>
          </w:tcPr>
          <w:p>
            <w:pPr>
              <w:pStyle w:val="TableParagraph"/>
              <w:spacing w:before="214"/>
              <w:ind w:left="184"/>
              <w:jc w:val="center"/>
              <w:rPr>
                <w:sz w:val="22"/>
              </w:rPr>
            </w:pPr>
            <w:r>
              <w:rPr>
                <w:spacing w:val="-5"/>
                <w:sz w:val="22"/>
              </w:rPr>
              <w:t>AMC</w:t>
            </w:r>
          </w:p>
        </w:tc>
        <w:tc>
          <w:tcPr>
            <w:tcW w:w="1542" w:type="dxa"/>
          </w:tcPr>
          <w:p>
            <w:pPr>
              <w:pStyle w:val="TableParagraph"/>
              <w:spacing w:before="91"/>
              <w:rPr>
                <w:b/>
                <w:i/>
                <w:sz w:val="22"/>
              </w:rPr>
            </w:pPr>
          </w:p>
          <w:p>
            <w:pPr>
              <w:pStyle w:val="TableParagraph"/>
              <w:spacing w:before="1"/>
              <w:ind w:left="27" w:right="3"/>
              <w:jc w:val="center"/>
              <w:rPr>
                <w:sz w:val="22"/>
              </w:rPr>
            </w:pPr>
            <w:r>
              <w:rPr>
                <w:spacing w:val="-2"/>
                <w:sz w:val="22"/>
              </w:rPr>
              <w:t>10.083±1.510</w:t>
            </w:r>
          </w:p>
        </w:tc>
        <w:tc>
          <w:tcPr>
            <w:tcW w:w="1024" w:type="dxa"/>
          </w:tcPr>
          <w:p>
            <w:pPr>
              <w:pStyle w:val="TableParagraph"/>
              <w:spacing w:before="214"/>
              <w:ind w:left="1" w:right="73"/>
              <w:jc w:val="center"/>
              <w:rPr>
                <w:sz w:val="22"/>
              </w:rPr>
            </w:pPr>
            <w:r>
              <w:rPr>
                <w:spacing w:val="-2"/>
                <w:sz w:val="22"/>
              </w:rPr>
              <w:t>0.000</w:t>
            </w:r>
          </w:p>
        </w:tc>
        <w:tc>
          <w:tcPr>
            <w:tcW w:w="859" w:type="dxa"/>
          </w:tcPr>
          <w:p>
            <w:pPr>
              <w:pStyle w:val="TableParagraph"/>
              <w:spacing w:before="91"/>
              <w:rPr>
                <w:b/>
                <w:i/>
                <w:sz w:val="22"/>
              </w:rPr>
            </w:pPr>
          </w:p>
          <w:p>
            <w:pPr>
              <w:pStyle w:val="TableParagraph"/>
              <w:spacing w:before="1"/>
              <w:ind w:right="374"/>
              <w:jc w:val="right"/>
              <w:rPr>
                <w:sz w:val="22"/>
              </w:rPr>
            </w:pPr>
            <w:r>
              <w:rPr>
                <w:spacing w:val="-5"/>
                <w:sz w:val="22"/>
              </w:rPr>
              <w:t>SF</w:t>
            </w:r>
          </w:p>
        </w:tc>
      </w:tr>
      <w:tr>
        <w:trPr>
          <w:trHeight w:val="450" w:hRule="atLeast"/>
        </w:trPr>
        <w:tc>
          <w:tcPr>
            <w:tcW w:w="2257" w:type="dxa"/>
          </w:tcPr>
          <w:p>
            <w:pPr>
              <w:pStyle w:val="TableParagraph"/>
              <w:rPr>
                <w:rFonts w:ascii="Times New Roman"/>
                <w:sz w:val="22"/>
              </w:rPr>
            </w:pPr>
          </w:p>
        </w:tc>
        <w:tc>
          <w:tcPr>
            <w:tcW w:w="1094" w:type="dxa"/>
          </w:tcPr>
          <w:p>
            <w:pPr>
              <w:pStyle w:val="TableParagraph"/>
              <w:spacing w:before="70"/>
              <w:ind w:left="181"/>
              <w:jc w:val="center"/>
              <w:rPr>
                <w:sz w:val="22"/>
              </w:rPr>
            </w:pPr>
            <w:r>
              <w:rPr>
                <w:spacing w:val="-5"/>
                <w:sz w:val="22"/>
              </w:rPr>
              <w:t>LEV</w:t>
            </w:r>
          </w:p>
        </w:tc>
        <w:tc>
          <w:tcPr>
            <w:tcW w:w="1542" w:type="dxa"/>
          </w:tcPr>
          <w:p>
            <w:pPr>
              <w:pStyle w:val="TableParagraph"/>
              <w:spacing w:before="70"/>
              <w:ind w:left="27" w:right="3"/>
              <w:jc w:val="center"/>
              <w:rPr>
                <w:sz w:val="22"/>
              </w:rPr>
            </w:pPr>
            <w:r>
              <w:rPr>
                <w:spacing w:val="-2"/>
                <w:sz w:val="22"/>
              </w:rPr>
              <w:t>26.333±0.948</w:t>
            </w:r>
          </w:p>
        </w:tc>
        <w:tc>
          <w:tcPr>
            <w:tcW w:w="1024" w:type="dxa"/>
          </w:tcPr>
          <w:p>
            <w:pPr>
              <w:pStyle w:val="TableParagraph"/>
              <w:spacing w:before="70"/>
              <w:ind w:left="1" w:right="73"/>
              <w:jc w:val="center"/>
              <w:rPr>
                <w:sz w:val="22"/>
              </w:rPr>
            </w:pPr>
            <w:r>
              <w:rPr>
                <w:spacing w:val="-2"/>
                <w:sz w:val="22"/>
              </w:rPr>
              <w:t>0.001</w:t>
            </w:r>
          </w:p>
        </w:tc>
        <w:tc>
          <w:tcPr>
            <w:tcW w:w="859" w:type="dxa"/>
          </w:tcPr>
          <w:p>
            <w:pPr>
              <w:pStyle w:val="TableParagraph"/>
              <w:spacing w:before="70"/>
              <w:ind w:right="374"/>
              <w:jc w:val="right"/>
              <w:rPr>
                <w:sz w:val="22"/>
              </w:rPr>
            </w:pPr>
            <w:r>
              <w:rPr>
                <w:spacing w:val="-5"/>
                <w:sz w:val="22"/>
              </w:rPr>
              <w:t>SF</w:t>
            </w:r>
          </w:p>
        </w:tc>
      </w:tr>
      <w:tr>
        <w:trPr>
          <w:trHeight w:val="523" w:hRule="atLeast"/>
        </w:trPr>
        <w:tc>
          <w:tcPr>
            <w:tcW w:w="2257" w:type="dxa"/>
            <w:tcBorders>
              <w:bottom w:val="single" w:sz="4" w:space="0" w:color="000000"/>
            </w:tcBorders>
          </w:tcPr>
          <w:p>
            <w:pPr>
              <w:pStyle w:val="TableParagraph"/>
              <w:rPr>
                <w:rFonts w:ascii="Times New Roman"/>
                <w:sz w:val="22"/>
              </w:rPr>
            </w:pPr>
          </w:p>
        </w:tc>
        <w:tc>
          <w:tcPr>
            <w:tcW w:w="1094" w:type="dxa"/>
            <w:tcBorders>
              <w:bottom w:val="single" w:sz="4" w:space="0" w:color="000000"/>
            </w:tcBorders>
          </w:tcPr>
          <w:p>
            <w:pPr>
              <w:pStyle w:val="TableParagraph"/>
              <w:spacing w:before="71"/>
              <w:ind w:left="183"/>
              <w:jc w:val="center"/>
              <w:rPr>
                <w:sz w:val="22"/>
              </w:rPr>
            </w:pPr>
            <w:r>
              <w:rPr>
                <w:spacing w:val="-5"/>
                <w:sz w:val="22"/>
              </w:rPr>
              <w:t>AZM</w:t>
            </w:r>
          </w:p>
        </w:tc>
        <w:tc>
          <w:tcPr>
            <w:tcW w:w="1542" w:type="dxa"/>
            <w:tcBorders>
              <w:bottom w:val="single" w:sz="4" w:space="0" w:color="000000"/>
            </w:tcBorders>
          </w:tcPr>
          <w:p>
            <w:pPr>
              <w:pStyle w:val="TableParagraph"/>
              <w:spacing w:before="71"/>
              <w:ind w:left="27" w:right="3"/>
              <w:jc w:val="center"/>
              <w:rPr>
                <w:sz w:val="22"/>
              </w:rPr>
            </w:pPr>
            <w:r>
              <w:rPr>
                <w:spacing w:val="-2"/>
                <w:sz w:val="22"/>
              </w:rPr>
              <w:t>18.083±0.802</w:t>
            </w:r>
          </w:p>
        </w:tc>
        <w:tc>
          <w:tcPr>
            <w:tcW w:w="1024" w:type="dxa"/>
            <w:tcBorders>
              <w:bottom w:val="single" w:sz="4" w:space="0" w:color="000000"/>
            </w:tcBorders>
          </w:tcPr>
          <w:p>
            <w:pPr>
              <w:pStyle w:val="TableParagraph"/>
              <w:spacing w:before="71"/>
              <w:ind w:left="1" w:right="73"/>
              <w:jc w:val="center"/>
              <w:rPr>
                <w:sz w:val="22"/>
              </w:rPr>
            </w:pPr>
            <w:r>
              <w:rPr>
                <w:spacing w:val="-2"/>
                <w:sz w:val="22"/>
              </w:rPr>
              <w:t>0.017</w:t>
            </w:r>
          </w:p>
        </w:tc>
        <w:tc>
          <w:tcPr>
            <w:tcW w:w="859" w:type="dxa"/>
            <w:tcBorders>
              <w:bottom w:val="single" w:sz="4" w:space="0" w:color="000000"/>
            </w:tcBorders>
          </w:tcPr>
          <w:p>
            <w:pPr>
              <w:pStyle w:val="TableParagraph"/>
              <w:spacing w:before="71"/>
              <w:ind w:right="374"/>
              <w:jc w:val="right"/>
              <w:rPr>
                <w:sz w:val="22"/>
              </w:rPr>
            </w:pPr>
            <w:r>
              <w:rPr>
                <w:spacing w:val="-5"/>
                <w:sz w:val="22"/>
              </w:rPr>
              <w:t>SF</w:t>
            </w:r>
          </w:p>
        </w:tc>
      </w:tr>
    </w:tbl>
    <w:p>
      <w:pPr>
        <w:spacing w:after="0"/>
        <w:jc w:val="right"/>
        <w:rPr>
          <w:sz w:val="22"/>
        </w:rPr>
        <w:sectPr>
          <w:pgSz w:w="11910" w:h="16840"/>
          <w:pgMar w:header="0" w:footer="1055" w:top="1920" w:bottom="1240" w:left="1060" w:right="460"/>
        </w:sectPr>
      </w:pPr>
    </w:p>
    <w:tbl>
      <w:tblPr>
        <w:tblW w:w="0" w:type="auto"/>
        <w:jc w:val="left"/>
        <w:tblInd w:w="1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9"/>
        <w:gridCol w:w="1028"/>
        <w:gridCol w:w="1613"/>
        <w:gridCol w:w="967"/>
        <w:gridCol w:w="874"/>
      </w:tblGrid>
      <w:tr>
        <w:trPr>
          <w:trHeight w:val="376" w:hRule="atLeast"/>
        </w:trPr>
        <w:tc>
          <w:tcPr>
            <w:tcW w:w="2289" w:type="dxa"/>
            <w:tcBorders>
              <w:top w:val="single" w:sz="4" w:space="0" w:color="000000"/>
            </w:tcBorders>
          </w:tcPr>
          <w:p>
            <w:pPr>
              <w:pStyle w:val="TableParagraph"/>
              <w:rPr>
                <w:rFonts w:ascii="Times New Roman"/>
                <w:sz w:val="22"/>
              </w:rPr>
            </w:pPr>
          </w:p>
        </w:tc>
        <w:tc>
          <w:tcPr>
            <w:tcW w:w="1028" w:type="dxa"/>
            <w:tcBorders>
              <w:top w:val="single" w:sz="4" w:space="0" w:color="000000"/>
            </w:tcBorders>
          </w:tcPr>
          <w:p>
            <w:pPr>
              <w:pStyle w:val="TableParagraph"/>
              <w:spacing w:line="265" w:lineRule="exact"/>
              <w:ind w:right="228"/>
              <w:jc w:val="right"/>
              <w:rPr>
                <w:sz w:val="22"/>
              </w:rPr>
            </w:pPr>
            <w:r>
              <w:rPr>
                <w:spacing w:val="-5"/>
                <w:sz w:val="22"/>
              </w:rPr>
              <w:t>CRO</w:t>
            </w:r>
          </w:p>
        </w:tc>
        <w:tc>
          <w:tcPr>
            <w:tcW w:w="1613" w:type="dxa"/>
            <w:tcBorders>
              <w:top w:val="single" w:sz="4" w:space="0" w:color="000000"/>
            </w:tcBorders>
          </w:tcPr>
          <w:p>
            <w:pPr>
              <w:pStyle w:val="TableParagraph"/>
              <w:spacing w:line="265" w:lineRule="exact"/>
              <w:ind w:left="21"/>
              <w:jc w:val="center"/>
              <w:rPr>
                <w:sz w:val="22"/>
              </w:rPr>
            </w:pPr>
            <w:r>
              <w:rPr>
                <w:spacing w:val="-2"/>
                <w:sz w:val="22"/>
              </w:rPr>
              <w:t>20.083±0.701</w:t>
            </w:r>
          </w:p>
        </w:tc>
        <w:tc>
          <w:tcPr>
            <w:tcW w:w="967" w:type="dxa"/>
            <w:tcBorders>
              <w:top w:val="single" w:sz="4" w:space="0" w:color="000000"/>
            </w:tcBorders>
          </w:tcPr>
          <w:p>
            <w:pPr>
              <w:pStyle w:val="TableParagraph"/>
              <w:spacing w:line="265" w:lineRule="exact"/>
              <w:ind w:left="4" w:right="93"/>
              <w:jc w:val="center"/>
              <w:rPr>
                <w:sz w:val="22"/>
              </w:rPr>
            </w:pPr>
            <w:r>
              <w:rPr>
                <w:spacing w:val="-2"/>
                <w:sz w:val="22"/>
              </w:rPr>
              <w:t>0.028</w:t>
            </w:r>
          </w:p>
        </w:tc>
        <w:tc>
          <w:tcPr>
            <w:tcW w:w="874" w:type="dxa"/>
            <w:tcBorders>
              <w:top w:val="single" w:sz="4" w:space="0" w:color="000000"/>
            </w:tcBorders>
          </w:tcPr>
          <w:p>
            <w:pPr>
              <w:pStyle w:val="TableParagraph"/>
              <w:spacing w:line="265" w:lineRule="exact"/>
              <w:ind w:right="67"/>
              <w:jc w:val="center"/>
              <w:rPr>
                <w:sz w:val="22"/>
              </w:rPr>
            </w:pPr>
            <w:r>
              <w:rPr>
                <w:spacing w:val="-5"/>
                <w:sz w:val="22"/>
              </w:rPr>
              <w:t>SF</w:t>
            </w:r>
          </w:p>
        </w:tc>
      </w:tr>
      <w:tr>
        <w:trPr>
          <w:trHeight w:val="450" w:hRule="atLeast"/>
        </w:trPr>
        <w:tc>
          <w:tcPr>
            <w:tcW w:w="2289" w:type="dxa"/>
          </w:tcPr>
          <w:p>
            <w:pPr>
              <w:pStyle w:val="TableParagraph"/>
              <w:rPr>
                <w:rFonts w:ascii="Times New Roman"/>
                <w:sz w:val="22"/>
              </w:rPr>
            </w:pPr>
          </w:p>
        </w:tc>
        <w:tc>
          <w:tcPr>
            <w:tcW w:w="1028" w:type="dxa"/>
          </w:tcPr>
          <w:p>
            <w:pPr>
              <w:pStyle w:val="TableParagraph"/>
              <w:spacing w:before="71"/>
              <w:ind w:right="288"/>
              <w:jc w:val="right"/>
              <w:rPr>
                <w:sz w:val="22"/>
              </w:rPr>
            </w:pPr>
            <w:r>
              <w:rPr>
                <w:spacing w:val="-5"/>
                <w:sz w:val="22"/>
              </w:rPr>
              <w:t>CN</w:t>
            </w:r>
          </w:p>
        </w:tc>
        <w:tc>
          <w:tcPr>
            <w:tcW w:w="1613" w:type="dxa"/>
          </w:tcPr>
          <w:p>
            <w:pPr>
              <w:pStyle w:val="TableParagraph"/>
              <w:spacing w:before="71"/>
              <w:ind w:left="21"/>
              <w:jc w:val="center"/>
              <w:rPr>
                <w:sz w:val="22"/>
              </w:rPr>
            </w:pPr>
            <w:r>
              <w:rPr>
                <w:spacing w:val="-2"/>
                <w:sz w:val="22"/>
              </w:rPr>
              <w:t>20.333±0.541</w:t>
            </w:r>
          </w:p>
        </w:tc>
        <w:tc>
          <w:tcPr>
            <w:tcW w:w="967" w:type="dxa"/>
          </w:tcPr>
          <w:p>
            <w:pPr>
              <w:pStyle w:val="TableParagraph"/>
              <w:spacing w:before="71"/>
              <w:ind w:left="4" w:right="93"/>
              <w:jc w:val="center"/>
              <w:rPr>
                <w:sz w:val="22"/>
              </w:rPr>
            </w:pPr>
            <w:r>
              <w:rPr>
                <w:spacing w:val="-2"/>
                <w:sz w:val="22"/>
              </w:rPr>
              <w:t>0.056</w:t>
            </w:r>
          </w:p>
        </w:tc>
        <w:tc>
          <w:tcPr>
            <w:tcW w:w="874" w:type="dxa"/>
          </w:tcPr>
          <w:p>
            <w:pPr>
              <w:pStyle w:val="TableParagraph"/>
              <w:spacing w:before="71"/>
              <w:ind w:right="67"/>
              <w:jc w:val="center"/>
              <w:rPr>
                <w:sz w:val="22"/>
              </w:rPr>
            </w:pPr>
            <w:r>
              <w:rPr>
                <w:spacing w:val="-5"/>
                <w:sz w:val="22"/>
              </w:rPr>
              <w:t>SF</w:t>
            </w:r>
          </w:p>
        </w:tc>
      </w:tr>
      <w:tr>
        <w:trPr>
          <w:trHeight w:val="739" w:hRule="atLeast"/>
        </w:trPr>
        <w:tc>
          <w:tcPr>
            <w:tcW w:w="2289" w:type="dxa"/>
          </w:tcPr>
          <w:p>
            <w:pPr>
              <w:pStyle w:val="TableParagraph"/>
              <w:spacing w:before="70"/>
              <w:ind w:left="153"/>
              <w:jc w:val="center"/>
              <w:rPr>
                <w:sz w:val="22"/>
              </w:rPr>
            </w:pPr>
            <w:r>
              <w:rPr>
                <w:sz w:val="22"/>
              </w:rPr>
              <w:t>H/L;</w:t>
            </w:r>
            <w:r>
              <w:rPr>
                <w:spacing w:val="-5"/>
                <w:sz w:val="22"/>
              </w:rPr>
              <w:t> </w:t>
            </w:r>
            <w:r>
              <w:rPr>
                <w:spacing w:val="-2"/>
                <w:sz w:val="22"/>
              </w:rPr>
              <w:t>50:50</w:t>
            </w:r>
          </w:p>
          <w:p>
            <w:pPr>
              <w:pStyle w:val="TableParagraph"/>
              <w:spacing w:before="22"/>
              <w:ind w:left="153" w:right="3"/>
              <w:jc w:val="center"/>
              <w:rPr>
                <w:sz w:val="22"/>
              </w:rPr>
            </w:pPr>
            <w:r>
              <w:rPr>
                <w:spacing w:val="-2"/>
                <w:sz w:val="22"/>
              </w:rPr>
              <w:t>(23.667±0.376)</w:t>
            </w:r>
          </w:p>
        </w:tc>
        <w:tc>
          <w:tcPr>
            <w:tcW w:w="1028" w:type="dxa"/>
          </w:tcPr>
          <w:p>
            <w:pPr>
              <w:pStyle w:val="TableParagraph"/>
              <w:spacing w:before="214"/>
              <w:ind w:right="201"/>
              <w:jc w:val="right"/>
              <w:rPr>
                <w:sz w:val="22"/>
              </w:rPr>
            </w:pPr>
            <w:r>
              <w:rPr>
                <w:spacing w:val="-5"/>
                <w:sz w:val="22"/>
              </w:rPr>
              <w:t>AMC</w:t>
            </w:r>
          </w:p>
        </w:tc>
        <w:tc>
          <w:tcPr>
            <w:tcW w:w="1613" w:type="dxa"/>
          </w:tcPr>
          <w:p>
            <w:pPr>
              <w:pStyle w:val="TableParagraph"/>
              <w:spacing w:before="91"/>
              <w:rPr>
                <w:b/>
                <w:i/>
                <w:sz w:val="22"/>
              </w:rPr>
            </w:pPr>
          </w:p>
          <w:p>
            <w:pPr>
              <w:pStyle w:val="TableParagraph"/>
              <w:spacing w:before="1"/>
              <w:ind w:left="21"/>
              <w:jc w:val="center"/>
              <w:rPr>
                <w:sz w:val="22"/>
              </w:rPr>
            </w:pPr>
            <w:r>
              <w:rPr>
                <w:spacing w:val="-2"/>
                <w:sz w:val="22"/>
              </w:rPr>
              <w:t>10.083±1.510</w:t>
            </w:r>
          </w:p>
        </w:tc>
        <w:tc>
          <w:tcPr>
            <w:tcW w:w="967" w:type="dxa"/>
          </w:tcPr>
          <w:p>
            <w:pPr>
              <w:pStyle w:val="TableParagraph"/>
              <w:spacing w:before="214"/>
              <w:ind w:left="4" w:right="93"/>
              <w:jc w:val="center"/>
              <w:rPr>
                <w:sz w:val="22"/>
              </w:rPr>
            </w:pPr>
            <w:r>
              <w:rPr>
                <w:spacing w:val="-2"/>
                <w:sz w:val="22"/>
              </w:rPr>
              <w:t>0.000</w:t>
            </w:r>
          </w:p>
        </w:tc>
        <w:tc>
          <w:tcPr>
            <w:tcW w:w="874" w:type="dxa"/>
          </w:tcPr>
          <w:p>
            <w:pPr>
              <w:pStyle w:val="TableParagraph"/>
              <w:spacing w:before="91"/>
              <w:rPr>
                <w:b/>
                <w:i/>
                <w:sz w:val="22"/>
              </w:rPr>
            </w:pPr>
          </w:p>
          <w:p>
            <w:pPr>
              <w:pStyle w:val="TableParagraph"/>
              <w:spacing w:before="1"/>
              <w:ind w:left="1" w:right="67"/>
              <w:jc w:val="center"/>
              <w:rPr>
                <w:sz w:val="22"/>
              </w:rPr>
            </w:pPr>
            <w:r>
              <w:rPr>
                <w:spacing w:val="-5"/>
                <w:sz w:val="22"/>
              </w:rPr>
              <w:t>SF</w:t>
            </w:r>
          </w:p>
        </w:tc>
      </w:tr>
      <w:tr>
        <w:trPr>
          <w:trHeight w:val="450" w:hRule="atLeast"/>
        </w:trPr>
        <w:tc>
          <w:tcPr>
            <w:tcW w:w="2289" w:type="dxa"/>
          </w:tcPr>
          <w:p>
            <w:pPr>
              <w:pStyle w:val="TableParagraph"/>
              <w:rPr>
                <w:rFonts w:ascii="Times New Roman"/>
                <w:sz w:val="22"/>
              </w:rPr>
            </w:pPr>
          </w:p>
        </w:tc>
        <w:tc>
          <w:tcPr>
            <w:tcW w:w="1028" w:type="dxa"/>
          </w:tcPr>
          <w:p>
            <w:pPr>
              <w:pStyle w:val="TableParagraph"/>
              <w:spacing w:before="70"/>
              <w:ind w:right="256"/>
              <w:jc w:val="right"/>
              <w:rPr>
                <w:sz w:val="22"/>
              </w:rPr>
            </w:pPr>
            <w:r>
              <w:rPr>
                <w:spacing w:val="-5"/>
                <w:sz w:val="22"/>
              </w:rPr>
              <w:t>LEV</w:t>
            </w:r>
          </w:p>
        </w:tc>
        <w:tc>
          <w:tcPr>
            <w:tcW w:w="1613" w:type="dxa"/>
          </w:tcPr>
          <w:p>
            <w:pPr>
              <w:pStyle w:val="TableParagraph"/>
              <w:spacing w:before="70"/>
              <w:ind w:left="21"/>
              <w:jc w:val="center"/>
              <w:rPr>
                <w:sz w:val="22"/>
              </w:rPr>
            </w:pPr>
            <w:r>
              <w:rPr>
                <w:spacing w:val="-2"/>
                <w:sz w:val="22"/>
              </w:rPr>
              <w:t>26.333±0.948</w:t>
            </w:r>
          </w:p>
        </w:tc>
        <w:tc>
          <w:tcPr>
            <w:tcW w:w="967" w:type="dxa"/>
          </w:tcPr>
          <w:p>
            <w:pPr>
              <w:pStyle w:val="TableParagraph"/>
              <w:spacing w:before="70"/>
              <w:ind w:left="4" w:right="93"/>
              <w:jc w:val="center"/>
              <w:rPr>
                <w:sz w:val="22"/>
              </w:rPr>
            </w:pPr>
            <w:r>
              <w:rPr>
                <w:spacing w:val="-2"/>
                <w:sz w:val="22"/>
              </w:rPr>
              <w:t>0.255</w:t>
            </w:r>
          </w:p>
        </w:tc>
        <w:tc>
          <w:tcPr>
            <w:tcW w:w="874" w:type="dxa"/>
          </w:tcPr>
          <w:p>
            <w:pPr>
              <w:pStyle w:val="TableParagraph"/>
              <w:spacing w:before="70"/>
              <w:ind w:left="2" w:right="67"/>
              <w:jc w:val="center"/>
              <w:rPr>
                <w:sz w:val="22"/>
              </w:rPr>
            </w:pPr>
            <w:r>
              <w:rPr>
                <w:spacing w:val="-5"/>
                <w:sz w:val="22"/>
              </w:rPr>
              <w:t>NS</w:t>
            </w:r>
          </w:p>
        </w:tc>
      </w:tr>
      <w:tr>
        <w:trPr>
          <w:trHeight w:val="522" w:hRule="atLeast"/>
        </w:trPr>
        <w:tc>
          <w:tcPr>
            <w:tcW w:w="2289" w:type="dxa"/>
            <w:tcBorders>
              <w:bottom w:val="single" w:sz="4" w:space="0" w:color="000000"/>
            </w:tcBorders>
          </w:tcPr>
          <w:p>
            <w:pPr>
              <w:pStyle w:val="TableParagraph"/>
              <w:rPr>
                <w:rFonts w:ascii="Times New Roman"/>
                <w:sz w:val="22"/>
              </w:rPr>
            </w:pPr>
          </w:p>
        </w:tc>
        <w:tc>
          <w:tcPr>
            <w:tcW w:w="1028" w:type="dxa"/>
            <w:tcBorders>
              <w:bottom w:val="single" w:sz="4" w:space="0" w:color="000000"/>
            </w:tcBorders>
          </w:tcPr>
          <w:p>
            <w:pPr>
              <w:pStyle w:val="TableParagraph"/>
              <w:spacing w:before="71"/>
              <w:ind w:right="209"/>
              <w:jc w:val="right"/>
              <w:rPr>
                <w:sz w:val="22"/>
              </w:rPr>
            </w:pPr>
            <w:r>
              <w:rPr>
                <w:spacing w:val="-5"/>
                <w:sz w:val="22"/>
              </w:rPr>
              <w:t>AZM</w:t>
            </w:r>
          </w:p>
        </w:tc>
        <w:tc>
          <w:tcPr>
            <w:tcW w:w="1613" w:type="dxa"/>
            <w:tcBorders>
              <w:bottom w:val="single" w:sz="4" w:space="0" w:color="000000"/>
            </w:tcBorders>
          </w:tcPr>
          <w:p>
            <w:pPr>
              <w:pStyle w:val="TableParagraph"/>
              <w:spacing w:before="71"/>
              <w:ind w:left="21"/>
              <w:jc w:val="center"/>
              <w:rPr>
                <w:sz w:val="22"/>
              </w:rPr>
            </w:pPr>
            <w:r>
              <w:rPr>
                <w:spacing w:val="-2"/>
                <w:sz w:val="22"/>
              </w:rPr>
              <w:t>18.083±0.802</w:t>
            </w:r>
          </w:p>
        </w:tc>
        <w:tc>
          <w:tcPr>
            <w:tcW w:w="967" w:type="dxa"/>
            <w:tcBorders>
              <w:bottom w:val="single" w:sz="4" w:space="0" w:color="000000"/>
            </w:tcBorders>
          </w:tcPr>
          <w:p>
            <w:pPr>
              <w:pStyle w:val="TableParagraph"/>
              <w:spacing w:before="71"/>
              <w:ind w:left="4" w:right="93"/>
              <w:jc w:val="center"/>
              <w:rPr>
                <w:sz w:val="22"/>
              </w:rPr>
            </w:pPr>
            <w:r>
              <w:rPr>
                <w:spacing w:val="-2"/>
                <w:sz w:val="22"/>
              </w:rPr>
              <w:t>0.000</w:t>
            </w:r>
          </w:p>
        </w:tc>
        <w:tc>
          <w:tcPr>
            <w:tcW w:w="874" w:type="dxa"/>
            <w:tcBorders>
              <w:bottom w:val="single" w:sz="4" w:space="0" w:color="000000"/>
            </w:tcBorders>
          </w:tcPr>
          <w:p>
            <w:pPr>
              <w:pStyle w:val="TableParagraph"/>
              <w:spacing w:before="71"/>
              <w:ind w:right="67"/>
              <w:jc w:val="center"/>
              <w:rPr>
                <w:sz w:val="22"/>
              </w:rPr>
            </w:pPr>
            <w:r>
              <w:rPr>
                <w:spacing w:val="-5"/>
                <w:sz w:val="22"/>
              </w:rPr>
              <w:t>SF</w:t>
            </w:r>
          </w:p>
        </w:tc>
      </w:tr>
    </w:tbl>
    <w:p>
      <w:pPr>
        <w:pStyle w:val="BodyText"/>
        <w:spacing w:line="276" w:lineRule="auto" w:before="20"/>
        <w:ind w:left="1100" w:right="975"/>
      </w:pPr>
      <w:r>
        <w:rPr/>
        <w:t>Key:</w:t>
      </w:r>
      <w:r>
        <w:rPr>
          <w:spacing w:val="40"/>
        </w:rPr>
        <w:t> </w:t>
      </w:r>
      <w:r>
        <w:rPr/>
        <w:t>LOS=Level</w:t>
      </w:r>
      <w:r>
        <w:rPr>
          <w:spacing w:val="40"/>
        </w:rPr>
        <w:t> </w:t>
      </w:r>
      <w:r>
        <w:rPr/>
        <w:t>of</w:t>
      </w:r>
      <w:r>
        <w:rPr>
          <w:spacing w:val="40"/>
        </w:rPr>
        <w:t> </w:t>
      </w:r>
      <w:r>
        <w:rPr/>
        <w:t>Significance;</w:t>
      </w:r>
      <w:r>
        <w:rPr>
          <w:spacing w:val="40"/>
        </w:rPr>
        <w:t> </w:t>
      </w:r>
      <w:r>
        <w:rPr/>
        <w:t>NS=Not</w:t>
      </w:r>
      <w:r>
        <w:rPr>
          <w:spacing w:val="40"/>
        </w:rPr>
        <w:t> </w:t>
      </w:r>
      <w:r>
        <w:rPr/>
        <w:t>significantly</w:t>
      </w:r>
      <w:r>
        <w:rPr>
          <w:spacing w:val="40"/>
        </w:rPr>
        <w:t> </w:t>
      </w:r>
      <w:r>
        <w:rPr/>
        <w:t>different;</w:t>
      </w:r>
      <w:r>
        <w:rPr>
          <w:spacing w:val="40"/>
        </w:rPr>
        <w:t> </w:t>
      </w:r>
      <w:r>
        <w:rPr/>
        <w:t>SF=Significantly</w:t>
      </w:r>
      <w:r>
        <w:rPr>
          <w:spacing w:val="40"/>
        </w:rPr>
        <w:t> </w:t>
      </w:r>
      <w:r>
        <w:rPr/>
        <w:t>different; L=Lemon juice, H=Honey.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5"/>
      </w:pPr>
    </w:p>
    <w:p>
      <w:pPr>
        <w:pStyle w:val="Heading3"/>
        <w:tabs>
          <w:tab w:pos="1820" w:val="left" w:leader="none"/>
        </w:tabs>
        <w:spacing w:line="256" w:lineRule="auto"/>
        <w:ind w:left="1820" w:right="1385" w:hanging="1440"/>
        <w:rPr>
          <w:i/>
        </w:rPr>
      </w:pPr>
      <w:r>
        <w:rPr/>
        <w:t>Table 4.26:</w:t>
        <w:tab/>
        <w:t>Comparing</w:t>
      </w:r>
      <w:r>
        <w:rPr>
          <w:spacing w:val="-4"/>
        </w:rPr>
        <w:t> </w:t>
      </w:r>
      <w:r>
        <w:rPr/>
        <w:t>the</w:t>
      </w:r>
      <w:r>
        <w:rPr>
          <w:spacing w:val="-3"/>
        </w:rPr>
        <w:t> </w:t>
      </w:r>
      <w:r>
        <w:rPr/>
        <w:t>Mean</w:t>
      </w:r>
      <w:r>
        <w:rPr>
          <w:spacing w:val="-3"/>
        </w:rPr>
        <w:t> </w:t>
      </w:r>
      <w:r>
        <w:rPr/>
        <w:t>zone</w:t>
      </w:r>
      <w:r>
        <w:rPr>
          <w:spacing w:val="-3"/>
        </w:rPr>
        <w:t> </w:t>
      </w:r>
      <w:r>
        <w:rPr/>
        <w:t>of</w:t>
      </w:r>
      <w:r>
        <w:rPr>
          <w:spacing w:val="-2"/>
        </w:rPr>
        <w:t> </w:t>
      </w:r>
      <w:r>
        <w:rPr/>
        <w:t>inhibition</w:t>
      </w:r>
      <w:r>
        <w:rPr>
          <w:spacing w:val="-3"/>
        </w:rPr>
        <w:t> </w:t>
      </w:r>
      <w:r>
        <w:rPr/>
        <w:t>of</w:t>
      </w:r>
      <w:r>
        <w:rPr>
          <w:spacing w:val="-2"/>
        </w:rPr>
        <w:t> </w:t>
      </w:r>
      <w:r>
        <w:rPr/>
        <w:t>Honey/Lemon</w:t>
      </w:r>
      <w:r>
        <w:rPr>
          <w:spacing w:val="-1"/>
        </w:rPr>
        <w:t> </w:t>
      </w:r>
      <w:r>
        <w:rPr/>
        <w:t>juice</w:t>
      </w:r>
      <w:r>
        <w:rPr>
          <w:spacing w:val="-2"/>
        </w:rPr>
        <w:t> </w:t>
      </w:r>
      <w:r>
        <w:rPr/>
        <w:t>mixture</w:t>
      </w:r>
      <w:r>
        <w:rPr>
          <w:spacing w:val="-3"/>
        </w:rPr>
        <w:t> </w:t>
      </w:r>
      <w:r>
        <w:rPr/>
        <w:t>and</w:t>
      </w:r>
      <w:r>
        <w:rPr>
          <w:spacing w:val="-3"/>
        </w:rPr>
        <w:t> </w:t>
      </w:r>
      <w:r>
        <w:rPr/>
        <w:t>the Standard antibiotic formulations against </w:t>
      </w:r>
      <w:r>
        <w:rPr>
          <w:i/>
        </w:rPr>
        <w:t>Streptococcus pneumoniae</w:t>
      </w:r>
    </w:p>
    <w:p>
      <w:pPr>
        <w:pStyle w:val="BodyText"/>
        <w:rPr>
          <w:b/>
          <w:i/>
          <w:sz w:val="20"/>
        </w:rPr>
      </w:pPr>
    </w:p>
    <w:p>
      <w:pPr>
        <w:pStyle w:val="BodyText"/>
        <w:rPr>
          <w:b/>
          <w:i/>
          <w:sz w:val="20"/>
        </w:rPr>
      </w:pPr>
    </w:p>
    <w:p>
      <w:pPr>
        <w:pStyle w:val="BodyText"/>
        <w:spacing w:before="131"/>
        <w:rPr>
          <w:b/>
          <w:i/>
          <w:sz w:val="20"/>
        </w:rPr>
      </w:pPr>
    </w:p>
    <w:tbl>
      <w:tblPr>
        <w:tblW w:w="0" w:type="auto"/>
        <w:jc w:val="left"/>
        <w:tblInd w:w="1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5"/>
        <w:gridCol w:w="1093"/>
        <w:gridCol w:w="1541"/>
        <w:gridCol w:w="1024"/>
        <w:gridCol w:w="858"/>
      </w:tblGrid>
      <w:tr>
        <w:trPr>
          <w:trHeight w:val="911" w:hRule="atLeast"/>
        </w:trPr>
        <w:tc>
          <w:tcPr>
            <w:tcW w:w="2245" w:type="dxa"/>
            <w:tcBorders>
              <w:top w:val="single" w:sz="4" w:space="0" w:color="000000"/>
              <w:bottom w:val="single" w:sz="4" w:space="0" w:color="000000"/>
            </w:tcBorders>
          </w:tcPr>
          <w:p>
            <w:pPr>
              <w:pStyle w:val="TableParagraph"/>
              <w:spacing w:before="227"/>
              <w:ind w:left="807"/>
              <w:rPr>
                <w:sz w:val="22"/>
              </w:rPr>
            </w:pPr>
            <w:r>
              <w:rPr>
                <w:sz w:val="22"/>
              </w:rPr>
              <w:t>(I)</w:t>
            </w:r>
            <w:r>
              <w:rPr>
                <w:spacing w:val="-2"/>
                <w:sz w:val="22"/>
              </w:rPr>
              <w:t> Group</w:t>
            </w:r>
          </w:p>
        </w:tc>
        <w:tc>
          <w:tcPr>
            <w:tcW w:w="1093" w:type="dxa"/>
            <w:tcBorders>
              <w:top w:val="single" w:sz="4" w:space="0" w:color="000000"/>
              <w:bottom w:val="single" w:sz="4" w:space="0" w:color="000000"/>
            </w:tcBorders>
          </w:tcPr>
          <w:p>
            <w:pPr>
              <w:pStyle w:val="TableParagraph"/>
              <w:spacing w:before="83"/>
              <w:ind w:left="186" w:right="5"/>
              <w:jc w:val="center"/>
              <w:rPr>
                <w:sz w:val="22"/>
              </w:rPr>
            </w:pPr>
            <w:r>
              <w:rPr>
                <w:spacing w:val="-5"/>
                <w:sz w:val="22"/>
              </w:rPr>
              <w:t>(J)</w:t>
            </w:r>
          </w:p>
          <w:p>
            <w:pPr>
              <w:pStyle w:val="TableParagraph"/>
              <w:spacing w:before="22"/>
              <w:ind w:left="185"/>
              <w:jc w:val="center"/>
              <w:rPr>
                <w:sz w:val="22"/>
              </w:rPr>
            </w:pPr>
            <w:r>
              <w:rPr>
                <w:spacing w:val="-2"/>
                <w:sz w:val="22"/>
              </w:rPr>
              <w:t>Group</w:t>
            </w:r>
          </w:p>
        </w:tc>
        <w:tc>
          <w:tcPr>
            <w:tcW w:w="1541" w:type="dxa"/>
            <w:tcBorders>
              <w:top w:val="single" w:sz="4" w:space="0" w:color="000000"/>
              <w:bottom w:val="single" w:sz="4" w:space="0" w:color="000000"/>
            </w:tcBorders>
          </w:tcPr>
          <w:p>
            <w:pPr>
              <w:pStyle w:val="TableParagraph"/>
              <w:spacing w:before="227"/>
              <w:ind w:left="31" w:right="1"/>
              <w:jc w:val="center"/>
              <w:rPr>
                <w:sz w:val="22"/>
              </w:rPr>
            </w:pPr>
            <w:r>
              <w:rPr>
                <w:spacing w:val="-2"/>
                <w:sz w:val="22"/>
              </w:rPr>
              <w:t>Mean±SEM</w:t>
            </w:r>
          </w:p>
        </w:tc>
        <w:tc>
          <w:tcPr>
            <w:tcW w:w="1024" w:type="dxa"/>
            <w:tcBorders>
              <w:top w:val="single" w:sz="4" w:space="0" w:color="000000"/>
              <w:bottom w:val="single" w:sz="4" w:space="0" w:color="000000"/>
            </w:tcBorders>
          </w:tcPr>
          <w:p>
            <w:pPr>
              <w:pStyle w:val="TableParagraph"/>
              <w:spacing w:before="227"/>
              <w:ind w:left="7" w:right="73"/>
              <w:jc w:val="center"/>
              <w:rPr>
                <w:sz w:val="22"/>
              </w:rPr>
            </w:pPr>
            <w:r>
              <w:rPr>
                <w:sz w:val="22"/>
              </w:rPr>
              <w:t>P-</w:t>
            </w:r>
            <w:r>
              <w:rPr>
                <w:spacing w:val="-2"/>
                <w:sz w:val="22"/>
              </w:rPr>
              <w:t>value</w:t>
            </w:r>
          </w:p>
        </w:tc>
        <w:tc>
          <w:tcPr>
            <w:tcW w:w="858" w:type="dxa"/>
            <w:tcBorders>
              <w:top w:val="single" w:sz="4" w:space="0" w:color="000000"/>
              <w:bottom w:val="single" w:sz="4" w:space="0" w:color="000000"/>
            </w:tcBorders>
          </w:tcPr>
          <w:p>
            <w:pPr>
              <w:pStyle w:val="TableParagraph"/>
              <w:spacing w:before="227"/>
              <w:ind w:left="64" w:right="146"/>
              <w:jc w:val="center"/>
              <w:rPr>
                <w:sz w:val="22"/>
              </w:rPr>
            </w:pPr>
            <w:r>
              <w:rPr>
                <w:spacing w:val="-5"/>
                <w:sz w:val="22"/>
              </w:rPr>
              <w:t>LOS</w:t>
            </w:r>
          </w:p>
        </w:tc>
      </w:tr>
      <w:tr>
        <w:trPr>
          <w:trHeight w:val="375" w:hRule="atLeast"/>
        </w:trPr>
        <w:tc>
          <w:tcPr>
            <w:tcW w:w="2245" w:type="dxa"/>
            <w:tcBorders>
              <w:top w:val="single" w:sz="4" w:space="0" w:color="000000"/>
            </w:tcBorders>
          </w:tcPr>
          <w:p>
            <w:pPr>
              <w:pStyle w:val="TableParagraph"/>
              <w:rPr>
                <w:rFonts w:ascii="Times New Roman"/>
                <w:sz w:val="22"/>
              </w:rPr>
            </w:pPr>
          </w:p>
        </w:tc>
        <w:tc>
          <w:tcPr>
            <w:tcW w:w="1093" w:type="dxa"/>
            <w:tcBorders>
              <w:top w:val="single" w:sz="4" w:space="0" w:color="000000"/>
            </w:tcBorders>
          </w:tcPr>
          <w:p>
            <w:pPr>
              <w:pStyle w:val="TableParagraph"/>
              <w:spacing w:line="265" w:lineRule="exact"/>
              <w:ind w:left="446"/>
              <w:rPr>
                <w:sz w:val="22"/>
              </w:rPr>
            </w:pPr>
            <w:r>
              <w:rPr>
                <w:spacing w:val="-5"/>
                <w:sz w:val="22"/>
              </w:rPr>
              <w:t>CRO</w:t>
            </w:r>
          </w:p>
        </w:tc>
        <w:tc>
          <w:tcPr>
            <w:tcW w:w="1541" w:type="dxa"/>
            <w:tcBorders>
              <w:top w:val="single" w:sz="4" w:space="0" w:color="000000"/>
            </w:tcBorders>
          </w:tcPr>
          <w:p>
            <w:pPr>
              <w:pStyle w:val="TableParagraph"/>
              <w:spacing w:line="265" w:lineRule="exact"/>
              <w:ind w:left="31" w:right="4"/>
              <w:jc w:val="center"/>
              <w:rPr>
                <w:sz w:val="22"/>
              </w:rPr>
            </w:pPr>
            <w:r>
              <w:rPr>
                <w:spacing w:val="-2"/>
                <w:sz w:val="22"/>
              </w:rPr>
              <w:t>21.714±1.924</w:t>
            </w:r>
          </w:p>
        </w:tc>
        <w:tc>
          <w:tcPr>
            <w:tcW w:w="1024" w:type="dxa"/>
            <w:tcBorders>
              <w:top w:val="single" w:sz="4" w:space="0" w:color="000000"/>
            </w:tcBorders>
          </w:tcPr>
          <w:p>
            <w:pPr>
              <w:pStyle w:val="TableParagraph"/>
              <w:spacing w:line="265" w:lineRule="exact"/>
              <w:ind w:left="5" w:right="73"/>
              <w:jc w:val="center"/>
              <w:rPr>
                <w:sz w:val="22"/>
              </w:rPr>
            </w:pPr>
            <w:r>
              <w:rPr>
                <w:spacing w:val="-2"/>
                <w:sz w:val="22"/>
              </w:rPr>
              <w:t>0.999</w:t>
            </w:r>
          </w:p>
        </w:tc>
        <w:tc>
          <w:tcPr>
            <w:tcW w:w="858" w:type="dxa"/>
            <w:tcBorders>
              <w:top w:val="single" w:sz="4" w:space="0" w:color="000000"/>
            </w:tcBorders>
          </w:tcPr>
          <w:p>
            <w:pPr>
              <w:pStyle w:val="TableParagraph"/>
              <w:spacing w:line="265" w:lineRule="exact"/>
              <w:ind w:left="64" w:right="149"/>
              <w:jc w:val="center"/>
              <w:rPr>
                <w:sz w:val="22"/>
              </w:rPr>
            </w:pPr>
            <w:r>
              <w:rPr>
                <w:spacing w:val="-5"/>
                <w:sz w:val="22"/>
              </w:rPr>
              <w:t>NS</w:t>
            </w:r>
          </w:p>
        </w:tc>
      </w:tr>
      <w:tr>
        <w:trPr>
          <w:trHeight w:val="450" w:hRule="atLeast"/>
        </w:trPr>
        <w:tc>
          <w:tcPr>
            <w:tcW w:w="2245" w:type="dxa"/>
          </w:tcPr>
          <w:p>
            <w:pPr>
              <w:pStyle w:val="TableParagraph"/>
              <w:rPr>
                <w:rFonts w:ascii="Times New Roman"/>
                <w:sz w:val="22"/>
              </w:rPr>
            </w:pPr>
          </w:p>
        </w:tc>
        <w:tc>
          <w:tcPr>
            <w:tcW w:w="1093" w:type="dxa"/>
          </w:tcPr>
          <w:p>
            <w:pPr>
              <w:pStyle w:val="TableParagraph"/>
              <w:spacing w:before="70"/>
              <w:ind w:left="508"/>
              <w:rPr>
                <w:sz w:val="22"/>
              </w:rPr>
            </w:pPr>
            <w:r>
              <w:rPr>
                <w:spacing w:val="-5"/>
                <w:sz w:val="22"/>
              </w:rPr>
              <w:t>CN</w:t>
            </w:r>
          </w:p>
        </w:tc>
        <w:tc>
          <w:tcPr>
            <w:tcW w:w="1541" w:type="dxa"/>
          </w:tcPr>
          <w:p>
            <w:pPr>
              <w:pStyle w:val="TableParagraph"/>
              <w:spacing w:before="70"/>
              <w:ind w:left="31" w:right="4"/>
              <w:jc w:val="center"/>
              <w:rPr>
                <w:sz w:val="22"/>
              </w:rPr>
            </w:pPr>
            <w:r>
              <w:rPr>
                <w:spacing w:val="-2"/>
                <w:sz w:val="22"/>
              </w:rPr>
              <w:t>20.429±1.556</w:t>
            </w:r>
          </w:p>
        </w:tc>
        <w:tc>
          <w:tcPr>
            <w:tcW w:w="1024" w:type="dxa"/>
          </w:tcPr>
          <w:p>
            <w:pPr>
              <w:pStyle w:val="TableParagraph"/>
              <w:spacing w:before="70"/>
              <w:ind w:left="5" w:right="73"/>
              <w:jc w:val="center"/>
              <w:rPr>
                <w:sz w:val="22"/>
              </w:rPr>
            </w:pPr>
            <w:r>
              <w:rPr>
                <w:spacing w:val="-2"/>
                <w:sz w:val="22"/>
              </w:rPr>
              <w:t>0.917</w:t>
            </w:r>
          </w:p>
        </w:tc>
        <w:tc>
          <w:tcPr>
            <w:tcW w:w="858" w:type="dxa"/>
          </w:tcPr>
          <w:p>
            <w:pPr>
              <w:pStyle w:val="TableParagraph"/>
              <w:spacing w:before="70"/>
              <w:ind w:left="64" w:right="149"/>
              <w:jc w:val="center"/>
              <w:rPr>
                <w:sz w:val="22"/>
              </w:rPr>
            </w:pPr>
            <w:r>
              <w:rPr>
                <w:spacing w:val="-5"/>
                <w:sz w:val="22"/>
              </w:rPr>
              <w:t>NS</w:t>
            </w:r>
          </w:p>
        </w:tc>
      </w:tr>
      <w:tr>
        <w:trPr>
          <w:trHeight w:val="739" w:hRule="atLeast"/>
        </w:trPr>
        <w:tc>
          <w:tcPr>
            <w:tcW w:w="2245" w:type="dxa"/>
          </w:tcPr>
          <w:p>
            <w:pPr>
              <w:pStyle w:val="TableParagraph"/>
              <w:spacing w:before="71"/>
              <w:ind w:left="173"/>
              <w:jc w:val="center"/>
              <w:rPr>
                <w:sz w:val="22"/>
              </w:rPr>
            </w:pPr>
            <w:r>
              <w:rPr>
                <w:sz w:val="22"/>
              </w:rPr>
              <w:t>H/L;</w:t>
            </w:r>
            <w:r>
              <w:rPr>
                <w:spacing w:val="-5"/>
                <w:sz w:val="22"/>
              </w:rPr>
              <w:t> </w:t>
            </w:r>
            <w:r>
              <w:rPr>
                <w:spacing w:val="-2"/>
                <w:sz w:val="22"/>
              </w:rPr>
              <w:t>10:50</w:t>
            </w:r>
          </w:p>
          <w:p>
            <w:pPr>
              <w:pStyle w:val="TableParagraph"/>
              <w:spacing w:before="19"/>
              <w:ind w:left="173" w:right="2"/>
              <w:jc w:val="center"/>
              <w:rPr>
                <w:sz w:val="22"/>
              </w:rPr>
            </w:pPr>
            <w:r>
              <w:rPr>
                <w:spacing w:val="-2"/>
                <w:sz w:val="22"/>
              </w:rPr>
              <w:t>(23.143±0.769)</w:t>
            </w:r>
          </w:p>
        </w:tc>
        <w:tc>
          <w:tcPr>
            <w:tcW w:w="1093" w:type="dxa"/>
          </w:tcPr>
          <w:p>
            <w:pPr>
              <w:pStyle w:val="TableParagraph"/>
              <w:spacing w:before="215"/>
              <w:ind w:left="422"/>
              <w:rPr>
                <w:sz w:val="22"/>
              </w:rPr>
            </w:pPr>
            <w:r>
              <w:rPr>
                <w:spacing w:val="-5"/>
                <w:sz w:val="22"/>
              </w:rPr>
              <w:t>AMC</w:t>
            </w:r>
          </w:p>
        </w:tc>
        <w:tc>
          <w:tcPr>
            <w:tcW w:w="1541" w:type="dxa"/>
          </w:tcPr>
          <w:p>
            <w:pPr>
              <w:pStyle w:val="TableParagraph"/>
              <w:spacing w:before="90"/>
              <w:rPr>
                <w:b/>
                <w:i/>
                <w:sz w:val="22"/>
              </w:rPr>
            </w:pPr>
          </w:p>
          <w:p>
            <w:pPr>
              <w:pStyle w:val="TableParagraph"/>
              <w:ind w:left="31" w:right="4"/>
              <w:jc w:val="center"/>
              <w:rPr>
                <w:sz w:val="22"/>
              </w:rPr>
            </w:pPr>
            <w:r>
              <w:rPr>
                <w:spacing w:val="-2"/>
                <w:sz w:val="22"/>
              </w:rPr>
              <w:t>19.286±2.067</w:t>
            </w:r>
          </w:p>
        </w:tc>
        <w:tc>
          <w:tcPr>
            <w:tcW w:w="1024" w:type="dxa"/>
          </w:tcPr>
          <w:p>
            <w:pPr>
              <w:pStyle w:val="TableParagraph"/>
              <w:spacing w:before="215"/>
              <w:ind w:left="5" w:right="73"/>
              <w:jc w:val="center"/>
              <w:rPr>
                <w:sz w:val="22"/>
              </w:rPr>
            </w:pPr>
            <w:r>
              <w:rPr>
                <w:spacing w:val="-2"/>
                <w:sz w:val="22"/>
              </w:rPr>
              <w:t>0.593</w:t>
            </w:r>
          </w:p>
        </w:tc>
        <w:tc>
          <w:tcPr>
            <w:tcW w:w="858" w:type="dxa"/>
          </w:tcPr>
          <w:p>
            <w:pPr>
              <w:pStyle w:val="TableParagraph"/>
              <w:spacing w:before="90"/>
              <w:rPr>
                <w:b/>
                <w:i/>
                <w:sz w:val="22"/>
              </w:rPr>
            </w:pPr>
          </w:p>
          <w:p>
            <w:pPr>
              <w:pStyle w:val="TableParagraph"/>
              <w:ind w:left="64" w:right="149"/>
              <w:jc w:val="center"/>
              <w:rPr>
                <w:sz w:val="22"/>
              </w:rPr>
            </w:pPr>
            <w:r>
              <w:rPr>
                <w:spacing w:val="-5"/>
                <w:sz w:val="22"/>
              </w:rPr>
              <w:t>NS</w:t>
            </w:r>
          </w:p>
        </w:tc>
      </w:tr>
      <w:tr>
        <w:trPr>
          <w:trHeight w:val="450" w:hRule="atLeast"/>
        </w:trPr>
        <w:tc>
          <w:tcPr>
            <w:tcW w:w="2245" w:type="dxa"/>
          </w:tcPr>
          <w:p>
            <w:pPr>
              <w:pStyle w:val="TableParagraph"/>
              <w:rPr>
                <w:rFonts w:ascii="Times New Roman"/>
                <w:sz w:val="22"/>
              </w:rPr>
            </w:pPr>
          </w:p>
        </w:tc>
        <w:tc>
          <w:tcPr>
            <w:tcW w:w="1093" w:type="dxa"/>
          </w:tcPr>
          <w:p>
            <w:pPr>
              <w:pStyle w:val="TableParagraph"/>
              <w:spacing w:before="71"/>
              <w:ind w:left="475"/>
              <w:rPr>
                <w:sz w:val="22"/>
              </w:rPr>
            </w:pPr>
            <w:r>
              <w:rPr>
                <w:spacing w:val="-5"/>
                <w:sz w:val="22"/>
              </w:rPr>
              <w:t>LEV</w:t>
            </w:r>
          </w:p>
        </w:tc>
        <w:tc>
          <w:tcPr>
            <w:tcW w:w="1541" w:type="dxa"/>
          </w:tcPr>
          <w:p>
            <w:pPr>
              <w:pStyle w:val="TableParagraph"/>
              <w:spacing w:before="71"/>
              <w:ind w:left="31" w:right="4"/>
              <w:jc w:val="center"/>
              <w:rPr>
                <w:sz w:val="22"/>
              </w:rPr>
            </w:pPr>
            <w:r>
              <w:rPr>
                <w:spacing w:val="-2"/>
                <w:sz w:val="22"/>
              </w:rPr>
              <w:t>21.286±2.067</w:t>
            </w:r>
          </w:p>
        </w:tc>
        <w:tc>
          <w:tcPr>
            <w:tcW w:w="1024" w:type="dxa"/>
          </w:tcPr>
          <w:p>
            <w:pPr>
              <w:pStyle w:val="TableParagraph"/>
              <w:spacing w:before="71"/>
              <w:ind w:left="5" w:right="73"/>
              <w:jc w:val="center"/>
              <w:rPr>
                <w:sz w:val="22"/>
              </w:rPr>
            </w:pPr>
            <w:r>
              <w:rPr>
                <w:spacing w:val="-2"/>
                <w:sz w:val="22"/>
              </w:rPr>
              <w:t>0.993</w:t>
            </w:r>
          </w:p>
        </w:tc>
        <w:tc>
          <w:tcPr>
            <w:tcW w:w="858" w:type="dxa"/>
          </w:tcPr>
          <w:p>
            <w:pPr>
              <w:pStyle w:val="TableParagraph"/>
              <w:spacing w:before="71"/>
              <w:ind w:left="64" w:right="149"/>
              <w:jc w:val="center"/>
              <w:rPr>
                <w:sz w:val="22"/>
              </w:rPr>
            </w:pPr>
            <w:r>
              <w:rPr>
                <w:spacing w:val="-5"/>
                <w:sz w:val="22"/>
              </w:rPr>
              <w:t>NS</w:t>
            </w:r>
          </w:p>
        </w:tc>
      </w:tr>
      <w:tr>
        <w:trPr>
          <w:trHeight w:val="524" w:hRule="atLeast"/>
        </w:trPr>
        <w:tc>
          <w:tcPr>
            <w:tcW w:w="2245" w:type="dxa"/>
            <w:tcBorders>
              <w:bottom w:val="single" w:sz="4" w:space="0" w:color="000000"/>
            </w:tcBorders>
          </w:tcPr>
          <w:p>
            <w:pPr>
              <w:pStyle w:val="TableParagraph"/>
              <w:rPr>
                <w:rFonts w:ascii="Times New Roman"/>
                <w:sz w:val="22"/>
              </w:rPr>
            </w:pPr>
          </w:p>
        </w:tc>
        <w:tc>
          <w:tcPr>
            <w:tcW w:w="1093" w:type="dxa"/>
            <w:tcBorders>
              <w:bottom w:val="single" w:sz="4" w:space="0" w:color="000000"/>
            </w:tcBorders>
          </w:tcPr>
          <w:p>
            <w:pPr>
              <w:pStyle w:val="TableParagraph"/>
              <w:spacing w:before="70"/>
              <w:ind w:left="429"/>
              <w:rPr>
                <w:sz w:val="22"/>
              </w:rPr>
            </w:pPr>
            <w:r>
              <w:rPr>
                <w:spacing w:val="-5"/>
                <w:sz w:val="22"/>
              </w:rPr>
              <w:t>AZM</w:t>
            </w:r>
          </w:p>
        </w:tc>
        <w:tc>
          <w:tcPr>
            <w:tcW w:w="1541" w:type="dxa"/>
            <w:tcBorders>
              <w:bottom w:val="single" w:sz="4" w:space="0" w:color="000000"/>
            </w:tcBorders>
          </w:tcPr>
          <w:p>
            <w:pPr>
              <w:pStyle w:val="TableParagraph"/>
              <w:spacing w:before="70"/>
              <w:ind w:left="31" w:right="4"/>
              <w:jc w:val="center"/>
              <w:rPr>
                <w:sz w:val="22"/>
              </w:rPr>
            </w:pPr>
            <w:r>
              <w:rPr>
                <w:spacing w:val="-2"/>
                <w:sz w:val="22"/>
              </w:rPr>
              <w:t>16.143±1.945</w:t>
            </w:r>
          </w:p>
        </w:tc>
        <w:tc>
          <w:tcPr>
            <w:tcW w:w="1024" w:type="dxa"/>
            <w:tcBorders>
              <w:bottom w:val="single" w:sz="4" w:space="0" w:color="000000"/>
            </w:tcBorders>
          </w:tcPr>
          <w:p>
            <w:pPr>
              <w:pStyle w:val="TableParagraph"/>
              <w:spacing w:before="70"/>
              <w:ind w:left="5" w:right="73"/>
              <w:jc w:val="center"/>
              <w:rPr>
                <w:sz w:val="22"/>
              </w:rPr>
            </w:pPr>
            <w:r>
              <w:rPr>
                <w:spacing w:val="-2"/>
                <w:sz w:val="22"/>
              </w:rPr>
              <w:t>0.018</w:t>
            </w:r>
          </w:p>
        </w:tc>
        <w:tc>
          <w:tcPr>
            <w:tcW w:w="858" w:type="dxa"/>
            <w:tcBorders>
              <w:bottom w:val="single" w:sz="4" w:space="0" w:color="000000"/>
            </w:tcBorders>
          </w:tcPr>
          <w:p>
            <w:pPr>
              <w:pStyle w:val="TableParagraph"/>
              <w:spacing w:before="70"/>
              <w:ind w:left="64" w:right="151"/>
              <w:jc w:val="center"/>
              <w:rPr>
                <w:sz w:val="22"/>
              </w:rPr>
            </w:pPr>
            <w:r>
              <w:rPr>
                <w:spacing w:val="-5"/>
                <w:sz w:val="22"/>
              </w:rPr>
              <w:t>SF</w:t>
            </w:r>
          </w:p>
        </w:tc>
      </w:tr>
      <w:tr>
        <w:trPr>
          <w:trHeight w:val="375" w:hRule="atLeast"/>
        </w:trPr>
        <w:tc>
          <w:tcPr>
            <w:tcW w:w="2245" w:type="dxa"/>
            <w:tcBorders>
              <w:top w:val="single" w:sz="4" w:space="0" w:color="000000"/>
            </w:tcBorders>
          </w:tcPr>
          <w:p>
            <w:pPr>
              <w:pStyle w:val="TableParagraph"/>
              <w:rPr>
                <w:rFonts w:ascii="Times New Roman"/>
                <w:sz w:val="22"/>
              </w:rPr>
            </w:pPr>
          </w:p>
        </w:tc>
        <w:tc>
          <w:tcPr>
            <w:tcW w:w="1093" w:type="dxa"/>
            <w:tcBorders>
              <w:top w:val="single" w:sz="4" w:space="0" w:color="000000"/>
            </w:tcBorders>
          </w:tcPr>
          <w:p>
            <w:pPr>
              <w:pStyle w:val="TableParagraph"/>
              <w:spacing w:line="265" w:lineRule="exact"/>
              <w:ind w:left="446"/>
              <w:rPr>
                <w:sz w:val="22"/>
              </w:rPr>
            </w:pPr>
            <w:r>
              <w:rPr>
                <w:spacing w:val="-5"/>
                <w:sz w:val="22"/>
              </w:rPr>
              <w:t>CRO</w:t>
            </w:r>
          </w:p>
        </w:tc>
        <w:tc>
          <w:tcPr>
            <w:tcW w:w="1541" w:type="dxa"/>
            <w:tcBorders>
              <w:top w:val="single" w:sz="4" w:space="0" w:color="000000"/>
            </w:tcBorders>
          </w:tcPr>
          <w:p>
            <w:pPr>
              <w:pStyle w:val="TableParagraph"/>
              <w:spacing w:line="265" w:lineRule="exact"/>
              <w:ind w:left="31" w:right="4"/>
              <w:jc w:val="center"/>
              <w:rPr>
                <w:sz w:val="22"/>
              </w:rPr>
            </w:pPr>
            <w:r>
              <w:rPr>
                <w:spacing w:val="-2"/>
                <w:sz w:val="22"/>
              </w:rPr>
              <w:t>21.714±1.924</w:t>
            </w:r>
          </w:p>
        </w:tc>
        <w:tc>
          <w:tcPr>
            <w:tcW w:w="1024" w:type="dxa"/>
            <w:tcBorders>
              <w:top w:val="single" w:sz="4" w:space="0" w:color="000000"/>
            </w:tcBorders>
          </w:tcPr>
          <w:p>
            <w:pPr>
              <w:pStyle w:val="TableParagraph"/>
              <w:spacing w:line="265" w:lineRule="exact"/>
              <w:ind w:left="5" w:right="73"/>
              <w:jc w:val="center"/>
              <w:rPr>
                <w:sz w:val="22"/>
              </w:rPr>
            </w:pPr>
            <w:r>
              <w:rPr>
                <w:spacing w:val="-2"/>
                <w:sz w:val="22"/>
              </w:rPr>
              <w:t>0.998</w:t>
            </w:r>
          </w:p>
        </w:tc>
        <w:tc>
          <w:tcPr>
            <w:tcW w:w="858" w:type="dxa"/>
            <w:tcBorders>
              <w:top w:val="single" w:sz="4" w:space="0" w:color="000000"/>
            </w:tcBorders>
          </w:tcPr>
          <w:p>
            <w:pPr>
              <w:pStyle w:val="TableParagraph"/>
              <w:spacing w:line="265" w:lineRule="exact"/>
              <w:ind w:left="64" w:right="149"/>
              <w:jc w:val="center"/>
              <w:rPr>
                <w:sz w:val="22"/>
              </w:rPr>
            </w:pPr>
            <w:r>
              <w:rPr>
                <w:spacing w:val="-5"/>
                <w:sz w:val="22"/>
              </w:rPr>
              <w:t>NS</w:t>
            </w:r>
          </w:p>
        </w:tc>
      </w:tr>
      <w:tr>
        <w:trPr>
          <w:trHeight w:val="450" w:hRule="atLeast"/>
        </w:trPr>
        <w:tc>
          <w:tcPr>
            <w:tcW w:w="2245" w:type="dxa"/>
          </w:tcPr>
          <w:p>
            <w:pPr>
              <w:pStyle w:val="TableParagraph"/>
              <w:rPr>
                <w:rFonts w:ascii="Times New Roman"/>
                <w:sz w:val="22"/>
              </w:rPr>
            </w:pPr>
          </w:p>
        </w:tc>
        <w:tc>
          <w:tcPr>
            <w:tcW w:w="1093" w:type="dxa"/>
          </w:tcPr>
          <w:p>
            <w:pPr>
              <w:pStyle w:val="TableParagraph"/>
              <w:spacing w:before="70"/>
              <w:ind w:left="508"/>
              <w:rPr>
                <w:sz w:val="22"/>
              </w:rPr>
            </w:pPr>
            <w:r>
              <w:rPr>
                <w:spacing w:val="-5"/>
                <w:sz w:val="22"/>
              </w:rPr>
              <w:t>CN</w:t>
            </w:r>
          </w:p>
        </w:tc>
        <w:tc>
          <w:tcPr>
            <w:tcW w:w="1541" w:type="dxa"/>
          </w:tcPr>
          <w:p>
            <w:pPr>
              <w:pStyle w:val="TableParagraph"/>
              <w:spacing w:before="70"/>
              <w:ind w:left="31" w:right="4"/>
              <w:jc w:val="center"/>
              <w:rPr>
                <w:sz w:val="22"/>
              </w:rPr>
            </w:pPr>
            <w:r>
              <w:rPr>
                <w:spacing w:val="-2"/>
                <w:sz w:val="22"/>
              </w:rPr>
              <w:t>20.429±1.556</w:t>
            </w:r>
          </w:p>
        </w:tc>
        <w:tc>
          <w:tcPr>
            <w:tcW w:w="1024" w:type="dxa"/>
          </w:tcPr>
          <w:p>
            <w:pPr>
              <w:pStyle w:val="TableParagraph"/>
              <w:spacing w:before="70"/>
              <w:ind w:left="5" w:right="73"/>
              <w:jc w:val="center"/>
              <w:rPr>
                <w:sz w:val="22"/>
              </w:rPr>
            </w:pPr>
            <w:r>
              <w:rPr>
                <w:spacing w:val="-2"/>
                <w:sz w:val="22"/>
              </w:rPr>
              <w:t>0.890</w:t>
            </w:r>
          </w:p>
        </w:tc>
        <w:tc>
          <w:tcPr>
            <w:tcW w:w="858" w:type="dxa"/>
          </w:tcPr>
          <w:p>
            <w:pPr>
              <w:pStyle w:val="TableParagraph"/>
              <w:spacing w:before="70"/>
              <w:ind w:left="64" w:right="149"/>
              <w:jc w:val="center"/>
              <w:rPr>
                <w:sz w:val="22"/>
              </w:rPr>
            </w:pPr>
            <w:r>
              <w:rPr>
                <w:spacing w:val="-5"/>
                <w:sz w:val="22"/>
              </w:rPr>
              <w:t>NS</w:t>
            </w:r>
          </w:p>
        </w:tc>
      </w:tr>
      <w:tr>
        <w:trPr>
          <w:trHeight w:val="739" w:hRule="atLeast"/>
        </w:trPr>
        <w:tc>
          <w:tcPr>
            <w:tcW w:w="2245" w:type="dxa"/>
          </w:tcPr>
          <w:p>
            <w:pPr>
              <w:pStyle w:val="TableParagraph"/>
              <w:spacing w:before="71"/>
              <w:ind w:left="173" w:right="5"/>
              <w:jc w:val="center"/>
              <w:rPr>
                <w:sz w:val="22"/>
              </w:rPr>
            </w:pPr>
            <w:r>
              <w:rPr>
                <w:sz w:val="22"/>
              </w:rPr>
              <w:t>H/L;</w:t>
            </w:r>
            <w:r>
              <w:rPr>
                <w:spacing w:val="-4"/>
                <w:sz w:val="22"/>
              </w:rPr>
              <w:t> </w:t>
            </w:r>
            <w:r>
              <w:rPr>
                <w:sz w:val="22"/>
              </w:rPr>
              <w:t>20:</w:t>
            </w:r>
            <w:r>
              <w:rPr>
                <w:spacing w:val="-3"/>
                <w:sz w:val="22"/>
              </w:rPr>
              <w:t> </w:t>
            </w:r>
            <w:r>
              <w:rPr>
                <w:spacing w:val="-5"/>
                <w:sz w:val="22"/>
              </w:rPr>
              <w:t>50</w:t>
            </w:r>
          </w:p>
          <w:p>
            <w:pPr>
              <w:pStyle w:val="TableParagraph"/>
              <w:spacing w:before="19"/>
              <w:ind w:left="173" w:right="2"/>
              <w:jc w:val="center"/>
              <w:rPr>
                <w:sz w:val="22"/>
              </w:rPr>
            </w:pPr>
            <w:r>
              <w:rPr>
                <w:spacing w:val="-2"/>
                <w:sz w:val="22"/>
              </w:rPr>
              <w:t>(23.286±0.522)</w:t>
            </w:r>
          </w:p>
        </w:tc>
        <w:tc>
          <w:tcPr>
            <w:tcW w:w="1093" w:type="dxa"/>
          </w:tcPr>
          <w:p>
            <w:pPr>
              <w:pStyle w:val="TableParagraph"/>
              <w:spacing w:before="215"/>
              <w:ind w:left="422"/>
              <w:rPr>
                <w:sz w:val="22"/>
              </w:rPr>
            </w:pPr>
            <w:r>
              <w:rPr>
                <w:spacing w:val="-5"/>
                <w:sz w:val="22"/>
              </w:rPr>
              <w:t>AMC</w:t>
            </w:r>
          </w:p>
        </w:tc>
        <w:tc>
          <w:tcPr>
            <w:tcW w:w="1541" w:type="dxa"/>
          </w:tcPr>
          <w:p>
            <w:pPr>
              <w:pStyle w:val="TableParagraph"/>
              <w:spacing w:before="90"/>
              <w:rPr>
                <w:b/>
                <w:i/>
                <w:sz w:val="22"/>
              </w:rPr>
            </w:pPr>
          </w:p>
          <w:p>
            <w:pPr>
              <w:pStyle w:val="TableParagraph"/>
              <w:ind w:left="31" w:right="4"/>
              <w:jc w:val="center"/>
              <w:rPr>
                <w:sz w:val="22"/>
              </w:rPr>
            </w:pPr>
            <w:r>
              <w:rPr>
                <w:spacing w:val="-2"/>
                <w:sz w:val="22"/>
              </w:rPr>
              <w:t>19.286±2.067</w:t>
            </w:r>
          </w:p>
        </w:tc>
        <w:tc>
          <w:tcPr>
            <w:tcW w:w="1024" w:type="dxa"/>
          </w:tcPr>
          <w:p>
            <w:pPr>
              <w:pStyle w:val="TableParagraph"/>
              <w:spacing w:before="215"/>
              <w:ind w:left="5" w:right="73"/>
              <w:jc w:val="center"/>
              <w:rPr>
                <w:sz w:val="22"/>
              </w:rPr>
            </w:pPr>
            <w:r>
              <w:rPr>
                <w:spacing w:val="-2"/>
                <w:sz w:val="22"/>
              </w:rPr>
              <w:t>0.543</w:t>
            </w:r>
          </w:p>
        </w:tc>
        <w:tc>
          <w:tcPr>
            <w:tcW w:w="858" w:type="dxa"/>
          </w:tcPr>
          <w:p>
            <w:pPr>
              <w:pStyle w:val="TableParagraph"/>
              <w:spacing w:before="90"/>
              <w:rPr>
                <w:b/>
                <w:i/>
                <w:sz w:val="22"/>
              </w:rPr>
            </w:pPr>
          </w:p>
          <w:p>
            <w:pPr>
              <w:pStyle w:val="TableParagraph"/>
              <w:ind w:left="64" w:right="149"/>
              <w:jc w:val="center"/>
              <w:rPr>
                <w:sz w:val="22"/>
              </w:rPr>
            </w:pPr>
            <w:r>
              <w:rPr>
                <w:spacing w:val="-5"/>
                <w:sz w:val="22"/>
              </w:rPr>
              <w:t>NS</w:t>
            </w:r>
          </w:p>
        </w:tc>
      </w:tr>
      <w:tr>
        <w:trPr>
          <w:trHeight w:val="450" w:hRule="atLeast"/>
        </w:trPr>
        <w:tc>
          <w:tcPr>
            <w:tcW w:w="2245" w:type="dxa"/>
          </w:tcPr>
          <w:p>
            <w:pPr>
              <w:pStyle w:val="TableParagraph"/>
              <w:rPr>
                <w:rFonts w:ascii="Times New Roman"/>
                <w:sz w:val="22"/>
              </w:rPr>
            </w:pPr>
          </w:p>
        </w:tc>
        <w:tc>
          <w:tcPr>
            <w:tcW w:w="1093" w:type="dxa"/>
          </w:tcPr>
          <w:p>
            <w:pPr>
              <w:pStyle w:val="TableParagraph"/>
              <w:spacing w:before="71"/>
              <w:ind w:left="475"/>
              <w:rPr>
                <w:sz w:val="22"/>
              </w:rPr>
            </w:pPr>
            <w:r>
              <w:rPr>
                <w:spacing w:val="-5"/>
                <w:sz w:val="22"/>
              </w:rPr>
              <w:t>LEV</w:t>
            </w:r>
          </w:p>
        </w:tc>
        <w:tc>
          <w:tcPr>
            <w:tcW w:w="1541" w:type="dxa"/>
          </w:tcPr>
          <w:p>
            <w:pPr>
              <w:pStyle w:val="TableParagraph"/>
              <w:spacing w:before="71"/>
              <w:ind w:left="31" w:right="4"/>
              <w:jc w:val="center"/>
              <w:rPr>
                <w:sz w:val="22"/>
              </w:rPr>
            </w:pPr>
            <w:r>
              <w:rPr>
                <w:spacing w:val="-2"/>
                <w:sz w:val="22"/>
              </w:rPr>
              <w:t>21.286±2.067</w:t>
            </w:r>
          </w:p>
        </w:tc>
        <w:tc>
          <w:tcPr>
            <w:tcW w:w="1024" w:type="dxa"/>
          </w:tcPr>
          <w:p>
            <w:pPr>
              <w:pStyle w:val="TableParagraph"/>
              <w:spacing w:before="71"/>
              <w:ind w:left="5" w:right="73"/>
              <w:jc w:val="center"/>
              <w:rPr>
                <w:sz w:val="22"/>
              </w:rPr>
            </w:pPr>
            <w:r>
              <w:rPr>
                <w:spacing w:val="-2"/>
                <w:sz w:val="22"/>
              </w:rPr>
              <w:t>0.988</w:t>
            </w:r>
          </w:p>
        </w:tc>
        <w:tc>
          <w:tcPr>
            <w:tcW w:w="858" w:type="dxa"/>
          </w:tcPr>
          <w:p>
            <w:pPr>
              <w:pStyle w:val="TableParagraph"/>
              <w:spacing w:before="71"/>
              <w:ind w:left="64" w:right="149"/>
              <w:jc w:val="center"/>
              <w:rPr>
                <w:sz w:val="22"/>
              </w:rPr>
            </w:pPr>
            <w:r>
              <w:rPr>
                <w:spacing w:val="-5"/>
                <w:sz w:val="22"/>
              </w:rPr>
              <w:t>NS</w:t>
            </w:r>
          </w:p>
        </w:tc>
      </w:tr>
      <w:tr>
        <w:trPr>
          <w:trHeight w:val="524" w:hRule="atLeast"/>
        </w:trPr>
        <w:tc>
          <w:tcPr>
            <w:tcW w:w="2245" w:type="dxa"/>
            <w:tcBorders>
              <w:bottom w:val="single" w:sz="4" w:space="0" w:color="000000"/>
            </w:tcBorders>
          </w:tcPr>
          <w:p>
            <w:pPr>
              <w:pStyle w:val="TableParagraph"/>
              <w:rPr>
                <w:rFonts w:ascii="Times New Roman"/>
                <w:sz w:val="22"/>
              </w:rPr>
            </w:pPr>
          </w:p>
        </w:tc>
        <w:tc>
          <w:tcPr>
            <w:tcW w:w="1093" w:type="dxa"/>
            <w:tcBorders>
              <w:bottom w:val="single" w:sz="4" w:space="0" w:color="000000"/>
            </w:tcBorders>
          </w:tcPr>
          <w:p>
            <w:pPr>
              <w:pStyle w:val="TableParagraph"/>
              <w:spacing w:before="70"/>
              <w:ind w:left="429"/>
              <w:rPr>
                <w:sz w:val="22"/>
              </w:rPr>
            </w:pPr>
            <w:r>
              <w:rPr>
                <w:spacing w:val="-5"/>
                <w:sz w:val="22"/>
              </w:rPr>
              <w:t>AZM</w:t>
            </w:r>
          </w:p>
        </w:tc>
        <w:tc>
          <w:tcPr>
            <w:tcW w:w="1541" w:type="dxa"/>
            <w:tcBorders>
              <w:bottom w:val="single" w:sz="4" w:space="0" w:color="000000"/>
            </w:tcBorders>
          </w:tcPr>
          <w:p>
            <w:pPr>
              <w:pStyle w:val="TableParagraph"/>
              <w:spacing w:before="70"/>
              <w:ind w:left="31" w:right="4"/>
              <w:jc w:val="center"/>
              <w:rPr>
                <w:sz w:val="22"/>
              </w:rPr>
            </w:pPr>
            <w:r>
              <w:rPr>
                <w:spacing w:val="-2"/>
                <w:sz w:val="22"/>
              </w:rPr>
              <w:t>16.143±1.945</w:t>
            </w:r>
          </w:p>
        </w:tc>
        <w:tc>
          <w:tcPr>
            <w:tcW w:w="1024" w:type="dxa"/>
            <w:tcBorders>
              <w:bottom w:val="single" w:sz="4" w:space="0" w:color="000000"/>
            </w:tcBorders>
          </w:tcPr>
          <w:p>
            <w:pPr>
              <w:pStyle w:val="TableParagraph"/>
              <w:spacing w:before="70"/>
              <w:ind w:left="5" w:right="73"/>
              <w:jc w:val="center"/>
              <w:rPr>
                <w:sz w:val="22"/>
              </w:rPr>
            </w:pPr>
            <w:r>
              <w:rPr>
                <w:spacing w:val="-2"/>
                <w:sz w:val="22"/>
              </w:rPr>
              <w:t>0.014</w:t>
            </w:r>
          </w:p>
        </w:tc>
        <w:tc>
          <w:tcPr>
            <w:tcW w:w="858" w:type="dxa"/>
            <w:tcBorders>
              <w:bottom w:val="single" w:sz="4" w:space="0" w:color="000000"/>
            </w:tcBorders>
          </w:tcPr>
          <w:p>
            <w:pPr>
              <w:pStyle w:val="TableParagraph"/>
              <w:spacing w:before="70"/>
              <w:ind w:left="64" w:right="151"/>
              <w:jc w:val="center"/>
              <w:rPr>
                <w:sz w:val="22"/>
              </w:rPr>
            </w:pPr>
            <w:r>
              <w:rPr>
                <w:spacing w:val="-5"/>
                <w:sz w:val="22"/>
              </w:rPr>
              <w:t>SF</w:t>
            </w:r>
          </w:p>
        </w:tc>
      </w:tr>
      <w:tr>
        <w:trPr>
          <w:trHeight w:val="375" w:hRule="atLeast"/>
        </w:trPr>
        <w:tc>
          <w:tcPr>
            <w:tcW w:w="2245" w:type="dxa"/>
            <w:tcBorders>
              <w:top w:val="single" w:sz="4" w:space="0" w:color="000000"/>
            </w:tcBorders>
          </w:tcPr>
          <w:p>
            <w:pPr>
              <w:pStyle w:val="TableParagraph"/>
              <w:rPr>
                <w:rFonts w:ascii="Times New Roman"/>
                <w:sz w:val="22"/>
              </w:rPr>
            </w:pPr>
          </w:p>
        </w:tc>
        <w:tc>
          <w:tcPr>
            <w:tcW w:w="1093" w:type="dxa"/>
            <w:tcBorders>
              <w:top w:val="single" w:sz="4" w:space="0" w:color="000000"/>
            </w:tcBorders>
          </w:tcPr>
          <w:p>
            <w:pPr>
              <w:pStyle w:val="TableParagraph"/>
              <w:spacing w:line="265" w:lineRule="exact"/>
              <w:ind w:left="446"/>
              <w:rPr>
                <w:sz w:val="22"/>
              </w:rPr>
            </w:pPr>
            <w:r>
              <w:rPr>
                <w:spacing w:val="-5"/>
                <w:sz w:val="22"/>
              </w:rPr>
              <w:t>CRO</w:t>
            </w:r>
          </w:p>
        </w:tc>
        <w:tc>
          <w:tcPr>
            <w:tcW w:w="1541" w:type="dxa"/>
            <w:tcBorders>
              <w:top w:val="single" w:sz="4" w:space="0" w:color="000000"/>
            </w:tcBorders>
          </w:tcPr>
          <w:p>
            <w:pPr>
              <w:pStyle w:val="TableParagraph"/>
              <w:spacing w:line="265" w:lineRule="exact"/>
              <w:ind w:left="31" w:right="4"/>
              <w:jc w:val="center"/>
              <w:rPr>
                <w:sz w:val="22"/>
              </w:rPr>
            </w:pPr>
            <w:r>
              <w:rPr>
                <w:spacing w:val="-2"/>
                <w:sz w:val="22"/>
              </w:rPr>
              <w:t>21.714±1.924</w:t>
            </w:r>
          </w:p>
        </w:tc>
        <w:tc>
          <w:tcPr>
            <w:tcW w:w="1024" w:type="dxa"/>
            <w:tcBorders>
              <w:top w:val="single" w:sz="4" w:space="0" w:color="000000"/>
            </w:tcBorders>
          </w:tcPr>
          <w:p>
            <w:pPr>
              <w:pStyle w:val="TableParagraph"/>
              <w:spacing w:line="265" w:lineRule="exact"/>
              <w:ind w:left="5" w:right="73"/>
              <w:jc w:val="center"/>
              <w:rPr>
                <w:sz w:val="22"/>
              </w:rPr>
            </w:pPr>
            <w:r>
              <w:rPr>
                <w:spacing w:val="-2"/>
                <w:sz w:val="22"/>
              </w:rPr>
              <w:t>1.000</w:t>
            </w:r>
          </w:p>
        </w:tc>
        <w:tc>
          <w:tcPr>
            <w:tcW w:w="858" w:type="dxa"/>
            <w:tcBorders>
              <w:top w:val="single" w:sz="4" w:space="0" w:color="000000"/>
            </w:tcBorders>
          </w:tcPr>
          <w:p>
            <w:pPr>
              <w:pStyle w:val="TableParagraph"/>
              <w:spacing w:line="265" w:lineRule="exact"/>
              <w:ind w:left="64" w:right="149"/>
              <w:jc w:val="center"/>
              <w:rPr>
                <w:sz w:val="22"/>
              </w:rPr>
            </w:pPr>
            <w:r>
              <w:rPr>
                <w:spacing w:val="-5"/>
                <w:sz w:val="22"/>
              </w:rPr>
              <w:t>NS</w:t>
            </w:r>
          </w:p>
        </w:tc>
      </w:tr>
      <w:tr>
        <w:trPr>
          <w:trHeight w:val="335" w:hRule="atLeast"/>
        </w:trPr>
        <w:tc>
          <w:tcPr>
            <w:tcW w:w="2245" w:type="dxa"/>
          </w:tcPr>
          <w:p>
            <w:pPr>
              <w:pStyle w:val="TableParagraph"/>
              <w:rPr>
                <w:rFonts w:ascii="Times New Roman"/>
                <w:sz w:val="22"/>
              </w:rPr>
            </w:pPr>
          </w:p>
        </w:tc>
        <w:tc>
          <w:tcPr>
            <w:tcW w:w="1093" w:type="dxa"/>
          </w:tcPr>
          <w:p>
            <w:pPr>
              <w:pStyle w:val="TableParagraph"/>
              <w:spacing w:line="245" w:lineRule="exact" w:before="70"/>
              <w:ind w:left="508"/>
              <w:rPr>
                <w:sz w:val="22"/>
              </w:rPr>
            </w:pPr>
            <w:r>
              <w:rPr>
                <w:spacing w:val="-5"/>
                <w:sz w:val="22"/>
              </w:rPr>
              <w:t>CN</w:t>
            </w:r>
          </w:p>
        </w:tc>
        <w:tc>
          <w:tcPr>
            <w:tcW w:w="1541" w:type="dxa"/>
          </w:tcPr>
          <w:p>
            <w:pPr>
              <w:pStyle w:val="TableParagraph"/>
              <w:spacing w:line="245" w:lineRule="exact" w:before="70"/>
              <w:ind w:left="31" w:right="4"/>
              <w:jc w:val="center"/>
              <w:rPr>
                <w:sz w:val="22"/>
              </w:rPr>
            </w:pPr>
            <w:r>
              <w:rPr>
                <w:spacing w:val="-2"/>
                <w:sz w:val="22"/>
              </w:rPr>
              <w:t>20.429±1.556</w:t>
            </w:r>
          </w:p>
        </w:tc>
        <w:tc>
          <w:tcPr>
            <w:tcW w:w="1024" w:type="dxa"/>
          </w:tcPr>
          <w:p>
            <w:pPr>
              <w:pStyle w:val="TableParagraph"/>
              <w:spacing w:line="245" w:lineRule="exact" w:before="70"/>
              <w:ind w:left="5" w:right="73"/>
              <w:jc w:val="center"/>
              <w:rPr>
                <w:sz w:val="22"/>
              </w:rPr>
            </w:pPr>
            <w:r>
              <w:rPr>
                <w:spacing w:val="-2"/>
                <w:sz w:val="22"/>
              </w:rPr>
              <w:t>0.996</w:t>
            </w:r>
          </w:p>
        </w:tc>
        <w:tc>
          <w:tcPr>
            <w:tcW w:w="858" w:type="dxa"/>
          </w:tcPr>
          <w:p>
            <w:pPr>
              <w:pStyle w:val="TableParagraph"/>
              <w:spacing w:line="245" w:lineRule="exact" w:before="70"/>
              <w:ind w:left="64" w:right="149"/>
              <w:jc w:val="center"/>
              <w:rPr>
                <w:sz w:val="22"/>
              </w:rPr>
            </w:pPr>
            <w:r>
              <w:rPr>
                <w:spacing w:val="-5"/>
                <w:sz w:val="22"/>
              </w:rPr>
              <w:t>NS</w:t>
            </w:r>
          </w:p>
        </w:tc>
      </w:tr>
    </w:tbl>
    <w:p>
      <w:pPr>
        <w:spacing w:after="0" w:line="245" w:lineRule="exact"/>
        <w:jc w:val="center"/>
        <w:rPr>
          <w:sz w:val="22"/>
        </w:rPr>
        <w:sectPr>
          <w:type w:val="continuous"/>
          <w:pgSz w:w="11910" w:h="16840"/>
          <w:pgMar w:header="0" w:footer="1055" w:top="1400" w:bottom="1504" w:left="1060" w:right="460"/>
        </w:sectPr>
      </w:pPr>
    </w:p>
    <w:tbl>
      <w:tblPr>
        <w:tblW w:w="0" w:type="auto"/>
        <w:jc w:val="left"/>
        <w:tblInd w:w="1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2"/>
        <w:gridCol w:w="1028"/>
        <w:gridCol w:w="1614"/>
        <w:gridCol w:w="967"/>
        <w:gridCol w:w="875"/>
      </w:tblGrid>
      <w:tr>
        <w:trPr>
          <w:trHeight w:val="625" w:hRule="atLeast"/>
        </w:trPr>
        <w:tc>
          <w:tcPr>
            <w:tcW w:w="2292" w:type="dxa"/>
          </w:tcPr>
          <w:p>
            <w:pPr>
              <w:pStyle w:val="TableParagraph"/>
              <w:spacing w:line="225" w:lineRule="exact"/>
              <w:ind w:left="155"/>
              <w:jc w:val="center"/>
              <w:rPr>
                <w:sz w:val="22"/>
              </w:rPr>
            </w:pPr>
            <w:r>
              <w:rPr>
                <w:sz w:val="22"/>
              </w:rPr>
              <w:t>H/L;</w:t>
            </w:r>
            <w:r>
              <w:rPr>
                <w:spacing w:val="-5"/>
                <w:sz w:val="22"/>
              </w:rPr>
              <w:t> </w:t>
            </w:r>
            <w:r>
              <w:rPr>
                <w:spacing w:val="-2"/>
                <w:sz w:val="22"/>
              </w:rPr>
              <w:t>30:50</w:t>
            </w:r>
          </w:p>
          <w:p>
            <w:pPr>
              <w:pStyle w:val="TableParagraph"/>
              <w:spacing w:before="22"/>
              <w:ind w:left="155" w:right="2"/>
              <w:jc w:val="center"/>
              <w:rPr>
                <w:sz w:val="22"/>
              </w:rPr>
            </w:pPr>
            <w:r>
              <w:rPr>
                <w:spacing w:val="-2"/>
                <w:sz w:val="22"/>
              </w:rPr>
              <w:t>(22.143±0.553)</w:t>
            </w:r>
          </w:p>
        </w:tc>
        <w:tc>
          <w:tcPr>
            <w:tcW w:w="1028" w:type="dxa"/>
          </w:tcPr>
          <w:p>
            <w:pPr>
              <w:pStyle w:val="TableParagraph"/>
              <w:spacing w:before="100"/>
              <w:ind w:left="389"/>
              <w:rPr>
                <w:sz w:val="22"/>
              </w:rPr>
            </w:pPr>
            <w:r>
              <w:rPr>
                <w:spacing w:val="-5"/>
                <w:sz w:val="22"/>
              </w:rPr>
              <w:t>AMC</w:t>
            </w:r>
          </w:p>
        </w:tc>
        <w:tc>
          <w:tcPr>
            <w:tcW w:w="1614" w:type="dxa"/>
          </w:tcPr>
          <w:p>
            <w:pPr>
              <w:pStyle w:val="TableParagraph"/>
              <w:spacing w:before="247"/>
              <w:ind w:left="20" w:right="1"/>
              <w:jc w:val="center"/>
              <w:rPr>
                <w:sz w:val="22"/>
              </w:rPr>
            </w:pPr>
            <w:r>
              <w:rPr>
                <w:spacing w:val="-2"/>
                <w:sz w:val="22"/>
              </w:rPr>
              <w:t>19.286±2.067</w:t>
            </w:r>
          </w:p>
        </w:tc>
        <w:tc>
          <w:tcPr>
            <w:tcW w:w="967" w:type="dxa"/>
          </w:tcPr>
          <w:p>
            <w:pPr>
              <w:pStyle w:val="TableParagraph"/>
              <w:spacing w:before="100"/>
              <w:ind w:right="93"/>
              <w:jc w:val="center"/>
              <w:rPr>
                <w:sz w:val="22"/>
              </w:rPr>
            </w:pPr>
            <w:r>
              <w:rPr>
                <w:spacing w:val="-2"/>
                <w:sz w:val="22"/>
              </w:rPr>
              <w:t>0.890</w:t>
            </w:r>
          </w:p>
        </w:tc>
        <w:tc>
          <w:tcPr>
            <w:tcW w:w="875" w:type="dxa"/>
          </w:tcPr>
          <w:p>
            <w:pPr>
              <w:pStyle w:val="TableParagraph"/>
              <w:spacing w:before="247"/>
              <w:ind w:left="1" w:right="71"/>
              <w:jc w:val="center"/>
              <w:rPr>
                <w:sz w:val="22"/>
              </w:rPr>
            </w:pPr>
            <w:r>
              <w:rPr>
                <w:spacing w:val="-5"/>
                <w:sz w:val="22"/>
              </w:rPr>
              <w:t>NS</w:t>
            </w:r>
          </w:p>
        </w:tc>
      </w:tr>
      <w:tr>
        <w:trPr>
          <w:trHeight w:val="450" w:hRule="atLeast"/>
        </w:trPr>
        <w:tc>
          <w:tcPr>
            <w:tcW w:w="2292" w:type="dxa"/>
          </w:tcPr>
          <w:p>
            <w:pPr>
              <w:pStyle w:val="TableParagraph"/>
              <w:rPr>
                <w:rFonts w:ascii="Times New Roman"/>
                <w:sz w:val="22"/>
              </w:rPr>
            </w:pPr>
          </w:p>
        </w:tc>
        <w:tc>
          <w:tcPr>
            <w:tcW w:w="1028" w:type="dxa"/>
          </w:tcPr>
          <w:p>
            <w:pPr>
              <w:pStyle w:val="TableParagraph"/>
              <w:spacing w:before="70"/>
              <w:ind w:left="442"/>
              <w:rPr>
                <w:sz w:val="22"/>
              </w:rPr>
            </w:pPr>
            <w:r>
              <w:rPr>
                <w:spacing w:val="-5"/>
                <w:sz w:val="22"/>
              </w:rPr>
              <w:t>LEV</w:t>
            </w:r>
          </w:p>
        </w:tc>
        <w:tc>
          <w:tcPr>
            <w:tcW w:w="1614" w:type="dxa"/>
          </w:tcPr>
          <w:p>
            <w:pPr>
              <w:pStyle w:val="TableParagraph"/>
              <w:spacing w:before="70"/>
              <w:ind w:left="20" w:right="1"/>
              <w:jc w:val="center"/>
              <w:rPr>
                <w:sz w:val="22"/>
              </w:rPr>
            </w:pPr>
            <w:r>
              <w:rPr>
                <w:spacing w:val="-2"/>
                <w:sz w:val="22"/>
              </w:rPr>
              <w:t>21.286±2.067</w:t>
            </w:r>
          </w:p>
        </w:tc>
        <w:tc>
          <w:tcPr>
            <w:tcW w:w="967" w:type="dxa"/>
          </w:tcPr>
          <w:p>
            <w:pPr>
              <w:pStyle w:val="TableParagraph"/>
              <w:spacing w:before="70"/>
              <w:ind w:right="93"/>
              <w:jc w:val="center"/>
              <w:rPr>
                <w:sz w:val="22"/>
              </w:rPr>
            </w:pPr>
            <w:r>
              <w:rPr>
                <w:spacing w:val="-2"/>
                <w:sz w:val="22"/>
              </w:rPr>
              <w:t>1.000</w:t>
            </w:r>
          </w:p>
        </w:tc>
        <w:tc>
          <w:tcPr>
            <w:tcW w:w="875" w:type="dxa"/>
          </w:tcPr>
          <w:p>
            <w:pPr>
              <w:pStyle w:val="TableParagraph"/>
              <w:spacing w:before="70"/>
              <w:ind w:left="1" w:right="71"/>
              <w:jc w:val="center"/>
              <w:rPr>
                <w:sz w:val="22"/>
              </w:rPr>
            </w:pPr>
            <w:r>
              <w:rPr>
                <w:spacing w:val="-5"/>
                <w:sz w:val="22"/>
              </w:rPr>
              <w:t>NS</w:t>
            </w:r>
          </w:p>
        </w:tc>
      </w:tr>
      <w:tr>
        <w:trPr>
          <w:trHeight w:val="522" w:hRule="atLeast"/>
        </w:trPr>
        <w:tc>
          <w:tcPr>
            <w:tcW w:w="2292" w:type="dxa"/>
            <w:tcBorders>
              <w:bottom w:val="single" w:sz="4" w:space="0" w:color="000000"/>
            </w:tcBorders>
          </w:tcPr>
          <w:p>
            <w:pPr>
              <w:pStyle w:val="TableParagraph"/>
              <w:rPr>
                <w:rFonts w:ascii="Times New Roman"/>
                <w:sz w:val="22"/>
              </w:rPr>
            </w:pPr>
          </w:p>
        </w:tc>
        <w:tc>
          <w:tcPr>
            <w:tcW w:w="1028" w:type="dxa"/>
            <w:tcBorders>
              <w:bottom w:val="single" w:sz="4" w:space="0" w:color="000000"/>
            </w:tcBorders>
          </w:tcPr>
          <w:p>
            <w:pPr>
              <w:pStyle w:val="TableParagraph"/>
              <w:spacing w:before="71"/>
              <w:ind w:left="396"/>
              <w:rPr>
                <w:sz w:val="22"/>
              </w:rPr>
            </w:pPr>
            <w:r>
              <w:rPr>
                <w:spacing w:val="-5"/>
                <w:sz w:val="22"/>
              </w:rPr>
              <w:t>AZM</w:t>
            </w:r>
          </w:p>
        </w:tc>
        <w:tc>
          <w:tcPr>
            <w:tcW w:w="1614" w:type="dxa"/>
            <w:tcBorders>
              <w:bottom w:val="single" w:sz="4" w:space="0" w:color="000000"/>
            </w:tcBorders>
          </w:tcPr>
          <w:p>
            <w:pPr>
              <w:pStyle w:val="TableParagraph"/>
              <w:spacing w:before="71"/>
              <w:ind w:left="20" w:right="1"/>
              <w:jc w:val="center"/>
              <w:rPr>
                <w:sz w:val="22"/>
              </w:rPr>
            </w:pPr>
            <w:r>
              <w:rPr>
                <w:spacing w:val="-2"/>
                <w:sz w:val="22"/>
              </w:rPr>
              <w:t>16.143±1.945</w:t>
            </w:r>
          </w:p>
        </w:tc>
        <w:tc>
          <w:tcPr>
            <w:tcW w:w="967" w:type="dxa"/>
            <w:tcBorders>
              <w:bottom w:val="single" w:sz="4" w:space="0" w:color="000000"/>
            </w:tcBorders>
          </w:tcPr>
          <w:p>
            <w:pPr>
              <w:pStyle w:val="TableParagraph"/>
              <w:spacing w:before="71"/>
              <w:ind w:right="93"/>
              <w:jc w:val="center"/>
              <w:rPr>
                <w:sz w:val="22"/>
              </w:rPr>
            </w:pPr>
            <w:r>
              <w:rPr>
                <w:spacing w:val="-2"/>
                <w:sz w:val="22"/>
              </w:rPr>
              <w:t>0.074</w:t>
            </w:r>
          </w:p>
        </w:tc>
        <w:tc>
          <w:tcPr>
            <w:tcW w:w="875" w:type="dxa"/>
            <w:tcBorders>
              <w:bottom w:val="single" w:sz="4" w:space="0" w:color="000000"/>
            </w:tcBorders>
          </w:tcPr>
          <w:p>
            <w:pPr>
              <w:pStyle w:val="TableParagraph"/>
              <w:spacing w:before="71"/>
              <w:ind w:right="71"/>
              <w:jc w:val="center"/>
              <w:rPr>
                <w:sz w:val="22"/>
              </w:rPr>
            </w:pPr>
            <w:r>
              <w:rPr>
                <w:spacing w:val="-5"/>
                <w:sz w:val="22"/>
              </w:rPr>
              <w:t>SF</w:t>
            </w:r>
          </w:p>
        </w:tc>
      </w:tr>
      <w:tr>
        <w:trPr>
          <w:trHeight w:val="376" w:hRule="atLeast"/>
        </w:trPr>
        <w:tc>
          <w:tcPr>
            <w:tcW w:w="2292" w:type="dxa"/>
            <w:tcBorders>
              <w:top w:val="single" w:sz="4" w:space="0" w:color="000000"/>
            </w:tcBorders>
          </w:tcPr>
          <w:p>
            <w:pPr>
              <w:pStyle w:val="TableParagraph"/>
              <w:rPr>
                <w:rFonts w:ascii="Times New Roman"/>
                <w:sz w:val="22"/>
              </w:rPr>
            </w:pPr>
          </w:p>
        </w:tc>
        <w:tc>
          <w:tcPr>
            <w:tcW w:w="1028" w:type="dxa"/>
            <w:tcBorders>
              <w:top w:val="single" w:sz="4" w:space="0" w:color="000000"/>
            </w:tcBorders>
          </w:tcPr>
          <w:p>
            <w:pPr>
              <w:pStyle w:val="TableParagraph"/>
              <w:spacing w:line="265" w:lineRule="exact"/>
              <w:ind w:left="413"/>
              <w:rPr>
                <w:sz w:val="22"/>
              </w:rPr>
            </w:pPr>
            <w:r>
              <w:rPr>
                <w:spacing w:val="-5"/>
                <w:sz w:val="22"/>
              </w:rPr>
              <w:t>CRO</w:t>
            </w:r>
          </w:p>
        </w:tc>
        <w:tc>
          <w:tcPr>
            <w:tcW w:w="1614" w:type="dxa"/>
            <w:tcBorders>
              <w:top w:val="single" w:sz="4" w:space="0" w:color="000000"/>
            </w:tcBorders>
          </w:tcPr>
          <w:p>
            <w:pPr>
              <w:pStyle w:val="TableParagraph"/>
              <w:spacing w:line="265" w:lineRule="exact"/>
              <w:ind w:left="20" w:right="1"/>
              <w:jc w:val="center"/>
              <w:rPr>
                <w:sz w:val="22"/>
              </w:rPr>
            </w:pPr>
            <w:r>
              <w:rPr>
                <w:spacing w:val="-2"/>
                <w:sz w:val="22"/>
              </w:rPr>
              <w:t>21.714±1.924</w:t>
            </w:r>
          </w:p>
        </w:tc>
        <w:tc>
          <w:tcPr>
            <w:tcW w:w="967" w:type="dxa"/>
            <w:tcBorders>
              <w:top w:val="single" w:sz="4" w:space="0" w:color="000000"/>
            </w:tcBorders>
          </w:tcPr>
          <w:p>
            <w:pPr>
              <w:pStyle w:val="TableParagraph"/>
              <w:spacing w:line="265" w:lineRule="exact"/>
              <w:ind w:right="93"/>
              <w:jc w:val="center"/>
              <w:rPr>
                <w:sz w:val="22"/>
              </w:rPr>
            </w:pPr>
            <w:r>
              <w:rPr>
                <w:spacing w:val="-2"/>
                <w:sz w:val="22"/>
              </w:rPr>
              <w:t>0.999</w:t>
            </w:r>
          </w:p>
        </w:tc>
        <w:tc>
          <w:tcPr>
            <w:tcW w:w="875" w:type="dxa"/>
            <w:tcBorders>
              <w:top w:val="single" w:sz="4" w:space="0" w:color="000000"/>
            </w:tcBorders>
          </w:tcPr>
          <w:p>
            <w:pPr>
              <w:pStyle w:val="TableParagraph"/>
              <w:spacing w:line="265" w:lineRule="exact"/>
              <w:ind w:left="1" w:right="71"/>
              <w:jc w:val="center"/>
              <w:rPr>
                <w:sz w:val="22"/>
              </w:rPr>
            </w:pPr>
            <w:r>
              <w:rPr>
                <w:spacing w:val="-5"/>
                <w:sz w:val="22"/>
              </w:rPr>
              <w:t>NS</w:t>
            </w:r>
          </w:p>
        </w:tc>
      </w:tr>
      <w:tr>
        <w:trPr>
          <w:trHeight w:val="450" w:hRule="atLeast"/>
        </w:trPr>
        <w:tc>
          <w:tcPr>
            <w:tcW w:w="2292" w:type="dxa"/>
          </w:tcPr>
          <w:p>
            <w:pPr>
              <w:pStyle w:val="TableParagraph"/>
              <w:rPr>
                <w:rFonts w:ascii="Times New Roman"/>
                <w:sz w:val="22"/>
              </w:rPr>
            </w:pPr>
          </w:p>
        </w:tc>
        <w:tc>
          <w:tcPr>
            <w:tcW w:w="1028" w:type="dxa"/>
          </w:tcPr>
          <w:p>
            <w:pPr>
              <w:pStyle w:val="TableParagraph"/>
              <w:spacing w:before="71"/>
              <w:ind w:left="476"/>
              <w:rPr>
                <w:sz w:val="22"/>
              </w:rPr>
            </w:pPr>
            <w:r>
              <w:rPr>
                <w:spacing w:val="-5"/>
                <w:sz w:val="22"/>
              </w:rPr>
              <w:t>CN</w:t>
            </w:r>
          </w:p>
        </w:tc>
        <w:tc>
          <w:tcPr>
            <w:tcW w:w="1614" w:type="dxa"/>
          </w:tcPr>
          <w:p>
            <w:pPr>
              <w:pStyle w:val="TableParagraph"/>
              <w:spacing w:before="71"/>
              <w:ind w:left="20" w:right="1"/>
              <w:jc w:val="center"/>
              <w:rPr>
                <w:sz w:val="22"/>
              </w:rPr>
            </w:pPr>
            <w:r>
              <w:rPr>
                <w:spacing w:val="-2"/>
                <w:sz w:val="22"/>
              </w:rPr>
              <w:t>20.429±1.556</w:t>
            </w:r>
          </w:p>
        </w:tc>
        <w:tc>
          <w:tcPr>
            <w:tcW w:w="967" w:type="dxa"/>
          </w:tcPr>
          <w:p>
            <w:pPr>
              <w:pStyle w:val="TableParagraph"/>
              <w:spacing w:before="71"/>
              <w:ind w:right="93"/>
              <w:jc w:val="center"/>
              <w:rPr>
                <w:sz w:val="22"/>
              </w:rPr>
            </w:pPr>
            <w:r>
              <w:rPr>
                <w:spacing w:val="-2"/>
                <w:sz w:val="22"/>
              </w:rPr>
              <w:t>0.917</w:t>
            </w:r>
          </w:p>
        </w:tc>
        <w:tc>
          <w:tcPr>
            <w:tcW w:w="875" w:type="dxa"/>
          </w:tcPr>
          <w:p>
            <w:pPr>
              <w:pStyle w:val="TableParagraph"/>
              <w:spacing w:before="71"/>
              <w:ind w:left="1" w:right="71"/>
              <w:jc w:val="center"/>
              <w:rPr>
                <w:sz w:val="22"/>
              </w:rPr>
            </w:pPr>
            <w:r>
              <w:rPr>
                <w:spacing w:val="-5"/>
                <w:sz w:val="22"/>
              </w:rPr>
              <w:t>NS</w:t>
            </w:r>
          </w:p>
        </w:tc>
      </w:tr>
      <w:tr>
        <w:trPr>
          <w:trHeight w:val="739" w:hRule="atLeast"/>
        </w:trPr>
        <w:tc>
          <w:tcPr>
            <w:tcW w:w="2292" w:type="dxa"/>
          </w:tcPr>
          <w:p>
            <w:pPr>
              <w:pStyle w:val="TableParagraph"/>
              <w:spacing w:before="70"/>
              <w:ind w:left="155"/>
              <w:jc w:val="center"/>
              <w:rPr>
                <w:sz w:val="22"/>
              </w:rPr>
            </w:pPr>
            <w:r>
              <w:rPr>
                <w:sz w:val="22"/>
              </w:rPr>
              <w:t>H/L;</w:t>
            </w:r>
            <w:r>
              <w:rPr>
                <w:spacing w:val="-5"/>
                <w:sz w:val="22"/>
              </w:rPr>
              <w:t> </w:t>
            </w:r>
            <w:r>
              <w:rPr>
                <w:spacing w:val="-2"/>
                <w:sz w:val="22"/>
              </w:rPr>
              <w:t>40:50</w:t>
            </w:r>
          </w:p>
          <w:p>
            <w:pPr>
              <w:pStyle w:val="TableParagraph"/>
              <w:spacing w:before="22"/>
              <w:ind w:left="155" w:right="2"/>
              <w:jc w:val="center"/>
              <w:rPr>
                <w:sz w:val="22"/>
              </w:rPr>
            </w:pPr>
            <w:r>
              <w:rPr>
                <w:spacing w:val="-2"/>
                <w:sz w:val="22"/>
              </w:rPr>
              <w:t>(23.143±0.800)</w:t>
            </w:r>
          </w:p>
        </w:tc>
        <w:tc>
          <w:tcPr>
            <w:tcW w:w="1028" w:type="dxa"/>
          </w:tcPr>
          <w:p>
            <w:pPr>
              <w:pStyle w:val="TableParagraph"/>
              <w:spacing w:before="214"/>
              <w:ind w:left="389"/>
              <w:rPr>
                <w:sz w:val="22"/>
              </w:rPr>
            </w:pPr>
            <w:r>
              <w:rPr>
                <w:spacing w:val="-5"/>
                <w:sz w:val="22"/>
              </w:rPr>
              <w:t>AMC</w:t>
            </w:r>
          </w:p>
        </w:tc>
        <w:tc>
          <w:tcPr>
            <w:tcW w:w="1614" w:type="dxa"/>
          </w:tcPr>
          <w:p>
            <w:pPr>
              <w:pStyle w:val="TableParagraph"/>
              <w:spacing w:before="91"/>
              <w:rPr>
                <w:b/>
                <w:i/>
                <w:sz w:val="22"/>
              </w:rPr>
            </w:pPr>
          </w:p>
          <w:p>
            <w:pPr>
              <w:pStyle w:val="TableParagraph"/>
              <w:spacing w:before="1"/>
              <w:ind w:left="20" w:right="1"/>
              <w:jc w:val="center"/>
              <w:rPr>
                <w:sz w:val="22"/>
              </w:rPr>
            </w:pPr>
            <w:r>
              <w:rPr>
                <w:spacing w:val="-2"/>
                <w:sz w:val="22"/>
              </w:rPr>
              <w:t>19.286±2.067</w:t>
            </w:r>
          </w:p>
        </w:tc>
        <w:tc>
          <w:tcPr>
            <w:tcW w:w="967" w:type="dxa"/>
          </w:tcPr>
          <w:p>
            <w:pPr>
              <w:pStyle w:val="TableParagraph"/>
              <w:spacing w:before="214"/>
              <w:ind w:right="93"/>
              <w:jc w:val="center"/>
              <w:rPr>
                <w:sz w:val="22"/>
              </w:rPr>
            </w:pPr>
            <w:r>
              <w:rPr>
                <w:spacing w:val="-2"/>
                <w:sz w:val="22"/>
              </w:rPr>
              <w:t>0.593</w:t>
            </w:r>
          </w:p>
        </w:tc>
        <w:tc>
          <w:tcPr>
            <w:tcW w:w="875" w:type="dxa"/>
          </w:tcPr>
          <w:p>
            <w:pPr>
              <w:pStyle w:val="TableParagraph"/>
              <w:spacing w:before="91"/>
              <w:rPr>
                <w:b/>
                <w:i/>
                <w:sz w:val="22"/>
              </w:rPr>
            </w:pPr>
          </w:p>
          <w:p>
            <w:pPr>
              <w:pStyle w:val="TableParagraph"/>
              <w:spacing w:before="1"/>
              <w:ind w:left="1" w:right="71"/>
              <w:jc w:val="center"/>
              <w:rPr>
                <w:sz w:val="22"/>
              </w:rPr>
            </w:pPr>
            <w:r>
              <w:rPr>
                <w:spacing w:val="-5"/>
                <w:sz w:val="22"/>
              </w:rPr>
              <w:t>NS</w:t>
            </w:r>
          </w:p>
        </w:tc>
      </w:tr>
      <w:tr>
        <w:trPr>
          <w:trHeight w:val="450" w:hRule="atLeast"/>
        </w:trPr>
        <w:tc>
          <w:tcPr>
            <w:tcW w:w="2292" w:type="dxa"/>
          </w:tcPr>
          <w:p>
            <w:pPr>
              <w:pStyle w:val="TableParagraph"/>
              <w:rPr>
                <w:rFonts w:ascii="Times New Roman"/>
                <w:sz w:val="22"/>
              </w:rPr>
            </w:pPr>
          </w:p>
        </w:tc>
        <w:tc>
          <w:tcPr>
            <w:tcW w:w="1028" w:type="dxa"/>
          </w:tcPr>
          <w:p>
            <w:pPr>
              <w:pStyle w:val="TableParagraph"/>
              <w:spacing w:before="70"/>
              <w:ind w:left="442"/>
              <w:rPr>
                <w:sz w:val="22"/>
              </w:rPr>
            </w:pPr>
            <w:r>
              <w:rPr>
                <w:spacing w:val="-5"/>
                <w:sz w:val="22"/>
              </w:rPr>
              <w:t>LEV</w:t>
            </w:r>
          </w:p>
        </w:tc>
        <w:tc>
          <w:tcPr>
            <w:tcW w:w="1614" w:type="dxa"/>
          </w:tcPr>
          <w:p>
            <w:pPr>
              <w:pStyle w:val="TableParagraph"/>
              <w:spacing w:before="70"/>
              <w:ind w:left="20" w:right="1"/>
              <w:jc w:val="center"/>
              <w:rPr>
                <w:sz w:val="22"/>
              </w:rPr>
            </w:pPr>
            <w:r>
              <w:rPr>
                <w:spacing w:val="-2"/>
                <w:sz w:val="22"/>
              </w:rPr>
              <w:t>21.286±2.067</w:t>
            </w:r>
          </w:p>
        </w:tc>
        <w:tc>
          <w:tcPr>
            <w:tcW w:w="967" w:type="dxa"/>
          </w:tcPr>
          <w:p>
            <w:pPr>
              <w:pStyle w:val="TableParagraph"/>
              <w:spacing w:before="70"/>
              <w:ind w:right="93"/>
              <w:jc w:val="center"/>
              <w:rPr>
                <w:sz w:val="22"/>
              </w:rPr>
            </w:pPr>
            <w:r>
              <w:rPr>
                <w:spacing w:val="-2"/>
                <w:sz w:val="22"/>
              </w:rPr>
              <w:t>0.993</w:t>
            </w:r>
          </w:p>
        </w:tc>
        <w:tc>
          <w:tcPr>
            <w:tcW w:w="875" w:type="dxa"/>
          </w:tcPr>
          <w:p>
            <w:pPr>
              <w:pStyle w:val="TableParagraph"/>
              <w:spacing w:before="70"/>
              <w:ind w:left="1" w:right="71"/>
              <w:jc w:val="center"/>
              <w:rPr>
                <w:sz w:val="22"/>
              </w:rPr>
            </w:pPr>
            <w:r>
              <w:rPr>
                <w:spacing w:val="-5"/>
                <w:sz w:val="22"/>
              </w:rPr>
              <w:t>NS</w:t>
            </w:r>
          </w:p>
        </w:tc>
      </w:tr>
      <w:tr>
        <w:trPr>
          <w:trHeight w:val="523" w:hRule="atLeast"/>
        </w:trPr>
        <w:tc>
          <w:tcPr>
            <w:tcW w:w="2292" w:type="dxa"/>
            <w:tcBorders>
              <w:bottom w:val="single" w:sz="4" w:space="0" w:color="000000"/>
            </w:tcBorders>
          </w:tcPr>
          <w:p>
            <w:pPr>
              <w:pStyle w:val="TableParagraph"/>
              <w:rPr>
                <w:rFonts w:ascii="Times New Roman"/>
                <w:sz w:val="22"/>
              </w:rPr>
            </w:pPr>
          </w:p>
        </w:tc>
        <w:tc>
          <w:tcPr>
            <w:tcW w:w="1028" w:type="dxa"/>
            <w:tcBorders>
              <w:bottom w:val="single" w:sz="4" w:space="0" w:color="000000"/>
            </w:tcBorders>
          </w:tcPr>
          <w:p>
            <w:pPr>
              <w:pStyle w:val="TableParagraph"/>
              <w:spacing w:before="71"/>
              <w:ind w:left="396"/>
              <w:rPr>
                <w:sz w:val="22"/>
              </w:rPr>
            </w:pPr>
            <w:r>
              <w:rPr>
                <w:spacing w:val="-5"/>
                <w:sz w:val="22"/>
              </w:rPr>
              <w:t>AZM</w:t>
            </w:r>
          </w:p>
        </w:tc>
        <w:tc>
          <w:tcPr>
            <w:tcW w:w="1614" w:type="dxa"/>
            <w:tcBorders>
              <w:bottom w:val="single" w:sz="4" w:space="0" w:color="000000"/>
            </w:tcBorders>
          </w:tcPr>
          <w:p>
            <w:pPr>
              <w:pStyle w:val="TableParagraph"/>
              <w:spacing w:before="71"/>
              <w:ind w:left="20" w:right="1"/>
              <w:jc w:val="center"/>
              <w:rPr>
                <w:sz w:val="22"/>
              </w:rPr>
            </w:pPr>
            <w:r>
              <w:rPr>
                <w:spacing w:val="-2"/>
                <w:sz w:val="22"/>
              </w:rPr>
              <w:t>16.143±1.945</w:t>
            </w:r>
          </w:p>
        </w:tc>
        <w:tc>
          <w:tcPr>
            <w:tcW w:w="967" w:type="dxa"/>
            <w:tcBorders>
              <w:bottom w:val="single" w:sz="4" w:space="0" w:color="000000"/>
            </w:tcBorders>
          </w:tcPr>
          <w:p>
            <w:pPr>
              <w:pStyle w:val="TableParagraph"/>
              <w:spacing w:before="71"/>
              <w:ind w:right="93"/>
              <w:jc w:val="center"/>
              <w:rPr>
                <w:sz w:val="22"/>
              </w:rPr>
            </w:pPr>
            <w:r>
              <w:rPr>
                <w:spacing w:val="-2"/>
                <w:sz w:val="22"/>
              </w:rPr>
              <w:t>0.018</w:t>
            </w:r>
          </w:p>
        </w:tc>
        <w:tc>
          <w:tcPr>
            <w:tcW w:w="875" w:type="dxa"/>
            <w:tcBorders>
              <w:bottom w:val="single" w:sz="4" w:space="0" w:color="000000"/>
            </w:tcBorders>
          </w:tcPr>
          <w:p>
            <w:pPr>
              <w:pStyle w:val="TableParagraph"/>
              <w:spacing w:before="71"/>
              <w:ind w:right="71"/>
              <w:jc w:val="center"/>
              <w:rPr>
                <w:sz w:val="22"/>
              </w:rPr>
            </w:pPr>
            <w:r>
              <w:rPr>
                <w:spacing w:val="-5"/>
                <w:sz w:val="22"/>
              </w:rPr>
              <w:t>SF</w:t>
            </w:r>
          </w:p>
        </w:tc>
      </w:tr>
      <w:tr>
        <w:trPr>
          <w:trHeight w:val="376" w:hRule="atLeast"/>
        </w:trPr>
        <w:tc>
          <w:tcPr>
            <w:tcW w:w="2292" w:type="dxa"/>
            <w:tcBorders>
              <w:top w:val="single" w:sz="4" w:space="0" w:color="000000"/>
            </w:tcBorders>
          </w:tcPr>
          <w:p>
            <w:pPr>
              <w:pStyle w:val="TableParagraph"/>
              <w:rPr>
                <w:rFonts w:ascii="Times New Roman"/>
                <w:sz w:val="22"/>
              </w:rPr>
            </w:pPr>
          </w:p>
        </w:tc>
        <w:tc>
          <w:tcPr>
            <w:tcW w:w="1028" w:type="dxa"/>
            <w:tcBorders>
              <w:top w:val="single" w:sz="4" w:space="0" w:color="000000"/>
            </w:tcBorders>
          </w:tcPr>
          <w:p>
            <w:pPr>
              <w:pStyle w:val="TableParagraph"/>
              <w:spacing w:line="265" w:lineRule="exact"/>
              <w:ind w:left="413"/>
              <w:rPr>
                <w:sz w:val="22"/>
              </w:rPr>
            </w:pPr>
            <w:r>
              <w:rPr>
                <w:spacing w:val="-5"/>
                <w:sz w:val="22"/>
              </w:rPr>
              <w:t>CRO</w:t>
            </w:r>
          </w:p>
        </w:tc>
        <w:tc>
          <w:tcPr>
            <w:tcW w:w="1614" w:type="dxa"/>
            <w:tcBorders>
              <w:top w:val="single" w:sz="4" w:space="0" w:color="000000"/>
            </w:tcBorders>
          </w:tcPr>
          <w:p>
            <w:pPr>
              <w:pStyle w:val="TableParagraph"/>
              <w:spacing w:line="265" w:lineRule="exact"/>
              <w:ind w:left="20" w:right="1"/>
              <w:jc w:val="center"/>
              <w:rPr>
                <w:sz w:val="22"/>
              </w:rPr>
            </w:pPr>
            <w:r>
              <w:rPr>
                <w:spacing w:val="-2"/>
                <w:sz w:val="22"/>
              </w:rPr>
              <w:t>21.714±1.924</w:t>
            </w:r>
          </w:p>
        </w:tc>
        <w:tc>
          <w:tcPr>
            <w:tcW w:w="967" w:type="dxa"/>
            <w:tcBorders>
              <w:top w:val="single" w:sz="4" w:space="0" w:color="000000"/>
            </w:tcBorders>
          </w:tcPr>
          <w:p>
            <w:pPr>
              <w:pStyle w:val="TableParagraph"/>
              <w:spacing w:line="265" w:lineRule="exact"/>
              <w:ind w:right="93"/>
              <w:jc w:val="center"/>
              <w:rPr>
                <w:sz w:val="22"/>
              </w:rPr>
            </w:pPr>
            <w:r>
              <w:rPr>
                <w:spacing w:val="-2"/>
                <w:sz w:val="22"/>
              </w:rPr>
              <w:t>0.890</w:t>
            </w:r>
          </w:p>
        </w:tc>
        <w:tc>
          <w:tcPr>
            <w:tcW w:w="875" w:type="dxa"/>
            <w:tcBorders>
              <w:top w:val="single" w:sz="4" w:space="0" w:color="000000"/>
            </w:tcBorders>
          </w:tcPr>
          <w:p>
            <w:pPr>
              <w:pStyle w:val="TableParagraph"/>
              <w:spacing w:line="265" w:lineRule="exact"/>
              <w:ind w:left="1" w:right="71"/>
              <w:jc w:val="center"/>
              <w:rPr>
                <w:sz w:val="22"/>
              </w:rPr>
            </w:pPr>
            <w:r>
              <w:rPr>
                <w:spacing w:val="-5"/>
                <w:sz w:val="22"/>
              </w:rPr>
              <w:t>NS</w:t>
            </w:r>
          </w:p>
        </w:tc>
      </w:tr>
      <w:tr>
        <w:trPr>
          <w:trHeight w:val="449" w:hRule="atLeast"/>
        </w:trPr>
        <w:tc>
          <w:tcPr>
            <w:tcW w:w="2292" w:type="dxa"/>
          </w:tcPr>
          <w:p>
            <w:pPr>
              <w:pStyle w:val="TableParagraph"/>
              <w:rPr>
                <w:rFonts w:ascii="Times New Roman"/>
                <w:sz w:val="22"/>
              </w:rPr>
            </w:pPr>
          </w:p>
        </w:tc>
        <w:tc>
          <w:tcPr>
            <w:tcW w:w="1028" w:type="dxa"/>
          </w:tcPr>
          <w:p>
            <w:pPr>
              <w:pStyle w:val="TableParagraph"/>
              <w:spacing w:before="71"/>
              <w:ind w:left="476"/>
              <w:rPr>
                <w:sz w:val="22"/>
              </w:rPr>
            </w:pPr>
            <w:r>
              <w:rPr>
                <w:spacing w:val="-5"/>
                <w:sz w:val="22"/>
              </w:rPr>
              <w:t>CN</w:t>
            </w:r>
          </w:p>
        </w:tc>
        <w:tc>
          <w:tcPr>
            <w:tcW w:w="1614" w:type="dxa"/>
          </w:tcPr>
          <w:p>
            <w:pPr>
              <w:pStyle w:val="TableParagraph"/>
              <w:spacing w:before="71"/>
              <w:ind w:left="20" w:right="1"/>
              <w:jc w:val="center"/>
              <w:rPr>
                <w:sz w:val="22"/>
              </w:rPr>
            </w:pPr>
            <w:r>
              <w:rPr>
                <w:spacing w:val="-2"/>
                <w:sz w:val="22"/>
              </w:rPr>
              <w:t>20.429±1.556</w:t>
            </w:r>
          </w:p>
        </w:tc>
        <w:tc>
          <w:tcPr>
            <w:tcW w:w="967" w:type="dxa"/>
          </w:tcPr>
          <w:p>
            <w:pPr>
              <w:pStyle w:val="TableParagraph"/>
              <w:spacing w:before="71"/>
              <w:ind w:right="93"/>
              <w:jc w:val="center"/>
              <w:rPr>
                <w:sz w:val="22"/>
              </w:rPr>
            </w:pPr>
            <w:r>
              <w:rPr>
                <w:spacing w:val="-2"/>
                <w:sz w:val="22"/>
              </w:rPr>
              <w:t>0.493</w:t>
            </w:r>
          </w:p>
        </w:tc>
        <w:tc>
          <w:tcPr>
            <w:tcW w:w="875" w:type="dxa"/>
          </w:tcPr>
          <w:p>
            <w:pPr>
              <w:pStyle w:val="TableParagraph"/>
              <w:spacing w:before="71"/>
              <w:ind w:left="1" w:right="71"/>
              <w:jc w:val="center"/>
              <w:rPr>
                <w:sz w:val="22"/>
              </w:rPr>
            </w:pPr>
            <w:r>
              <w:rPr>
                <w:spacing w:val="-5"/>
                <w:sz w:val="22"/>
              </w:rPr>
              <w:t>NS</w:t>
            </w:r>
          </w:p>
        </w:tc>
      </w:tr>
      <w:tr>
        <w:trPr>
          <w:trHeight w:val="739" w:hRule="atLeast"/>
        </w:trPr>
        <w:tc>
          <w:tcPr>
            <w:tcW w:w="2292" w:type="dxa"/>
          </w:tcPr>
          <w:p>
            <w:pPr>
              <w:pStyle w:val="TableParagraph"/>
              <w:spacing w:before="70"/>
              <w:ind w:left="155"/>
              <w:jc w:val="center"/>
              <w:rPr>
                <w:sz w:val="22"/>
              </w:rPr>
            </w:pPr>
            <w:r>
              <w:rPr>
                <w:sz w:val="22"/>
              </w:rPr>
              <w:t>H/L;</w:t>
            </w:r>
            <w:r>
              <w:rPr>
                <w:spacing w:val="-5"/>
                <w:sz w:val="22"/>
              </w:rPr>
              <w:t> </w:t>
            </w:r>
            <w:r>
              <w:rPr>
                <w:spacing w:val="-2"/>
                <w:sz w:val="22"/>
              </w:rPr>
              <w:t>50:50</w:t>
            </w:r>
          </w:p>
          <w:p>
            <w:pPr>
              <w:pStyle w:val="TableParagraph"/>
              <w:spacing w:before="22"/>
              <w:ind w:left="155" w:right="2"/>
              <w:jc w:val="center"/>
              <w:rPr>
                <w:sz w:val="22"/>
              </w:rPr>
            </w:pPr>
            <w:r>
              <w:rPr>
                <w:spacing w:val="-2"/>
                <w:sz w:val="22"/>
              </w:rPr>
              <w:t>(24.571±0.782)</w:t>
            </w:r>
          </w:p>
        </w:tc>
        <w:tc>
          <w:tcPr>
            <w:tcW w:w="1028" w:type="dxa"/>
          </w:tcPr>
          <w:p>
            <w:pPr>
              <w:pStyle w:val="TableParagraph"/>
              <w:spacing w:before="214"/>
              <w:ind w:left="389"/>
              <w:rPr>
                <w:sz w:val="22"/>
              </w:rPr>
            </w:pPr>
            <w:r>
              <w:rPr>
                <w:spacing w:val="-5"/>
                <w:sz w:val="22"/>
              </w:rPr>
              <w:t>AMC</w:t>
            </w:r>
          </w:p>
        </w:tc>
        <w:tc>
          <w:tcPr>
            <w:tcW w:w="1614" w:type="dxa"/>
          </w:tcPr>
          <w:p>
            <w:pPr>
              <w:pStyle w:val="TableParagraph"/>
              <w:spacing w:before="91"/>
              <w:rPr>
                <w:b/>
                <w:i/>
                <w:sz w:val="22"/>
              </w:rPr>
            </w:pPr>
          </w:p>
          <w:p>
            <w:pPr>
              <w:pStyle w:val="TableParagraph"/>
              <w:spacing w:before="1"/>
              <w:ind w:left="20" w:right="1"/>
              <w:jc w:val="center"/>
              <w:rPr>
                <w:sz w:val="22"/>
              </w:rPr>
            </w:pPr>
            <w:r>
              <w:rPr>
                <w:spacing w:val="-2"/>
                <w:sz w:val="22"/>
              </w:rPr>
              <w:t>19.286±2.067</w:t>
            </w:r>
          </w:p>
        </w:tc>
        <w:tc>
          <w:tcPr>
            <w:tcW w:w="967" w:type="dxa"/>
          </w:tcPr>
          <w:p>
            <w:pPr>
              <w:pStyle w:val="TableParagraph"/>
              <w:spacing w:before="214"/>
              <w:ind w:right="93"/>
              <w:jc w:val="center"/>
              <w:rPr>
                <w:sz w:val="22"/>
              </w:rPr>
            </w:pPr>
            <w:r>
              <w:rPr>
                <w:spacing w:val="-2"/>
                <w:sz w:val="22"/>
              </w:rPr>
              <w:t>0.174</w:t>
            </w:r>
          </w:p>
        </w:tc>
        <w:tc>
          <w:tcPr>
            <w:tcW w:w="875" w:type="dxa"/>
          </w:tcPr>
          <w:p>
            <w:pPr>
              <w:pStyle w:val="TableParagraph"/>
              <w:spacing w:before="91"/>
              <w:rPr>
                <w:b/>
                <w:i/>
                <w:sz w:val="22"/>
              </w:rPr>
            </w:pPr>
          </w:p>
          <w:p>
            <w:pPr>
              <w:pStyle w:val="TableParagraph"/>
              <w:spacing w:before="1"/>
              <w:ind w:left="1" w:right="71"/>
              <w:jc w:val="center"/>
              <w:rPr>
                <w:sz w:val="22"/>
              </w:rPr>
            </w:pPr>
            <w:r>
              <w:rPr>
                <w:spacing w:val="-5"/>
                <w:sz w:val="22"/>
              </w:rPr>
              <w:t>NS</w:t>
            </w:r>
          </w:p>
        </w:tc>
      </w:tr>
      <w:tr>
        <w:trPr>
          <w:trHeight w:val="450" w:hRule="atLeast"/>
        </w:trPr>
        <w:tc>
          <w:tcPr>
            <w:tcW w:w="2292" w:type="dxa"/>
          </w:tcPr>
          <w:p>
            <w:pPr>
              <w:pStyle w:val="TableParagraph"/>
              <w:rPr>
                <w:rFonts w:ascii="Times New Roman"/>
                <w:sz w:val="22"/>
              </w:rPr>
            </w:pPr>
          </w:p>
        </w:tc>
        <w:tc>
          <w:tcPr>
            <w:tcW w:w="1028" w:type="dxa"/>
          </w:tcPr>
          <w:p>
            <w:pPr>
              <w:pStyle w:val="TableParagraph"/>
              <w:spacing w:before="70"/>
              <w:ind w:left="442"/>
              <w:rPr>
                <w:sz w:val="22"/>
              </w:rPr>
            </w:pPr>
            <w:r>
              <w:rPr>
                <w:spacing w:val="-5"/>
                <w:sz w:val="22"/>
              </w:rPr>
              <w:t>LEV</w:t>
            </w:r>
          </w:p>
        </w:tc>
        <w:tc>
          <w:tcPr>
            <w:tcW w:w="1614" w:type="dxa"/>
          </w:tcPr>
          <w:p>
            <w:pPr>
              <w:pStyle w:val="TableParagraph"/>
              <w:spacing w:before="70"/>
              <w:ind w:left="20" w:right="1"/>
              <w:jc w:val="center"/>
              <w:rPr>
                <w:sz w:val="22"/>
              </w:rPr>
            </w:pPr>
            <w:r>
              <w:rPr>
                <w:spacing w:val="-2"/>
                <w:sz w:val="22"/>
              </w:rPr>
              <w:t>21.286±2.067</w:t>
            </w:r>
          </w:p>
        </w:tc>
        <w:tc>
          <w:tcPr>
            <w:tcW w:w="967" w:type="dxa"/>
          </w:tcPr>
          <w:p>
            <w:pPr>
              <w:pStyle w:val="TableParagraph"/>
              <w:spacing w:before="70"/>
              <w:ind w:right="93"/>
              <w:jc w:val="center"/>
              <w:rPr>
                <w:sz w:val="22"/>
              </w:rPr>
            </w:pPr>
            <w:r>
              <w:rPr>
                <w:spacing w:val="-2"/>
                <w:sz w:val="22"/>
              </w:rPr>
              <w:t>0.782</w:t>
            </w:r>
          </w:p>
        </w:tc>
        <w:tc>
          <w:tcPr>
            <w:tcW w:w="875" w:type="dxa"/>
          </w:tcPr>
          <w:p>
            <w:pPr>
              <w:pStyle w:val="TableParagraph"/>
              <w:spacing w:before="70"/>
              <w:ind w:left="1" w:right="71"/>
              <w:jc w:val="center"/>
              <w:rPr>
                <w:sz w:val="22"/>
              </w:rPr>
            </w:pPr>
            <w:r>
              <w:rPr>
                <w:spacing w:val="-5"/>
                <w:sz w:val="22"/>
              </w:rPr>
              <w:t>NS</w:t>
            </w:r>
          </w:p>
        </w:tc>
      </w:tr>
      <w:tr>
        <w:trPr>
          <w:trHeight w:val="522" w:hRule="atLeast"/>
        </w:trPr>
        <w:tc>
          <w:tcPr>
            <w:tcW w:w="2292" w:type="dxa"/>
            <w:tcBorders>
              <w:bottom w:val="single" w:sz="4" w:space="0" w:color="000000"/>
            </w:tcBorders>
          </w:tcPr>
          <w:p>
            <w:pPr>
              <w:pStyle w:val="TableParagraph"/>
              <w:rPr>
                <w:rFonts w:ascii="Times New Roman"/>
                <w:sz w:val="22"/>
              </w:rPr>
            </w:pPr>
          </w:p>
        </w:tc>
        <w:tc>
          <w:tcPr>
            <w:tcW w:w="1028" w:type="dxa"/>
            <w:tcBorders>
              <w:bottom w:val="single" w:sz="4" w:space="0" w:color="000000"/>
            </w:tcBorders>
          </w:tcPr>
          <w:p>
            <w:pPr>
              <w:pStyle w:val="TableParagraph"/>
              <w:spacing w:before="71"/>
              <w:ind w:left="396"/>
              <w:rPr>
                <w:sz w:val="22"/>
              </w:rPr>
            </w:pPr>
            <w:r>
              <w:rPr>
                <w:spacing w:val="-5"/>
                <w:sz w:val="22"/>
              </w:rPr>
              <w:t>AZM</w:t>
            </w:r>
          </w:p>
        </w:tc>
        <w:tc>
          <w:tcPr>
            <w:tcW w:w="1614" w:type="dxa"/>
            <w:tcBorders>
              <w:bottom w:val="single" w:sz="4" w:space="0" w:color="000000"/>
            </w:tcBorders>
          </w:tcPr>
          <w:p>
            <w:pPr>
              <w:pStyle w:val="TableParagraph"/>
              <w:spacing w:before="71"/>
              <w:ind w:left="20" w:right="1"/>
              <w:jc w:val="center"/>
              <w:rPr>
                <w:sz w:val="22"/>
              </w:rPr>
            </w:pPr>
            <w:r>
              <w:rPr>
                <w:spacing w:val="-2"/>
                <w:sz w:val="22"/>
              </w:rPr>
              <w:t>16.143±1.945</w:t>
            </w:r>
          </w:p>
        </w:tc>
        <w:tc>
          <w:tcPr>
            <w:tcW w:w="967" w:type="dxa"/>
            <w:tcBorders>
              <w:bottom w:val="single" w:sz="4" w:space="0" w:color="000000"/>
            </w:tcBorders>
          </w:tcPr>
          <w:p>
            <w:pPr>
              <w:pStyle w:val="TableParagraph"/>
              <w:spacing w:before="71"/>
              <w:ind w:right="93"/>
              <w:jc w:val="center"/>
              <w:rPr>
                <w:sz w:val="22"/>
              </w:rPr>
            </w:pPr>
            <w:r>
              <w:rPr>
                <w:spacing w:val="-2"/>
                <w:sz w:val="22"/>
              </w:rPr>
              <w:t>0.002</w:t>
            </w:r>
          </w:p>
        </w:tc>
        <w:tc>
          <w:tcPr>
            <w:tcW w:w="875" w:type="dxa"/>
            <w:tcBorders>
              <w:bottom w:val="single" w:sz="4" w:space="0" w:color="000000"/>
            </w:tcBorders>
          </w:tcPr>
          <w:p>
            <w:pPr>
              <w:pStyle w:val="TableParagraph"/>
              <w:spacing w:before="71"/>
              <w:ind w:right="71"/>
              <w:jc w:val="center"/>
              <w:rPr>
                <w:sz w:val="22"/>
              </w:rPr>
            </w:pPr>
            <w:r>
              <w:rPr>
                <w:spacing w:val="-5"/>
                <w:sz w:val="22"/>
              </w:rPr>
              <w:t>SF</w:t>
            </w:r>
          </w:p>
        </w:tc>
      </w:tr>
    </w:tbl>
    <w:p>
      <w:pPr>
        <w:pStyle w:val="BodyText"/>
        <w:spacing w:line="276" w:lineRule="auto" w:before="25"/>
        <w:ind w:left="1100" w:right="975"/>
      </w:pPr>
      <w:r>
        <w:rPr/>
        <w:t>Key:</w:t>
      </w:r>
      <w:r>
        <w:rPr>
          <w:spacing w:val="40"/>
        </w:rPr>
        <w:t> </w:t>
      </w:r>
      <w:r>
        <w:rPr/>
        <w:t>LOS=Level</w:t>
      </w:r>
      <w:r>
        <w:rPr>
          <w:spacing w:val="40"/>
        </w:rPr>
        <w:t> </w:t>
      </w:r>
      <w:r>
        <w:rPr/>
        <w:t>of</w:t>
      </w:r>
      <w:r>
        <w:rPr>
          <w:spacing w:val="40"/>
        </w:rPr>
        <w:t> </w:t>
      </w:r>
      <w:r>
        <w:rPr/>
        <w:t>Significance;</w:t>
      </w:r>
      <w:r>
        <w:rPr>
          <w:spacing w:val="40"/>
        </w:rPr>
        <w:t> </w:t>
      </w:r>
      <w:r>
        <w:rPr/>
        <w:t>NS=Not</w:t>
      </w:r>
      <w:r>
        <w:rPr>
          <w:spacing w:val="40"/>
        </w:rPr>
        <w:t> </w:t>
      </w:r>
      <w:r>
        <w:rPr/>
        <w:t>significantly</w:t>
      </w:r>
      <w:r>
        <w:rPr>
          <w:spacing w:val="40"/>
        </w:rPr>
        <w:t> </w:t>
      </w:r>
      <w:r>
        <w:rPr/>
        <w:t>different;</w:t>
      </w:r>
      <w:r>
        <w:rPr>
          <w:spacing w:val="40"/>
        </w:rPr>
        <w:t> </w:t>
      </w:r>
      <w:r>
        <w:rPr/>
        <w:t>SF=Significantly</w:t>
      </w:r>
      <w:r>
        <w:rPr>
          <w:spacing w:val="40"/>
        </w:rPr>
        <w:t> </w:t>
      </w:r>
      <w:r>
        <w:rPr/>
        <w:t>different; L=Lemon juice, H=Honey.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p>
    <w:p>
      <w:pPr>
        <w:pStyle w:val="Heading3"/>
        <w:tabs>
          <w:tab w:pos="1820" w:val="left" w:leader="none"/>
        </w:tabs>
        <w:spacing w:line="256" w:lineRule="auto"/>
        <w:ind w:left="1820" w:right="1385" w:hanging="1440"/>
        <w:rPr>
          <w:i/>
        </w:rPr>
      </w:pPr>
      <w:r>
        <w:rPr/>
        <w:t>Table 4.27:</w:t>
        <w:tab/>
        <w:t>Comparing</w:t>
      </w:r>
      <w:r>
        <w:rPr>
          <w:spacing w:val="-4"/>
        </w:rPr>
        <w:t> </w:t>
      </w:r>
      <w:r>
        <w:rPr/>
        <w:t>the</w:t>
      </w:r>
      <w:r>
        <w:rPr>
          <w:spacing w:val="-3"/>
        </w:rPr>
        <w:t> </w:t>
      </w:r>
      <w:r>
        <w:rPr/>
        <w:t>Mean</w:t>
      </w:r>
      <w:r>
        <w:rPr>
          <w:spacing w:val="-3"/>
        </w:rPr>
        <w:t> </w:t>
      </w:r>
      <w:r>
        <w:rPr/>
        <w:t>zone</w:t>
      </w:r>
      <w:r>
        <w:rPr>
          <w:spacing w:val="-3"/>
        </w:rPr>
        <w:t> </w:t>
      </w:r>
      <w:r>
        <w:rPr/>
        <w:t>of</w:t>
      </w:r>
      <w:r>
        <w:rPr>
          <w:spacing w:val="-2"/>
        </w:rPr>
        <w:t> </w:t>
      </w:r>
      <w:r>
        <w:rPr/>
        <w:t>inhibition</w:t>
      </w:r>
      <w:r>
        <w:rPr>
          <w:spacing w:val="-3"/>
        </w:rPr>
        <w:t> </w:t>
      </w:r>
      <w:r>
        <w:rPr/>
        <w:t>of</w:t>
      </w:r>
      <w:r>
        <w:rPr>
          <w:spacing w:val="-2"/>
        </w:rPr>
        <w:t> </w:t>
      </w:r>
      <w:r>
        <w:rPr/>
        <w:t>Honey/Lemon</w:t>
      </w:r>
      <w:r>
        <w:rPr>
          <w:spacing w:val="-1"/>
        </w:rPr>
        <w:t> </w:t>
      </w:r>
      <w:r>
        <w:rPr/>
        <w:t>juice</w:t>
      </w:r>
      <w:r>
        <w:rPr>
          <w:spacing w:val="-2"/>
        </w:rPr>
        <w:t> </w:t>
      </w:r>
      <w:r>
        <w:rPr/>
        <w:t>mixture</w:t>
      </w:r>
      <w:r>
        <w:rPr>
          <w:spacing w:val="-3"/>
        </w:rPr>
        <w:t> </w:t>
      </w:r>
      <w:r>
        <w:rPr/>
        <w:t>and</w:t>
      </w:r>
      <w:r>
        <w:rPr>
          <w:spacing w:val="-3"/>
        </w:rPr>
        <w:t> </w:t>
      </w:r>
      <w:r>
        <w:rPr/>
        <w:t>the Standard antibiotic formulations against </w:t>
      </w:r>
      <w:r>
        <w:rPr>
          <w:i/>
        </w:rPr>
        <w:t>Streptococcus pyogenes</w:t>
      </w:r>
    </w:p>
    <w:p>
      <w:pPr>
        <w:pStyle w:val="BodyText"/>
        <w:rPr>
          <w:b/>
          <w:i/>
          <w:sz w:val="20"/>
        </w:rPr>
      </w:pPr>
    </w:p>
    <w:p>
      <w:pPr>
        <w:pStyle w:val="BodyText"/>
        <w:rPr>
          <w:b/>
          <w:i/>
          <w:sz w:val="20"/>
        </w:rPr>
      </w:pPr>
    </w:p>
    <w:p>
      <w:pPr>
        <w:pStyle w:val="BodyText"/>
        <w:spacing w:before="132"/>
        <w:rPr>
          <w:b/>
          <w:i/>
          <w:sz w:val="20"/>
        </w:rPr>
      </w:pPr>
    </w:p>
    <w:tbl>
      <w:tblPr>
        <w:tblW w:w="0" w:type="auto"/>
        <w:jc w:val="left"/>
        <w:tblInd w:w="1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2"/>
        <w:gridCol w:w="1093"/>
        <w:gridCol w:w="1541"/>
        <w:gridCol w:w="1023"/>
        <w:gridCol w:w="858"/>
      </w:tblGrid>
      <w:tr>
        <w:trPr>
          <w:trHeight w:val="911" w:hRule="atLeast"/>
        </w:trPr>
        <w:tc>
          <w:tcPr>
            <w:tcW w:w="2242" w:type="dxa"/>
            <w:tcBorders>
              <w:top w:val="single" w:sz="4" w:space="0" w:color="000000"/>
              <w:bottom w:val="single" w:sz="4" w:space="0" w:color="000000"/>
            </w:tcBorders>
          </w:tcPr>
          <w:p>
            <w:pPr>
              <w:pStyle w:val="TableParagraph"/>
              <w:spacing w:before="227"/>
              <w:ind w:left="804"/>
              <w:rPr>
                <w:sz w:val="22"/>
              </w:rPr>
            </w:pPr>
            <w:r>
              <w:rPr>
                <w:sz w:val="22"/>
              </w:rPr>
              <w:t>(I)</w:t>
            </w:r>
            <w:r>
              <w:rPr>
                <w:spacing w:val="-2"/>
                <w:sz w:val="22"/>
              </w:rPr>
              <w:t> Group</w:t>
            </w:r>
          </w:p>
        </w:tc>
        <w:tc>
          <w:tcPr>
            <w:tcW w:w="1093" w:type="dxa"/>
            <w:tcBorders>
              <w:top w:val="single" w:sz="4" w:space="0" w:color="000000"/>
              <w:bottom w:val="single" w:sz="4" w:space="0" w:color="000000"/>
            </w:tcBorders>
          </w:tcPr>
          <w:p>
            <w:pPr>
              <w:pStyle w:val="TableParagraph"/>
              <w:spacing w:before="83"/>
              <w:ind w:left="182"/>
              <w:jc w:val="center"/>
              <w:rPr>
                <w:sz w:val="22"/>
              </w:rPr>
            </w:pPr>
            <w:r>
              <w:rPr>
                <w:spacing w:val="-5"/>
                <w:sz w:val="22"/>
              </w:rPr>
              <w:t>(J)</w:t>
            </w:r>
          </w:p>
          <w:p>
            <w:pPr>
              <w:pStyle w:val="TableParagraph"/>
              <w:spacing w:before="22"/>
              <w:ind w:left="187"/>
              <w:jc w:val="center"/>
              <w:rPr>
                <w:sz w:val="22"/>
              </w:rPr>
            </w:pPr>
            <w:r>
              <w:rPr>
                <w:spacing w:val="-2"/>
                <w:sz w:val="22"/>
              </w:rPr>
              <w:t>Group</w:t>
            </w:r>
          </w:p>
        </w:tc>
        <w:tc>
          <w:tcPr>
            <w:tcW w:w="1541" w:type="dxa"/>
            <w:tcBorders>
              <w:top w:val="single" w:sz="4" w:space="0" w:color="000000"/>
              <w:bottom w:val="single" w:sz="4" w:space="0" w:color="000000"/>
            </w:tcBorders>
          </w:tcPr>
          <w:p>
            <w:pPr>
              <w:pStyle w:val="TableParagraph"/>
              <w:spacing w:before="227"/>
              <w:ind w:left="31"/>
              <w:jc w:val="center"/>
              <w:rPr>
                <w:sz w:val="22"/>
              </w:rPr>
            </w:pPr>
            <w:r>
              <w:rPr>
                <w:spacing w:val="-2"/>
                <w:sz w:val="22"/>
              </w:rPr>
              <w:t>Mean±SEM</w:t>
            </w:r>
          </w:p>
        </w:tc>
        <w:tc>
          <w:tcPr>
            <w:tcW w:w="1023" w:type="dxa"/>
            <w:tcBorders>
              <w:top w:val="single" w:sz="4" w:space="0" w:color="000000"/>
              <w:bottom w:val="single" w:sz="4" w:space="0" w:color="000000"/>
            </w:tcBorders>
          </w:tcPr>
          <w:p>
            <w:pPr>
              <w:pStyle w:val="TableParagraph"/>
              <w:spacing w:before="227"/>
              <w:ind w:left="2" w:right="66"/>
              <w:jc w:val="center"/>
              <w:rPr>
                <w:sz w:val="22"/>
              </w:rPr>
            </w:pPr>
            <w:r>
              <w:rPr>
                <w:sz w:val="22"/>
              </w:rPr>
              <w:t>P-</w:t>
            </w:r>
            <w:r>
              <w:rPr>
                <w:spacing w:val="-2"/>
                <w:sz w:val="22"/>
              </w:rPr>
              <w:t>value</w:t>
            </w:r>
          </w:p>
        </w:tc>
        <w:tc>
          <w:tcPr>
            <w:tcW w:w="858" w:type="dxa"/>
            <w:tcBorders>
              <w:top w:val="single" w:sz="4" w:space="0" w:color="000000"/>
              <w:bottom w:val="single" w:sz="4" w:space="0" w:color="000000"/>
            </w:tcBorders>
          </w:tcPr>
          <w:p>
            <w:pPr>
              <w:pStyle w:val="TableParagraph"/>
              <w:spacing w:before="227"/>
              <w:ind w:right="297"/>
              <w:jc w:val="right"/>
              <w:rPr>
                <w:sz w:val="22"/>
              </w:rPr>
            </w:pPr>
            <w:r>
              <w:rPr>
                <w:spacing w:val="-5"/>
                <w:sz w:val="22"/>
              </w:rPr>
              <w:t>LOS</w:t>
            </w:r>
          </w:p>
        </w:tc>
      </w:tr>
      <w:tr>
        <w:trPr>
          <w:trHeight w:val="375" w:hRule="atLeast"/>
        </w:trPr>
        <w:tc>
          <w:tcPr>
            <w:tcW w:w="2242" w:type="dxa"/>
            <w:tcBorders>
              <w:top w:val="single" w:sz="4" w:space="0" w:color="000000"/>
            </w:tcBorders>
          </w:tcPr>
          <w:p>
            <w:pPr>
              <w:pStyle w:val="TableParagraph"/>
              <w:rPr>
                <w:rFonts w:ascii="Times New Roman"/>
                <w:sz w:val="22"/>
              </w:rPr>
            </w:pPr>
          </w:p>
        </w:tc>
        <w:tc>
          <w:tcPr>
            <w:tcW w:w="1093" w:type="dxa"/>
            <w:tcBorders>
              <w:top w:val="single" w:sz="4" w:space="0" w:color="000000"/>
            </w:tcBorders>
          </w:tcPr>
          <w:p>
            <w:pPr>
              <w:pStyle w:val="TableParagraph"/>
              <w:spacing w:line="265" w:lineRule="exact"/>
              <w:ind w:left="183"/>
              <w:jc w:val="center"/>
              <w:rPr>
                <w:sz w:val="22"/>
              </w:rPr>
            </w:pPr>
            <w:r>
              <w:rPr>
                <w:spacing w:val="-5"/>
                <w:sz w:val="22"/>
              </w:rPr>
              <w:t>CRO</w:t>
            </w:r>
          </w:p>
        </w:tc>
        <w:tc>
          <w:tcPr>
            <w:tcW w:w="1541" w:type="dxa"/>
            <w:tcBorders>
              <w:top w:val="single" w:sz="4" w:space="0" w:color="000000"/>
            </w:tcBorders>
          </w:tcPr>
          <w:p>
            <w:pPr>
              <w:pStyle w:val="TableParagraph"/>
              <w:spacing w:line="265" w:lineRule="exact"/>
              <w:ind w:left="31" w:right="2"/>
              <w:jc w:val="center"/>
              <w:rPr>
                <w:sz w:val="22"/>
              </w:rPr>
            </w:pPr>
            <w:r>
              <w:rPr>
                <w:spacing w:val="-2"/>
                <w:sz w:val="22"/>
              </w:rPr>
              <w:t>20.667±2.275</w:t>
            </w:r>
          </w:p>
        </w:tc>
        <w:tc>
          <w:tcPr>
            <w:tcW w:w="1023" w:type="dxa"/>
            <w:tcBorders>
              <w:top w:val="single" w:sz="4" w:space="0" w:color="000000"/>
            </w:tcBorders>
          </w:tcPr>
          <w:p>
            <w:pPr>
              <w:pStyle w:val="TableParagraph"/>
              <w:spacing w:line="265" w:lineRule="exact"/>
              <w:ind w:right="66"/>
              <w:jc w:val="center"/>
              <w:rPr>
                <w:sz w:val="22"/>
              </w:rPr>
            </w:pPr>
            <w:r>
              <w:rPr>
                <w:spacing w:val="-2"/>
                <w:sz w:val="22"/>
              </w:rPr>
              <w:t>0.949</w:t>
            </w:r>
          </w:p>
        </w:tc>
        <w:tc>
          <w:tcPr>
            <w:tcW w:w="858" w:type="dxa"/>
            <w:tcBorders>
              <w:top w:val="single" w:sz="4" w:space="0" w:color="000000"/>
            </w:tcBorders>
          </w:tcPr>
          <w:p>
            <w:pPr>
              <w:pStyle w:val="TableParagraph"/>
              <w:spacing w:line="265" w:lineRule="exact"/>
              <w:ind w:right="348"/>
              <w:jc w:val="right"/>
              <w:rPr>
                <w:sz w:val="22"/>
              </w:rPr>
            </w:pPr>
            <w:r>
              <w:rPr>
                <w:spacing w:val="-5"/>
                <w:sz w:val="22"/>
              </w:rPr>
              <w:t>NS</w:t>
            </w:r>
          </w:p>
        </w:tc>
      </w:tr>
      <w:tr>
        <w:trPr>
          <w:trHeight w:val="450" w:hRule="atLeast"/>
        </w:trPr>
        <w:tc>
          <w:tcPr>
            <w:tcW w:w="2242" w:type="dxa"/>
          </w:tcPr>
          <w:p>
            <w:pPr>
              <w:pStyle w:val="TableParagraph"/>
              <w:rPr>
                <w:rFonts w:ascii="Times New Roman"/>
                <w:sz w:val="22"/>
              </w:rPr>
            </w:pPr>
          </w:p>
        </w:tc>
        <w:tc>
          <w:tcPr>
            <w:tcW w:w="1093" w:type="dxa"/>
          </w:tcPr>
          <w:p>
            <w:pPr>
              <w:pStyle w:val="TableParagraph"/>
              <w:spacing w:before="70"/>
              <w:ind w:left="186"/>
              <w:jc w:val="center"/>
              <w:rPr>
                <w:sz w:val="22"/>
              </w:rPr>
            </w:pPr>
            <w:r>
              <w:rPr>
                <w:spacing w:val="-5"/>
                <w:sz w:val="22"/>
              </w:rPr>
              <w:t>CN</w:t>
            </w:r>
          </w:p>
        </w:tc>
        <w:tc>
          <w:tcPr>
            <w:tcW w:w="1541" w:type="dxa"/>
          </w:tcPr>
          <w:p>
            <w:pPr>
              <w:pStyle w:val="TableParagraph"/>
              <w:spacing w:before="70"/>
              <w:ind w:left="31" w:right="3"/>
              <w:jc w:val="center"/>
              <w:rPr>
                <w:sz w:val="22"/>
              </w:rPr>
            </w:pPr>
            <w:r>
              <w:rPr>
                <w:spacing w:val="-2"/>
                <w:sz w:val="22"/>
              </w:rPr>
              <w:t>21.833±0.946</w:t>
            </w:r>
          </w:p>
        </w:tc>
        <w:tc>
          <w:tcPr>
            <w:tcW w:w="1023" w:type="dxa"/>
          </w:tcPr>
          <w:p>
            <w:pPr>
              <w:pStyle w:val="TableParagraph"/>
              <w:spacing w:before="70"/>
              <w:ind w:right="66"/>
              <w:jc w:val="center"/>
              <w:rPr>
                <w:sz w:val="22"/>
              </w:rPr>
            </w:pPr>
            <w:r>
              <w:rPr>
                <w:spacing w:val="-2"/>
                <w:sz w:val="22"/>
              </w:rPr>
              <w:t>0.999</w:t>
            </w:r>
          </w:p>
        </w:tc>
        <w:tc>
          <w:tcPr>
            <w:tcW w:w="858" w:type="dxa"/>
          </w:tcPr>
          <w:p>
            <w:pPr>
              <w:pStyle w:val="TableParagraph"/>
              <w:spacing w:before="70"/>
              <w:ind w:right="348"/>
              <w:jc w:val="right"/>
              <w:rPr>
                <w:sz w:val="22"/>
              </w:rPr>
            </w:pPr>
            <w:r>
              <w:rPr>
                <w:spacing w:val="-5"/>
                <w:sz w:val="22"/>
              </w:rPr>
              <w:t>NS</w:t>
            </w:r>
          </w:p>
        </w:tc>
      </w:tr>
      <w:tr>
        <w:trPr>
          <w:trHeight w:val="624" w:hRule="atLeast"/>
        </w:trPr>
        <w:tc>
          <w:tcPr>
            <w:tcW w:w="2242" w:type="dxa"/>
          </w:tcPr>
          <w:p>
            <w:pPr>
              <w:pStyle w:val="TableParagraph"/>
              <w:spacing w:before="71"/>
              <w:ind w:left="171"/>
              <w:jc w:val="center"/>
              <w:rPr>
                <w:sz w:val="22"/>
              </w:rPr>
            </w:pPr>
            <w:r>
              <w:rPr>
                <w:sz w:val="22"/>
              </w:rPr>
              <w:t>H/L;</w:t>
            </w:r>
            <w:r>
              <w:rPr>
                <w:spacing w:val="-5"/>
                <w:sz w:val="22"/>
              </w:rPr>
              <w:t> </w:t>
            </w:r>
            <w:r>
              <w:rPr>
                <w:spacing w:val="-2"/>
                <w:sz w:val="22"/>
              </w:rPr>
              <w:t>10:50</w:t>
            </w:r>
          </w:p>
          <w:p>
            <w:pPr>
              <w:pStyle w:val="TableParagraph"/>
              <w:spacing w:line="245" w:lineRule="exact" w:before="19"/>
              <w:ind w:left="171" w:right="3"/>
              <w:jc w:val="center"/>
              <w:rPr>
                <w:sz w:val="22"/>
              </w:rPr>
            </w:pPr>
            <w:r>
              <w:rPr>
                <w:spacing w:val="-2"/>
                <w:sz w:val="22"/>
              </w:rPr>
              <w:t>(23.333±0.955)</w:t>
            </w:r>
          </w:p>
        </w:tc>
        <w:tc>
          <w:tcPr>
            <w:tcW w:w="1093" w:type="dxa"/>
          </w:tcPr>
          <w:p>
            <w:pPr>
              <w:pStyle w:val="TableParagraph"/>
              <w:spacing w:before="215"/>
              <w:ind w:left="186"/>
              <w:jc w:val="center"/>
              <w:rPr>
                <w:sz w:val="22"/>
              </w:rPr>
            </w:pPr>
            <w:r>
              <w:rPr>
                <w:spacing w:val="-5"/>
                <w:sz w:val="22"/>
              </w:rPr>
              <w:t>AMC</w:t>
            </w:r>
          </w:p>
        </w:tc>
        <w:tc>
          <w:tcPr>
            <w:tcW w:w="1541" w:type="dxa"/>
          </w:tcPr>
          <w:p>
            <w:pPr>
              <w:pStyle w:val="TableParagraph"/>
              <w:spacing w:before="90"/>
              <w:rPr>
                <w:b/>
                <w:i/>
                <w:sz w:val="22"/>
              </w:rPr>
            </w:pPr>
          </w:p>
          <w:p>
            <w:pPr>
              <w:pStyle w:val="TableParagraph"/>
              <w:spacing w:line="245" w:lineRule="exact"/>
              <w:ind w:left="31" w:right="3"/>
              <w:jc w:val="center"/>
              <w:rPr>
                <w:sz w:val="22"/>
              </w:rPr>
            </w:pPr>
            <w:r>
              <w:rPr>
                <w:spacing w:val="-2"/>
                <w:sz w:val="22"/>
              </w:rPr>
              <w:t>16.333±2.431</w:t>
            </w:r>
          </w:p>
        </w:tc>
        <w:tc>
          <w:tcPr>
            <w:tcW w:w="1023" w:type="dxa"/>
          </w:tcPr>
          <w:p>
            <w:pPr>
              <w:pStyle w:val="TableParagraph"/>
              <w:spacing w:before="215"/>
              <w:ind w:right="66"/>
              <w:jc w:val="center"/>
              <w:rPr>
                <w:sz w:val="22"/>
              </w:rPr>
            </w:pPr>
            <w:r>
              <w:rPr>
                <w:spacing w:val="-2"/>
                <w:sz w:val="22"/>
              </w:rPr>
              <w:t>0.038</w:t>
            </w:r>
          </w:p>
        </w:tc>
        <w:tc>
          <w:tcPr>
            <w:tcW w:w="858" w:type="dxa"/>
          </w:tcPr>
          <w:p>
            <w:pPr>
              <w:pStyle w:val="TableParagraph"/>
              <w:spacing w:before="90"/>
              <w:rPr>
                <w:b/>
                <w:i/>
                <w:sz w:val="22"/>
              </w:rPr>
            </w:pPr>
          </w:p>
          <w:p>
            <w:pPr>
              <w:pStyle w:val="TableParagraph"/>
              <w:spacing w:line="245" w:lineRule="exact"/>
              <w:ind w:right="369"/>
              <w:jc w:val="right"/>
              <w:rPr>
                <w:sz w:val="22"/>
              </w:rPr>
            </w:pPr>
            <w:r>
              <w:rPr>
                <w:spacing w:val="-5"/>
                <w:sz w:val="22"/>
              </w:rPr>
              <w:t>SF</w:t>
            </w:r>
          </w:p>
        </w:tc>
      </w:tr>
    </w:tbl>
    <w:p>
      <w:pPr>
        <w:spacing w:after="0" w:line="245" w:lineRule="exact"/>
        <w:jc w:val="right"/>
        <w:rPr>
          <w:sz w:val="22"/>
        </w:rPr>
        <w:sectPr>
          <w:type w:val="continuous"/>
          <w:pgSz w:w="11910" w:h="16840"/>
          <w:pgMar w:header="0" w:footer="1055" w:top="1440" w:bottom="1817" w:left="1060" w:right="460"/>
        </w:sectPr>
      </w:pPr>
    </w:p>
    <w:tbl>
      <w:tblPr>
        <w:tblW w:w="0" w:type="auto"/>
        <w:jc w:val="left"/>
        <w:tblInd w:w="1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9"/>
        <w:gridCol w:w="1028"/>
        <w:gridCol w:w="1613"/>
        <w:gridCol w:w="967"/>
        <w:gridCol w:w="874"/>
      </w:tblGrid>
      <w:tr>
        <w:trPr>
          <w:trHeight w:val="335" w:hRule="atLeast"/>
        </w:trPr>
        <w:tc>
          <w:tcPr>
            <w:tcW w:w="2289" w:type="dxa"/>
          </w:tcPr>
          <w:p>
            <w:pPr>
              <w:pStyle w:val="TableParagraph"/>
              <w:rPr>
                <w:rFonts w:ascii="Times New Roman"/>
                <w:sz w:val="22"/>
              </w:rPr>
            </w:pPr>
          </w:p>
        </w:tc>
        <w:tc>
          <w:tcPr>
            <w:tcW w:w="1028" w:type="dxa"/>
          </w:tcPr>
          <w:p>
            <w:pPr>
              <w:pStyle w:val="TableParagraph"/>
              <w:spacing w:line="225" w:lineRule="exact"/>
              <w:ind w:right="256"/>
              <w:jc w:val="right"/>
              <w:rPr>
                <w:sz w:val="22"/>
              </w:rPr>
            </w:pPr>
            <w:r>
              <w:rPr>
                <w:spacing w:val="-5"/>
                <w:sz w:val="22"/>
              </w:rPr>
              <w:t>LEV</w:t>
            </w:r>
          </w:p>
        </w:tc>
        <w:tc>
          <w:tcPr>
            <w:tcW w:w="1613" w:type="dxa"/>
          </w:tcPr>
          <w:p>
            <w:pPr>
              <w:pStyle w:val="TableParagraph"/>
              <w:spacing w:line="225" w:lineRule="exact"/>
              <w:ind w:left="21"/>
              <w:jc w:val="center"/>
              <w:rPr>
                <w:sz w:val="22"/>
              </w:rPr>
            </w:pPr>
            <w:r>
              <w:rPr>
                <w:spacing w:val="-2"/>
                <w:sz w:val="22"/>
              </w:rPr>
              <w:t>19.500±1.803</w:t>
            </w:r>
          </w:p>
        </w:tc>
        <w:tc>
          <w:tcPr>
            <w:tcW w:w="967" w:type="dxa"/>
          </w:tcPr>
          <w:p>
            <w:pPr>
              <w:pStyle w:val="TableParagraph"/>
              <w:spacing w:line="225" w:lineRule="exact"/>
              <w:ind w:left="4" w:right="93"/>
              <w:jc w:val="center"/>
              <w:rPr>
                <w:sz w:val="22"/>
              </w:rPr>
            </w:pPr>
            <w:r>
              <w:rPr>
                <w:spacing w:val="-2"/>
                <w:sz w:val="22"/>
              </w:rPr>
              <w:t>0.687</w:t>
            </w:r>
          </w:p>
        </w:tc>
        <w:tc>
          <w:tcPr>
            <w:tcW w:w="874" w:type="dxa"/>
          </w:tcPr>
          <w:p>
            <w:pPr>
              <w:pStyle w:val="TableParagraph"/>
              <w:spacing w:line="225" w:lineRule="exact"/>
              <w:ind w:left="2" w:right="67"/>
              <w:jc w:val="center"/>
              <w:rPr>
                <w:sz w:val="22"/>
              </w:rPr>
            </w:pPr>
            <w:r>
              <w:rPr>
                <w:spacing w:val="-5"/>
                <w:sz w:val="22"/>
              </w:rPr>
              <w:t>NS</w:t>
            </w:r>
          </w:p>
        </w:tc>
      </w:tr>
      <w:tr>
        <w:trPr>
          <w:trHeight w:val="524" w:hRule="atLeast"/>
        </w:trPr>
        <w:tc>
          <w:tcPr>
            <w:tcW w:w="2289" w:type="dxa"/>
            <w:tcBorders>
              <w:bottom w:val="single" w:sz="4" w:space="0" w:color="000000"/>
            </w:tcBorders>
          </w:tcPr>
          <w:p>
            <w:pPr>
              <w:pStyle w:val="TableParagraph"/>
              <w:rPr>
                <w:rFonts w:ascii="Times New Roman"/>
                <w:sz w:val="22"/>
              </w:rPr>
            </w:pPr>
          </w:p>
        </w:tc>
        <w:tc>
          <w:tcPr>
            <w:tcW w:w="1028" w:type="dxa"/>
            <w:tcBorders>
              <w:bottom w:val="single" w:sz="4" w:space="0" w:color="000000"/>
            </w:tcBorders>
          </w:tcPr>
          <w:p>
            <w:pPr>
              <w:pStyle w:val="TableParagraph"/>
              <w:spacing w:before="70"/>
              <w:ind w:right="209"/>
              <w:jc w:val="right"/>
              <w:rPr>
                <w:sz w:val="22"/>
              </w:rPr>
            </w:pPr>
            <w:r>
              <w:rPr>
                <w:spacing w:val="-5"/>
                <w:sz w:val="22"/>
              </w:rPr>
              <w:t>AZM</w:t>
            </w:r>
          </w:p>
        </w:tc>
        <w:tc>
          <w:tcPr>
            <w:tcW w:w="1613" w:type="dxa"/>
            <w:tcBorders>
              <w:bottom w:val="single" w:sz="4" w:space="0" w:color="000000"/>
            </w:tcBorders>
          </w:tcPr>
          <w:p>
            <w:pPr>
              <w:pStyle w:val="TableParagraph"/>
              <w:spacing w:before="70"/>
              <w:ind w:left="21"/>
              <w:jc w:val="center"/>
              <w:rPr>
                <w:sz w:val="22"/>
              </w:rPr>
            </w:pPr>
            <w:r>
              <w:rPr>
                <w:spacing w:val="-2"/>
                <w:sz w:val="22"/>
              </w:rPr>
              <w:t>15.667±1.430</w:t>
            </w:r>
          </w:p>
        </w:tc>
        <w:tc>
          <w:tcPr>
            <w:tcW w:w="967" w:type="dxa"/>
            <w:tcBorders>
              <w:bottom w:val="single" w:sz="4" w:space="0" w:color="000000"/>
            </w:tcBorders>
          </w:tcPr>
          <w:p>
            <w:pPr>
              <w:pStyle w:val="TableParagraph"/>
              <w:spacing w:before="70"/>
              <w:ind w:left="4" w:right="93"/>
              <w:jc w:val="center"/>
              <w:rPr>
                <w:sz w:val="22"/>
              </w:rPr>
            </w:pPr>
            <w:r>
              <w:rPr>
                <w:spacing w:val="-2"/>
                <w:sz w:val="22"/>
              </w:rPr>
              <w:t>0.016</w:t>
            </w:r>
          </w:p>
        </w:tc>
        <w:tc>
          <w:tcPr>
            <w:tcW w:w="874" w:type="dxa"/>
            <w:tcBorders>
              <w:bottom w:val="single" w:sz="4" w:space="0" w:color="000000"/>
            </w:tcBorders>
          </w:tcPr>
          <w:p>
            <w:pPr>
              <w:pStyle w:val="TableParagraph"/>
              <w:spacing w:before="70"/>
              <w:ind w:right="67"/>
              <w:jc w:val="center"/>
              <w:rPr>
                <w:sz w:val="22"/>
              </w:rPr>
            </w:pPr>
            <w:r>
              <w:rPr>
                <w:spacing w:val="-5"/>
                <w:sz w:val="22"/>
              </w:rPr>
              <w:t>SF</w:t>
            </w:r>
          </w:p>
        </w:tc>
      </w:tr>
      <w:tr>
        <w:trPr>
          <w:trHeight w:val="375" w:hRule="atLeast"/>
        </w:trPr>
        <w:tc>
          <w:tcPr>
            <w:tcW w:w="2289" w:type="dxa"/>
            <w:tcBorders>
              <w:top w:val="single" w:sz="4" w:space="0" w:color="000000"/>
            </w:tcBorders>
          </w:tcPr>
          <w:p>
            <w:pPr>
              <w:pStyle w:val="TableParagraph"/>
              <w:rPr>
                <w:rFonts w:ascii="Times New Roman"/>
                <w:sz w:val="22"/>
              </w:rPr>
            </w:pPr>
          </w:p>
        </w:tc>
        <w:tc>
          <w:tcPr>
            <w:tcW w:w="1028" w:type="dxa"/>
            <w:tcBorders>
              <w:top w:val="single" w:sz="4" w:space="0" w:color="000000"/>
            </w:tcBorders>
          </w:tcPr>
          <w:p>
            <w:pPr>
              <w:pStyle w:val="TableParagraph"/>
              <w:spacing w:line="265" w:lineRule="exact"/>
              <w:ind w:right="228"/>
              <w:jc w:val="right"/>
              <w:rPr>
                <w:sz w:val="22"/>
              </w:rPr>
            </w:pPr>
            <w:r>
              <w:rPr>
                <w:spacing w:val="-5"/>
                <w:sz w:val="22"/>
              </w:rPr>
              <w:t>CRO</w:t>
            </w:r>
          </w:p>
        </w:tc>
        <w:tc>
          <w:tcPr>
            <w:tcW w:w="1613" w:type="dxa"/>
            <w:tcBorders>
              <w:top w:val="single" w:sz="4" w:space="0" w:color="000000"/>
            </w:tcBorders>
          </w:tcPr>
          <w:p>
            <w:pPr>
              <w:pStyle w:val="TableParagraph"/>
              <w:spacing w:line="265" w:lineRule="exact"/>
              <w:ind w:left="21"/>
              <w:jc w:val="center"/>
              <w:rPr>
                <w:sz w:val="22"/>
              </w:rPr>
            </w:pPr>
            <w:r>
              <w:rPr>
                <w:spacing w:val="-2"/>
                <w:sz w:val="22"/>
              </w:rPr>
              <w:t>20.667±2.275</w:t>
            </w:r>
          </w:p>
        </w:tc>
        <w:tc>
          <w:tcPr>
            <w:tcW w:w="967" w:type="dxa"/>
            <w:tcBorders>
              <w:top w:val="single" w:sz="4" w:space="0" w:color="000000"/>
            </w:tcBorders>
          </w:tcPr>
          <w:p>
            <w:pPr>
              <w:pStyle w:val="TableParagraph"/>
              <w:spacing w:line="265" w:lineRule="exact"/>
              <w:ind w:left="4" w:right="93"/>
              <w:jc w:val="center"/>
              <w:rPr>
                <w:sz w:val="22"/>
              </w:rPr>
            </w:pPr>
            <w:r>
              <w:rPr>
                <w:spacing w:val="-2"/>
                <w:sz w:val="22"/>
              </w:rPr>
              <w:t>0.867</w:t>
            </w:r>
          </w:p>
        </w:tc>
        <w:tc>
          <w:tcPr>
            <w:tcW w:w="874" w:type="dxa"/>
            <w:tcBorders>
              <w:top w:val="single" w:sz="4" w:space="0" w:color="000000"/>
            </w:tcBorders>
          </w:tcPr>
          <w:p>
            <w:pPr>
              <w:pStyle w:val="TableParagraph"/>
              <w:spacing w:line="265" w:lineRule="exact"/>
              <w:ind w:left="2" w:right="67"/>
              <w:jc w:val="center"/>
              <w:rPr>
                <w:sz w:val="22"/>
              </w:rPr>
            </w:pPr>
            <w:r>
              <w:rPr>
                <w:spacing w:val="-5"/>
                <w:sz w:val="22"/>
              </w:rPr>
              <w:t>NS</w:t>
            </w:r>
          </w:p>
        </w:tc>
      </w:tr>
      <w:tr>
        <w:trPr>
          <w:trHeight w:val="450" w:hRule="atLeast"/>
        </w:trPr>
        <w:tc>
          <w:tcPr>
            <w:tcW w:w="2289" w:type="dxa"/>
          </w:tcPr>
          <w:p>
            <w:pPr>
              <w:pStyle w:val="TableParagraph"/>
              <w:rPr>
                <w:rFonts w:ascii="Times New Roman"/>
                <w:sz w:val="22"/>
              </w:rPr>
            </w:pPr>
          </w:p>
        </w:tc>
        <w:tc>
          <w:tcPr>
            <w:tcW w:w="1028" w:type="dxa"/>
          </w:tcPr>
          <w:p>
            <w:pPr>
              <w:pStyle w:val="TableParagraph"/>
              <w:spacing w:before="70"/>
              <w:ind w:right="288"/>
              <w:jc w:val="right"/>
              <w:rPr>
                <w:sz w:val="22"/>
              </w:rPr>
            </w:pPr>
            <w:r>
              <w:rPr>
                <w:spacing w:val="-5"/>
                <w:sz w:val="22"/>
              </w:rPr>
              <w:t>CN</w:t>
            </w:r>
          </w:p>
        </w:tc>
        <w:tc>
          <w:tcPr>
            <w:tcW w:w="1613" w:type="dxa"/>
          </w:tcPr>
          <w:p>
            <w:pPr>
              <w:pStyle w:val="TableParagraph"/>
              <w:spacing w:before="70"/>
              <w:ind w:left="21"/>
              <w:jc w:val="center"/>
              <w:rPr>
                <w:sz w:val="22"/>
              </w:rPr>
            </w:pPr>
            <w:r>
              <w:rPr>
                <w:spacing w:val="-2"/>
                <w:sz w:val="22"/>
              </w:rPr>
              <w:t>21.833±0.946</w:t>
            </w:r>
          </w:p>
        </w:tc>
        <w:tc>
          <w:tcPr>
            <w:tcW w:w="967" w:type="dxa"/>
          </w:tcPr>
          <w:p>
            <w:pPr>
              <w:pStyle w:val="TableParagraph"/>
              <w:spacing w:before="70"/>
              <w:ind w:left="4" w:right="93"/>
              <w:jc w:val="center"/>
              <w:rPr>
                <w:sz w:val="22"/>
              </w:rPr>
            </w:pPr>
            <w:r>
              <w:rPr>
                <w:spacing w:val="-2"/>
                <w:sz w:val="22"/>
              </w:rPr>
              <w:t>0.992</w:t>
            </w:r>
          </w:p>
        </w:tc>
        <w:tc>
          <w:tcPr>
            <w:tcW w:w="874" w:type="dxa"/>
          </w:tcPr>
          <w:p>
            <w:pPr>
              <w:pStyle w:val="TableParagraph"/>
              <w:spacing w:before="70"/>
              <w:ind w:left="2" w:right="67"/>
              <w:jc w:val="center"/>
              <w:rPr>
                <w:sz w:val="22"/>
              </w:rPr>
            </w:pPr>
            <w:r>
              <w:rPr>
                <w:spacing w:val="-5"/>
                <w:sz w:val="22"/>
              </w:rPr>
              <w:t>NS</w:t>
            </w:r>
          </w:p>
        </w:tc>
      </w:tr>
      <w:tr>
        <w:trPr>
          <w:trHeight w:val="740" w:hRule="atLeast"/>
        </w:trPr>
        <w:tc>
          <w:tcPr>
            <w:tcW w:w="2289" w:type="dxa"/>
          </w:tcPr>
          <w:p>
            <w:pPr>
              <w:pStyle w:val="TableParagraph"/>
              <w:spacing w:before="71"/>
              <w:ind w:left="153" w:right="5"/>
              <w:jc w:val="center"/>
              <w:rPr>
                <w:sz w:val="22"/>
              </w:rPr>
            </w:pPr>
            <w:r>
              <w:rPr>
                <w:sz w:val="22"/>
              </w:rPr>
              <w:t>H/L;</w:t>
            </w:r>
            <w:r>
              <w:rPr>
                <w:spacing w:val="-4"/>
                <w:sz w:val="22"/>
              </w:rPr>
              <w:t> </w:t>
            </w:r>
            <w:r>
              <w:rPr>
                <w:sz w:val="22"/>
              </w:rPr>
              <w:t>20:</w:t>
            </w:r>
            <w:r>
              <w:rPr>
                <w:spacing w:val="-3"/>
                <w:sz w:val="22"/>
              </w:rPr>
              <w:t> </w:t>
            </w:r>
            <w:r>
              <w:rPr>
                <w:spacing w:val="-5"/>
                <w:sz w:val="22"/>
              </w:rPr>
              <w:t>50</w:t>
            </w:r>
          </w:p>
          <w:p>
            <w:pPr>
              <w:pStyle w:val="TableParagraph"/>
              <w:spacing w:before="22"/>
              <w:ind w:left="153" w:right="3"/>
              <w:jc w:val="center"/>
              <w:rPr>
                <w:sz w:val="22"/>
              </w:rPr>
            </w:pPr>
            <w:r>
              <w:rPr>
                <w:spacing w:val="-2"/>
                <w:sz w:val="22"/>
              </w:rPr>
              <w:t>(23.833±0.872)</w:t>
            </w:r>
          </w:p>
        </w:tc>
        <w:tc>
          <w:tcPr>
            <w:tcW w:w="1028" w:type="dxa"/>
          </w:tcPr>
          <w:p>
            <w:pPr>
              <w:pStyle w:val="TableParagraph"/>
              <w:spacing w:before="215"/>
              <w:ind w:right="201"/>
              <w:jc w:val="right"/>
              <w:rPr>
                <w:sz w:val="22"/>
              </w:rPr>
            </w:pPr>
            <w:r>
              <w:rPr>
                <w:spacing w:val="-5"/>
                <w:sz w:val="22"/>
              </w:rPr>
              <w:t>AMC</w:t>
            </w:r>
          </w:p>
        </w:tc>
        <w:tc>
          <w:tcPr>
            <w:tcW w:w="1613" w:type="dxa"/>
          </w:tcPr>
          <w:p>
            <w:pPr>
              <w:pStyle w:val="TableParagraph"/>
              <w:spacing w:before="93"/>
              <w:rPr>
                <w:b/>
                <w:i/>
                <w:sz w:val="22"/>
              </w:rPr>
            </w:pPr>
          </w:p>
          <w:p>
            <w:pPr>
              <w:pStyle w:val="TableParagraph"/>
              <w:ind w:left="21"/>
              <w:jc w:val="center"/>
              <w:rPr>
                <w:sz w:val="22"/>
              </w:rPr>
            </w:pPr>
            <w:r>
              <w:rPr>
                <w:spacing w:val="-2"/>
                <w:sz w:val="22"/>
              </w:rPr>
              <w:t>16.333±2.431</w:t>
            </w:r>
          </w:p>
        </w:tc>
        <w:tc>
          <w:tcPr>
            <w:tcW w:w="967" w:type="dxa"/>
          </w:tcPr>
          <w:p>
            <w:pPr>
              <w:pStyle w:val="TableParagraph"/>
              <w:spacing w:before="215"/>
              <w:ind w:left="4" w:right="93"/>
              <w:jc w:val="center"/>
              <w:rPr>
                <w:sz w:val="22"/>
              </w:rPr>
            </w:pPr>
            <w:r>
              <w:rPr>
                <w:spacing w:val="-2"/>
                <w:sz w:val="22"/>
              </w:rPr>
              <w:t>0.020</w:t>
            </w:r>
          </w:p>
        </w:tc>
        <w:tc>
          <w:tcPr>
            <w:tcW w:w="874" w:type="dxa"/>
          </w:tcPr>
          <w:p>
            <w:pPr>
              <w:pStyle w:val="TableParagraph"/>
              <w:spacing w:before="93"/>
              <w:rPr>
                <w:b/>
                <w:i/>
                <w:sz w:val="22"/>
              </w:rPr>
            </w:pPr>
          </w:p>
          <w:p>
            <w:pPr>
              <w:pStyle w:val="TableParagraph"/>
              <w:ind w:left="1" w:right="67"/>
              <w:jc w:val="center"/>
              <w:rPr>
                <w:sz w:val="22"/>
              </w:rPr>
            </w:pPr>
            <w:r>
              <w:rPr>
                <w:spacing w:val="-5"/>
                <w:sz w:val="22"/>
              </w:rPr>
              <w:t>SF</w:t>
            </w:r>
          </w:p>
        </w:tc>
      </w:tr>
      <w:tr>
        <w:trPr>
          <w:trHeight w:val="448" w:hRule="atLeast"/>
        </w:trPr>
        <w:tc>
          <w:tcPr>
            <w:tcW w:w="2289" w:type="dxa"/>
          </w:tcPr>
          <w:p>
            <w:pPr>
              <w:pStyle w:val="TableParagraph"/>
              <w:rPr>
                <w:rFonts w:ascii="Times New Roman"/>
                <w:sz w:val="22"/>
              </w:rPr>
            </w:pPr>
          </w:p>
        </w:tc>
        <w:tc>
          <w:tcPr>
            <w:tcW w:w="1028" w:type="dxa"/>
          </w:tcPr>
          <w:p>
            <w:pPr>
              <w:pStyle w:val="TableParagraph"/>
              <w:spacing w:before="70"/>
              <w:ind w:right="256"/>
              <w:jc w:val="right"/>
              <w:rPr>
                <w:sz w:val="22"/>
              </w:rPr>
            </w:pPr>
            <w:r>
              <w:rPr>
                <w:spacing w:val="-5"/>
                <w:sz w:val="22"/>
              </w:rPr>
              <w:t>LEV</w:t>
            </w:r>
          </w:p>
        </w:tc>
        <w:tc>
          <w:tcPr>
            <w:tcW w:w="1613" w:type="dxa"/>
          </w:tcPr>
          <w:p>
            <w:pPr>
              <w:pStyle w:val="TableParagraph"/>
              <w:spacing w:before="70"/>
              <w:ind w:left="21"/>
              <w:jc w:val="center"/>
              <w:rPr>
                <w:sz w:val="22"/>
              </w:rPr>
            </w:pPr>
            <w:r>
              <w:rPr>
                <w:spacing w:val="-2"/>
                <w:sz w:val="22"/>
              </w:rPr>
              <w:t>19.500±1.803</w:t>
            </w:r>
          </w:p>
        </w:tc>
        <w:tc>
          <w:tcPr>
            <w:tcW w:w="967" w:type="dxa"/>
          </w:tcPr>
          <w:p>
            <w:pPr>
              <w:pStyle w:val="TableParagraph"/>
              <w:spacing w:before="70"/>
              <w:ind w:left="4" w:right="93"/>
              <w:jc w:val="center"/>
              <w:rPr>
                <w:sz w:val="22"/>
              </w:rPr>
            </w:pPr>
            <w:r>
              <w:rPr>
                <w:spacing w:val="-2"/>
                <w:sz w:val="22"/>
              </w:rPr>
              <w:t>0.526</w:t>
            </w:r>
          </w:p>
        </w:tc>
        <w:tc>
          <w:tcPr>
            <w:tcW w:w="874" w:type="dxa"/>
          </w:tcPr>
          <w:p>
            <w:pPr>
              <w:pStyle w:val="TableParagraph"/>
              <w:spacing w:before="70"/>
              <w:ind w:left="2" w:right="67"/>
              <w:jc w:val="center"/>
              <w:rPr>
                <w:sz w:val="22"/>
              </w:rPr>
            </w:pPr>
            <w:r>
              <w:rPr>
                <w:spacing w:val="-5"/>
                <w:sz w:val="22"/>
              </w:rPr>
              <w:t>NS</w:t>
            </w:r>
          </w:p>
        </w:tc>
      </w:tr>
      <w:tr>
        <w:trPr>
          <w:trHeight w:val="524" w:hRule="atLeast"/>
        </w:trPr>
        <w:tc>
          <w:tcPr>
            <w:tcW w:w="2289" w:type="dxa"/>
            <w:tcBorders>
              <w:bottom w:val="single" w:sz="4" w:space="0" w:color="000000"/>
            </w:tcBorders>
          </w:tcPr>
          <w:p>
            <w:pPr>
              <w:pStyle w:val="TableParagraph"/>
              <w:rPr>
                <w:rFonts w:ascii="Times New Roman"/>
                <w:sz w:val="22"/>
              </w:rPr>
            </w:pPr>
          </w:p>
        </w:tc>
        <w:tc>
          <w:tcPr>
            <w:tcW w:w="1028" w:type="dxa"/>
            <w:tcBorders>
              <w:bottom w:val="single" w:sz="4" w:space="0" w:color="000000"/>
            </w:tcBorders>
          </w:tcPr>
          <w:p>
            <w:pPr>
              <w:pStyle w:val="TableParagraph"/>
              <w:spacing w:before="70"/>
              <w:ind w:right="209"/>
              <w:jc w:val="right"/>
              <w:rPr>
                <w:sz w:val="22"/>
              </w:rPr>
            </w:pPr>
            <w:r>
              <w:rPr>
                <w:spacing w:val="-5"/>
                <w:sz w:val="22"/>
              </w:rPr>
              <w:t>AZM</w:t>
            </w:r>
          </w:p>
        </w:tc>
        <w:tc>
          <w:tcPr>
            <w:tcW w:w="1613" w:type="dxa"/>
            <w:tcBorders>
              <w:bottom w:val="single" w:sz="4" w:space="0" w:color="000000"/>
            </w:tcBorders>
          </w:tcPr>
          <w:p>
            <w:pPr>
              <w:pStyle w:val="TableParagraph"/>
              <w:spacing w:before="70"/>
              <w:ind w:left="21"/>
              <w:jc w:val="center"/>
              <w:rPr>
                <w:sz w:val="22"/>
              </w:rPr>
            </w:pPr>
            <w:r>
              <w:rPr>
                <w:spacing w:val="-2"/>
                <w:sz w:val="22"/>
              </w:rPr>
              <w:t>15.667±1.430</w:t>
            </w:r>
          </w:p>
        </w:tc>
        <w:tc>
          <w:tcPr>
            <w:tcW w:w="967" w:type="dxa"/>
            <w:tcBorders>
              <w:bottom w:val="single" w:sz="4" w:space="0" w:color="000000"/>
            </w:tcBorders>
          </w:tcPr>
          <w:p>
            <w:pPr>
              <w:pStyle w:val="TableParagraph"/>
              <w:spacing w:before="70"/>
              <w:ind w:left="4" w:right="93"/>
              <w:jc w:val="center"/>
              <w:rPr>
                <w:sz w:val="22"/>
              </w:rPr>
            </w:pPr>
            <w:r>
              <w:rPr>
                <w:spacing w:val="-2"/>
                <w:sz w:val="22"/>
              </w:rPr>
              <w:t>0.008</w:t>
            </w:r>
          </w:p>
        </w:tc>
        <w:tc>
          <w:tcPr>
            <w:tcW w:w="874" w:type="dxa"/>
            <w:tcBorders>
              <w:bottom w:val="single" w:sz="4" w:space="0" w:color="000000"/>
            </w:tcBorders>
          </w:tcPr>
          <w:p>
            <w:pPr>
              <w:pStyle w:val="TableParagraph"/>
              <w:spacing w:before="70"/>
              <w:ind w:right="67"/>
              <w:jc w:val="center"/>
              <w:rPr>
                <w:sz w:val="22"/>
              </w:rPr>
            </w:pPr>
            <w:r>
              <w:rPr>
                <w:spacing w:val="-5"/>
                <w:sz w:val="22"/>
              </w:rPr>
              <w:t>SF</w:t>
            </w:r>
          </w:p>
        </w:tc>
      </w:tr>
      <w:tr>
        <w:trPr>
          <w:trHeight w:val="375" w:hRule="atLeast"/>
        </w:trPr>
        <w:tc>
          <w:tcPr>
            <w:tcW w:w="2289" w:type="dxa"/>
            <w:tcBorders>
              <w:top w:val="single" w:sz="4" w:space="0" w:color="000000"/>
            </w:tcBorders>
          </w:tcPr>
          <w:p>
            <w:pPr>
              <w:pStyle w:val="TableParagraph"/>
              <w:rPr>
                <w:rFonts w:ascii="Times New Roman"/>
                <w:sz w:val="22"/>
              </w:rPr>
            </w:pPr>
          </w:p>
        </w:tc>
        <w:tc>
          <w:tcPr>
            <w:tcW w:w="1028" w:type="dxa"/>
            <w:tcBorders>
              <w:top w:val="single" w:sz="4" w:space="0" w:color="000000"/>
            </w:tcBorders>
          </w:tcPr>
          <w:p>
            <w:pPr>
              <w:pStyle w:val="TableParagraph"/>
              <w:spacing w:line="266" w:lineRule="exact"/>
              <w:ind w:right="228"/>
              <w:jc w:val="right"/>
              <w:rPr>
                <w:sz w:val="22"/>
              </w:rPr>
            </w:pPr>
            <w:r>
              <w:rPr>
                <w:spacing w:val="-5"/>
                <w:sz w:val="22"/>
              </w:rPr>
              <w:t>CRO</w:t>
            </w:r>
          </w:p>
        </w:tc>
        <w:tc>
          <w:tcPr>
            <w:tcW w:w="1613" w:type="dxa"/>
            <w:tcBorders>
              <w:top w:val="single" w:sz="4" w:space="0" w:color="000000"/>
            </w:tcBorders>
          </w:tcPr>
          <w:p>
            <w:pPr>
              <w:pStyle w:val="TableParagraph"/>
              <w:spacing w:line="266" w:lineRule="exact"/>
              <w:ind w:left="21"/>
              <w:jc w:val="center"/>
              <w:rPr>
                <w:sz w:val="22"/>
              </w:rPr>
            </w:pPr>
            <w:r>
              <w:rPr>
                <w:spacing w:val="-2"/>
                <w:sz w:val="22"/>
              </w:rPr>
              <w:t>20.667±2.275</w:t>
            </w:r>
          </w:p>
        </w:tc>
        <w:tc>
          <w:tcPr>
            <w:tcW w:w="967" w:type="dxa"/>
            <w:tcBorders>
              <w:top w:val="single" w:sz="4" w:space="0" w:color="000000"/>
            </w:tcBorders>
          </w:tcPr>
          <w:p>
            <w:pPr>
              <w:pStyle w:val="TableParagraph"/>
              <w:spacing w:line="266" w:lineRule="exact"/>
              <w:ind w:left="4" w:right="93"/>
              <w:jc w:val="center"/>
              <w:rPr>
                <w:sz w:val="22"/>
              </w:rPr>
            </w:pPr>
            <w:r>
              <w:rPr>
                <w:spacing w:val="-2"/>
                <w:sz w:val="22"/>
              </w:rPr>
              <w:t>1.000</w:t>
            </w:r>
          </w:p>
        </w:tc>
        <w:tc>
          <w:tcPr>
            <w:tcW w:w="874" w:type="dxa"/>
            <w:tcBorders>
              <w:top w:val="single" w:sz="4" w:space="0" w:color="000000"/>
            </w:tcBorders>
          </w:tcPr>
          <w:p>
            <w:pPr>
              <w:pStyle w:val="TableParagraph"/>
              <w:spacing w:line="266" w:lineRule="exact"/>
              <w:ind w:left="2" w:right="67"/>
              <w:jc w:val="center"/>
              <w:rPr>
                <w:sz w:val="22"/>
              </w:rPr>
            </w:pPr>
            <w:r>
              <w:rPr>
                <w:spacing w:val="-5"/>
                <w:sz w:val="22"/>
              </w:rPr>
              <w:t>NS</w:t>
            </w:r>
          </w:p>
        </w:tc>
      </w:tr>
      <w:tr>
        <w:trPr>
          <w:trHeight w:val="450" w:hRule="atLeast"/>
        </w:trPr>
        <w:tc>
          <w:tcPr>
            <w:tcW w:w="2289" w:type="dxa"/>
          </w:tcPr>
          <w:p>
            <w:pPr>
              <w:pStyle w:val="TableParagraph"/>
              <w:rPr>
                <w:rFonts w:ascii="Times New Roman"/>
                <w:sz w:val="22"/>
              </w:rPr>
            </w:pPr>
          </w:p>
        </w:tc>
        <w:tc>
          <w:tcPr>
            <w:tcW w:w="1028" w:type="dxa"/>
          </w:tcPr>
          <w:p>
            <w:pPr>
              <w:pStyle w:val="TableParagraph"/>
              <w:spacing w:before="70"/>
              <w:ind w:right="288"/>
              <w:jc w:val="right"/>
              <w:rPr>
                <w:sz w:val="22"/>
              </w:rPr>
            </w:pPr>
            <w:r>
              <w:rPr>
                <w:spacing w:val="-5"/>
                <w:sz w:val="22"/>
              </w:rPr>
              <w:t>CN</w:t>
            </w:r>
          </w:p>
        </w:tc>
        <w:tc>
          <w:tcPr>
            <w:tcW w:w="1613" w:type="dxa"/>
          </w:tcPr>
          <w:p>
            <w:pPr>
              <w:pStyle w:val="TableParagraph"/>
              <w:spacing w:before="70"/>
              <w:ind w:left="21"/>
              <w:jc w:val="center"/>
              <w:rPr>
                <w:sz w:val="22"/>
              </w:rPr>
            </w:pPr>
            <w:r>
              <w:rPr>
                <w:spacing w:val="-2"/>
                <w:sz w:val="22"/>
              </w:rPr>
              <w:t>21.833±0.946</w:t>
            </w:r>
          </w:p>
        </w:tc>
        <w:tc>
          <w:tcPr>
            <w:tcW w:w="967" w:type="dxa"/>
          </w:tcPr>
          <w:p>
            <w:pPr>
              <w:pStyle w:val="TableParagraph"/>
              <w:spacing w:before="70"/>
              <w:ind w:left="4" w:right="93"/>
              <w:jc w:val="center"/>
              <w:rPr>
                <w:sz w:val="22"/>
              </w:rPr>
            </w:pPr>
            <w:r>
              <w:rPr>
                <w:spacing w:val="-2"/>
                <w:sz w:val="22"/>
              </w:rPr>
              <w:t>1.000</w:t>
            </w:r>
          </w:p>
        </w:tc>
        <w:tc>
          <w:tcPr>
            <w:tcW w:w="874" w:type="dxa"/>
          </w:tcPr>
          <w:p>
            <w:pPr>
              <w:pStyle w:val="TableParagraph"/>
              <w:spacing w:before="70"/>
              <w:ind w:left="2" w:right="67"/>
              <w:jc w:val="center"/>
              <w:rPr>
                <w:sz w:val="22"/>
              </w:rPr>
            </w:pPr>
            <w:r>
              <w:rPr>
                <w:spacing w:val="-5"/>
                <w:sz w:val="22"/>
              </w:rPr>
              <w:t>NS</w:t>
            </w:r>
          </w:p>
        </w:tc>
      </w:tr>
      <w:tr>
        <w:trPr>
          <w:trHeight w:val="740" w:hRule="atLeast"/>
        </w:trPr>
        <w:tc>
          <w:tcPr>
            <w:tcW w:w="2289" w:type="dxa"/>
          </w:tcPr>
          <w:p>
            <w:pPr>
              <w:pStyle w:val="TableParagraph"/>
              <w:spacing w:before="71"/>
              <w:ind w:left="153"/>
              <w:jc w:val="center"/>
              <w:rPr>
                <w:sz w:val="22"/>
              </w:rPr>
            </w:pPr>
            <w:r>
              <w:rPr>
                <w:sz w:val="22"/>
              </w:rPr>
              <w:t>H/L;</w:t>
            </w:r>
            <w:r>
              <w:rPr>
                <w:spacing w:val="-5"/>
                <w:sz w:val="22"/>
              </w:rPr>
              <w:t> </w:t>
            </w:r>
            <w:r>
              <w:rPr>
                <w:spacing w:val="-2"/>
                <w:sz w:val="22"/>
              </w:rPr>
              <w:t>30:50</w:t>
            </w:r>
          </w:p>
          <w:p>
            <w:pPr>
              <w:pStyle w:val="TableParagraph"/>
              <w:spacing w:before="22"/>
              <w:ind w:left="153" w:right="3"/>
              <w:jc w:val="center"/>
              <w:rPr>
                <w:sz w:val="22"/>
              </w:rPr>
            </w:pPr>
            <w:r>
              <w:rPr>
                <w:spacing w:val="-2"/>
                <w:sz w:val="22"/>
              </w:rPr>
              <w:t>(21.333±0.715)</w:t>
            </w:r>
          </w:p>
        </w:tc>
        <w:tc>
          <w:tcPr>
            <w:tcW w:w="1028" w:type="dxa"/>
          </w:tcPr>
          <w:p>
            <w:pPr>
              <w:pStyle w:val="TableParagraph"/>
              <w:spacing w:before="215"/>
              <w:ind w:right="201"/>
              <w:jc w:val="right"/>
              <w:rPr>
                <w:sz w:val="22"/>
              </w:rPr>
            </w:pPr>
            <w:r>
              <w:rPr>
                <w:spacing w:val="-5"/>
                <w:sz w:val="22"/>
              </w:rPr>
              <w:t>AMC</w:t>
            </w:r>
          </w:p>
        </w:tc>
        <w:tc>
          <w:tcPr>
            <w:tcW w:w="1613" w:type="dxa"/>
          </w:tcPr>
          <w:p>
            <w:pPr>
              <w:pStyle w:val="TableParagraph"/>
              <w:spacing w:before="93"/>
              <w:rPr>
                <w:b/>
                <w:i/>
                <w:sz w:val="22"/>
              </w:rPr>
            </w:pPr>
          </w:p>
          <w:p>
            <w:pPr>
              <w:pStyle w:val="TableParagraph"/>
              <w:ind w:left="21"/>
              <w:jc w:val="center"/>
              <w:rPr>
                <w:sz w:val="22"/>
              </w:rPr>
            </w:pPr>
            <w:r>
              <w:rPr>
                <w:spacing w:val="-2"/>
                <w:sz w:val="22"/>
              </w:rPr>
              <w:t>16.333±2.431</w:t>
            </w:r>
          </w:p>
        </w:tc>
        <w:tc>
          <w:tcPr>
            <w:tcW w:w="967" w:type="dxa"/>
          </w:tcPr>
          <w:p>
            <w:pPr>
              <w:pStyle w:val="TableParagraph"/>
              <w:spacing w:before="215"/>
              <w:ind w:left="4" w:right="93"/>
              <w:jc w:val="center"/>
              <w:rPr>
                <w:sz w:val="22"/>
              </w:rPr>
            </w:pPr>
            <w:r>
              <w:rPr>
                <w:spacing w:val="-2"/>
                <w:sz w:val="22"/>
              </w:rPr>
              <w:t>0.325</w:t>
            </w:r>
          </w:p>
        </w:tc>
        <w:tc>
          <w:tcPr>
            <w:tcW w:w="874" w:type="dxa"/>
          </w:tcPr>
          <w:p>
            <w:pPr>
              <w:pStyle w:val="TableParagraph"/>
              <w:spacing w:before="93"/>
              <w:rPr>
                <w:b/>
                <w:i/>
                <w:sz w:val="22"/>
              </w:rPr>
            </w:pPr>
          </w:p>
          <w:p>
            <w:pPr>
              <w:pStyle w:val="TableParagraph"/>
              <w:ind w:left="2" w:right="67"/>
              <w:jc w:val="center"/>
              <w:rPr>
                <w:sz w:val="22"/>
              </w:rPr>
            </w:pPr>
            <w:r>
              <w:rPr>
                <w:spacing w:val="-5"/>
                <w:sz w:val="22"/>
              </w:rPr>
              <w:t>NS</w:t>
            </w:r>
          </w:p>
        </w:tc>
      </w:tr>
      <w:tr>
        <w:trPr>
          <w:trHeight w:val="448" w:hRule="atLeast"/>
        </w:trPr>
        <w:tc>
          <w:tcPr>
            <w:tcW w:w="2289" w:type="dxa"/>
          </w:tcPr>
          <w:p>
            <w:pPr>
              <w:pStyle w:val="TableParagraph"/>
              <w:rPr>
                <w:rFonts w:ascii="Times New Roman"/>
                <w:sz w:val="22"/>
              </w:rPr>
            </w:pPr>
          </w:p>
        </w:tc>
        <w:tc>
          <w:tcPr>
            <w:tcW w:w="1028" w:type="dxa"/>
          </w:tcPr>
          <w:p>
            <w:pPr>
              <w:pStyle w:val="TableParagraph"/>
              <w:spacing w:before="70"/>
              <w:ind w:right="256"/>
              <w:jc w:val="right"/>
              <w:rPr>
                <w:sz w:val="22"/>
              </w:rPr>
            </w:pPr>
            <w:r>
              <w:rPr>
                <w:spacing w:val="-5"/>
                <w:sz w:val="22"/>
              </w:rPr>
              <w:t>LEV</w:t>
            </w:r>
          </w:p>
        </w:tc>
        <w:tc>
          <w:tcPr>
            <w:tcW w:w="1613" w:type="dxa"/>
          </w:tcPr>
          <w:p>
            <w:pPr>
              <w:pStyle w:val="TableParagraph"/>
              <w:spacing w:before="70"/>
              <w:ind w:left="21"/>
              <w:jc w:val="center"/>
              <w:rPr>
                <w:sz w:val="22"/>
              </w:rPr>
            </w:pPr>
            <w:r>
              <w:rPr>
                <w:spacing w:val="-2"/>
                <w:sz w:val="22"/>
              </w:rPr>
              <w:t>19.500±1.803</w:t>
            </w:r>
          </w:p>
        </w:tc>
        <w:tc>
          <w:tcPr>
            <w:tcW w:w="967" w:type="dxa"/>
          </w:tcPr>
          <w:p>
            <w:pPr>
              <w:pStyle w:val="TableParagraph"/>
              <w:spacing w:before="70"/>
              <w:ind w:left="4" w:right="93"/>
              <w:jc w:val="center"/>
              <w:rPr>
                <w:sz w:val="22"/>
              </w:rPr>
            </w:pPr>
            <w:r>
              <w:rPr>
                <w:spacing w:val="-2"/>
                <w:sz w:val="22"/>
              </w:rPr>
              <w:t>0.996</w:t>
            </w:r>
          </w:p>
        </w:tc>
        <w:tc>
          <w:tcPr>
            <w:tcW w:w="874" w:type="dxa"/>
          </w:tcPr>
          <w:p>
            <w:pPr>
              <w:pStyle w:val="TableParagraph"/>
              <w:spacing w:before="70"/>
              <w:ind w:left="2" w:right="67"/>
              <w:jc w:val="center"/>
              <w:rPr>
                <w:sz w:val="22"/>
              </w:rPr>
            </w:pPr>
            <w:r>
              <w:rPr>
                <w:spacing w:val="-5"/>
                <w:sz w:val="22"/>
              </w:rPr>
              <w:t>NS</w:t>
            </w:r>
          </w:p>
        </w:tc>
      </w:tr>
      <w:tr>
        <w:trPr>
          <w:trHeight w:val="524" w:hRule="atLeast"/>
        </w:trPr>
        <w:tc>
          <w:tcPr>
            <w:tcW w:w="2289" w:type="dxa"/>
            <w:tcBorders>
              <w:bottom w:val="single" w:sz="4" w:space="0" w:color="000000"/>
            </w:tcBorders>
          </w:tcPr>
          <w:p>
            <w:pPr>
              <w:pStyle w:val="TableParagraph"/>
              <w:rPr>
                <w:rFonts w:ascii="Times New Roman"/>
                <w:sz w:val="22"/>
              </w:rPr>
            </w:pPr>
          </w:p>
        </w:tc>
        <w:tc>
          <w:tcPr>
            <w:tcW w:w="1028" w:type="dxa"/>
            <w:tcBorders>
              <w:bottom w:val="single" w:sz="4" w:space="0" w:color="000000"/>
            </w:tcBorders>
          </w:tcPr>
          <w:p>
            <w:pPr>
              <w:pStyle w:val="TableParagraph"/>
              <w:spacing w:before="70"/>
              <w:ind w:right="209"/>
              <w:jc w:val="right"/>
              <w:rPr>
                <w:sz w:val="22"/>
              </w:rPr>
            </w:pPr>
            <w:r>
              <w:rPr>
                <w:spacing w:val="-5"/>
                <w:sz w:val="22"/>
              </w:rPr>
              <w:t>AZM</w:t>
            </w:r>
          </w:p>
        </w:tc>
        <w:tc>
          <w:tcPr>
            <w:tcW w:w="1613" w:type="dxa"/>
            <w:tcBorders>
              <w:bottom w:val="single" w:sz="4" w:space="0" w:color="000000"/>
            </w:tcBorders>
          </w:tcPr>
          <w:p>
            <w:pPr>
              <w:pStyle w:val="TableParagraph"/>
              <w:spacing w:before="70"/>
              <w:ind w:left="21"/>
              <w:jc w:val="center"/>
              <w:rPr>
                <w:sz w:val="22"/>
              </w:rPr>
            </w:pPr>
            <w:r>
              <w:rPr>
                <w:spacing w:val="-2"/>
                <w:sz w:val="22"/>
              </w:rPr>
              <w:t>15.667±1.430</w:t>
            </w:r>
          </w:p>
        </w:tc>
        <w:tc>
          <w:tcPr>
            <w:tcW w:w="967" w:type="dxa"/>
            <w:tcBorders>
              <w:bottom w:val="single" w:sz="4" w:space="0" w:color="000000"/>
            </w:tcBorders>
          </w:tcPr>
          <w:p>
            <w:pPr>
              <w:pStyle w:val="TableParagraph"/>
              <w:spacing w:before="70"/>
              <w:ind w:left="4" w:right="93"/>
              <w:jc w:val="center"/>
              <w:rPr>
                <w:sz w:val="22"/>
              </w:rPr>
            </w:pPr>
            <w:r>
              <w:rPr>
                <w:spacing w:val="-2"/>
                <w:sz w:val="22"/>
              </w:rPr>
              <w:t>0.176</w:t>
            </w:r>
          </w:p>
        </w:tc>
        <w:tc>
          <w:tcPr>
            <w:tcW w:w="874" w:type="dxa"/>
            <w:tcBorders>
              <w:bottom w:val="single" w:sz="4" w:space="0" w:color="000000"/>
            </w:tcBorders>
          </w:tcPr>
          <w:p>
            <w:pPr>
              <w:pStyle w:val="TableParagraph"/>
              <w:spacing w:before="70"/>
              <w:ind w:left="2" w:right="67"/>
              <w:jc w:val="center"/>
              <w:rPr>
                <w:sz w:val="22"/>
              </w:rPr>
            </w:pPr>
            <w:r>
              <w:rPr>
                <w:spacing w:val="-5"/>
                <w:sz w:val="22"/>
              </w:rPr>
              <w:t>NS</w:t>
            </w:r>
          </w:p>
        </w:tc>
      </w:tr>
      <w:tr>
        <w:trPr>
          <w:trHeight w:val="376" w:hRule="atLeast"/>
        </w:trPr>
        <w:tc>
          <w:tcPr>
            <w:tcW w:w="2289" w:type="dxa"/>
            <w:tcBorders>
              <w:top w:val="single" w:sz="4" w:space="0" w:color="000000"/>
            </w:tcBorders>
          </w:tcPr>
          <w:p>
            <w:pPr>
              <w:pStyle w:val="TableParagraph"/>
              <w:rPr>
                <w:rFonts w:ascii="Times New Roman"/>
                <w:sz w:val="22"/>
              </w:rPr>
            </w:pPr>
          </w:p>
        </w:tc>
        <w:tc>
          <w:tcPr>
            <w:tcW w:w="1028" w:type="dxa"/>
            <w:tcBorders>
              <w:top w:val="single" w:sz="4" w:space="0" w:color="000000"/>
            </w:tcBorders>
          </w:tcPr>
          <w:p>
            <w:pPr>
              <w:pStyle w:val="TableParagraph"/>
              <w:spacing w:line="265" w:lineRule="exact"/>
              <w:ind w:right="228"/>
              <w:jc w:val="right"/>
              <w:rPr>
                <w:sz w:val="22"/>
              </w:rPr>
            </w:pPr>
            <w:r>
              <w:rPr>
                <w:spacing w:val="-5"/>
                <w:sz w:val="22"/>
              </w:rPr>
              <w:t>CRO</w:t>
            </w:r>
          </w:p>
        </w:tc>
        <w:tc>
          <w:tcPr>
            <w:tcW w:w="1613" w:type="dxa"/>
            <w:tcBorders>
              <w:top w:val="single" w:sz="4" w:space="0" w:color="000000"/>
            </w:tcBorders>
          </w:tcPr>
          <w:p>
            <w:pPr>
              <w:pStyle w:val="TableParagraph"/>
              <w:spacing w:line="265" w:lineRule="exact"/>
              <w:ind w:left="21"/>
              <w:jc w:val="center"/>
              <w:rPr>
                <w:sz w:val="22"/>
              </w:rPr>
            </w:pPr>
            <w:r>
              <w:rPr>
                <w:spacing w:val="-2"/>
                <w:sz w:val="22"/>
              </w:rPr>
              <w:t>20.667±2.275</w:t>
            </w:r>
          </w:p>
        </w:tc>
        <w:tc>
          <w:tcPr>
            <w:tcW w:w="967" w:type="dxa"/>
            <w:tcBorders>
              <w:top w:val="single" w:sz="4" w:space="0" w:color="000000"/>
            </w:tcBorders>
          </w:tcPr>
          <w:p>
            <w:pPr>
              <w:pStyle w:val="TableParagraph"/>
              <w:spacing w:line="265" w:lineRule="exact"/>
              <w:ind w:left="4" w:right="93"/>
              <w:jc w:val="center"/>
              <w:rPr>
                <w:sz w:val="22"/>
              </w:rPr>
            </w:pPr>
            <w:r>
              <w:rPr>
                <w:spacing w:val="-2"/>
                <w:sz w:val="22"/>
              </w:rPr>
              <w:t>0.867</w:t>
            </w:r>
          </w:p>
        </w:tc>
        <w:tc>
          <w:tcPr>
            <w:tcW w:w="874" w:type="dxa"/>
            <w:tcBorders>
              <w:top w:val="single" w:sz="4" w:space="0" w:color="000000"/>
            </w:tcBorders>
          </w:tcPr>
          <w:p>
            <w:pPr>
              <w:pStyle w:val="TableParagraph"/>
              <w:spacing w:line="265" w:lineRule="exact"/>
              <w:ind w:left="2" w:right="67"/>
              <w:jc w:val="center"/>
              <w:rPr>
                <w:sz w:val="22"/>
              </w:rPr>
            </w:pPr>
            <w:r>
              <w:rPr>
                <w:spacing w:val="-5"/>
                <w:sz w:val="22"/>
              </w:rPr>
              <w:t>NS</w:t>
            </w:r>
          </w:p>
        </w:tc>
      </w:tr>
      <w:tr>
        <w:trPr>
          <w:trHeight w:val="450" w:hRule="atLeast"/>
        </w:trPr>
        <w:tc>
          <w:tcPr>
            <w:tcW w:w="2289" w:type="dxa"/>
          </w:tcPr>
          <w:p>
            <w:pPr>
              <w:pStyle w:val="TableParagraph"/>
              <w:rPr>
                <w:rFonts w:ascii="Times New Roman"/>
                <w:sz w:val="22"/>
              </w:rPr>
            </w:pPr>
          </w:p>
        </w:tc>
        <w:tc>
          <w:tcPr>
            <w:tcW w:w="1028" w:type="dxa"/>
          </w:tcPr>
          <w:p>
            <w:pPr>
              <w:pStyle w:val="TableParagraph"/>
              <w:spacing w:before="71"/>
              <w:ind w:right="288"/>
              <w:jc w:val="right"/>
              <w:rPr>
                <w:sz w:val="22"/>
              </w:rPr>
            </w:pPr>
            <w:r>
              <w:rPr>
                <w:spacing w:val="-5"/>
                <w:sz w:val="22"/>
              </w:rPr>
              <w:t>CN</w:t>
            </w:r>
          </w:p>
        </w:tc>
        <w:tc>
          <w:tcPr>
            <w:tcW w:w="1613" w:type="dxa"/>
          </w:tcPr>
          <w:p>
            <w:pPr>
              <w:pStyle w:val="TableParagraph"/>
              <w:spacing w:before="71"/>
              <w:ind w:left="21"/>
              <w:jc w:val="center"/>
              <w:rPr>
                <w:sz w:val="22"/>
              </w:rPr>
            </w:pPr>
            <w:r>
              <w:rPr>
                <w:spacing w:val="-2"/>
                <w:sz w:val="22"/>
              </w:rPr>
              <w:t>21.833±0.946</w:t>
            </w:r>
          </w:p>
        </w:tc>
        <w:tc>
          <w:tcPr>
            <w:tcW w:w="967" w:type="dxa"/>
          </w:tcPr>
          <w:p>
            <w:pPr>
              <w:pStyle w:val="TableParagraph"/>
              <w:spacing w:before="71"/>
              <w:ind w:left="4" w:right="93"/>
              <w:jc w:val="center"/>
              <w:rPr>
                <w:sz w:val="22"/>
              </w:rPr>
            </w:pPr>
            <w:r>
              <w:rPr>
                <w:spacing w:val="-2"/>
                <w:sz w:val="22"/>
              </w:rPr>
              <w:t>0.992</w:t>
            </w:r>
          </w:p>
        </w:tc>
        <w:tc>
          <w:tcPr>
            <w:tcW w:w="874" w:type="dxa"/>
          </w:tcPr>
          <w:p>
            <w:pPr>
              <w:pStyle w:val="TableParagraph"/>
              <w:spacing w:before="71"/>
              <w:ind w:left="2" w:right="67"/>
              <w:jc w:val="center"/>
              <w:rPr>
                <w:sz w:val="22"/>
              </w:rPr>
            </w:pPr>
            <w:r>
              <w:rPr>
                <w:spacing w:val="-5"/>
                <w:sz w:val="22"/>
              </w:rPr>
              <w:t>NS</w:t>
            </w:r>
          </w:p>
        </w:tc>
      </w:tr>
      <w:tr>
        <w:trPr>
          <w:trHeight w:val="739" w:hRule="atLeast"/>
        </w:trPr>
        <w:tc>
          <w:tcPr>
            <w:tcW w:w="2289" w:type="dxa"/>
          </w:tcPr>
          <w:p>
            <w:pPr>
              <w:pStyle w:val="TableParagraph"/>
              <w:spacing w:before="70"/>
              <w:ind w:left="153"/>
              <w:jc w:val="center"/>
              <w:rPr>
                <w:sz w:val="22"/>
              </w:rPr>
            </w:pPr>
            <w:r>
              <w:rPr>
                <w:sz w:val="22"/>
              </w:rPr>
              <w:t>H/L;</w:t>
            </w:r>
            <w:r>
              <w:rPr>
                <w:spacing w:val="-5"/>
                <w:sz w:val="22"/>
              </w:rPr>
              <w:t> </w:t>
            </w:r>
            <w:r>
              <w:rPr>
                <w:spacing w:val="-2"/>
                <w:sz w:val="22"/>
              </w:rPr>
              <w:t>40:50</w:t>
            </w:r>
          </w:p>
          <w:p>
            <w:pPr>
              <w:pStyle w:val="TableParagraph"/>
              <w:spacing w:before="22"/>
              <w:ind w:left="153" w:right="3"/>
              <w:jc w:val="center"/>
              <w:rPr>
                <w:sz w:val="22"/>
              </w:rPr>
            </w:pPr>
            <w:r>
              <w:rPr>
                <w:spacing w:val="-2"/>
                <w:sz w:val="22"/>
              </w:rPr>
              <w:t>(23.833±0.703)</w:t>
            </w:r>
          </w:p>
        </w:tc>
        <w:tc>
          <w:tcPr>
            <w:tcW w:w="1028" w:type="dxa"/>
          </w:tcPr>
          <w:p>
            <w:pPr>
              <w:pStyle w:val="TableParagraph"/>
              <w:spacing w:before="214"/>
              <w:ind w:right="201"/>
              <w:jc w:val="right"/>
              <w:rPr>
                <w:sz w:val="22"/>
              </w:rPr>
            </w:pPr>
            <w:r>
              <w:rPr>
                <w:spacing w:val="-5"/>
                <w:sz w:val="22"/>
              </w:rPr>
              <w:t>AMC</w:t>
            </w:r>
          </w:p>
        </w:tc>
        <w:tc>
          <w:tcPr>
            <w:tcW w:w="1613" w:type="dxa"/>
          </w:tcPr>
          <w:p>
            <w:pPr>
              <w:pStyle w:val="TableParagraph"/>
              <w:spacing w:before="92"/>
              <w:rPr>
                <w:b/>
                <w:i/>
                <w:sz w:val="22"/>
              </w:rPr>
            </w:pPr>
          </w:p>
          <w:p>
            <w:pPr>
              <w:pStyle w:val="TableParagraph"/>
              <w:ind w:left="21"/>
              <w:jc w:val="center"/>
              <w:rPr>
                <w:sz w:val="22"/>
              </w:rPr>
            </w:pPr>
            <w:r>
              <w:rPr>
                <w:spacing w:val="-2"/>
                <w:sz w:val="22"/>
              </w:rPr>
              <w:t>16.333±2.431</w:t>
            </w:r>
          </w:p>
        </w:tc>
        <w:tc>
          <w:tcPr>
            <w:tcW w:w="967" w:type="dxa"/>
          </w:tcPr>
          <w:p>
            <w:pPr>
              <w:pStyle w:val="TableParagraph"/>
              <w:spacing w:before="214"/>
              <w:ind w:left="4" w:right="93"/>
              <w:jc w:val="center"/>
              <w:rPr>
                <w:sz w:val="22"/>
              </w:rPr>
            </w:pPr>
            <w:r>
              <w:rPr>
                <w:spacing w:val="-2"/>
                <w:sz w:val="22"/>
              </w:rPr>
              <w:t>0.020</w:t>
            </w:r>
          </w:p>
        </w:tc>
        <w:tc>
          <w:tcPr>
            <w:tcW w:w="874" w:type="dxa"/>
          </w:tcPr>
          <w:p>
            <w:pPr>
              <w:pStyle w:val="TableParagraph"/>
              <w:spacing w:before="92"/>
              <w:rPr>
                <w:b/>
                <w:i/>
                <w:sz w:val="22"/>
              </w:rPr>
            </w:pPr>
          </w:p>
          <w:p>
            <w:pPr>
              <w:pStyle w:val="TableParagraph"/>
              <w:ind w:right="67"/>
              <w:jc w:val="center"/>
              <w:rPr>
                <w:sz w:val="22"/>
              </w:rPr>
            </w:pPr>
            <w:r>
              <w:rPr>
                <w:spacing w:val="-5"/>
                <w:sz w:val="22"/>
              </w:rPr>
              <w:t>SF</w:t>
            </w:r>
          </w:p>
        </w:tc>
      </w:tr>
      <w:tr>
        <w:trPr>
          <w:trHeight w:val="450" w:hRule="atLeast"/>
        </w:trPr>
        <w:tc>
          <w:tcPr>
            <w:tcW w:w="2289" w:type="dxa"/>
          </w:tcPr>
          <w:p>
            <w:pPr>
              <w:pStyle w:val="TableParagraph"/>
              <w:rPr>
                <w:rFonts w:ascii="Times New Roman"/>
                <w:sz w:val="22"/>
              </w:rPr>
            </w:pPr>
          </w:p>
        </w:tc>
        <w:tc>
          <w:tcPr>
            <w:tcW w:w="1028" w:type="dxa"/>
          </w:tcPr>
          <w:p>
            <w:pPr>
              <w:pStyle w:val="TableParagraph"/>
              <w:spacing w:before="70"/>
              <w:ind w:right="256"/>
              <w:jc w:val="right"/>
              <w:rPr>
                <w:sz w:val="22"/>
              </w:rPr>
            </w:pPr>
            <w:r>
              <w:rPr>
                <w:spacing w:val="-5"/>
                <w:sz w:val="22"/>
              </w:rPr>
              <w:t>LEV</w:t>
            </w:r>
          </w:p>
        </w:tc>
        <w:tc>
          <w:tcPr>
            <w:tcW w:w="1613" w:type="dxa"/>
          </w:tcPr>
          <w:p>
            <w:pPr>
              <w:pStyle w:val="TableParagraph"/>
              <w:spacing w:before="70"/>
              <w:ind w:left="21"/>
              <w:jc w:val="center"/>
              <w:rPr>
                <w:sz w:val="22"/>
              </w:rPr>
            </w:pPr>
            <w:r>
              <w:rPr>
                <w:spacing w:val="-2"/>
                <w:sz w:val="22"/>
              </w:rPr>
              <w:t>19.500±1.803</w:t>
            </w:r>
          </w:p>
        </w:tc>
        <w:tc>
          <w:tcPr>
            <w:tcW w:w="967" w:type="dxa"/>
          </w:tcPr>
          <w:p>
            <w:pPr>
              <w:pStyle w:val="TableParagraph"/>
              <w:spacing w:before="70"/>
              <w:ind w:left="4" w:right="93"/>
              <w:jc w:val="center"/>
              <w:rPr>
                <w:sz w:val="22"/>
              </w:rPr>
            </w:pPr>
            <w:r>
              <w:rPr>
                <w:spacing w:val="-2"/>
                <w:sz w:val="22"/>
              </w:rPr>
              <w:t>0.526</w:t>
            </w:r>
          </w:p>
        </w:tc>
        <w:tc>
          <w:tcPr>
            <w:tcW w:w="874" w:type="dxa"/>
          </w:tcPr>
          <w:p>
            <w:pPr>
              <w:pStyle w:val="TableParagraph"/>
              <w:spacing w:before="70"/>
              <w:ind w:left="2" w:right="67"/>
              <w:jc w:val="center"/>
              <w:rPr>
                <w:sz w:val="22"/>
              </w:rPr>
            </w:pPr>
            <w:r>
              <w:rPr>
                <w:spacing w:val="-5"/>
                <w:sz w:val="22"/>
              </w:rPr>
              <w:t>NS</w:t>
            </w:r>
          </w:p>
        </w:tc>
      </w:tr>
      <w:tr>
        <w:trPr>
          <w:trHeight w:val="522" w:hRule="atLeast"/>
        </w:trPr>
        <w:tc>
          <w:tcPr>
            <w:tcW w:w="2289" w:type="dxa"/>
            <w:tcBorders>
              <w:bottom w:val="single" w:sz="4" w:space="0" w:color="000000"/>
            </w:tcBorders>
          </w:tcPr>
          <w:p>
            <w:pPr>
              <w:pStyle w:val="TableParagraph"/>
              <w:rPr>
                <w:rFonts w:ascii="Times New Roman"/>
                <w:sz w:val="22"/>
              </w:rPr>
            </w:pPr>
          </w:p>
        </w:tc>
        <w:tc>
          <w:tcPr>
            <w:tcW w:w="1028" w:type="dxa"/>
            <w:tcBorders>
              <w:bottom w:val="single" w:sz="4" w:space="0" w:color="000000"/>
            </w:tcBorders>
          </w:tcPr>
          <w:p>
            <w:pPr>
              <w:pStyle w:val="TableParagraph"/>
              <w:spacing w:before="71"/>
              <w:ind w:right="209"/>
              <w:jc w:val="right"/>
              <w:rPr>
                <w:sz w:val="22"/>
              </w:rPr>
            </w:pPr>
            <w:r>
              <w:rPr>
                <w:spacing w:val="-5"/>
                <w:sz w:val="22"/>
              </w:rPr>
              <w:t>AZM</w:t>
            </w:r>
          </w:p>
        </w:tc>
        <w:tc>
          <w:tcPr>
            <w:tcW w:w="1613" w:type="dxa"/>
            <w:tcBorders>
              <w:bottom w:val="single" w:sz="4" w:space="0" w:color="000000"/>
            </w:tcBorders>
          </w:tcPr>
          <w:p>
            <w:pPr>
              <w:pStyle w:val="TableParagraph"/>
              <w:spacing w:before="71"/>
              <w:ind w:left="21"/>
              <w:jc w:val="center"/>
              <w:rPr>
                <w:sz w:val="22"/>
              </w:rPr>
            </w:pPr>
            <w:r>
              <w:rPr>
                <w:spacing w:val="-2"/>
                <w:sz w:val="22"/>
              </w:rPr>
              <w:t>15.667±1.430</w:t>
            </w:r>
          </w:p>
        </w:tc>
        <w:tc>
          <w:tcPr>
            <w:tcW w:w="967" w:type="dxa"/>
            <w:tcBorders>
              <w:bottom w:val="single" w:sz="4" w:space="0" w:color="000000"/>
            </w:tcBorders>
          </w:tcPr>
          <w:p>
            <w:pPr>
              <w:pStyle w:val="TableParagraph"/>
              <w:spacing w:before="71"/>
              <w:ind w:left="4" w:right="93"/>
              <w:jc w:val="center"/>
              <w:rPr>
                <w:sz w:val="22"/>
              </w:rPr>
            </w:pPr>
            <w:r>
              <w:rPr>
                <w:spacing w:val="-2"/>
                <w:sz w:val="22"/>
              </w:rPr>
              <w:t>0.008</w:t>
            </w:r>
          </w:p>
        </w:tc>
        <w:tc>
          <w:tcPr>
            <w:tcW w:w="874" w:type="dxa"/>
            <w:tcBorders>
              <w:bottom w:val="single" w:sz="4" w:space="0" w:color="000000"/>
            </w:tcBorders>
          </w:tcPr>
          <w:p>
            <w:pPr>
              <w:pStyle w:val="TableParagraph"/>
              <w:spacing w:before="71"/>
              <w:ind w:right="67"/>
              <w:jc w:val="center"/>
              <w:rPr>
                <w:sz w:val="22"/>
              </w:rPr>
            </w:pPr>
            <w:r>
              <w:rPr>
                <w:spacing w:val="-5"/>
                <w:sz w:val="22"/>
              </w:rPr>
              <w:t>SF</w:t>
            </w:r>
          </w:p>
        </w:tc>
      </w:tr>
      <w:tr>
        <w:trPr>
          <w:trHeight w:val="376" w:hRule="atLeast"/>
        </w:trPr>
        <w:tc>
          <w:tcPr>
            <w:tcW w:w="2289" w:type="dxa"/>
            <w:tcBorders>
              <w:top w:val="single" w:sz="4" w:space="0" w:color="000000"/>
            </w:tcBorders>
          </w:tcPr>
          <w:p>
            <w:pPr>
              <w:pStyle w:val="TableParagraph"/>
              <w:rPr>
                <w:rFonts w:ascii="Times New Roman"/>
                <w:sz w:val="22"/>
              </w:rPr>
            </w:pPr>
          </w:p>
        </w:tc>
        <w:tc>
          <w:tcPr>
            <w:tcW w:w="1028" w:type="dxa"/>
            <w:tcBorders>
              <w:top w:val="single" w:sz="4" w:space="0" w:color="000000"/>
            </w:tcBorders>
          </w:tcPr>
          <w:p>
            <w:pPr>
              <w:pStyle w:val="TableParagraph"/>
              <w:spacing w:line="265" w:lineRule="exact"/>
              <w:ind w:right="228"/>
              <w:jc w:val="right"/>
              <w:rPr>
                <w:sz w:val="22"/>
              </w:rPr>
            </w:pPr>
            <w:r>
              <w:rPr>
                <w:spacing w:val="-5"/>
                <w:sz w:val="22"/>
              </w:rPr>
              <w:t>CRO</w:t>
            </w:r>
          </w:p>
        </w:tc>
        <w:tc>
          <w:tcPr>
            <w:tcW w:w="1613" w:type="dxa"/>
            <w:tcBorders>
              <w:top w:val="single" w:sz="4" w:space="0" w:color="000000"/>
            </w:tcBorders>
          </w:tcPr>
          <w:p>
            <w:pPr>
              <w:pStyle w:val="TableParagraph"/>
              <w:spacing w:line="265" w:lineRule="exact"/>
              <w:ind w:left="21"/>
              <w:jc w:val="center"/>
              <w:rPr>
                <w:sz w:val="22"/>
              </w:rPr>
            </w:pPr>
            <w:r>
              <w:rPr>
                <w:spacing w:val="-2"/>
                <w:sz w:val="22"/>
              </w:rPr>
              <w:t>20.667±2.275</w:t>
            </w:r>
          </w:p>
        </w:tc>
        <w:tc>
          <w:tcPr>
            <w:tcW w:w="967" w:type="dxa"/>
            <w:tcBorders>
              <w:top w:val="single" w:sz="4" w:space="0" w:color="000000"/>
            </w:tcBorders>
          </w:tcPr>
          <w:p>
            <w:pPr>
              <w:pStyle w:val="TableParagraph"/>
              <w:spacing w:line="265" w:lineRule="exact"/>
              <w:ind w:left="4" w:right="93"/>
              <w:jc w:val="center"/>
              <w:rPr>
                <w:sz w:val="22"/>
              </w:rPr>
            </w:pPr>
            <w:r>
              <w:rPr>
                <w:spacing w:val="-2"/>
                <w:sz w:val="22"/>
              </w:rPr>
              <w:t>0.282</w:t>
            </w:r>
          </w:p>
        </w:tc>
        <w:tc>
          <w:tcPr>
            <w:tcW w:w="874" w:type="dxa"/>
            <w:tcBorders>
              <w:top w:val="single" w:sz="4" w:space="0" w:color="000000"/>
            </w:tcBorders>
          </w:tcPr>
          <w:p>
            <w:pPr>
              <w:pStyle w:val="TableParagraph"/>
              <w:spacing w:line="265" w:lineRule="exact"/>
              <w:ind w:left="2" w:right="67"/>
              <w:jc w:val="center"/>
              <w:rPr>
                <w:sz w:val="22"/>
              </w:rPr>
            </w:pPr>
            <w:r>
              <w:rPr>
                <w:spacing w:val="-5"/>
                <w:sz w:val="22"/>
              </w:rPr>
              <w:t>NS</w:t>
            </w:r>
          </w:p>
        </w:tc>
      </w:tr>
      <w:tr>
        <w:trPr>
          <w:trHeight w:val="450" w:hRule="atLeast"/>
        </w:trPr>
        <w:tc>
          <w:tcPr>
            <w:tcW w:w="2289" w:type="dxa"/>
          </w:tcPr>
          <w:p>
            <w:pPr>
              <w:pStyle w:val="TableParagraph"/>
              <w:rPr>
                <w:rFonts w:ascii="Times New Roman"/>
                <w:sz w:val="22"/>
              </w:rPr>
            </w:pPr>
          </w:p>
        </w:tc>
        <w:tc>
          <w:tcPr>
            <w:tcW w:w="1028" w:type="dxa"/>
          </w:tcPr>
          <w:p>
            <w:pPr>
              <w:pStyle w:val="TableParagraph"/>
              <w:spacing w:before="71"/>
              <w:ind w:right="288"/>
              <w:jc w:val="right"/>
              <w:rPr>
                <w:sz w:val="22"/>
              </w:rPr>
            </w:pPr>
            <w:r>
              <w:rPr>
                <w:spacing w:val="-5"/>
                <w:sz w:val="22"/>
              </w:rPr>
              <w:t>CN</w:t>
            </w:r>
          </w:p>
        </w:tc>
        <w:tc>
          <w:tcPr>
            <w:tcW w:w="1613" w:type="dxa"/>
          </w:tcPr>
          <w:p>
            <w:pPr>
              <w:pStyle w:val="TableParagraph"/>
              <w:spacing w:before="71"/>
              <w:ind w:left="21"/>
              <w:jc w:val="center"/>
              <w:rPr>
                <w:sz w:val="22"/>
              </w:rPr>
            </w:pPr>
            <w:r>
              <w:rPr>
                <w:spacing w:val="-2"/>
                <w:sz w:val="22"/>
              </w:rPr>
              <w:t>21.833±0.946</w:t>
            </w:r>
          </w:p>
        </w:tc>
        <w:tc>
          <w:tcPr>
            <w:tcW w:w="967" w:type="dxa"/>
          </w:tcPr>
          <w:p>
            <w:pPr>
              <w:pStyle w:val="TableParagraph"/>
              <w:spacing w:before="71"/>
              <w:ind w:left="4" w:right="93"/>
              <w:jc w:val="center"/>
              <w:rPr>
                <w:sz w:val="22"/>
              </w:rPr>
            </w:pPr>
            <w:r>
              <w:rPr>
                <w:spacing w:val="-2"/>
                <w:sz w:val="22"/>
              </w:rPr>
              <w:t>0.635</w:t>
            </w:r>
          </w:p>
        </w:tc>
        <w:tc>
          <w:tcPr>
            <w:tcW w:w="874" w:type="dxa"/>
          </w:tcPr>
          <w:p>
            <w:pPr>
              <w:pStyle w:val="TableParagraph"/>
              <w:spacing w:before="71"/>
              <w:ind w:left="2" w:right="67"/>
              <w:jc w:val="center"/>
              <w:rPr>
                <w:sz w:val="22"/>
              </w:rPr>
            </w:pPr>
            <w:r>
              <w:rPr>
                <w:spacing w:val="-5"/>
                <w:sz w:val="22"/>
              </w:rPr>
              <w:t>NS</w:t>
            </w:r>
          </w:p>
        </w:tc>
      </w:tr>
      <w:tr>
        <w:trPr>
          <w:trHeight w:val="739" w:hRule="atLeast"/>
        </w:trPr>
        <w:tc>
          <w:tcPr>
            <w:tcW w:w="2289" w:type="dxa"/>
          </w:tcPr>
          <w:p>
            <w:pPr>
              <w:pStyle w:val="TableParagraph"/>
              <w:spacing w:before="70"/>
              <w:ind w:left="153"/>
              <w:jc w:val="center"/>
              <w:rPr>
                <w:sz w:val="22"/>
              </w:rPr>
            </w:pPr>
            <w:r>
              <w:rPr>
                <w:sz w:val="22"/>
              </w:rPr>
              <w:t>H/L;</w:t>
            </w:r>
            <w:r>
              <w:rPr>
                <w:spacing w:val="-5"/>
                <w:sz w:val="22"/>
              </w:rPr>
              <w:t> </w:t>
            </w:r>
            <w:r>
              <w:rPr>
                <w:spacing w:val="-2"/>
                <w:sz w:val="22"/>
              </w:rPr>
              <w:t>50:50</w:t>
            </w:r>
          </w:p>
          <w:p>
            <w:pPr>
              <w:pStyle w:val="TableParagraph"/>
              <w:spacing w:before="22"/>
              <w:ind w:left="153" w:right="3"/>
              <w:jc w:val="center"/>
              <w:rPr>
                <w:sz w:val="22"/>
              </w:rPr>
            </w:pPr>
            <w:r>
              <w:rPr>
                <w:spacing w:val="-2"/>
                <w:sz w:val="22"/>
              </w:rPr>
              <w:t>(25.833±1.014)</w:t>
            </w:r>
          </w:p>
        </w:tc>
        <w:tc>
          <w:tcPr>
            <w:tcW w:w="1028" w:type="dxa"/>
          </w:tcPr>
          <w:p>
            <w:pPr>
              <w:pStyle w:val="TableParagraph"/>
              <w:spacing w:before="214"/>
              <w:ind w:right="201"/>
              <w:jc w:val="right"/>
              <w:rPr>
                <w:sz w:val="22"/>
              </w:rPr>
            </w:pPr>
            <w:r>
              <w:rPr>
                <w:spacing w:val="-5"/>
                <w:sz w:val="22"/>
              </w:rPr>
              <w:t>AMC</w:t>
            </w:r>
          </w:p>
        </w:tc>
        <w:tc>
          <w:tcPr>
            <w:tcW w:w="1613" w:type="dxa"/>
          </w:tcPr>
          <w:p>
            <w:pPr>
              <w:pStyle w:val="TableParagraph"/>
              <w:spacing w:before="91"/>
              <w:rPr>
                <w:b/>
                <w:i/>
                <w:sz w:val="22"/>
              </w:rPr>
            </w:pPr>
          </w:p>
          <w:p>
            <w:pPr>
              <w:pStyle w:val="TableParagraph"/>
              <w:spacing w:before="1"/>
              <w:ind w:left="21"/>
              <w:jc w:val="center"/>
              <w:rPr>
                <w:sz w:val="22"/>
              </w:rPr>
            </w:pPr>
            <w:r>
              <w:rPr>
                <w:spacing w:val="-2"/>
                <w:sz w:val="22"/>
              </w:rPr>
              <w:t>16.333±2.431</w:t>
            </w:r>
          </w:p>
        </w:tc>
        <w:tc>
          <w:tcPr>
            <w:tcW w:w="967" w:type="dxa"/>
          </w:tcPr>
          <w:p>
            <w:pPr>
              <w:pStyle w:val="TableParagraph"/>
              <w:spacing w:before="214"/>
              <w:ind w:left="4" w:right="93"/>
              <w:jc w:val="center"/>
              <w:rPr>
                <w:sz w:val="22"/>
              </w:rPr>
            </w:pPr>
            <w:r>
              <w:rPr>
                <w:spacing w:val="-2"/>
                <w:sz w:val="22"/>
              </w:rPr>
              <w:t>0.001</w:t>
            </w:r>
          </w:p>
        </w:tc>
        <w:tc>
          <w:tcPr>
            <w:tcW w:w="874" w:type="dxa"/>
          </w:tcPr>
          <w:p>
            <w:pPr>
              <w:pStyle w:val="TableParagraph"/>
              <w:spacing w:before="91"/>
              <w:rPr>
                <w:b/>
                <w:i/>
                <w:sz w:val="22"/>
              </w:rPr>
            </w:pPr>
          </w:p>
          <w:p>
            <w:pPr>
              <w:pStyle w:val="TableParagraph"/>
              <w:spacing w:before="1"/>
              <w:ind w:right="67"/>
              <w:jc w:val="center"/>
              <w:rPr>
                <w:sz w:val="22"/>
              </w:rPr>
            </w:pPr>
            <w:r>
              <w:rPr>
                <w:spacing w:val="-5"/>
                <w:sz w:val="22"/>
              </w:rPr>
              <w:t>SF</w:t>
            </w:r>
          </w:p>
        </w:tc>
      </w:tr>
      <w:tr>
        <w:trPr>
          <w:trHeight w:val="450" w:hRule="atLeast"/>
        </w:trPr>
        <w:tc>
          <w:tcPr>
            <w:tcW w:w="2289" w:type="dxa"/>
          </w:tcPr>
          <w:p>
            <w:pPr>
              <w:pStyle w:val="TableParagraph"/>
              <w:rPr>
                <w:rFonts w:ascii="Times New Roman"/>
                <w:sz w:val="22"/>
              </w:rPr>
            </w:pPr>
          </w:p>
        </w:tc>
        <w:tc>
          <w:tcPr>
            <w:tcW w:w="1028" w:type="dxa"/>
          </w:tcPr>
          <w:p>
            <w:pPr>
              <w:pStyle w:val="TableParagraph"/>
              <w:spacing w:before="70"/>
              <w:ind w:right="256"/>
              <w:jc w:val="right"/>
              <w:rPr>
                <w:sz w:val="22"/>
              </w:rPr>
            </w:pPr>
            <w:r>
              <w:rPr>
                <w:spacing w:val="-5"/>
                <w:sz w:val="22"/>
              </w:rPr>
              <w:t>LEV</w:t>
            </w:r>
          </w:p>
        </w:tc>
        <w:tc>
          <w:tcPr>
            <w:tcW w:w="1613" w:type="dxa"/>
          </w:tcPr>
          <w:p>
            <w:pPr>
              <w:pStyle w:val="TableParagraph"/>
              <w:spacing w:before="70"/>
              <w:ind w:left="21"/>
              <w:jc w:val="center"/>
              <w:rPr>
                <w:sz w:val="22"/>
              </w:rPr>
            </w:pPr>
            <w:r>
              <w:rPr>
                <w:spacing w:val="-2"/>
                <w:sz w:val="22"/>
              </w:rPr>
              <w:t>19.500±1.803</w:t>
            </w:r>
          </w:p>
        </w:tc>
        <w:tc>
          <w:tcPr>
            <w:tcW w:w="967" w:type="dxa"/>
          </w:tcPr>
          <w:p>
            <w:pPr>
              <w:pStyle w:val="TableParagraph"/>
              <w:spacing w:before="70"/>
              <w:ind w:left="4" w:right="93"/>
              <w:jc w:val="center"/>
              <w:rPr>
                <w:sz w:val="22"/>
              </w:rPr>
            </w:pPr>
            <w:r>
              <w:rPr>
                <w:spacing w:val="-2"/>
                <w:sz w:val="22"/>
              </w:rPr>
              <w:t>0.086</w:t>
            </w:r>
          </w:p>
        </w:tc>
        <w:tc>
          <w:tcPr>
            <w:tcW w:w="874" w:type="dxa"/>
          </w:tcPr>
          <w:p>
            <w:pPr>
              <w:pStyle w:val="TableParagraph"/>
              <w:spacing w:before="70"/>
              <w:ind w:left="2" w:right="67"/>
              <w:jc w:val="center"/>
              <w:rPr>
                <w:sz w:val="22"/>
              </w:rPr>
            </w:pPr>
            <w:r>
              <w:rPr>
                <w:spacing w:val="-5"/>
                <w:sz w:val="22"/>
              </w:rPr>
              <w:t>NS</w:t>
            </w:r>
          </w:p>
        </w:tc>
      </w:tr>
      <w:tr>
        <w:trPr>
          <w:trHeight w:val="523" w:hRule="atLeast"/>
        </w:trPr>
        <w:tc>
          <w:tcPr>
            <w:tcW w:w="2289" w:type="dxa"/>
            <w:tcBorders>
              <w:bottom w:val="single" w:sz="4" w:space="0" w:color="000000"/>
            </w:tcBorders>
          </w:tcPr>
          <w:p>
            <w:pPr>
              <w:pStyle w:val="TableParagraph"/>
              <w:rPr>
                <w:rFonts w:ascii="Times New Roman"/>
                <w:sz w:val="22"/>
              </w:rPr>
            </w:pPr>
          </w:p>
        </w:tc>
        <w:tc>
          <w:tcPr>
            <w:tcW w:w="1028" w:type="dxa"/>
            <w:tcBorders>
              <w:bottom w:val="single" w:sz="4" w:space="0" w:color="000000"/>
            </w:tcBorders>
          </w:tcPr>
          <w:p>
            <w:pPr>
              <w:pStyle w:val="TableParagraph"/>
              <w:spacing w:before="71"/>
              <w:ind w:right="209"/>
              <w:jc w:val="right"/>
              <w:rPr>
                <w:sz w:val="22"/>
              </w:rPr>
            </w:pPr>
            <w:r>
              <w:rPr>
                <w:spacing w:val="-5"/>
                <w:sz w:val="22"/>
              </w:rPr>
              <w:t>AZM</w:t>
            </w:r>
          </w:p>
        </w:tc>
        <w:tc>
          <w:tcPr>
            <w:tcW w:w="1613" w:type="dxa"/>
            <w:tcBorders>
              <w:bottom w:val="single" w:sz="4" w:space="0" w:color="000000"/>
            </w:tcBorders>
          </w:tcPr>
          <w:p>
            <w:pPr>
              <w:pStyle w:val="TableParagraph"/>
              <w:spacing w:before="71"/>
              <w:ind w:left="21"/>
              <w:jc w:val="center"/>
              <w:rPr>
                <w:sz w:val="22"/>
              </w:rPr>
            </w:pPr>
            <w:r>
              <w:rPr>
                <w:spacing w:val="-2"/>
                <w:sz w:val="22"/>
              </w:rPr>
              <w:t>15.667±1.430</w:t>
            </w:r>
          </w:p>
        </w:tc>
        <w:tc>
          <w:tcPr>
            <w:tcW w:w="967" w:type="dxa"/>
            <w:tcBorders>
              <w:bottom w:val="single" w:sz="4" w:space="0" w:color="000000"/>
            </w:tcBorders>
          </w:tcPr>
          <w:p>
            <w:pPr>
              <w:pStyle w:val="TableParagraph"/>
              <w:spacing w:before="71"/>
              <w:ind w:left="4" w:right="93"/>
              <w:jc w:val="center"/>
              <w:rPr>
                <w:sz w:val="22"/>
              </w:rPr>
            </w:pPr>
            <w:r>
              <w:rPr>
                <w:spacing w:val="-2"/>
                <w:sz w:val="22"/>
              </w:rPr>
              <w:t>0.000</w:t>
            </w:r>
          </w:p>
        </w:tc>
        <w:tc>
          <w:tcPr>
            <w:tcW w:w="874" w:type="dxa"/>
            <w:tcBorders>
              <w:bottom w:val="single" w:sz="4" w:space="0" w:color="000000"/>
            </w:tcBorders>
          </w:tcPr>
          <w:p>
            <w:pPr>
              <w:pStyle w:val="TableParagraph"/>
              <w:spacing w:before="71"/>
              <w:ind w:right="67"/>
              <w:jc w:val="center"/>
              <w:rPr>
                <w:sz w:val="22"/>
              </w:rPr>
            </w:pPr>
            <w:r>
              <w:rPr>
                <w:spacing w:val="-5"/>
                <w:sz w:val="22"/>
              </w:rPr>
              <w:t>SF</w:t>
            </w:r>
          </w:p>
        </w:tc>
      </w:tr>
    </w:tbl>
    <w:p>
      <w:pPr>
        <w:pStyle w:val="BodyText"/>
        <w:spacing w:line="276" w:lineRule="auto" w:before="27"/>
        <w:ind w:left="1100" w:right="975"/>
      </w:pPr>
      <w:r>
        <w:rPr/>
        <w:t>Key:</w:t>
      </w:r>
      <w:r>
        <w:rPr>
          <w:spacing w:val="40"/>
        </w:rPr>
        <w:t> </w:t>
      </w:r>
      <w:r>
        <w:rPr/>
        <w:t>LOS=Level</w:t>
      </w:r>
      <w:r>
        <w:rPr>
          <w:spacing w:val="40"/>
        </w:rPr>
        <w:t> </w:t>
      </w:r>
      <w:r>
        <w:rPr/>
        <w:t>of</w:t>
      </w:r>
      <w:r>
        <w:rPr>
          <w:spacing w:val="40"/>
        </w:rPr>
        <w:t> </w:t>
      </w:r>
      <w:r>
        <w:rPr/>
        <w:t>Significant;</w:t>
      </w:r>
      <w:r>
        <w:rPr>
          <w:spacing w:val="40"/>
        </w:rPr>
        <w:t> </w:t>
      </w:r>
      <w:r>
        <w:rPr/>
        <w:t>NS=Not</w:t>
      </w:r>
      <w:r>
        <w:rPr>
          <w:spacing w:val="40"/>
        </w:rPr>
        <w:t> </w:t>
      </w:r>
      <w:r>
        <w:rPr/>
        <w:t>significantly</w:t>
      </w:r>
      <w:r>
        <w:rPr>
          <w:spacing w:val="40"/>
        </w:rPr>
        <w:t> </w:t>
      </w:r>
      <w:r>
        <w:rPr/>
        <w:t>different;</w:t>
      </w:r>
      <w:r>
        <w:rPr>
          <w:spacing w:val="40"/>
        </w:rPr>
        <w:t> </w:t>
      </w:r>
      <w:r>
        <w:rPr/>
        <w:t>SF=Significantly</w:t>
      </w:r>
      <w:r>
        <w:rPr>
          <w:spacing w:val="40"/>
        </w:rPr>
        <w:t> </w:t>
      </w:r>
      <w:r>
        <w:rPr/>
        <w:t>different;</w:t>
      </w:r>
      <w:r>
        <w:rPr>
          <w:spacing w:val="80"/>
        </w:rPr>
        <w:t> </w:t>
      </w:r>
      <w:r>
        <w:rPr/>
        <w:t>L=Lemon juice, H=Honey.</w:t>
      </w:r>
    </w:p>
    <w:p>
      <w:pPr>
        <w:spacing w:after="0" w:line="276" w:lineRule="auto"/>
        <w:sectPr>
          <w:type w:val="continuous"/>
          <w:pgSz w:w="11910" w:h="16840"/>
          <w:pgMar w:header="0" w:footer="1055" w:top="1440" w:bottom="1240" w:left="1060" w:right="460"/>
        </w:sectPr>
      </w:pPr>
    </w:p>
    <w:p>
      <w:pPr>
        <w:pStyle w:val="Heading2"/>
        <w:spacing w:before="38"/>
        <w:jc w:val="center"/>
      </w:pPr>
      <w:r>
        <w:rPr/>
        <w:t>CHAPTER</w:t>
      </w:r>
      <w:r>
        <w:rPr>
          <w:spacing w:val="-7"/>
        </w:rPr>
        <w:t> </w:t>
      </w:r>
      <w:r>
        <w:rPr>
          <w:spacing w:val="-4"/>
        </w:rPr>
        <w:t>FIVE</w:t>
      </w:r>
    </w:p>
    <w:p>
      <w:pPr>
        <w:pStyle w:val="BodyText"/>
        <w:spacing w:before="159"/>
        <w:rPr>
          <w:b/>
        </w:rPr>
      </w:pPr>
    </w:p>
    <w:p>
      <w:pPr>
        <w:pStyle w:val="Heading3"/>
        <w:numPr>
          <w:ilvl w:val="0"/>
          <w:numId w:val="5"/>
        </w:numPr>
        <w:tabs>
          <w:tab w:pos="4701" w:val="left" w:leader="none"/>
        </w:tabs>
        <w:spacing w:line="240" w:lineRule="auto" w:before="1" w:after="0"/>
        <w:ind w:left="4701" w:right="0" w:hanging="4321"/>
        <w:jc w:val="left"/>
      </w:pPr>
      <w:r>
        <w:rPr>
          <w:spacing w:val="-2"/>
        </w:rPr>
        <w:t>Discussion</w:t>
      </w:r>
    </w:p>
    <w:p>
      <w:pPr>
        <w:pStyle w:val="BodyText"/>
        <w:spacing w:before="161"/>
        <w:rPr>
          <w:b/>
        </w:rPr>
      </w:pPr>
    </w:p>
    <w:p>
      <w:pPr>
        <w:spacing w:line="480" w:lineRule="auto" w:before="0"/>
        <w:ind w:left="1100" w:right="975" w:firstLine="720"/>
        <w:jc w:val="both"/>
        <w:rPr>
          <w:sz w:val="22"/>
        </w:rPr>
      </w:pPr>
      <w:r>
        <w:rPr>
          <w:sz w:val="22"/>
        </w:rPr>
        <w:t>The bacterial isolates in the retrospective study were </w:t>
      </w:r>
      <w:r>
        <w:rPr>
          <w:i/>
          <w:sz w:val="22"/>
        </w:rPr>
        <w:t>Streptococcus pneumoniae, Staphylococcus aureus, Klebsiella pneumoniae, Streptococcus pyogenes, Pseudomonas aeruginosa and Haemophilus infleunzae. </w:t>
      </w:r>
      <w:r>
        <w:rPr>
          <w:sz w:val="22"/>
        </w:rPr>
        <w:t>In a study by Dilnawaz </w:t>
      </w:r>
      <w:r>
        <w:rPr>
          <w:i/>
          <w:sz w:val="22"/>
        </w:rPr>
        <w:t>et al</w:t>
      </w:r>
      <w:r>
        <w:rPr>
          <w:sz w:val="22"/>
        </w:rPr>
        <w:t>., (1995), various Gram negative and Gram positive organisms similar to those reported in this work, were isolated from patients presented with respiratory infections.</w:t>
      </w:r>
    </w:p>
    <w:p>
      <w:pPr>
        <w:pStyle w:val="BodyText"/>
        <w:spacing w:line="480" w:lineRule="auto" w:before="161"/>
        <w:ind w:left="1100" w:right="973" w:firstLine="720"/>
        <w:jc w:val="both"/>
      </w:pPr>
      <w:r>
        <w:rPr/>
        <w:t>The common antibiotics</w:t>
      </w:r>
      <w:r>
        <w:rPr>
          <w:spacing w:val="-2"/>
        </w:rPr>
        <w:t> </w:t>
      </w:r>
      <w:r>
        <w:rPr/>
        <w:t>used for</w:t>
      </w:r>
      <w:r>
        <w:rPr>
          <w:spacing w:val="-2"/>
        </w:rPr>
        <w:t> </w:t>
      </w:r>
      <w:r>
        <w:rPr/>
        <w:t>susceptibility testing</w:t>
      </w:r>
      <w:r>
        <w:rPr>
          <w:spacing w:val="-3"/>
        </w:rPr>
        <w:t> </w:t>
      </w:r>
      <w:r>
        <w:rPr/>
        <w:t>at the</w:t>
      </w:r>
      <w:r>
        <w:rPr>
          <w:spacing w:val="-2"/>
        </w:rPr>
        <w:t> </w:t>
      </w:r>
      <w:r>
        <w:rPr/>
        <w:t>ABUTH and UHS A.B.U., Zaria include: Ciprofloxacin (CIP), Tetracycline (TE), Ofloxacin (OFX), Erythromycin (E), Ceftriaxone (CEF), Gentamicin (CN), Amoxicillin (AMX), Cefuroxime (CXM), Ampicillin (AMP), Amoxicillin-Clavulanic acid (AMC) and Cotrimoxazole (COT). From their records at ABUTH, </w:t>
      </w:r>
      <w:r>
        <w:rPr>
          <w:i/>
        </w:rPr>
        <w:t>Streptococcus pneumoniae </w:t>
      </w:r>
      <w:r>
        <w:rPr/>
        <w:t>were found to be mostly susceptible to CN, CXM, and AMX but mostly resistant to COT, CRO; </w:t>
      </w:r>
      <w:r>
        <w:rPr>
          <w:i/>
        </w:rPr>
        <w:t>Staphylococcus aureus </w:t>
      </w:r>
      <w:r>
        <w:rPr/>
        <w:t>were found to be sensitive to CN, CIP, and AMX but showed resistance to AMC and AMP; </w:t>
      </w:r>
      <w:r>
        <w:rPr>
          <w:i/>
        </w:rPr>
        <w:t>Pseudomonas aeruginosa </w:t>
      </w:r>
      <w:r>
        <w:rPr/>
        <w:t>isolates were sensitive to CIP, CN</w:t>
      </w:r>
      <w:r>
        <w:rPr>
          <w:spacing w:val="-1"/>
        </w:rPr>
        <w:t> </w:t>
      </w:r>
      <w:r>
        <w:rPr/>
        <w:t>but showed resistance to E, AMC, and TE; </w:t>
      </w:r>
      <w:r>
        <w:rPr>
          <w:i/>
        </w:rPr>
        <w:t>Klebsiella</w:t>
      </w:r>
      <w:r>
        <w:rPr>
          <w:i/>
          <w:spacing w:val="-1"/>
        </w:rPr>
        <w:t> </w:t>
      </w:r>
      <w:r>
        <w:rPr>
          <w:i/>
        </w:rPr>
        <w:t>pneumoniae </w:t>
      </w:r>
      <w:r>
        <w:rPr/>
        <w:t>isolates were sensitive to CN and CIP but showed resistance to COT and CXM; and </w:t>
      </w:r>
      <w:r>
        <w:rPr>
          <w:i/>
        </w:rPr>
        <w:t>Streptococcus pyogenes </w:t>
      </w:r>
      <w:r>
        <w:rPr/>
        <w:t>were mostly sensitive to CIP, CN, TE and E but showed resistance to COT.</w:t>
      </w:r>
      <w:r>
        <w:rPr>
          <w:spacing w:val="40"/>
        </w:rPr>
        <w:t> </w:t>
      </w:r>
      <w:r>
        <w:rPr/>
        <w:t>However, at UHS</w:t>
      </w:r>
      <w:r>
        <w:rPr>
          <w:spacing w:val="-1"/>
        </w:rPr>
        <w:t> </w:t>
      </w:r>
      <w:r>
        <w:rPr>
          <w:i/>
        </w:rPr>
        <w:t>Streptococcus pneumoniae </w:t>
      </w:r>
      <w:r>
        <w:rPr/>
        <w:t>were</w:t>
      </w:r>
      <w:r>
        <w:rPr>
          <w:spacing w:val="-2"/>
        </w:rPr>
        <w:t> </w:t>
      </w:r>
      <w:r>
        <w:rPr/>
        <w:t>found to be</w:t>
      </w:r>
      <w:r>
        <w:rPr>
          <w:spacing w:val="-2"/>
        </w:rPr>
        <w:t> </w:t>
      </w:r>
      <w:r>
        <w:rPr/>
        <w:t>mostly susceptible to CN, CIP, and OFX but mostly resistant to COT, AMC and E; </w:t>
      </w:r>
      <w:r>
        <w:rPr>
          <w:i/>
        </w:rPr>
        <w:t>Staphylococcus aureus </w:t>
      </w:r>
      <w:r>
        <w:rPr/>
        <w:t>were found to be sensitive to OFX, CN, and CIP but showed resistance to AMC and COT; </w:t>
      </w:r>
      <w:r>
        <w:rPr>
          <w:i/>
        </w:rPr>
        <w:t>Pseudomonas aeruginosa </w:t>
      </w:r>
      <w:r>
        <w:rPr/>
        <w:t>isolates were sensitive to CIP, CN and OFX but showed resistance to AMC, and COT; </w:t>
      </w:r>
      <w:r>
        <w:rPr>
          <w:i/>
        </w:rPr>
        <w:t>Klebsiella pneumoniae </w:t>
      </w:r>
      <w:r>
        <w:rPr/>
        <w:t>isolates were sensitive to OFX, CN and CIP but showed</w:t>
      </w:r>
      <w:r>
        <w:rPr>
          <w:spacing w:val="40"/>
        </w:rPr>
        <w:t> </w:t>
      </w:r>
      <w:r>
        <w:rPr/>
        <w:t>resistance to COT and AMC; and </w:t>
      </w:r>
      <w:r>
        <w:rPr>
          <w:i/>
        </w:rPr>
        <w:t>Streptococcus pyogenes </w:t>
      </w:r>
      <w:r>
        <w:rPr/>
        <w:t>were mostly sensitive to CIP and</w:t>
      </w:r>
      <w:r>
        <w:rPr>
          <w:spacing w:val="40"/>
        </w:rPr>
        <w:t> </w:t>
      </w:r>
      <w:r>
        <w:rPr/>
        <w:t>CN but showed resistance to COT and AMC. This is because most of the antibiotics the isolates were sensitive to are out of reach of the poor due to the cost and even for some of</w:t>
      </w:r>
    </w:p>
    <w:p>
      <w:pPr>
        <w:spacing w:after="0" w:line="480" w:lineRule="auto"/>
        <w:jc w:val="both"/>
        <w:sectPr>
          <w:pgSz w:w="11910" w:h="16840"/>
          <w:pgMar w:header="0" w:footer="1055" w:top="1380" w:bottom="1240" w:left="1060" w:right="460"/>
        </w:sectPr>
      </w:pPr>
    </w:p>
    <w:p>
      <w:pPr>
        <w:pStyle w:val="BodyText"/>
        <w:spacing w:line="480" w:lineRule="auto" w:before="38"/>
        <w:ind w:left="1100" w:right="974"/>
        <w:jc w:val="both"/>
      </w:pPr>
      <w:r>
        <w:rPr/>
        <w:t>the antibiotics that are cheaper, they are mostly administered parentally, hence less abused (for example, Gentamicin).</w:t>
      </w:r>
    </w:p>
    <w:p>
      <w:pPr>
        <w:spacing w:line="480" w:lineRule="auto" w:before="160"/>
        <w:ind w:left="1100" w:right="974" w:firstLine="720"/>
        <w:jc w:val="both"/>
        <w:rPr>
          <w:sz w:val="22"/>
        </w:rPr>
      </w:pPr>
      <w:r>
        <w:rPr>
          <w:sz w:val="22"/>
        </w:rPr>
        <w:t>However,</w:t>
      </w:r>
      <w:r>
        <w:rPr>
          <w:spacing w:val="-2"/>
          <w:sz w:val="22"/>
        </w:rPr>
        <w:t> </w:t>
      </w:r>
      <w:r>
        <w:rPr>
          <w:sz w:val="22"/>
        </w:rPr>
        <w:t>in</w:t>
      </w:r>
      <w:r>
        <w:rPr>
          <w:spacing w:val="-2"/>
          <w:sz w:val="22"/>
        </w:rPr>
        <w:t> </w:t>
      </w:r>
      <w:r>
        <w:rPr>
          <w:sz w:val="22"/>
        </w:rPr>
        <w:t>the</w:t>
      </w:r>
      <w:r>
        <w:rPr>
          <w:spacing w:val="-2"/>
          <w:sz w:val="22"/>
        </w:rPr>
        <w:t> </w:t>
      </w:r>
      <w:r>
        <w:rPr>
          <w:sz w:val="22"/>
        </w:rPr>
        <w:t>prospective</w:t>
      </w:r>
      <w:r>
        <w:rPr>
          <w:spacing w:val="-2"/>
          <w:sz w:val="22"/>
        </w:rPr>
        <w:t> </w:t>
      </w:r>
      <w:r>
        <w:rPr>
          <w:sz w:val="22"/>
        </w:rPr>
        <w:t>study,</w:t>
      </w:r>
      <w:r>
        <w:rPr>
          <w:spacing w:val="-2"/>
          <w:sz w:val="22"/>
        </w:rPr>
        <w:t> </w:t>
      </w:r>
      <w:r>
        <w:rPr>
          <w:sz w:val="22"/>
        </w:rPr>
        <w:t>the</w:t>
      </w:r>
      <w:r>
        <w:rPr>
          <w:spacing w:val="-2"/>
          <w:sz w:val="22"/>
        </w:rPr>
        <w:t> </w:t>
      </w:r>
      <w:r>
        <w:rPr>
          <w:sz w:val="22"/>
        </w:rPr>
        <w:t>highest</w:t>
      </w:r>
      <w:r>
        <w:rPr>
          <w:spacing w:val="-2"/>
          <w:sz w:val="22"/>
        </w:rPr>
        <w:t> </w:t>
      </w:r>
      <w:r>
        <w:rPr>
          <w:sz w:val="22"/>
        </w:rPr>
        <w:t>percentage</w:t>
      </w:r>
      <w:r>
        <w:rPr>
          <w:spacing w:val="-2"/>
          <w:sz w:val="22"/>
        </w:rPr>
        <w:t> </w:t>
      </w:r>
      <w:r>
        <w:rPr>
          <w:sz w:val="22"/>
        </w:rPr>
        <w:t>of </w:t>
      </w:r>
      <w:r>
        <w:rPr>
          <w:i/>
          <w:sz w:val="22"/>
        </w:rPr>
        <w:t>Klebsiella</w:t>
      </w:r>
      <w:r>
        <w:rPr>
          <w:i/>
          <w:spacing w:val="-3"/>
          <w:sz w:val="22"/>
        </w:rPr>
        <w:t> </w:t>
      </w:r>
      <w:r>
        <w:rPr>
          <w:i/>
          <w:sz w:val="22"/>
        </w:rPr>
        <w:t>pneumoniae</w:t>
      </w:r>
      <w:r>
        <w:rPr>
          <w:sz w:val="22"/>
        </w:rPr>
        <w:t>, </w:t>
      </w:r>
      <w:r>
        <w:rPr>
          <w:i/>
          <w:sz w:val="22"/>
        </w:rPr>
        <w:t>Staphylococcus aureus </w:t>
      </w:r>
      <w:r>
        <w:rPr>
          <w:sz w:val="22"/>
        </w:rPr>
        <w:t>as predominant organisms isolated is in close proximity with several other findings such as a study conducted in Benin City by Ophori and Wemabu (2010). They identified bacteria isolates such as </w:t>
      </w:r>
      <w:r>
        <w:rPr>
          <w:i/>
          <w:sz w:val="22"/>
        </w:rPr>
        <w:t>H. influenzae, Klebsiella pneumoniae, Streptococcus pneumoniae, Moraxella catarrhalis </w:t>
      </w:r>
      <w:r>
        <w:rPr>
          <w:sz w:val="22"/>
        </w:rPr>
        <w:t>and </w:t>
      </w:r>
      <w:r>
        <w:rPr>
          <w:i/>
          <w:sz w:val="22"/>
        </w:rPr>
        <w:t>Streptococcus pyogenes</w:t>
      </w:r>
      <w:r>
        <w:rPr>
          <w:sz w:val="22"/>
        </w:rPr>
        <w:t>. However, </w:t>
      </w:r>
      <w:r>
        <w:rPr>
          <w:i/>
          <w:sz w:val="22"/>
        </w:rPr>
        <w:t>H. influenzae </w:t>
      </w:r>
      <w:r>
        <w:rPr>
          <w:sz w:val="22"/>
        </w:rPr>
        <w:t>had the highest percentage prevalence of 20.8 %, followed by </w:t>
      </w:r>
      <w:r>
        <w:rPr>
          <w:i/>
          <w:sz w:val="22"/>
        </w:rPr>
        <w:t>Klebsiella pneumoniae </w:t>
      </w:r>
      <w:r>
        <w:rPr>
          <w:sz w:val="22"/>
        </w:rPr>
        <w:t>(19.2 %), </w:t>
      </w:r>
      <w:r>
        <w:rPr>
          <w:i/>
          <w:sz w:val="22"/>
        </w:rPr>
        <w:t>Streptococcus pneumoniae </w:t>
      </w:r>
      <w:r>
        <w:rPr>
          <w:sz w:val="22"/>
        </w:rPr>
        <w:t>(12.0 %), </w:t>
      </w:r>
      <w:r>
        <w:rPr>
          <w:i/>
          <w:sz w:val="22"/>
        </w:rPr>
        <w:t>Moraxella catarrhalis </w:t>
      </w:r>
      <w:r>
        <w:rPr>
          <w:sz w:val="22"/>
        </w:rPr>
        <w:t>(10.0 %) and </w:t>
      </w:r>
      <w:r>
        <w:rPr>
          <w:i/>
          <w:sz w:val="22"/>
        </w:rPr>
        <w:t>Streptococcus pyogenes </w:t>
      </w:r>
      <w:r>
        <w:rPr>
          <w:sz w:val="22"/>
        </w:rPr>
        <w:t>(2.00 %).</w:t>
      </w:r>
    </w:p>
    <w:p>
      <w:pPr>
        <w:spacing w:line="480" w:lineRule="auto" w:before="60"/>
        <w:ind w:left="1100" w:right="973" w:firstLine="720"/>
        <w:jc w:val="both"/>
        <w:rPr>
          <w:sz w:val="22"/>
        </w:rPr>
      </w:pPr>
      <w:r>
        <w:rPr>
          <w:i/>
          <w:sz w:val="22"/>
        </w:rPr>
        <w:t>Haemophilus influenzae </w:t>
      </w:r>
      <w:r>
        <w:rPr>
          <w:sz w:val="22"/>
        </w:rPr>
        <w:t>were found to be completely susceptible to all the tested antibiotics; which is in contrast to work done by Lysenko </w:t>
      </w:r>
      <w:r>
        <w:rPr>
          <w:i/>
          <w:sz w:val="22"/>
        </w:rPr>
        <w:t>et </w:t>
      </w:r>
      <w:r>
        <w:rPr>
          <w:sz w:val="22"/>
        </w:rPr>
        <w:t>al., (2005) and Chang </w:t>
      </w:r>
      <w:r>
        <w:rPr>
          <w:i/>
          <w:sz w:val="22"/>
        </w:rPr>
        <w:t>et al</w:t>
      </w:r>
      <w:r>
        <w:rPr>
          <w:sz w:val="22"/>
        </w:rPr>
        <w:t>., (2010), who observed fluoroquinolone-resistance among </w:t>
      </w:r>
      <w:r>
        <w:rPr>
          <w:i/>
          <w:sz w:val="22"/>
        </w:rPr>
        <w:t>Haemophilus influenzae </w:t>
      </w:r>
      <w:r>
        <w:rPr>
          <w:sz w:val="22"/>
        </w:rPr>
        <w:t>species used</w:t>
      </w:r>
      <w:r>
        <w:rPr>
          <w:spacing w:val="-2"/>
          <w:sz w:val="22"/>
        </w:rPr>
        <w:t> </w:t>
      </w:r>
      <w:r>
        <w:rPr>
          <w:sz w:val="22"/>
        </w:rPr>
        <w:t>in</w:t>
      </w:r>
      <w:r>
        <w:rPr>
          <w:spacing w:val="-3"/>
          <w:sz w:val="22"/>
        </w:rPr>
        <w:t> </w:t>
      </w:r>
      <w:r>
        <w:rPr>
          <w:sz w:val="22"/>
        </w:rPr>
        <w:t>their</w:t>
      </w:r>
      <w:r>
        <w:rPr>
          <w:spacing w:val="-2"/>
          <w:sz w:val="22"/>
        </w:rPr>
        <w:t> </w:t>
      </w:r>
      <w:r>
        <w:rPr>
          <w:sz w:val="22"/>
        </w:rPr>
        <w:t>research.</w:t>
      </w:r>
      <w:r>
        <w:rPr>
          <w:spacing w:val="-2"/>
          <w:sz w:val="22"/>
        </w:rPr>
        <w:t> </w:t>
      </w:r>
      <w:r>
        <w:rPr>
          <w:i/>
          <w:sz w:val="22"/>
        </w:rPr>
        <w:t>Pseudomonas</w:t>
      </w:r>
      <w:r>
        <w:rPr>
          <w:i/>
          <w:spacing w:val="-2"/>
          <w:sz w:val="22"/>
        </w:rPr>
        <w:t> </w:t>
      </w:r>
      <w:r>
        <w:rPr>
          <w:i/>
          <w:sz w:val="22"/>
        </w:rPr>
        <w:t>aeruginosa</w:t>
      </w:r>
      <w:r>
        <w:rPr>
          <w:i/>
          <w:spacing w:val="-2"/>
          <w:sz w:val="22"/>
        </w:rPr>
        <w:t> </w:t>
      </w:r>
      <w:r>
        <w:rPr>
          <w:sz w:val="22"/>
        </w:rPr>
        <w:t>however,</w:t>
      </w:r>
      <w:r>
        <w:rPr>
          <w:spacing w:val="-2"/>
          <w:sz w:val="22"/>
        </w:rPr>
        <w:t> </w:t>
      </w:r>
      <w:r>
        <w:rPr>
          <w:sz w:val="22"/>
        </w:rPr>
        <w:t>were</w:t>
      </w:r>
      <w:r>
        <w:rPr>
          <w:spacing w:val="-2"/>
          <w:sz w:val="22"/>
        </w:rPr>
        <w:t> </w:t>
      </w:r>
      <w:r>
        <w:rPr>
          <w:sz w:val="22"/>
        </w:rPr>
        <w:t>susceptible</w:t>
      </w:r>
      <w:r>
        <w:rPr>
          <w:spacing w:val="-2"/>
          <w:sz w:val="22"/>
        </w:rPr>
        <w:t> </w:t>
      </w:r>
      <w:r>
        <w:rPr>
          <w:sz w:val="22"/>
        </w:rPr>
        <w:t>to</w:t>
      </w:r>
      <w:r>
        <w:rPr>
          <w:spacing w:val="-2"/>
          <w:sz w:val="22"/>
        </w:rPr>
        <w:t> </w:t>
      </w:r>
      <w:r>
        <w:rPr>
          <w:sz w:val="22"/>
        </w:rPr>
        <w:t>CRO,</w:t>
      </w:r>
      <w:r>
        <w:rPr>
          <w:spacing w:val="-2"/>
          <w:sz w:val="22"/>
        </w:rPr>
        <w:t> </w:t>
      </w:r>
      <w:r>
        <w:rPr>
          <w:sz w:val="22"/>
        </w:rPr>
        <w:t>CN,</w:t>
      </w:r>
      <w:r>
        <w:rPr>
          <w:spacing w:val="-2"/>
          <w:sz w:val="22"/>
        </w:rPr>
        <w:t> </w:t>
      </w:r>
      <w:r>
        <w:rPr>
          <w:sz w:val="22"/>
        </w:rPr>
        <w:t>LEV, and AZM, but showed remarkable resistance to AMC. </w:t>
      </w:r>
      <w:r>
        <w:rPr>
          <w:i/>
          <w:sz w:val="22"/>
        </w:rPr>
        <w:t>Staphylococcus aureus</w:t>
      </w:r>
      <w:r>
        <w:rPr>
          <w:sz w:val="22"/>
        </w:rPr>
        <w:t>, </w:t>
      </w:r>
      <w:r>
        <w:rPr>
          <w:i/>
          <w:sz w:val="22"/>
        </w:rPr>
        <w:t>Streptococcus pneumoniae</w:t>
      </w:r>
      <w:r>
        <w:rPr>
          <w:sz w:val="22"/>
        </w:rPr>
        <w:t>, and </w:t>
      </w:r>
      <w:r>
        <w:rPr>
          <w:i/>
          <w:sz w:val="22"/>
        </w:rPr>
        <w:t>Streptococcus pyogenes </w:t>
      </w:r>
      <w:r>
        <w:rPr>
          <w:sz w:val="22"/>
        </w:rPr>
        <w:t>were more sensitive to LEV. Generally, all the bacterial isolates were more susceptible to LEV, CRO, and CN; but less susceptible to AMC and AZM.</w:t>
      </w:r>
    </w:p>
    <w:p>
      <w:pPr>
        <w:pStyle w:val="BodyText"/>
        <w:spacing w:line="480" w:lineRule="auto" w:before="59"/>
        <w:ind w:left="1100" w:right="973" w:firstLine="720"/>
        <w:jc w:val="both"/>
      </w:pPr>
      <w:r>
        <w:rPr/>
        <w:t>All the tested bacterial isolates were completely susceptible to the crude concentrations</w:t>
      </w:r>
      <w:r>
        <w:rPr>
          <w:spacing w:val="-1"/>
        </w:rPr>
        <w:t> </w:t>
      </w:r>
      <w:r>
        <w:rPr/>
        <w:t>of</w:t>
      </w:r>
      <w:r>
        <w:rPr>
          <w:spacing w:val="-1"/>
        </w:rPr>
        <w:t> </w:t>
      </w:r>
      <w:r>
        <w:rPr/>
        <w:t>Honey,</w:t>
      </w:r>
      <w:r>
        <w:rPr>
          <w:spacing w:val="-1"/>
        </w:rPr>
        <w:t> </w:t>
      </w:r>
      <w:r>
        <w:rPr/>
        <w:t>Lemon juice and</w:t>
      </w:r>
      <w:r>
        <w:rPr>
          <w:spacing w:val="-2"/>
        </w:rPr>
        <w:t> </w:t>
      </w:r>
      <w:r>
        <w:rPr/>
        <w:t>the</w:t>
      </w:r>
      <w:r>
        <w:rPr>
          <w:spacing w:val="-1"/>
        </w:rPr>
        <w:t> </w:t>
      </w:r>
      <w:r>
        <w:rPr/>
        <w:t>mixture</w:t>
      </w:r>
      <w:r>
        <w:rPr>
          <w:spacing w:val="-1"/>
        </w:rPr>
        <w:t> </w:t>
      </w:r>
      <w:r>
        <w:rPr/>
        <w:t>of</w:t>
      </w:r>
      <w:r>
        <w:rPr>
          <w:spacing w:val="-1"/>
        </w:rPr>
        <w:t> </w:t>
      </w:r>
      <w:r>
        <w:rPr/>
        <w:t>Honey</w:t>
      </w:r>
      <w:r>
        <w:rPr>
          <w:spacing w:val="-1"/>
        </w:rPr>
        <w:t> </w:t>
      </w:r>
      <w:r>
        <w:rPr/>
        <w:t>and</w:t>
      </w:r>
      <w:r>
        <w:rPr>
          <w:spacing w:val="-3"/>
        </w:rPr>
        <w:t> </w:t>
      </w:r>
      <w:r>
        <w:rPr/>
        <w:t>Lemon juice.</w:t>
      </w:r>
      <w:r>
        <w:rPr>
          <w:spacing w:val="-1"/>
        </w:rPr>
        <w:t> </w:t>
      </w:r>
      <w:r>
        <w:rPr/>
        <w:t>They were also moderately susceptible to Honey at 50 % v/v concentration, Lemon juice at 25 % v/v concentration; but showed resistance to Honey at 25 % v/v concentration. This is in agreement to works done by Kawaii </w:t>
      </w:r>
      <w:r>
        <w:rPr>
          <w:i/>
        </w:rPr>
        <w:t>et al</w:t>
      </w:r>
      <w:r>
        <w:rPr/>
        <w:t>., (2000) and Ifra and Sheikh, (2009) who reported that the stock solution of the honey samples inhibited the growth of all the bacterial</w:t>
      </w:r>
      <w:r>
        <w:rPr>
          <w:spacing w:val="80"/>
        </w:rPr>
        <w:t> </w:t>
      </w:r>
      <w:r>
        <w:rPr/>
        <w:t>isolates, but when the dilutions were made the efficacy reduced.</w:t>
      </w:r>
    </w:p>
    <w:p>
      <w:pPr>
        <w:spacing w:after="0" w:line="480" w:lineRule="auto"/>
        <w:jc w:val="both"/>
        <w:sectPr>
          <w:pgSz w:w="11910" w:h="16840"/>
          <w:pgMar w:header="0" w:footer="1055" w:top="1380" w:bottom="1240" w:left="1060" w:right="460"/>
        </w:sectPr>
      </w:pPr>
    </w:p>
    <w:p>
      <w:pPr>
        <w:pStyle w:val="BodyText"/>
        <w:spacing w:line="480" w:lineRule="auto" w:before="38"/>
        <w:ind w:left="1100" w:right="972" w:firstLine="720"/>
        <w:jc w:val="both"/>
      </w:pPr>
      <w:r>
        <w:rPr/>
        <w:t>This activity of honey is attributed to its antibacterial property with regards to its high osmolarity, acidity (low pH) and content of hydrogen peroxide (H</w:t>
      </w:r>
      <w:r>
        <w:rPr>
          <w:vertAlign w:val="subscript"/>
        </w:rPr>
        <w:t>2</w:t>
      </w:r>
      <w:r>
        <w:rPr>
          <w:vertAlign w:val="baseline"/>
        </w:rPr>
        <w:t>O</w:t>
      </w:r>
      <w:r>
        <w:rPr>
          <w:vertAlign w:val="subscript"/>
        </w:rPr>
        <w:t>2</w:t>
      </w:r>
      <w:r>
        <w:rPr>
          <w:vertAlign w:val="baseline"/>
        </w:rPr>
        <w:t>) and non-peroxide components, i.e., the presence of phytochemical components like methylglyoxal (MGO) (Weston, 2000; Mavric </w:t>
      </w:r>
      <w:r>
        <w:rPr>
          <w:i/>
          <w:vertAlign w:val="baseline"/>
        </w:rPr>
        <w:t>et al</w:t>
      </w:r>
      <w:r>
        <w:rPr>
          <w:vertAlign w:val="baseline"/>
        </w:rPr>
        <w:t>., 2008). The antimicrobial agents in honey are predominantly hydrogen peroxide, of which the concentration is determined by relative levels of glucose oxidase, synthesized by the bee and catalase originating from flower pollen (Mavric </w:t>
      </w:r>
      <w:r>
        <w:rPr>
          <w:i/>
          <w:vertAlign w:val="baseline"/>
        </w:rPr>
        <w:t>et al</w:t>
      </w:r>
      <w:r>
        <w:rPr>
          <w:vertAlign w:val="baseline"/>
        </w:rPr>
        <w:t>., 2008). Most types of honey generate Hydrogen peroxide (H</w:t>
      </w:r>
      <w:r>
        <w:rPr>
          <w:vertAlign w:val="subscript"/>
        </w:rPr>
        <w:t>2</w:t>
      </w:r>
      <w:r>
        <w:rPr>
          <w:vertAlign w:val="baseline"/>
        </w:rPr>
        <w:t>O</w:t>
      </w:r>
      <w:r>
        <w:rPr>
          <w:vertAlign w:val="subscript"/>
        </w:rPr>
        <w:t>2</w:t>
      </w:r>
      <w:r>
        <w:rPr>
          <w:vertAlign w:val="baseline"/>
        </w:rPr>
        <w:t>) when diluted, because of</w:t>
      </w:r>
      <w:r>
        <w:rPr>
          <w:spacing w:val="40"/>
          <w:vertAlign w:val="baseline"/>
        </w:rPr>
        <w:t> </w:t>
      </w:r>
      <w:r>
        <w:rPr>
          <w:vertAlign w:val="baseline"/>
        </w:rPr>
        <w:t>the activation</w:t>
      </w:r>
      <w:r>
        <w:rPr>
          <w:spacing w:val="-2"/>
          <w:vertAlign w:val="baseline"/>
        </w:rPr>
        <w:t> </w:t>
      </w:r>
      <w:r>
        <w:rPr>
          <w:vertAlign w:val="baseline"/>
        </w:rPr>
        <w:t>of the</w:t>
      </w:r>
      <w:r>
        <w:rPr>
          <w:spacing w:val="-1"/>
          <w:vertAlign w:val="baseline"/>
        </w:rPr>
        <w:t> </w:t>
      </w:r>
      <w:r>
        <w:rPr>
          <w:vertAlign w:val="baseline"/>
        </w:rPr>
        <w:t>enzyme glucose</w:t>
      </w:r>
      <w:r>
        <w:rPr>
          <w:spacing w:val="-1"/>
          <w:vertAlign w:val="baseline"/>
        </w:rPr>
        <w:t> </w:t>
      </w:r>
      <w:r>
        <w:rPr>
          <w:vertAlign w:val="baseline"/>
        </w:rPr>
        <w:t>oxidase</w:t>
      </w:r>
      <w:r>
        <w:rPr>
          <w:spacing w:val="-1"/>
          <w:vertAlign w:val="baseline"/>
        </w:rPr>
        <w:t> </w:t>
      </w:r>
      <w:r>
        <w:rPr>
          <w:vertAlign w:val="baseline"/>
        </w:rPr>
        <w:t>that</w:t>
      </w:r>
      <w:r>
        <w:rPr>
          <w:spacing w:val="-1"/>
          <w:vertAlign w:val="baseline"/>
        </w:rPr>
        <w:t> </w:t>
      </w:r>
      <w:r>
        <w:rPr>
          <w:vertAlign w:val="baseline"/>
        </w:rPr>
        <w:t>oxidizes glucose</w:t>
      </w:r>
      <w:r>
        <w:rPr>
          <w:spacing w:val="-1"/>
          <w:vertAlign w:val="baseline"/>
        </w:rPr>
        <w:t> </w:t>
      </w:r>
      <w:r>
        <w:rPr>
          <w:vertAlign w:val="baseline"/>
        </w:rPr>
        <w:t>to gluconic</w:t>
      </w:r>
      <w:r>
        <w:rPr>
          <w:spacing w:val="-1"/>
          <w:vertAlign w:val="baseline"/>
        </w:rPr>
        <w:t> </w:t>
      </w:r>
      <w:r>
        <w:rPr>
          <w:vertAlign w:val="baseline"/>
        </w:rPr>
        <w:t>acid and H</w:t>
      </w:r>
      <w:r>
        <w:rPr>
          <w:vertAlign w:val="subscript"/>
        </w:rPr>
        <w:t>2</w:t>
      </w:r>
      <w:r>
        <w:rPr>
          <w:vertAlign w:val="baseline"/>
        </w:rPr>
        <w:t>O</w:t>
      </w:r>
      <w:r>
        <w:rPr>
          <w:vertAlign w:val="subscript"/>
        </w:rPr>
        <w:t>2</w:t>
      </w:r>
      <w:r>
        <w:rPr>
          <w:vertAlign w:val="baseline"/>
        </w:rPr>
        <w:t>, which thus attributes the antimicrobial activity (Bang </w:t>
      </w:r>
      <w:r>
        <w:rPr>
          <w:i/>
          <w:vertAlign w:val="baseline"/>
        </w:rPr>
        <w:t>et al</w:t>
      </w:r>
      <w:r>
        <w:rPr>
          <w:vertAlign w:val="baseline"/>
        </w:rPr>
        <w:t>., 2003).</w:t>
      </w:r>
    </w:p>
    <w:p>
      <w:pPr>
        <w:pStyle w:val="BodyText"/>
        <w:spacing w:line="480" w:lineRule="auto" w:before="61"/>
        <w:ind w:left="1100" w:right="973" w:firstLine="720"/>
        <w:jc w:val="both"/>
      </w:pPr>
      <w:r>
        <w:rPr/>
        <w:t>Apart from honey and lemon being active against the tested bacteria in this study, it has also been found to be active against other bacteria by other researchers; for example, research conducted on manuka (</w:t>
      </w:r>
      <w:r>
        <w:rPr>
          <w:i/>
        </w:rPr>
        <w:t>L. scoparium</w:t>
      </w:r>
      <w:r>
        <w:rPr/>
        <w:t>) honey, demonstrated effectiveness against several human pathogens, including </w:t>
      </w:r>
      <w:r>
        <w:rPr>
          <w:i/>
        </w:rPr>
        <w:t>Escherichia coli</w:t>
      </w:r>
      <w:r>
        <w:rPr/>
        <w:t>, </w:t>
      </w:r>
      <w:r>
        <w:rPr>
          <w:i/>
        </w:rPr>
        <w:t>Enterobacter aerogenes</w:t>
      </w:r>
      <w:r>
        <w:rPr/>
        <w:t>, </w:t>
      </w:r>
      <w:r>
        <w:rPr>
          <w:i/>
        </w:rPr>
        <w:t>Salmonella typhimurium</w:t>
      </w:r>
      <w:r>
        <w:rPr/>
        <w:t>, </w:t>
      </w:r>
      <w:r>
        <w:rPr>
          <w:i/>
        </w:rPr>
        <w:t>Staphylococcus aureus </w:t>
      </w:r>
      <w:r>
        <w:rPr/>
        <w:t>(Visavadia </w:t>
      </w:r>
      <w:r>
        <w:rPr>
          <w:i/>
        </w:rPr>
        <w:t>et al., </w:t>
      </w:r>
      <w:r>
        <w:rPr/>
        <w:t>2006). Laboratory studies have revealed that honey is effective against methicillin-resistant </w:t>
      </w:r>
      <w:r>
        <w:rPr>
          <w:i/>
        </w:rPr>
        <w:t>Staphylococcus aureus </w:t>
      </w:r>
      <w:r>
        <w:rPr/>
        <w:t>(MRSA), β-haemolytic </w:t>
      </w:r>
      <w:r>
        <w:rPr>
          <w:i/>
        </w:rPr>
        <w:t>Streptococci </w:t>
      </w:r>
      <w:r>
        <w:rPr/>
        <w:t>and vancomycin resistant </w:t>
      </w:r>
      <w:r>
        <w:rPr>
          <w:i/>
        </w:rPr>
        <w:t>Enterococci </w:t>
      </w:r>
      <w:r>
        <w:rPr/>
        <w:t>(VRE) (Allen </w:t>
      </w:r>
      <w:r>
        <w:rPr>
          <w:i/>
        </w:rPr>
        <w:t>et al</w:t>
      </w:r>
      <w:r>
        <w:rPr/>
        <w:t>., 2000; Kingsley, 2001). The zone diameter of inhibition of different honey samples (5-20 % concentration) has been determined against </w:t>
      </w:r>
      <w:r>
        <w:rPr>
          <w:i/>
        </w:rPr>
        <w:t>E. coli </w:t>
      </w:r>
      <w:r>
        <w:rPr/>
        <w:t>O157:H7 and </w:t>
      </w:r>
      <w:r>
        <w:rPr>
          <w:i/>
        </w:rPr>
        <w:t>Salmonella typhimurium, </w:t>
      </w:r>
      <w:r>
        <w:rPr/>
        <w:t>where (12 mm -</w:t>
      </w:r>
      <w:r>
        <w:rPr>
          <w:spacing w:val="-1"/>
        </w:rPr>
        <w:t> </w:t>
      </w:r>
      <w:r>
        <w:rPr/>
        <w:t>24 mm) and (0 mm – 20</w:t>
      </w:r>
      <w:r>
        <w:rPr>
          <w:spacing w:val="-1"/>
        </w:rPr>
        <w:t> </w:t>
      </w:r>
      <w:r>
        <w:rPr/>
        <w:t>mm) zones of inhibition were</w:t>
      </w:r>
      <w:r>
        <w:rPr>
          <w:spacing w:val="-1"/>
        </w:rPr>
        <w:t> </w:t>
      </w:r>
      <w:r>
        <w:rPr/>
        <w:t>obtained respectively (Badawy </w:t>
      </w:r>
      <w:r>
        <w:rPr>
          <w:i/>
        </w:rPr>
        <w:t>et al</w:t>
      </w:r>
      <w:r>
        <w:rPr/>
        <w:t>., 2004). This is contrary to results obtained in this study especially for the 25% dilution. Agbagwa and Frank-Peterside (2010) examined different honey samples: Western Nigerian honey, Southern Nigerian honey, Eastern Nigerian honey and Northern Nigerian honey, and compared their abilities to inhibit the growth of </w:t>
      </w:r>
      <w:r>
        <w:rPr>
          <w:i/>
        </w:rPr>
        <w:t>Staphylococcus aureus</w:t>
      </w:r>
      <w:r>
        <w:rPr/>
        <w:t>, </w:t>
      </w:r>
      <w:r>
        <w:rPr>
          <w:i/>
        </w:rPr>
        <w:t>Pseudomonas aeruginosa</w:t>
      </w:r>
      <w:r>
        <w:rPr/>
        <w:t>, </w:t>
      </w:r>
      <w:r>
        <w:rPr>
          <w:i/>
        </w:rPr>
        <w:t>Escherichia coli </w:t>
      </w:r>
      <w:r>
        <w:rPr/>
        <w:t>and </w:t>
      </w:r>
      <w:r>
        <w:rPr>
          <w:i/>
        </w:rPr>
        <w:t>Proteus mirabilis </w:t>
      </w:r>
      <w:r>
        <w:rPr/>
        <w:t>with an average of zone diameter of inhibition (5.3-11.6) mm, (1.4-15.4) mm, (4.4-13.5) mm and (9.1-17) mm, respectively, and with honey concentrations of 80%-100%.</w:t>
      </w:r>
    </w:p>
    <w:p>
      <w:pPr>
        <w:spacing w:after="0" w:line="480" w:lineRule="auto"/>
        <w:jc w:val="both"/>
        <w:sectPr>
          <w:pgSz w:w="11910" w:h="16840"/>
          <w:pgMar w:header="0" w:footer="1055" w:top="1380" w:bottom="1240" w:left="1060" w:right="460"/>
        </w:sectPr>
      </w:pPr>
    </w:p>
    <w:p>
      <w:pPr>
        <w:pStyle w:val="BodyText"/>
        <w:spacing w:line="480" w:lineRule="auto" w:before="38"/>
        <w:ind w:left="1100" w:right="973" w:firstLine="720"/>
        <w:jc w:val="both"/>
      </w:pPr>
      <w:r>
        <w:rPr/>
        <w:t>Using the MIC for</w:t>
      </w:r>
      <w:r>
        <w:rPr>
          <w:spacing w:val="-1"/>
        </w:rPr>
        <w:t> </w:t>
      </w:r>
      <w:r>
        <w:rPr/>
        <w:t>the resistance profile, it was found that the bacterial isolates</w:t>
      </w:r>
      <w:r>
        <w:rPr>
          <w:spacing w:val="-1"/>
        </w:rPr>
        <w:t> </w:t>
      </w:r>
      <w:r>
        <w:rPr/>
        <w:t>were more resistant to Amoxicillin-Clavulanic Acid and Azithromycin due to increase in the MIC and MBC values. The bacterial isolates were more sensitive to Ceftriaxone and Levofloxacin; and moderately sensitive to Gentamicin as observed with the decrease in MIC and MBC values. Generally, there was reduction in MIC and MBC in the mixture of Honey and Lemon compared to the Honey alone. However, there was increase in the MIC and the MBC in the mixture of Honey and Lemon compared to the Lemon alone. This is probably because lemon has low acidity pH than honey. The least MIC values observed for Honey and Lemon juice</w:t>
      </w:r>
      <w:r>
        <w:rPr>
          <w:spacing w:val="40"/>
        </w:rPr>
        <w:t> </w:t>
      </w:r>
      <w:r>
        <w:rPr/>
        <w:t>was 15 (µg/ml) v/v. However, Sherlock </w:t>
      </w:r>
      <w:r>
        <w:rPr>
          <w:i/>
        </w:rPr>
        <w:t>et al</w:t>
      </w:r>
      <w:r>
        <w:rPr/>
        <w:t>., (2010) reported a lower MIC value in ulmo (</w:t>
      </w:r>
      <w:r>
        <w:rPr>
          <w:i/>
        </w:rPr>
        <w:t>Eucryphia cordifolia</w:t>
      </w:r>
      <w:r>
        <w:rPr/>
        <w:t>) honey (3.1 - 6.3 % v/v) than in manuka honey (12.5 % v/v) for MRSA isolates; while for the </w:t>
      </w:r>
      <w:r>
        <w:rPr>
          <w:i/>
        </w:rPr>
        <w:t>Escherichia coli </w:t>
      </w:r>
      <w:r>
        <w:rPr/>
        <w:t>and </w:t>
      </w:r>
      <w:r>
        <w:rPr>
          <w:i/>
        </w:rPr>
        <w:t>Pseudomonas </w:t>
      </w:r>
      <w:r>
        <w:rPr/>
        <w:t>strains equivalent MIC values were observed</w:t>
      </w:r>
      <w:r>
        <w:rPr>
          <w:spacing w:val="-1"/>
        </w:rPr>
        <w:t> </w:t>
      </w:r>
      <w:r>
        <w:rPr/>
        <w:t>(12.5 % v/v).</w:t>
      </w:r>
      <w:r>
        <w:rPr>
          <w:spacing w:val="-1"/>
        </w:rPr>
        <w:t> </w:t>
      </w:r>
      <w:r>
        <w:rPr/>
        <w:t>The</w:t>
      </w:r>
      <w:r>
        <w:rPr>
          <w:spacing w:val="-1"/>
        </w:rPr>
        <w:t> </w:t>
      </w:r>
      <w:r>
        <w:rPr/>
        <w:t>MIC values for</w:t>
      </w:r>
      <w:r>
        <w:rPr>
          <w:spacing w:val="-1"/>
        </w:rPr>
        <w:t> </w:t>
      </w:r>
      <w:r>
        <w:rPr/>
        <w:t>Tualang</w:t>
      </w:r>
      <w:r>
        <w:rPr>
          <w:spacing w:val="-2"/>
        </w:rPr>
        <w:t> </w:t>
      </w:r>
      <w:r>
        <w:rPr/>
        <w:t>honey ranged</w:t>
      </w:r>
      <w:r>
        <w:rPr>
          <w:spacing w:val="-1"/>
        </w:rPr>
        <w:t> </w:t>
      </w:r>
      <w:r>
        <w:rPr/>
        <w:t>8.75 – 25 %, while</w:t>
      </w:r>
      <w:r>
        <w:rPr>
          <w:spacing w:val="-1"/>
        </w:rPr>
        <w:t> </w:t>
      </w:r>
      <w:r>
        <w:rPr/>
        <w:t>those for manuka honey ranged 8.75 - 20 % against many pathogenic Gram-positive and Gram negative bacteria as reported by (Tan </w:t>
      </w:r>
      <w:r>
        <w:rPr>
          <w:i/>
        </w:rPr>
        <w:t>et al</w:t>
      </w:r>
      <w:r>
        <w:rPr/>
        <w:t>., 2009).</w:t>
      </w:r>
    </w:p>
    <w:p>
      <w:pPr>
        <w:pStyle w:val="BodyText"/>
        <w:spacing w:line="480" w:lineRule="auto" w:before="61"/>
        <w:ind w:left="1100" w:right="975" w:firstLine="720"/>
        <w:jc w:val="both"/>
      </w:pPr>
      <w:r>
        <w:rPr/>
        <w:t>However, for the standard antibiotics, from the MIC and MBC results, resistance to Ceftriaxone and Levofloxacin is low. This is probably because Ceftriaxone and Levofloxacin are relatively costly, not within the reach of the poor sector of the populace, hence less abused. Thus, high sensitivity profile shown by the organisms to the standard antibiotics</w:t>
      </w:r>
      <w:r>
        <w:rPr>
          <w:spacing w:val="40"/>
        </w:rPr>
        <w:t> </w:t>
      </w:r>
      <w:r>
        <w:rPr/>
        <w:t>used</w:t>
      </w:r>
      <w:r>
        <w:rPr>
          <w:spacing w:val="-3"/>
        </w:rPr>
        <w:t> </w:t>
      </w:r>
      <w:r>
        <w:rPr/>
        <w:t>in</w:t>
      </w:r>
      <w:r>
        <w:rPr>
          <w:spacing w:val="-2"/>
        </w:rPr>
        <w:t> </w:t>
      </w:r>
      <w:r>
        <w:rPr/>
        <w:t>this</w:t>
      </w:r>
      <w:r>
        <w:rPr>
          <w:spacing w:val="-2"/>
        </w:rPr>
        <w:t> </w:t>
      </w:r>
      <w:r>
        <w:rPr/>
        <w:t>study</w:t>
      </w:r>
      <w:r>
        <w:rPr>
          <w:spacing w:val="-2"/>
        </w:rPr>
        <w:t> </w:t>
      </w:r>
      <w:r>
        <w:rPr/>
        <w:t>(especially,</w:t>
      </w:r>
      <w:r>
        <w:rPr>
          <w:spacing w:val="-2"/>
        </w:rPr>
        <w:t> </w:t>
      </w:r>
      <w:r>
        <w:rPr/>
        <w:t>Ceftriaxone,</w:t>
      </w:r>
      <w:r>
        <w:rPr>
          <w:spacing w:val="-2"/>
        </w:rPr>
        <w:t> </w:t>
      </w:r>
      <w:r>
        <w:rPr/>
        <w:t>Gentamicin,</w:t>
      </w:r>
      <w:r>
        <w:rPr>
          <w:spacing w:val="-5"/>
        </w:rPr>
        <w:t> </w:t>
      </w:r>
      <w:r>
        <w:rPr/>
        <w:t>and</w:t>
      </w:r>
      <w:r>
        <w:rPr>
          <w:spacing w:val="-4"/>
        </w:rPr>
        <w:t> </w:t>
      </w:r>
      <w:r>
        <w:rPr/>
        <w:t>Levofloxacin)</w:t>
      </w:r>
      <w:r>
        <w:rPr>
          <w:spacing w:val="-2"/>
        </w:rPr>
        <w:t> </w:t>
      </w:r>
      <w:r>
        <w:rPr/>
        <w:t>is</w:t>
      </w:r>
      <w:r>
        <w:rPr>
          <w:spacing w:val="-2"/>
        </w:rPr>
        <w:t> </w:t>
      </w:r>
      <w:r>
        <w:rPr/>
        <w:t>an</w:t>
      </w:r>
      <w:r>
        <w:rPr>
          <w:spacing w:val="-3"/>
        </w:rPr>
        <w:t> </w:t>
      </w:r>
      <w:r>
        <w:rPr/>
        <w:t>indication</w:t>
      </w:r>
      <w:r>
        <w:rPr>
          <w:spacing w:val="-3"/>
        </w:rPr>
        <w:t> </w:t>
      </w:r>
      <w:r>
        <w:rPr/>
        <w:t>that these drugs are still effective in this region. The aminoglycosides (Gentamicin), though relatively cheap, are only available as injectables and hence not easily abused.</w:t>
      </w:r>
    </w:p>
    <w:p>
      <w:pPr>
        <w:pStyle w:val="BodyText"/>
        <w:spacing w:line="480" w:lineRule="auto" w:before="60"/>
        <w:ind w:left="1100" w:right="974" w:firstLine="720"/>
        <w:jc w:val="both"/>
      </w:pPr>
      <w:r>
        <w:rPr/>
        <w:t>The bacterial isolates less susceptible to Amoxicillin-Clavulanic acid and</w:t>
      </w:r>
      <w:r>
        <w:rPr>
          <w:spacing w:val="80"/>
        </w:rPr>
        <w:t> </w:t>
      </w:r>
      <w:r>
        <w:rPr/>
        <w:t>Azithromycin is in</w:t>
      </w:r>
      <w:r>
        <w:rPr>
          <w:spacing w:val="-1"/>
        </w:rPr>
        <w:t> </w:t>
      </w:r>
      <w:r>
        <w:rPr/>
        <w:t>agreement to a</w:t>
      </w:r>
      <w:r>
        <w:rPr>
          <w:spacing w:val="-2"/>
        </w:rPr>
        <w:t> </w:t>
      </w:r>
      <w:r>
        <w:rPr/>
        <w:t>work done by Abd-el Aal (2007). Abd-El Aal reported in</w:t>
      </w:r>
      <w:r>
        <w:rPr>
          <w:spacing w:val="-1"/>
        </w:rPr>
        <w:t> </w:t>
      </w:r>
      <w:r>
        <w:rPr/>
        <w:t>his work that the mean zone of inhibition produced by honey against the isolated Gram</w:t>
      </w:r>
      <w:r>
        <w:rPr>
          <w:spacing w:val="40"/>
        </w:rPr>
        <w:t> </w:t>
      </w:r>
      <w:r>
        <w:rPr/>
        <w:t>negative</w:t>
      </w:r>
      <w:r>
        <w:rPr>
          <w:spacing w:val="78"/>
        </w:rPr>
        <w:t> </w:t>
      </w:r>
      <w:r>
        <w:rPr/>
        <w:t>organisms</w:t>
      </w:r>
      <w:r>
        <w:rPr>
          <w:spacing w:val="55"/>
          <w:w w:val="150"/>
        </w:rPr>
        <w:t> </w:t>
      </w:r>
      <w:r>
        <w:rPr/>
        <w:t>were</w:t>
      </w:r>
      <w:r>
        <w:rPr>
          <w:spacing w:val="78"/>
        </w:rPr>
        <w:t> </w:t>
      </w:r>
      <w:r>
        <w:rPr/>
        <w:t>significantly</w:t>
      </w:r>
      <w:r>
        <w:rPr>
          <w:spacing w:val="55"/>
          <w:w w:val="150"/>
        </w:rPr>
        <w:t> </w:t>
      </w:r>
      <w:r>
        <w:rPr/>
        <w:t>higher</w:t>
      </w:r>
      <w:r>
        <w:rPr>
          <w:spacing w:val="55"/>
          <w:w w:val="150"/>
        </w:rPr>
        <w:t> </w:t>
      </w:r>
      <w:r>
        <w:rPr/>
        <w:t>than</w:t>
      </w:r>
      <w:r>
        <w:rPr>
          <w:spacing w:val="77"/>
        </w:rPr>
        <w:t> </w:t>
      </w:r>
      <w:r>
        <w:rPr/>
        <w:t>that</w:t>
      </w:r>
      <w:r>
        <w:rPr>
          <w:spacing w:val="55"/>
          <w:w w:val="150"/>
        </w:rPr>
        <w:t> </w:t>
      </w:r>
      <w:r>
        <w:rPr/>
        <w:t>of</w:t>
      </w:r>
      <w:r>
        <w:rPr>
          <w:spacing w:val="79"/>
        </w:rPr>
        <w:t> </w:t>
      </w:r>
      <w:r>
        <w:rPr/>
        <w:t>Amoxicillin-Clavulanic</w:t>
      </w:r>
      <w:r>
        <w:rPr>
          <w:spacing w:val="79"/>
        </w:rPr>
        <w:t> </w:t>
      </w:r>
      <w:r>
        <w:rPr>
          <w:spacing w:val="-2"/>
        </w:rPr>
        <w:t>acid.</w:t>
      </w:r>
    </w:p>
    <w:p>
      <w:pPr>
        <w:spacing w:after="0" w:line="480" w:lineRule="auto"/>
        <w:jc w:val="both"/>
        <w:sectPr>
          <w:pgSz w:w="11910" w:h="16840"/>
          <w:pgMar w:header="0" w:footer="1055" w:top="1380" w:bottom="1240" w:left="1060" w:right="460"/>
        </w:sectPr>
      </w:pPr>
    </w:p>
    <w:p>
      <w:pPr>
        <w:pStyle w:val="BodyText"/>
        <w:spacing w:line="480" w:lineRule="auto" w:before="38"/>
        <w:ind w:left="1100" w:right="974"/>
        <w:jc w:val="both"/>
      </w:pPr>
      <w:r>
        <w:rPr/>
        <w:t>However, Ceftriaxone, Levofloxacin and Gentamicin were observed to be the most active among the reference antibiotics.</w:t>
      </w:r>
    </w:p>
    <w:p>
      <w:pPr>
        <w:pStyle w:val="BodyText"/>
        <w:spacing w:line="480" w:lineRule="auto" w:before="160"/>
        <w:ind w:left="1100" w:right="972" w:firstLine="720"/>
        <w:jc w:val="both"/>
      </w:pPr>
      <w:r>
        <w:rPr/>
        <w:t>Generally, inadequate antimicrobial treatment defined as ineffective treatment of infection, due to non-completion of dosage regimen upon feeling of relief and use of left- over drugs when disturbed with common cold or catarrh is an important factor in the emergence of antibiotic resistant bacteria. Factors that contribute to inadequate antimicrobial treatment of hospitalized patients includes: the prior use of antibiotics not being prescribed to the patients, use of broad spectrum antibiotics, prolonged hospital stay, antibiotics used in poultry farms. Other factors include the spread of resistant organisms by health-care workers to patients, overcrowding and inadequate hospital infection control practices (Marin, 2000). Due to these factors, the populace especially those from remote areas resort to using the nature’s gift around them. Of which honey and lemon has been used by many especially in the treatment of common cold and sore throat and has been found effective.</w:t>
      </w:r>
    </w:p>
    <w:p>
      <w:pPr>
        <w:pStyle w:val="BodyText"/>
        <w:spacing w:line="480" w:lineRule="auto" w:before="160"/>
        <w:ind w:left="1100" w:right="973" w:firstLine="720"/>
        <w:jc w:val="both"/>
      </w:pPr>
      <w:r>
        <w:rPr/>
        <w:t>The pressure of prolonged usage and regular abuse in our society has led to general resistance to many antibiotics. The resistance to Azithromycin and Amoxicillin-Clavulanic could be due to the abuse of these drugs by the populace; since in Nigeria, different antibiotics are readily available from patent medicine shops, street drug vendors, and in open markets; sources where adequate storage conditions are not adhered to. This has also motivated others to resort in the use of honey and lemon which can be obtained in their environment, than spending their money on drugs and at the end will not be found effective due to problem of resistance.</w:t>
      </w:r>
    </w:p>
    <w:p>
      <w:pPr>
        <w:pStyle w:val="BodyText"/>
        <w:spacing w:line="480" w:lineRule="auto" w:before="163"/>
        <w:ind w:left="1100" w:right="974" w:firstLine="720"/>
        <w:jc w:val="both"/>
      </w:pPr>
      <w:r>
        <w:rPr/>
        <w:t>In addition, a significant proportion of the populace are involved in self-medication. As a result, many antibiotics are bought from illegal conduits and such patients only turn to physicians when their self-medication approaches have failed. However, before this stage is</w:t>
      </w:r>
    </w:p>
    <w:p>
      <w:pPr>
        <w:spacing w:after="0" w:line="480" w:lineRule="auto"/>
        <w:jc w:val="both"/>
        <w:sectPr>
          <w:pgSz w:w="11910" w:h="16840"/>
          <w:pgMar w:header="0" w:footer="1055" w:top="1380" w:bottom="1240" w:left="1060" w:right="460"/>
        </w:sectPr>
      </w:pPr>
    </w:p>
    <w:p>
      <w:pPr>
        <w:pStyle w:val="BodyText"/>
        <w:spacing w:line="480" w:lineRule="auto" w:before="38"/>
        <w:ind w:left="1100" w:right="970"/>
        <w:jc w:val="both"/>
      </w:pPr>
      <w:r>
        <w:rPr/>
        <w:t>reached, many antibiotics would have been used and in most cases, inadequate dosage regimens, and extremely short durations are the norm, rather than the exception. The contributory effect of this practice (self-medication) on the emergence of resistant</w:t>
      </w:r>
      <w:r>
        <w:rPr>
          <w:spacing w:val="40"/>
        </w:rPr>
        <w:t> </w:t>
      </w:r>
      <w:r>
        <w:rPr/>
        <w:t>organisms is enormous. Many therefore, tends to traditionally use the honey and lemon when the case is not that complicated than buying drugs from the illegal conduits for self- medication and later suffer for their actions. While some people in some part of Nigeria still rely on traditional medicine as they do not believe in orthodox medicine.</w:t>
      </w:r>
    </w:p>
    <w:p>
      <w:pPr>
        <w:pStyle w:val="BodyText"/>
        <w:spacing w:line="480" w:lineRule="auto" w:before="161"/>
        <w:ind w:left="1100" w:right="972" w:firstLine="720"/>
        <w:jc w:val="both"/>
      </w:pPr>
      <w:r>
        <w:rPr/>
        <w:t>The rate of kill provides more accurate description of antimicrobial activity of antimicrobial agents than does the MIC (Mandal </w:t>
      </w:r>
      <w:r>
        <w:rPr>
          <w:i/>
        </w:rPr>
        <w:t>et al</w:t>
      </w:r>
      <w:r>
        <w:rPr/>
        <w:t>., 2009). The rate of kill of the resistant and even the susceptible </w:t>
      </w:r>
      <w:r>
        <w:rPr>
          <w:i/>
        </w:rPr>
        <w:t>Klebsiella pneumoniae </w:t>
      </w:r>
      <w:r>
        <w:rPr/>
        <w:t>on exposure to the test agents showed that Lemon juice effected a better killing (evidenced by the sharp decrease in the bacterial cell populations) than the Honey, Honey and Lemon juice mixture, and the standard antibiotics. However, Honey and Lemon juice mixture effected a better decrease in the bacterial cell populations than the Lemon, Honey and the standard antibiotics against the resistant </w:t>
      </w:r>
      <w:r>
        <w:rPr>
          <w:i/>
        </w:rPr>
        <w:t>Streptococcus pyogenes</w:t>
      </w:r>
      <w:r>
        <w:rPr/>
        <w:t>. This is due to the highly acidic pH of the honey and lemon juice mixture (though their types of acids differs). It was however, observed that Honey/Lemon mixture and Lemon effected similar decrease in the bacterial cell populations against the susceptible </w:t>
      </w:r>
      <w:r>
        <w:rPr>
          <w:i/>
        </w:rPr>
        <w:t>Streptococcus pneumoniae. </w:t>
      </w:r>
      <w:r>
        <w:rPr/>
        <w:t>Kwakman </w:t>
      </w:r>
      <w:r>
        <w:rPr>
          <w:i/>
        </w:rPr>
        <w:t>et al</w:t>
      </w:r>
      <w:r>
        <w:rPr/>
        <w:t>., (2008) also reported in their work that antibiotic susceptible and resistant isolates of </w:t>
      </w:r>
      <w:r>
        <w:rPr>
          <w:i/>
        </w:rPr>
        <w:t>S. aureus</w:t>
      </w:r>
      <w:r>
        <w:rPr/>
        <w:t>, </w:t>
      </w:r>
      <w:r>
        <w:rPr>
          <w:i/>
        </w:rPr>
        <w:t>S. epidermidis</w:t>
      </w:r>
      <w:r>
        <w:rPr/>
        <w:t>, </w:t>
      </w:r>
      <w:r>
        <w:rPr>
          <w:i/>
        </w:rPr>
        <w:t>Enterococcus faecium</w:t>
      </w:r>
      <w:r>
        <w:rPr/>
        <w:t>, </w:t>
      </w:r>
      <w:r>
        <w:rPr>
          <w:i/>
        </w:rPr>
        <w:t>E. coli</w:t>
      </w:r>
      <w:r>
        <w:rPr/>
        <w:t>, </w:t>
      </w:r>
      <w:r>
        <w:rPr>
          <w:i/>
        </w:rPr>
        <w:t>P. aeruginosa</w:t>
      </w:r>
      <w:r>
        <w:rPr/>
        <w:t>, </w:t>
      </w:r>
      <w:r>
        <w:rPr>
          <w:i/>
        </w:rPr>
        <w:t>E. cloacae</w:t>
      </w:r>
      <w:r>
        <w:rPr/>
        <w:t>, and </w:t>
      </w:r>
      <w:r>
        <w:rPr>
          <w:i/>
        </w:rPr>
        <w:t>Klebsiella oxytoca </w:t>
      </w:r>
      <w:r>
        <w:rPr/>
        <w:t>were killed within 24 h by</w:t>
      </w:r>
      <w:r>
        <w:rPr>
          <w:spacing w:val="40"/>
        </w:rPr>
        <w:t> </w:t>
      </w:r>
      <w:r>
        <w:rPr/>
        <w:t>10 – 40 % (v/v) honey.</w:t>
      </w:r>
    </w:p>
    <w:p>
      <w:pPr>
        <w:pStyle w:val="BodyText"/>
        <w:spacing w:line="480" w:lineRule="auto" w:before="161"/>
        <w:ind w:left="1100" w:right="972" w:firstLine="720"/>
        <w:jc w:val="both"/>
      </w:pPr>
      <w:r>
        <w:rPr/>
        <w:t>The activities of Honey and Lemon mixtures were additive and not antagonistic. Which means the agents are acting additively. This is also because the ratio of the concentration</w:t>
      </w:r>
      <w:r>
        <w:rPr>
          <w:spacing w:val="-2"/>
        </w:rPr>
        <w:t> </w:t>
      </w:r>
      <w:r>
        <w:rPr/>
        <w:t>of</w:t>
      </w:r>
      <w:r>
        <w:rPr>
          <w:spacing w:val="-1"/>
        </w:rPr>
        <w:t> </w:t>
      </w:r>
      <w:r>
        <w:rPr/>
        <w:t>each</w:t>
      </w:r>
      <w:r>
        <w:rPr>
          <w:spacing w:val="-4"/>
        </w:rPr>
        <w:t> </w:t>
      </w:r>
      <w:r>
        <w:rPr/>
        <w:t>of</w:t>
      </w:r>
      <w:r>
        <w:rPr>
          <w:spacing w:val="-1"/>
        </w:rPr>
        <w:t> </w:t>
      </w:r>
      <w:r>
        <w:rPr/>
        <w:t>the</w:t>
      </w:r>
      <w:r>
        <w:rPr>
          <w:spacing w:val="-1"/>
        </w:rPr>
        <w:t> </w:t>
      </w:r>
      <w:r>
        <w:rPr/>
        <w:t>agent</w:t>
      </w:r>
      <w:r>
        <w:rPr>
          <w:spacing w:val="-1"/>
        </w:rPr>
        <w:t> </w:t>
      </w:r>
      <w:r>
        <w:rPr/>
        <w:t>to their</w:t>
      </w:r>
      <w:r>
        <w:rPr>
          <w:spacing w:val="-1"/>
        </w:rPr>
        <w:t> </w:t>
      </w:r>
      <w:r>
        <w:rPr/>
        <w:t>various</w:t>
      </w:r>
      <w:r>
        <w:rPr>
          <w:spacing w:val="-1"/>
        </w:rPr>
        <w:t> </w:t>
      </w:r>
      <w:r>
        <w:rPr/>
        <w:t>minimum inhibitory</w:t>
      </w:r>
      <w:r>
        <w:rPr>
          <w:spacing w:val="-1"/>
        </w:rPr>
        <w:t> </w:t>
      </w:r>
      <w:r>
        <w:rPr/>
        <w:t>concentrations</w:t>
      </w:r>
      <w:r>
        <w:rPr>
          <w:spacing w:val="-1"/>
        </w:rPr>
        <w:t> </w:t>
      </w:r>
      <w:r>
        <w:rPr/>
        <w:t>in</w:t>
      </w:r>
      <w:r>
        <w:rPr>
          <w:spacing w:val="-1"/>
        </w:rPr>
        <w:t> </w:t>
      </w:r>
      <w:r>
        <w:rPr/>
        <w:t>the mixtures were not the same. This also indicates that the minimum inhibitory concentrations</w:t>
      </w:r>
    </w:p>
    <w:p>
      <w:pPr>
        <w:spacing w:after="0" w:line="480" w:lineRule="auto"/>
        <w:jc w:val="both"/>
        <w:sectPr>
          <w:pgSz w:w="11910" w:h="16840"/>
          <w:pgMar w:header="0" w:footer="1055" w:top="1380" w:bottom="1240" w:left="1060" w:right="460"/>
        </w:sectPr>
      </w:pPr>
    </w:p>
    <w:p>
      <w:pPr>
        <w:pStyle w:val="BodyText"/>
        <w:spacing w:line="480" w:lineRule="auto" w:before="38"/>
        <w:ind w:left="1100" w:right="973"/>
        <w:jc w:val="both"/>
      </w:pPr>
      <w:r>
        <w:rPr/>
        <w:t>of the</w:t>
      </w:r>
      <w:r>
        <w:rPr>
          <w:spacing w:val="-2"/>
        </w:rPr>
        <w:t> </w:t>
      </w:r>
      <w:r>
        <w:rPr/>
        <w:t>mixture</w:t>
      </w:r>
      <w:r>
        <w:rPr>
          <w:spacing w:val="-2"/>
        </w:rPr>
        <w:t> </w:t>
      </w:r>
      <w:r>
        <w:rPr/>
        <w:t>of honey and lemon is lower than the</w:t>
      </w:r>
      <w:r>
        <w:rPr>
          <w:spacing w:val="-2"/>
        </w:rPr>
        <w:t> </w:t>
      </w:r>
      <w:r>
        <w:rPr/>
        <w:t>sum</w:t>
      </w:r>
      <w:r>
        <w:rPr>
          <w:spacing w:val="-1"/>
        </w:rPr>
        <w:t> </w:t>
      </w:r>
      <w:r>
        <w:rPr/>
        <w:t>of</w:t>
      </w:r>
      <w:r>
        <w:rPr>
          <w:spacing w:val="-2"/>
        </w:rPr>
        <w:t> </w:t>
      </w:r>
      <w:r>
        <w:rPr/>
        <w:t>their independent</w:t>
      </w:r>
      <w:r>
        <w:rPr>
          <w:spacing w:val="-2"/>
        </w:rPr>
        <w:t> </w:t>
      </w:r>
      <w:r>
        <w:rPr/>
        <w:t>MIC values as used by (Spoorthi </w:t>
      </w:r>
      <w:r>
        <w:rPr>
          <w:i/>
        </w:rPr>
        <w:t>et al</w:t>
      </w:r>
      <w:r>
        <w:rPr/>
        <w:t>., 2011).</w:t>
      </w:r>
    </w:p>
    <w:p>
      <w:pPr>
        <w:pStyle w:val="BodyText"/>
        <w:spacing w:line="480" w:lineRule="auto" w:before="160"/>
        <w:ind w:left="1100" w:right="972" w:firstLine="720"/>
        <w:jc w:val="both"/>
      </w:pPr>
      <w:r>
        <w:rPr/>
        <w:t>The null hypothesis that, ‘honey does not have antibacterial activity against isolates from respiratory tract infections’ was therefore rejected; the null hypothesis that, ‘lemon juice does not have antibacterial activity against isolates from respiratory tract infections’ was also rejected. However, based on the Calculation carried out using the Checkerboard formula for the synergy test, the null hypothesis that, ‘honey and lemon when used in combination do not produce synergistic effect against isolates associated with respiratory tract infections’ was accepted. This is because the ∑FIC index levels of honey/lemon juice mixture falls basically within the additive and indifference level. That is to say honey and lemon</w:t>
      </w:r>
      <w:r>
        <w:rPr>
          <w:spacing w:val="-2"/>
        </w:rPr>
        <w:t> </w:t>
      </w:r>
      <w:r>
        <w:rPr/>
        <w:t>juice</w:t>
      </w:r>
      <w:r>
        <w:rPr>
          <w:spacing w:val="-1"/>
        </w:rPr>
        <w:t> </w:t>
      </w:r>
      <w:r>
        <w:rPr/>
        <w:t>has</w:t>
      </w:r>
      <w:r>
        <w:rPr>
          <w:spacing w:val="-1"/>
        </w:rPr>
        <w:t> </w:t>
      </w:r>
      <w:r>
        <w:rPr/>
        <w:t>additive</w:t>
      </w:r>
      <w:r>
        <w:rPr>
          <w:spacing w:val="-1"/>
        </w:rPr>
        <w:t> </w:t>
      </w:r>
      <w:r>
        <w:rPr/>
        <w:t>effect. There</w:t>
      </w:r>
      <w:r>
        <w:rPr>
          <w:spacing w:val="-1"/>
        </w:rPr>
        <w:t> </w:t>
      </w:r>
      <w:r>
        <w:rPr/>
        <w:t>is</w:t>
      </w:r>
      <w:r>
        <w:rPr>
          <w:spacing w:val="-1"/>
        </w:rPr>
        <w:t> </w:t>
      </w:r>
      <w:r>
        <w:rPr/>
        <w:t>significant</w:t>
      </w:r>
      <w:r>
        <w:rPr>
          <w:spacing w:val="-1"/>
        </w:rPr>
        <w:t> </w:t>
      </w:r>
      <w:r>
        <w:rPr/>
        <w:t>difference in</w:t>
      </w:r>
      <w:r>
        <w:rPr>
          <w:spacing w:val="-3"/>
        </w:rPr>
        <w:t> </w:t>
      </w:r>
      <w:r>
        <w:rPr/>
        <w:t>the</w:t>
      </w:r>
      <w:r>
        <w:rPr>
          <w:spacing w:val="-3"/>
        </w:rPr>
        <w:t> </w:t>
      </w:r>
      <w:r>
        <w:rPr/>
        <w:t>mean</w:t>
      </w:r>
      <w:r>
        <w:rPr>
          <w:spacing w:val="-1"/>
        </w:rPr>
        <w:t> </w:t>
      </w:r>
      <w:r>
        <w:rPr/>
        <w:t>zones of</w:t>
      </w:r>
      <w:r>
        <w:rPr>
          <w:spacing w:val="-1"/>
        </w:rPr>
        <w:t> </w:t>
      </w:r>
      <w:r>
        <w:rPr/>
        <w:t>inhibition between the standard antibiotics and lower concentrations of honey and lemon juice used. This is because</w:t>
      </w:r>
      <w:r>
        <w:rPr>
          <w:spacing w:val="-2"/>
        </w:rPr>
        <w:t> </w:t>
      </w:r>
      <w:r>
        <w:rPr/>
        <w:t>crude</w:t>
      </w:r>
      <w:r>
        <w:rPr>
          <w:spacing w:val="-2"/>
        </w:rPr>
        <w:t> </w:t>
      </w:r>
      <w:r>
        <w:rPr/>
        <w:t>concentrations</w:t>
      </w:r>
      <w:r>
        <w:rPr>
          <w:spacing w:val="-2"/>
        </w:rPr>
        <w:t> </w:t>
      </w:r>
      <w:r>
        <w:rPr/>
        <w:t>of the honey</w:t>
      </w:r>
      <w:r>
        <w:rPr>
          <w:spacing w:val="-1"/>
        </w:rPr>
        <w:t> </w:t>
      </w:r>
      <w:r>
        <w:rPr/>
        <w:t>and lemon juice produces</w:t>
      </w:r>
      <w:r>
        <w:rPr>
          <w:spacing w:val="-1"/>
        </w:rPr>
        <w:t> </w:t>
      </w:r>
      <w:r>
        <w:rPr/>
        <w:t>a better</w:t>
      </w:r>
      <w:r>
        <w:rPr>
          <w:spacing w:val="-2"/>
        </w:rPr>
        <w:t> </w:t>
      </w:r>
      <w:r>
        <w:rPr/>
        <w:t>activity than the lower concentrations. Thus, the significant difference between the standard antibiotics and the lower concentrations of the agents.</w:t>
      </w:r>
    </w:p>
    <w:p>
      <w:pPr>
        <w:pStyle w:val="BodyText"/>
        <w:spacing w:line="480" w:lineRule="auto" w:before="161"/>
        <w:ind w:left="1100" w:right="973" w:firstLine="720"/>
        <w:jc w:val="both"/>
      </w:pPr>
      <w:r>
        <w:rPr/>
        <w:t>The higher the concentration of honey and lemon juice, the better the activity. However, as the dilution increases, the efficacy is reduced. This is in agreement to works done by Kawaii </w:t>
      </w:r>
      <w:r>
        <w:rPr>
          <w:i/>
        </w:rPr>
        <w:t>et al</w:t>
      </w:r>
      <w:r>
        <w:rPr/>
        <w:t>., (2000); Ifra and Sheikh (2009) who reported that the stock solution of the honey samples inhibited the growth of all the bacterial isolates, but when the dilutions were made the efficacy reduced.</w:t>
      </w:r>
    </w:p>
    <w:p>
      <w:pPr>
        <w:pStyle w:val="BodyText"/>
        <w:spacing w:line="480" w:lineRule="auto" w:before="161"/>
        <w:ind w:left="1100" w:right="977" w:firstLine="720"/>
        <w:jc w:val="both"/>
      </w:pPr>
      <w:r>
        <w:rPr/>
        <w:t>Therefore, as vividly demonstrated in this research, Honey, Lemon and Honey/Lemon mixture were found to possess antibacterial activity; but to varying degrees. The mixture in various proportions gave a better activity compared to Honey alone, Lemon alone (in some of the organisms) and relative activity to Lemon in other organisms.</w:t>
      </w:r>
    </w:p>
    <w:p>
      <w:pPr>
        <w:spacing w:after="0" w:line="480" w:lineRule="auto"/>
        <w:jc w:val="both"/>
        <w:sectPr>
          <w:pgSz w:w="11910" w:h="16840"/>
          <w:pgMar w:header="0" w:footer="1055" w:top="138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3"/>
      </w:pPr>
    </w:p>
    <w:p>
      <w:pPr>
        <w:pStyle w:val="Heading2"/>
        <w:ind w:left="123"/>
        <w:jc w:val="center"/>
      </w:pPr>
      <w:r>
        <w:rPr/>
        <w:t>CHAPTER</w:t>
      </w:r>
      <w:r>
        <w:rPr>
          <w:spacing w:val="-7"/>
        </w:rPr>
        <w:t> </w:t>
      </w:r>
      <w:r>
        <w:rPr>
          <w:spacing w:val="-5"/>
        </w:rPr>
        <w:t>SIX</w:t>
      </w:r>
    </w:p>
    <w:p>
      <w:pPr>
        <w:pStyle w:val="BodyText"/>
        <w:spacing w:before="161"/>
        <w:rPr>
          <w:b/>
        </w:rPr>
      </w:pPr>
    </w:p>
    <w:p>
      <w:pPr>
        <w:pStyle w:val="ListParagraph"/>
        <w:numPr>
          <w:ilvl w:val="0"/>
          <w:numId w:val="5"/>
        </w:numPr>
        <w:tabs>
          <w:tab w:pos="2021" w:val="left" w:leader="none"/>
        </w:tabs>
        <w:spacing w:line="240" w:lineRule="auto" w:before="0" w:after="0"/>
        <w:ind w:left="2021" w:right="0" w:hanging="1641"/>
        <w:jc w:val="left"/>
        <w:rPr>
          <w:b/>
          <w:sz w:val="22"/>
        </w:rPr>
      </w:pPr>
      <w:r>
        <w:rPr>
          <w:b/>
          <w:sz w:val="22"/>
        </w:rPr>
        <w:t>SUMMARY,</w:t>
      </w:r>
      <w:r>
        <w:rPr>
          <w:b/>
          <w:spacing w:val="-8"/>
          <w:sz w:val="22"/>
        </w:rPr>
        <w:t> </w:t>
      </w:r>
      <w:r>
        <w:rPr>
          <w:b/>
          <w:sz w:val="22"/>
        </w:rPr>
        <w:t>CONCLUSION</w:t>
      </w:r>
      <w:r>
        <w:rPr>
          <w:b/>
          <w:spacing w:val="-7"/>
          <w:sz w:val="22"/>
        </w:rPr>
        <w:t> </w:t>
      </w:r>
      <w:r>
        <w:rPr>
          <w:b/>
          <w:sz w:val="22"/>
        </w:rPr>
        <w:t>AND</w:t>
      </w:r>
      <w:r>
        <w:rPr>
          <w:b/>
          <w:spacing w:val="-7"/>
          <w:sz w:val="22"/>
        </w:rPr>
        <w:t> </w:t>
      </w:r>
      <w:r>
        <w:rPr>
          <w:b/>
          <w:spacing w:val="-2"/>
          <w:sz w:val="22"/>
        </w:rPr>
        <w:t>RECOMMENDATION</w:t>
      </w:r>
    </w:p>
    <w:p>
      <w:pPr>
        <w:pStyle w:val="BodyText"/>
        <w:spacing w:before="159"/>
        <w:rPr>
          <w:b/>
        </w:rPr>
      </w:pPr>
    </w:p>
    <w:p>
      <w:pPr>
        <w:pStyle w:val="Heading3"/>
        <w:tabs>
          <w:tab w:pos="4701" w:val="left" w:leader="none"/>
        </w:tabs>
        <w:ind w:left="380"/>
      </w:pPr>
      <w:r>
        <w:rPr>
          <w:spacing w:val="-5"/>
        </w:rPr>
        <w:t>6.1</w:t>
      </w:r>
      <w:r>
        <w:rPr/>
        <w:tab/>
      </w:r>
      <w:r>
        <w:rPr>
          <w:spacing w:val="-2"/>
        </w:rPr>
        <w:t>Summary</w:t>
      </w:r>
    </w:p>
    <w:p>
      <w:pPr>
        <w:spacing w:after="0"/>
        <w:sectPr>
          <w:pgSz w:w="11910" w:h="16840"/>
          <w:pgMar w:header="0" w:footer="1055" w:top="1920" w:bottom="1240" w:left="1060" w:right="460"/>
        </w:sectPr>
      </w:pPr>
    </w:p>
    <w:p>
      <w:pPr>
        <w:pStyle w:val="BodyText"/>
        <w:spacing w:line="480" w:lineRule="auto" w:before="38"/>
        <w:ind w:left="1100" w:right="973"/>
        <w:jc w:val="both"/>
      </w:pPr>
      <w:r>
        <w:rPr/>
        <w:t>This research evaluated the efficacy of Honey and Lemon juice against bacterial isolates</w:t>
      </w:r>
      <w:r>
        <w:rPr>
          <w:spacing w:val="80"/>
        </w:rPr>
        <w:t> </w:t>
      </w:r>
      <w:r>
        <w:rPr/>
        <w:t>from respiratory tract infections;</w:t>
      </w:r>
      <w:r>
        <w:rPr>
          <w:spacing w:val="-1"/>
        </w:rPr>
        <w:t> </w:t>
      </w:r>
      <w:r>
        <w:rPr/>
        <w:t>and evaluated and</w:t>
      </w:r>
      <w:r>
        <w:rPr>
          <w:spacing w:val="-3"/>
        </w:rPr>
        <w:t> </w:t>
      </w:r>
      <w:r>
        <w:rPr/>
        <w:t>compared their</w:t>
      </w:r>
      <w:r>
        <w:rPr>
          <w:spacing w:val="-2"/>
        </w:rPr>
        <w:t> </w:t>
      </w:r>
      <w:r>
        <w:rPr/>
        <w:t>activities separately</w:t>
      </w:r>
      <w:r>
        <w:rPr>
          <w:spacing w:val="-2"/>
        </w:rPr>
        <w:t> </w:t>
      </w:r>
      <w:r>
        <w:rPr/>
        <w:t>and the mixture of the two agents. Their activities in comparison with the standard antibiotic formulations were also compared.</w:t>
      </w:r>
    </w:p>
    <w:p>
      <w:pPr>
        <w:pStyle w:val="BodyText"/>
        <w:spacing w:before="161"/>
        <w:ind w:left="1100"/>
        <w:jc w:val="both"/>
      </w:pPr>
      <w:r>
        <w:rPr/>
        <w:t>The</w:t>
      </w:r>
      <w:r>
        <w:rPr>
          <w:spacing w:val="-4"/>
        </w:rPr>
        <w:t> </w:t>
      </w:r>
      <w:r>
        <w:rPr/>
        <w:t>following</w:t>
      </w:r>
      <w:r>
        <w:rPr>
          <w:spacing w:val="-4"/>
        </w:rPr>
        <w:t> </w:t>
      </w:r>
      <w:r>
        <w:rPr/>
        <w:t>were</w:t>
      </w:r>
      <w:r>
        <w:rPr>
          <w:spacing w:val="-4"/>
        </w:rPr>
        <w:t> </w:t>
      </w:r>
      <w:r>
        <w:rPr/>
        <w:t>the</w:t>
      </w:r>
      <w:r>
        <w:rPr>
          <w:spacing w:val="-4"/>
        </w:rPr>
        <w:t> </w:t>
      </w:r>
      <w:r>
        <w:rPr/>
        <w:t>major</w:t>
      </w:r>
      <w:r>
        <w:rPr>
          <w:spacing w:val="-3"/>
        </w:rPr>
        <w:t> </w:t>
      </w:r>
      <w:r>
        <w:rPr>
          <w:spacing w:val="-2"/>
        </w:rPr>
        <w:t>findings:</w:t>
      </w:r>
    </w:p>
    <w:p>
      <w:pPr>
        <w:pStyle w:val="BodyText"/>
        <w:spacing w:before="159"/>
      </w:pPr>
    </w:p>
    <w:p>
      <w:pPr>
        <w:pStyle w:val="BodyText"/>
        <w:ind w:left="1100"/>
        <w:jc w:val="both"/>
      </w:pPr>
      <w:r>
        <w:rPr/>
        <w:t>Retrospective</w:t>
      </w:r>
      <w:r>
        <w:rPr>
          <w:spacing w:val="-7"/>
        </w:rPr>
        <w:t> </w:t>
      </w:r>
      <w:r>
        <w:rPr/>
        <w:t>study</w:t>
      </w:r>
      <w:r>
        <w:rPr>
          <w:spacing w:val="-6"/>
        </w:rPr>
        <w:t> </w:t>
      </w:r>
      <w:r>
        <w:rPr/>
        <w:t>of</w:t>
      </w:r>
      <w:r>
        <w:rPr>
          <w:spacing w:val="-7"/>
        </w:rPr>
        <w:t> </w:t>
      </w:r>
      <w:r>
        <w:rPr/>
        <w:t>patients</w:t>
      </w:r>
      <w:r>
        <w:rPr>
          <w:spacing w:val="-4"/>
        </w:rPr>
        <w:t> </w:t>
      </w:r>
      <w:r>
        <w:rPr/>
        <w:t>records</w:t>
      </w:r>
      <w:r>
        <w:rPr>
          <w:spacing w:val="-7"/>
        </w:rPr>
        <w:t> </w:t>
      </w:r>
      <w:r>
        <w:rPr/>
        <w:t>from</w:t>
      </w:r>
      <w:r>
        <w:rPr>
          <w:spacing w:val="-5"/>
        </w:rPr>
        <w:t> </w:t>
      </w:r>
      <w:r>
        <w:rPr/>
        <w:t>2011-2012</w:t>
      </w:r>
      <w:r>
        <w:rPr>
          <w:spacing w:val="-4"/>
        </w:rPr>
        <w:t> </w:t>
      </w:r>
      <w:r>
        <w:rPr/>
        <w:t>revealed</w:t>
      </w:r>
      <w:r>
        <w:rPr>
          <w:spacing w:val="-7"/>
        </w:rPr>
        <w:t> </w:t>
      </w:r>
      <w:r>
        <w:rPr>
          <w:spacing w:val="-2"/>
        </w:rPr>
        <w:t>that:</w:t>
      </w:r>
    </w:p>
    <w:p>
      <w:pPr>
        <w:pStyle w:val="BodyText"/>
        <w:spacing w:before="162"/>
      </w:pPr>
    </w:p>
    <w:p>
      <w:pPr>
        <w:spacing w:line="480" w:lineRule="auto" w:before="0"/>
        <w:ind w:left="1100" w:right="972" w:firstLine="0"/>
        <w:jc w:val="both"/>
        <w:rPr>
          <w:sz w:val="22"/>
        </w:rPr>
      </w:pPr>
      <w:r>
        <w:rPr>
          <w:i/>
          <w:sz w:val="22"/>
        </w:rPr>
        <w:t>Streptococcus pneumoniae </w:t>
      </w:r>
      <w:r>
        <w:rPr>
          <w:sz w:val="22"/>
        </w:rPr>
        <w:t>was the major pathogen of the respiratory tract infections followed by </w:t>
      </w:r>
      <w:r>
        <w:rPr>
          <w:i/>
          <w:sz w:val="22"/>
        </w:rPr>
        <w:t>Staphylococcus aureus, Klebsiella pneumoniae, Streptococcus pyogenes, </w:t>
      </w:r>
      <w:r>
        <w:rPr>
          <w:sz w:val="22"/>
        </w:rPr>
        <w:t>and </w:t>
      </w:r>
      <w:r>
        <w:rPr>
          <w:i/>
          <w:sz w:val="22"/>
        </w:rPr>
        <w:t>pseudomonas aeruginosa</w:t>
      </w:r>
      <w:r>
        <w:rPr>
          <w:sz w:val="22"/>
        </w:rPr>
        <w:t>.</w:t>
      </w:r>
    </w:p>
    <w:p>
      <w:pPr>
        <w:pStyle w:val="BodyText"/>
        <w:spacing w:line="480" w:lineRule="auto" w:before="160"/>
        <w:ind w:left="1100" w:right="972"/>
        <w:jc w:val="both"/>
      </w:pPr>
      <w:r>
        <w:rPr/>
        <w:t>The most commonly prescribed antibiotics were Ceftriaxone, Gentamicin, Amoxicillin- Clavulanic acid (Augmentin</w:t>
      </w:r>
      <w:r>
        <w:rPr>
          <w:vertAlign w:val="superscript"/>
        </w:rPr>
        <w:t>®</w:t>
      </w:r>
      <w:r>
        <w:rPr>
          <w:vertAlign w:val="baseline"/>
        </w:rPr>
        <w:t>), Ciprofloxacin, Tetracycline, Ofloxacin, Erythromycin, Amoxicillin, Cefuroxime, Ampicillin, and Cotrimoxazole.</w:t>
      </w:r>
    </w:p>
    <w:p>
      <w:pPr>
        <w:pStyle w:val="BodyText"/>
        <w:spacing w:line="480" w:lineRule="auto" w:before="160"/>
        <w:ind w:left="1100" w:right="973"/>
        <w:jc w:val="both"/>
      </w:pPr>
      <w:r>
        <w:rPr/>
        <w:t>The prospective study which was conducted from March, 2012 to March, 2013; showed</w:t>
      </w:r>
      <w:r>
        <w:rPr>
          <w:spacing w:val="80"/>
        </w:rPr>
        <w:t> </w:t>
      </w:r>
      <w:r>
        <w:rPr>
          <w:spacing w:val="-2"/>
        </w:rPr>
        <w:t>that:</w:t>
      </w:r>
    </w:p>
    <w:p>
      <w:pPr>
        <w:spacing w:line="480" w:lineRule="auto" w:before="159"/>
        <w:ind w:left="1100" w:right="973" w:firstLine="0"/>
        <w:jc w:val="both"/>
        <w:rPr>
          <w:sz w:val="22"/>
        </w:rPr>
      </w:pPr>
      <w:r>
        <w:rPr>
          <w:sz w:val="22"/>
        </w:rPr>
        <w:t>The major pathogen of the respiratory tract infections was </w:t>
      </w:r>
      <w:r>
        <w:rPr>
          <w:i/>
          <w:sz w:val="22"/>
        </w:rPr>
        <w:t>Klebsiella pneumoniae</w:t>
      </w:r>
      <w:r>
        <w:rPr>
          <w:sz w:val="22"/>
        </w:rPr>
        <w:t>, followed by </w:t>
      </w:r>
      <w:r>
        <w:rPr>
          <w:i/>
          <w:sz w:val="22"/>
        </w:rPr>
        <w:t>Staphylococcus aureus</w:t>
      </w:r>
      <w:r>
        <w:rPr>
          <w:sz w:val="22"/>
        </w:rPr>
        <w:t>, </w:t>
      </w:r>
      <w:r>
        <w:rPr>
          <w:i/>
          <w:sz w:val="22"/>
        </w:rPr>
        <w:t>Pseudomonas aeruginosa</w:t>
      </w:r>
      <w:r>
        <w:rPr>
          <w:sz w:val="22"/>
        </w:rPr>
        <w:t>, </w:t>
      </w:r>
      <w:r>
        <w:rPr>
          <w:i/>
          <w:sz w:val="22"/>
        </w:rPr>
        <w:t>Streptococcus pneumoniae</w:t>
      </w:r>
      <w:r>
        <w:rPr>
          <w:sz w:val="22"/>
        </w:rPr>
        <w:t>, </w:t>
      </w:r>
      <w:r>
        <w:rPr>
          <w:i/>
          <w:sz w:val="22"/>
        </w:rPr>
        <w:t>Streptococcus pyogene</w:t>
      </w:r>
      <w:r>
        <w:rPr>
          <w:sz w:val="22"/>
        </w:rPr>
        <w:t>, and </w:t>
      </w:r>
      <w:r>
        <w:rPr>
          <w:i/>
          <w:sz w:val="22"/>
        </w:rPr>
        <w:t>Haemophilus influenzae</w:t>
      </w:r>
      <w:r>
        <w:rPr>
          <w:sz w:val="22"/>
        </w:rPr>
        <w:t>.</w:t>
      </w:r>
    </w:p>
    <w:p>
      <w:pPr>
        <w:pStyle w:val="BodyText"/>
        <w:spacing w:line="480" w:lineRule="auto" w:before="161"/>
        <w:ind w:left="1100" w:right="973"/>
        <w:jc w:val="both"/>
      </w:pPr>
      <w:r>
        <w:rPr/>
        <w:t>Most of the isolates were highly susceptible to Levofloxacin, Ceftriaxone and Gentamicin; less susceptible to Azithromycin and Amoxicillin-Clavulanic acid. Honey and Lemon exerted significant antibacterial activity (</w:t>
      </w:r>
      <w:r>
        <w:rPr>
          <w:i/>
        </w:rPr>
        <w:t>in vitro</w:t>
      </w:r>
      <w:r>
        <w:rPr/>
        <w:t>) against the various organisms, with Honey and Lemon mixture exerting a better activity than most of the standard antibiotics and a striking similarity in activity to some of them.</w:t>
      </w:r>
    </w:p>
    <w:p>
      <w:pPr>
        <w:pStyle w:val="BodyText"/>
        <w:spacing w:line="480" w:lineRule="auto" w:before="134"/>
        <w:ind w:left="1100" w:right="973"/>
        <w:jc w:val="both"/>
      </w:pPr>
      <w:r>
        <w:rPr/>
        <w:t>Honey and lemon mixture gave a better antibacterial activity against the test bacterial isolates, followed by the Lemon and then the Honey.</w:t>
      </w:r>
    </w:p>
    <w:p>
      <w:pPr>
        <w:spacing w:after="0" w:line="480" w:lineRule="auto"/>
        <w:jc w:val="both"/>
        <w:sectPr>
          <w:pgSz w:w="11910" w:h="16840"/>
          <w:pgMar w:header="0" w:footer="1055" w:top="1380" w:bottom="1240" w:left="1060" w:right="460"/>
        </w:sectPr>
      </w:pPr>
    </w:p>
    <w:p>
      <w:pPr>
        <w:pStyle w:val="Heading3"/>
        <w:tabs>
          <w:tab w:pos="4430" w:val="left" w:leader="none"/>
        </w:tabs>
        <w:spacing w:before="195"/>
        <w:ind w:left="380"/>
      </w:pPr>
      <w:r>
        <w:rPr>
          <w:spacing w:val="-5"/>
        </w:rPr>
        <w:t>6.2</w:t>
      </w:r>
      <w:r>
        <w:rPr/>
        <w:tab/>
      </w:r>
      <w:r>
        <w:rPr>
          <w:spacing w:val="-2"/>
        </w:rPr>
        <w:t>Conclusion</w:t>
      </w:r>
    </w:p>
    <w:p>
      <w:pPr>
        <w:pStyle w:val="BodyText"/>
        <w:spacing w:before="161"/>
        <w:rPr>
          <w:b/>
        </w:rPr>
      </w:pPr>
    </w:p>
    <w:p>
      <w:pPr>
        <w:spacing w:line="480" w:lineRule="auto" w:before="0"/>
        <w:ind w:left="1100" w:right="972" w:firstLine="720"/>
        <w:jc w:val="both"/>
        <w:rPr>
          <w:sz w:val="22"/>
        </w:rPr>
      </w:pPr>
      <w:r>
        <w:rPr>
          <w:sz w:val="22"/>
        </w:rPr>
        <w:t>Bacteria isolates associated with respiratory tract infections were found to be </w:t>
      </w:r>
      <w:r>
        <w:rPr>
          <w:i/>
          <w:sz w:val="22"/>
        </w:rPr>
        <w:t>Streptococcus pneumoniae</w:t>
      </w:r>
      <w:r>
        <w:rPr>
          <w:sz w:val="22"/>
        </w:rPr>
        <w:t>, </w:t>
      </w:r>
      <w:r>
        <w:rPr>
          <w:i/>
          <w:sz w:val="22"/>
        </w:rPr>
        <w:t>Streptococcus pyogene</w:t>
      </w:r>
      <w:r>
        <w:rPr>
          <w:sz w:val="22"/>
        </w:rPr>
        <w:t>, </w:t>
      </w:r>
      <w:r>
        <w:rPr>
          <w:i/>
          <w:sz w:val="22"/>
        </w:rPr>
        <w:t>Haemophilus influenzae</w:t>
      </w:r>
      <w:r>
        <w:rPr>
          <w:sz w:val="22"/>
        </w:rPr>
        <w:t>, </w:t>
      </w:r>
      <w:r>
        <w:rPr>
          <w:i/>
          <w:sz w:val="22"/>
        </w:rPr>
        <w:t>Klebsiella pneumoniae</w:t>
      </w:r>
      <w:r>
        <w:rPr>
          <w:sz w:val="22"/>
        </w:rPr>
        <w:t>, </w:t>
      </w:r>
      <w:r>
        <w:rPr>
          <w:i/>
          <w:sz w:val="22"/>
        </w:rPr>
        <w:t>Staphylococcus aureus</w:t>
      </w:r>
      <w:r>
        <w:rPr>
          <w:sz w:val="22"/>
        </w:rPr>
        <w:t>, and </w:t>
      </w:r>
      <w:r>
        <w:rPr>
          <w:i/>
          <w:sz w:val="22"/>
        </w:rPr>
        <w:t>Pseudomonas aeruginosa</w:t>
      </w:r>
      <w:r>
        <w:rPr>
          <w:sz w:val="22"/>
        </w:rPr>
        <w:t>.</w:t>
      </w:r>
    </w:p>
    <w:p>
      <w:pPr>
        <w:pStyle w:val="BodyText"/>
        <w:spacing w:line="480" w:lineRule="auto" w:before="160"/>
        <w:ind w:left="1100" w:right="982"/>
        <w:jc w:val="both"/>
      </w:pPr>
      <w:r>
        <w:rPr/>
        <w:t>The bacterial isolates were found to be more susceptible to Levofloxacin, Ceftriaxone, and Gentamicin; and less susceptible to Azithromicin and Amoxicillin-Clavulanic acid.</w:t>
      </w:r>
    </w:p>
    <w:p>
      <w:pPr>
        <w:pStyle w:val="BodyText"/>
        <w:spacing w:line="480" w:lineRule="auto" w:before="160"/>
        <w:ind w:left="1100" w:right="977" w:firstLine="720"/>
        <w:jc w:val="both"/>
      </w:pPr>
      <w:r>
        <w:rPr/>
        <w:t>The activity of Honey and Lemon juice were found to be additive and not </w:t>
      </w:r>
      <w:r>
        <w:rPr>
          <w:spacing w:val="-2"/>
        </w:rPr>
        <w:t>antagonistic.</w:t>
      </w:r>
    </w:p>
    <w:p>
      <w:pPr>
        <w:pStyle w:val="BodyText"/>
        <w:spacing w:line="480" w:lineRule="auto" w:before="159"/>
        <w:ind w:left="1100" w:right="975" w:firstLine="720"/>
        <w:jc w:val="both"/>
      </w:pPr>
      <w:r>
        <w:rPr/>
        <w:t>Honey and Lemon juice had more inhibitory effect against all the tested bacterial isolates than the commonly used antibiotics especially Azithromycin and Amoxicillin- Clavulanic acid.</w:t>
      </w:r>
    </w:p>
    <w:p>
      <w:pPr>
        <w:pStyle w:val="BodyText"/>
        <w:spacing w:line="480" w:lineRule="auto" w:before="163"/>
        <w:ind w:left="1100" w:right="977" w:firstLine="720"/>
        <w:jc w:val="both"/>
      </w:pPr>
      <w:r>
        <w:rPr/>
        <w:t>Honey and lemon juice generally possess antibacterial activity against the bacterial isolates. This research therefore has provided a scientific basis for the use of honey and lemon juice mixture as an alternative medicine by the populace in the treatment of respiratory tract infections.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3"/>
      </w:pPr>
    </w:p>
    <w:p>
      <w:pPr>
        <w:pStyle w:val="Heading3"/>
        <w:tabs>
          <w:tab w:pos="4158" w:val="left" w:leader="none"/>
        </w:tabs>
        <w:ind w:left="380"/>
      </w:pPr>
      <w:r>
        <w:rPr>
          <w:spacing w:val="-5"/>
        </w:rPr>
        <w:t>6.3</w:t>
      </w:r>
      <w:r>
        <w:rPr/>
        <w:tab/>
      </w:r>
      <w:r>
        <w:rPr>
          <w:spacing w:val="-2"/>
        </w:rPr>
        <w:t>Recommendation</w:t>
      </w:r>
    </w:p>
    <w:p>
      <w:pPr>
        <w:pStyle w:val="BodyText"/>
        <w:spacing w:before="158"/>
        <w:rPr>
          <w:b/>
        </w:rPr>
      </w:pPr>
    </w:p>
    <w:p>
      <w:pPr>
        <w:pStyle w:val="BodyText"/>
        <w:spacing w:line="480" w:lineRule="auto" w:before="1"/>
        <w:ind w:left="1100" w:right="974"/>
        <w:jc w:val="both"/>
      </w:pPr>
      <w:r>
        <w:rPr/>
        <w:t>It is therefore necessary that further investigations be undertaken to discover the possible ways of the clinical effectiveness of honey and lemon in RTIs.</w:t>
      </w:r>
    </w:p>
    <w:p>
      <w:pPr>
        <w:spacing w:after="0" w:line="480" w:lineRule="auto"/>
        <w:jc w:val="both"/>
        <w:sectPr>
          <w:pgSz w:w="11910" w:h="16840"/>
          <w:pgMar w:header="0" w:footer="1055" w:top="1920" w:bottom="1240" w:left="1060" w:right="460"/>
        </w:sectPr>
      </w:pPr>
    </w:p>
    <w:p>
      <w:pPr>
        <w:pStyle w:val="BodyText"/>
        <w:spacing w:line="480" w:lineRule="auto" w:before="38"/>
        <w:ind w:left="1100" w:right="974"/>
        <w:jc w:val="both"/>
      </w:pPr>
      <w:r>
        <w:rPr/>
        <w:t>It is also important that when honey is to be used as an antimicrobial agent, it should be selected from honey samples that have been assayed in the laboratory for antimicrobial </w:t>
      </w:r>
      <w:r>
        <w:rPr>
          <w:spacing w:val="-2"/>
        </w:rPr>
        <w:t>activity.</w:t>
      </w:r>
    </w:p>
    <w:p>
      <w:pPr>
        <w:spacing w:after="0" w:line="480" w:lineRule="auto"/>
        <w:jc w:val="both"/>
        <w:sectPr>
          <w:pgSz w:w="11910" w:h="16840"/>
          <w:pgMar w:header="0" w:footer="1055" w:top="138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0"/>
      </w:pPr>
    </w:p>
    <w:p>
      <w:pPr>
        <w:pStyle w:val="Heading3"/>
        <w:ind w:left="380"/>
      </w:pPr>
      <w:r>
        <w:rPr>
          <w:spacing w:val="-2"/>
        </w:rPr>
        <w:t>Reference:</w:t>
      </w:r>
    </w:p>
    <w:p>
      <w:pPr>
        <w:pStyle w:val="BodyText"/>
        <w:spacing w:before="160"/>
        <w:rPr>
          <w:b/>
        </w:rPr>
      </w:pPr>
    </w:p>
    <w:p>
      <w:pPr>
        <w:pStyle w:val="BodyText"/>
        <w:spacing w:line="261" w:lineRule="auto"/>
        <w:ind w:left="1100" w:right="975" w:hanging="720"/>
        <w:jc w:val="both"/>
      </w:pPr>
      <w:r>
        <w:rPr/>
        <w:t>Abd- El Aal, A.</w:t>
      </w:r>
      <w:r>
        <w:rPr>
          <w:spacing w:val="-3"/>
        </w:rPr>
        <w:t> </w:t>
      </w:r>
      <w:r>
        <w:rPr/>
        <w:t>M., El-Hadidy,</w:t>
      </w:r>
      <w:r>
        <w:rPr>
          <w:spacing w:val="-1"/>
        </w:rPr>
        <w:t> </w:t>
      </w:r>
      <w:r>
        <w:rPr/>
        <w:t>M. R.,</w:t>
      </w:r>
      <w:r>
        <w:rPr>
          <w:spacing w:val="-1"/>
        </w:rPr>
        <w:t> </w:t>
      </w:r>
      <w:r>
        <w:rPr/>
        <w:t>El-Mashad, N. B.,</w:t>
      </w:r>
      <w:r>
        <w:rPr>
          <w:spacing w:val="-1"/>
        </w:rPr>
        <w:t> </w:t>
      </w:r>
      <w:r>
        <w:rPr/>
        <w:t>and El-Sebaie, A.</w:t>
      </w:r>
      <w:r>
        <w:rPr>
          <w:spacing w:val="-2"/>
        </w:rPr>
        <w:t> </w:t>
      </w:r>
      <w:r>
        <w:rPr/>
        <w:t>H. (2007).</w:t>
      </w:r>
      <w:r>
        <w:rPr>
          <w:spacing w:val="-1"/>
        </w:rPr>
        <w:t> </w:t>
      </w:r>
      <w:r>
        <w:rPr/>
        <w:t>Antimicrobial</w:t>
      </w:r>
      <w:r>
        <w:rPr>
          <w:spacing w:val="-2"/>
        </w:rPr>
        <w:t> </w:t>
      </w:r>
      <w:r>
        <w:rPr/>
        <w:t>effect of bee honey in comparision to antibiotic on organisms isolated from infected burns. </w:t>
      </w:r>
      <w:r>
        <w:rPr>
          <w:i/>
        </w:rPr>
        <w:t>Annals of Burns and fire disasters</w:t>
      </w:r>
      <w:r>
        <w:rPr/>
        <w:t>, 20(2): 83–88.</w:t>
      </w:r>
    </w:p>
    <w:p>
      <w:pPr>
        <w:spacing w:line="261" w:lineRule="auto" w:before="192"/>
        <w:ind w:left="1100" w:right="973" w:hanging="720"/>
        <w:jc w:val="both"/>
        <w:rPr>
          <w:sz w:val="22"/>
        </w:rPr>
      </w:pPr>
      <w:r>
        <w:rPr>
          <w:sz w:val="22"/>
        </w:rPr>
        <w:t>Aboaba, O. O., Smith, S. I., and Olude F. O. (2006). Antibacterial Effect of Edible plant on </w:t>
      </w:r>
      <w:r>
        <w:rPr>
          <w:i/>
          <w:sz w:val="22"/>
        </w:rPr>
        <w:t>Escherichia Coli </w:t>
      </w:r>
      <w:r>
        <w:rPr>
          <w:sz w:val="22"/>
        </w:rPr>
        <w:t>0157:H7. </w:t>
      </w:r>
      <w:r>
        <w:rPr>
          <w:i/>
          <w:sz w:val="22"/>
        </w:rPr>
        <w:t>Pakistan Journal of Nutrition, </w:t>
      </w:r>
      <w:r>
        <w:rPr>
          <w:sz w:val="22"/>
        </w:rPr>
        <w:t>5 (4): 325-327.</w:t>
      </w:r>
    </w:p>
    <w:p>
      <w:pPr>
        <w:pStyle w:val="BodyText"/>
        <w:tabs>
          <w:tab w:pos="938" w:val="left" w:leader="none"/>
          <w:tab w:pos="1326" w:val="left" w:leader="none"/>
          <w:tab w:pos="1777" w:val="left" w:leader="none"/>
          <w:tab w:pos="2686" w:val="left" w:leader="none"/>
          <w:tab w:pos="3091" w:val="left" w:leader="none"/>
          <w:tab w:pos="3544" w:val="left" w:leader="none"/>
          <w:tab w:pos="4093" w:val="left" w:leader="none"/>
          <w:tab w:pos="4714" w:val="left" w:leader="none"/>
          <w:tab w:pos="5103" w:val="left" w:leader="none"/>
          <w:tab w:pos="5498" w:val="left" w:leader="none"/>
          <w:tab w:pos="6352" w:val="left" w:leader="none"/>
          <w:tab w:pos="7764" w:val="left" w:leader="none"/>
          <w:tab w:pos="8789" w:val="left" w:leader="none"/>
        </w:tabs>
        <w:spacing w:before="195"/>
        <w:ind w:right="550"/>
        <w:jc w:val="center"/>
      </w:pPr>
      <w:r>
        <w:rPr>
          <w:spacing w:val="-2"/>
        </w:rPr>
        <w:t>Adeniyi,</w:t>
      </w:r>
      <w:r>
        <w:rPr/>
        <w:tab/>
      </w:r>
      <w:r>
        <w:rPr>
          <w:spacing w:val="-5"/>
        </w:rPr>
        <w:t>B.</w:t>
      </w:r>
      <w:r>
        <w:rPr/>
        <w:tab/>
      </w:r>
      <w:r>
        <w:rPr>
          <w:spacing w:val="-5"/>
        </w:rPr>
        <w:t>A.,</w:t>
      </w:r>
      <w:r>
        <w:rPr/>
        <w:tab/>
      </w:r>
      <w:r>
        <w:rPr>
          <w:spacing w:val="-2"/>
        </w:rPr>
        <w:t>Odelola</w:t>
      </w:r>
      <w:r>
        <w:rPr/>
        <w:tab/>
      </w:r>
      <w:r>
        <w:rPr>
          <w:spacing w:val="-5"/>
        </w:rPr>
        <w:t>H.</w:t>
      </w:r>
      <w:r>
        <w:rPr/>
        <w:tab/>
      </w:r>
      <w:r>
        <w:rPr>
          <w:spacing w:val="-5"/>
        </w:rPr>
        <w:t>A.,</w:t>
      </w:r>
      <w:r>
        <w:rPr/>
        <w:tab/>
      </w:r>
      <w:r>
        <w:rPr>
          <w:spacing w:val="-5"/>
        </w:rPr>
        <w:t>and</w:t>
      </w:r>
      <w:r>
        <w:rPr/>
        <w:tab/>
      </w:r>
      <w:r>
        <w:rPr>
          <w:spacing w:val="-4"/>
        </w:rPr>
        <w:t>Oso,</w:t>
      </w:r>
      <w:r>
        <w:rPr/>
        <w:tab/>
      </w:r>
      <w:r>
        <w:rPr>
          <w:spacing w:val="-5"/>
        </w:rPr>
        <w:t>B.</w:t>
      </w:r>
      <w:r>
        <w:rPr/>
        <w:tab/>
      </w:r>
      <w:r>
        <w:rPr>
          <w:spacing w:val="-5"/>
        </w:rPr>
        <w:t>A.</w:t>
      </w:r>
      <w:r>
        <w:rPr/>
        <w:tab/>
      </w:r>
      <w:r>
        <w:rPr>
          <w:spacing w:val="-2"/>
        </w:rPr>
        <w:t>(1996).</w:t>
      </w:r>
      <w:r>
        <w:rPr/>
        <w:tab/>
      </w:r>
      <w:r>
        <w:rPr>
          <w:spacing w:val="-2"/>
        </w:rPr>
        <w:t>Antimicrobial</w:t>
      </w:r>
      <w:r>
        <w:rPr/>
        <w:tab/>
      </w:r>
      <w:r>
        <w:rPr>
          <w:spacing w:val="-2"/>
        </w:rPr>
        <w:t>Potential</w:t>
      </w:r>
      <w:r>
        <w:rPr/>
        <w:tab/>
      </w:r>
      <w:r>
        <w:rPr>
          <w:spacing w:val="-5"/>
        </w:rPr>
        <w:t>of</w:t>
      </w:r>
    </w:p>
    <w:p>
      <w:pPr>
        <w:spacing w:before="24"/>
        <w:ind w:left="0" w:right="485" w:firstLine="0"/>
        <w:jc w:val="center"/>
        <w:rPr>
          <w:sz w:val="22"/>
        </w:rPr>
      </w:pPr>
      <w:r>
        <w:rPr>
          <w:i/>
          <w:sz w:val="22"/>
        </w:rPr>
        <w:t>Diospyrosmesphiliformis</w:t>
      </w:r>
      <w:r>
        <w:rPr>
          <w:i/>
          <w:spacing w:val="-9"/>
          <w:sz w:val="22"/>
        </w:rPr>
        <w:t> </w:t>
      </w:r>
      <w:r>
        <w:rPr>
          <w:sz w:val="22"/>
        </w:rPr>
        <w:t>(</w:t>
      </w:r>
      <w:r>
        <w:rPr>
          <w:i/>
          <w:sz w:val="22"/>
        </w:rPr>
        <w:t>Ebenaceae</w:t>
      </w:r>
      <w:r>
        <w:rPr>
          <w:sz w:val="22"/>
        </w:rPr>
        <w:t>).</w:t>
      </w:r>
      <w:r>
        <w:rPr>
          <w:spacing w:val="-7"/>
          <w:sz w:val="22"/>
        </w:rPr>
        <w:t> </w:t>
      </w:r>
      <w:r>
        <w:rPr>
          <w:i/>
          <w:sz w:val="22"/>
        </w:rPr>
        <w:t>African</w:t>
      </w:r>
      <w:r>
        <w:rPr>
          <w:i/>
          <w:spacing w:val="-9"/>
          <w:sz w:val="22"/>
        </w:rPr>
        <w:t> </w:t>
      </w:r>
      <w:r>
        <w:rPr>
          <w:i/>
          <w:sz w:val="22"/>
        </w:rPr>
        <w:t>Journal</w:t>
      </w:r>
      <w:r>
        <w:rPr>
          <w:i/>
          <w:spacing w:val="-10"/>
          <w:sz w:val="22"/>
        </w:rPr>
        <w:t> </w:t>
      </w:r>
      <w:r>
        <w:rPr>
          <w:i/>
          <w:sz w:val="22"/>
        </w:rPr>
        <w:t>of</w:t>
      </w:r>
      <w:r>
        <w:rPr>
          <w:i/>
          <w:spacing w:val="-7"/>
          <w:sz w:val="22"/>
        </w:rPr>
        <w:t> </w:t>
      </w:r>
      <w:r>
        <w:rPr>
          <w:i/>
          <w:sz w:val="22"/>
        </w:rPr>
        <w:t>Medical</w:t>
      </w:r>
      <w:r>
        <w:rPr>
          <w:i/>
          <w:spacing w:val="-8"/>
          <w:sz w:val="22"/>
        </w:rPr>
        <w:t> </w:t>
      </w:r>
      <w:r>
        <w:rPr>
          <w:i/>
          <w:sz w:val="22"/>
        </w:rPr>
        <w:t>Science</w:t>
      </w:r>
      <w:r>
        <w:rPr>
          <w:sz w:val="22"/>
        </w:rPr>
        <w:t>,</w:t>
      </w:r>
      <w:r>
        <w:rPr>
          <w:spacing w:val="-8"/>
          <w:sz w:val="22"/>
        </w:rPr>
        <w:t> </w:t>
      </w:r>
      <w:r>
        <w:rPr>
          <w:sz w:val="22"/>
        </w:rPr>
        <w:t>25:</w:t>
      </w:r>
      <w:r>
        <w:rPr>
          <w:spacing w:val="-9"/>
          <w:sz w:val="22"/>
        </w:rPr>
        <w:t> </w:t>
      </w:r>
      <w:r>
        <w:rPr>
          <w:sz w:val="22"/>
        </w:rPr>
        <w:t>179-</w:t>
      </w:r>
      <w:r>
        <w:rPr>
          <w:spacing w:val="-4"/>
          <w:sz w:val="22"/>
        </w:rPr>
        <w:t>184.</w:t>
      </w:r>
    </w:p>
    <w:p>
      <w:pPr>
        <w:spacing w:line="259" w:lineRule="auto" w:before="219"/>
        <w:ind w:left="1100" w:right="973" w:hanging="720"/>
        <w:jc w:val="both"/>
        <w:rPr>
          <w:sz w:val="22"/>
        </w:rPr>
      </w:pPr>
      <w:r>
        <w:rPr>
          <w:sz w:val="22"/>
        </w:rPr>
        <w:t>Adeshina, G. O., Noma, S. T., Onaolapo, J. A., and Ehinmidu, J. O. (2010). Preliminary in-vitro antibacterial activities of ethanol and aqueous extracts of </w:t>
      </w:r>
      <w:r>
        <w:rPr>
          <w:i/>
          <w:sz w:val="22"/>
        </w:rPr>
        <w:t>Rauvolfia caffra</w:t>
      </w:r>
      <w:r>
        <w:rPr>
          <w:sz w:val="22"/>
        </w:rPr>
        <w:t>. </w:t>
      </w:r>
      <w:r>
        <w:rPr>
          <w:i/>
          <w:sz w:val="22"/>
        </w:rPr>
        <w:t>International Journal of Pharmaceutical Research and Development</w:t>
      </w:r>
      <w:r>
        <w:rPr>
          <w:sz w:val="22"/>
        </w:rPr>
        <w:t>, 2 (8): 1-8.</w:t>
      </w:r>
    </w:p>
    <w:p>
      <w:pPr>
        <w:spacing w:line="261" w:lineRule="auto" w:before="198"/>
        <w:ind w:left="1100" w:right="978" w:hanging="720"/>
        <w:jc w:val="both"/>
        <w:rPr>
          <w:sz w:val="22"/>
        </w:rPr>
      </w:pPr>
      <w:r>
        <w:rPr>
          <w:sz w:val="22"/>
        </w:rPr>
        <w:t>Agbagwa, O. E., and Frank-Peterside, N. (2010). Effect of raw commercial honeys from Nigeria on selected pathogenic bacteria. </w:t>
      </w:r>
      <w:r>
        <w:rPr>
          <w:i/>
          <w:sz w:val="22"/>
        </w:rPr>
        <w:t>African Journal of Microbiology Research</w:t>
      </w:r>
      <w:r>
        <w:rPr>
          <w:sz w:val="22"/>
        </w:rPr>
        <w:t>, 4 (16): 1801-1803.</w:t>
      </w:r>
    </w:p>
    <w:p>
      <w:pPr>
        <w:pStyle w:val="BodyText"/>
        <w:spacing w:line="261" w:lineRule="auto" w:before="194"/>
        <w:ind w:left="1100" w:right="975" w:hanging="720"/>
        <w:jc w:val="both"/>
      </w:pPr>
      <w:r>
        <w:rPr/>
        <w:t>Al Somai, N., Coley, K. E., Molan, P. C., and Hancock, B. M. (1994). Susceptibility of Helicobacter</w:t>
      </w:r>
      <w:r>
        <w:rPr>
          <w:spacing w:val="40"/>
        </w:rPr>
        <w:t> </w:t>
      </w:r>
      <w:r>
        <w:rPr/>
        <w:t>pylori</w:t>
      </w:r>
      <w:r>
        <w:rPr>
          <w:spacing w:val="40"/>
        </w:rPr>
        <w:t> </w:t>
      </w:r>
      <w:r>
        <w:rPr/>
        <w:t>to</w:t>
      </w:r>
      <w:r>
        <w:rPr>
          <w:spacing w:val="40"/>
        </w:rPr>
        <w:t> </w:t>
      </w:r>
      <w:r>
        <w:rPr/>
        <w:t>the</w:t>
      </w:r>
      <w:r>
        <w:rPr>
          <w:spacing w:val="40"/>
        </w:rPr>
        <w:t> </w:t>
      </w:r>
      <w:r>
        <w:rPr/>
        <w:t>antibacterial</w:t>
      </w:r>
      <w:r>
        <w:rPr>
          <w:spacing w:val="40"/>
        </w:rPr>
        <w:t> </w:t>
      </w:r>
      <w:r>
        <w:rPr/>
        <w:t>activity</w:t>
      </w:r>
      <w:r>
        <w:rPr>
          <w:spacing w:val="40"/>
        </w:rPr>
        <w:t> </w:t>
      </w:r>
      <w:r>
        <w:rPr/>
        <w:t>of</w:t>
      </w:r>
      <w:r>
        <w:rPr>
          <w:spacing w:val="40"/>
        </w:rPr>
        <w:t> </w:t>
      </w:r>
      <w:r>
        <w:rPr/>
        <w:t>manuka</w:t>
      </w:r>
      <w:r>
        <w:rPr>
          <w:spacing w:val="40"/>
        </w:rPr>
        <w:t> </w:t>
      </w:r>
      <w:r>
        <w:rPr/>
        <w:t>honey. </w:t>
      </w:r>
      <w:r>
        <w:rPr>
          <w:i/>
        </w:rPr>
        <w:t>Journal</w:t>
      </w:r>
      <w:r>
        <w:rPr>
          <w:i/>
          <w:spacing w:val="40"/>
        </w:rPr>
        <w:t> </w:t>
      </w:r>
      <w:r>
        <w:rPr>
          <w:i/>
        </w:rPr>
        <w:t>of</w:t>
      </w:r>
      <w:r>
        <w:rPr>
          <w:i/>
          <w:spacing w:val="40"/>
        </w:rPr>
        <w:t> </w:t>
      </w:r>
      <w:r>
        <w:rPr>
          <w:i/>
        </w:rPr>
        <w:t>the</w:t>
      </w:r>
      <w:r>
        <w:rPr>
          <w:i/>
          <w:spacing w:val="40"/>
        </w:rPr>
        <w:t> </w:t>
      </w:r>
      <w:r>
        <w:rPr>
          <w:i/>
        </w:rPr>
        <w:t>Royal</w:t>
      </w:r>
      <w:r>
        <w:rPr>
          <w:i/>
          <w:spacing w:val="40"/>
        </w:rPr>
        <w:t> </w:t>
      </w:r>
      <w:r>
        <w:rPr>
          <w:i/>
        </w:rPr>
        <w:t>Society</w:t>
      </w:r>
      <w:r>
        <w:rPr>
          <w:i/>
          <w:spacing w:val="40"/>
        </w:rPr>
        <w:t> </w:t>
      </w:r>
      <w:r>
        <w:rPr>
          <w:i/>
        </w:rPr>
        <w:t>of Medicine </w:t>
      </w:r>
      <w:r>
        <w:rPr/>
        <w:t>87 (1): 9-12.</w:t>
      </w:r>
    </w:p>
    <w:p>
      <w:pPr>
        <w:spacing w:line="259" w:lineRule="auto" w:before="193"/>
        <w:ind w:left="1100" w:right="975" w:hanging="720"/>
        <w:jc w:val="both"/>
        <w:rPr>
          <w:sz w:val="22"/>
        </w:rPr>
      </w:pPr>
      <w:r>
        <w:rPr>
          <w:sz w:val="22"/>
        </w:rPr>
        <w:t>Albrich, W., Monnet, D. L., and Harbarth, S. (2004). </w:t>
      </w:r>
      <w:hyperlink r:id="rId298">
        <w:r>
          <w:rPr>
            <w:i/>
            <w:sz w:val="22"/>
          </w:rPr>
          <w:t>"Antibiotic selection pressure and resistance in</w:t>
        </w:r>
      </w:hyperlink>
      <w:r>
        <w:rPr>
          <w:i/>
          <w:sz w:val="22"/>
        </w:rPr>
        <w:t> </w:t>
      </w:r>
      <w:hyperlink r:id="rId298">
        <w:r>
          <w:rPr>
            <w:i/>
            <w:sz w:val="22"/>
          </w:rPr>
          <w:t>Streptococcus pneumoniae</w:t>
        </w:r>
        <w:r>
          <w:rPr>
            <w:i/>
            <w:spacing w:val="25"/>
            <w:sz w:val="22"/>
          </w:rPr>
          <w:t> </w:t>
        </w:r>
        <w:r>
          <w:rPr>
            <w:sz w:val="22"/>
          </w:rPr>
          <w:t>and </w:t>
        </w:r>
        <w:r>
          <w:rPr>
            <w:i/>
            <w:sz w:val="22"/>
          </w:rPr>
          <w:t>Streptococcus pyogenes</w:t>
        </w:r>
        <w:r>
          <w:rPr>
            <w:sz w:val="22"/>
          </w:rPr>
          <w:t>"</w:t>
        </w:r>
      </w:hyperlink>
      <w:r>
        <w:rPr>
          <w:sz w:val="22"/>
        </w:rPr>
        <w:t>. </w:t>
      </w:r>
      <w:r>
        <w:rPr>
          <w:i/>
          <w:sz w:val="22"/>
        </w:rPr>
        <w:t>Emerging Infectious</w:t>
      </w:r>
      <w:r>
        <w:rPr>
          <w:i/>
          <w:spacing w:val="26"/>
          <w:sz w:val="22"/>
        </w:rPr>
        <w:t> </w:t>
      </w:r>
      <w:r>
        <w:rPr>
          <w:i/>
          <w:sz w:val="22"/>
        </w:rPr>
        <w:t>Diseases</w:t>
      </w:r>
      <w:r>
        <w:rPr>
          <w:sz w:val="22"/>
        </w:rPr>
        <w:t>, 10</w:t>
      </w:r>
    </w:p>
    <w:p>
      <w:pPr>
        <w:pStyle w:val="BodyText"/>
        <w:ind w:left="1100"/>
      </w:pPr>
      <w:r>
        <w:rPr/>
        <w:t>(3):</w:t>
      </w:r>
      <w:r>
        <w:rPr>
          <w:spacing w:val="-4"/>
        </w:rPr>
        <w:t> </w:t>
      </w:r>
      <w:r>
        <w:rPr>
          <w:spacing w:val="-2"/>
        </w:rPr>
        <w:t>514–7.</w:t>
      </w:r>
    </w:p>
    <w:p>
      <w:pPr>
        <w:spacing w:line="261" w:lineRule="auto" w:before="220"/>
        <w:ind w:left="1100" w:right="973" w:hanging="720"/>
        <w:jc w:val="both"/>
        <w:rPr>
          <w:sz w:val="22"/>
        </w:rPr>
      </w:pPr>
      <w:r>
        <w:rPr>
          <w:sz w:val="22"/>
        </w:rPr>
        <w:t>Alistair, L., Wilkins, and Yinrong, L. (1995). "Extractives from New Zealand Honeys. 5. Aliphatic Dicarboxylic Acids in New Zealand Rewarewa (</w:t>
      </w:r>
      <w:r>
        <w:rPr>
          <w:i/>
          <w:sz w:val="22"/>
        </w:rPr>
        <w:t>Knightea excelsa</w:t>
      </w:r>
      <w:r>
        <w:rPr>
          <w:sz w:val="22"/>
        </w:rPr>
        <w:t>) Honey". </w:t>
      </w:r>
      <w:r>
        <w:rPr>
          <w:i/>
          <w:sz w:val="22"/>
        </w:rPr>
        <w:t>Journal of Agricultural and Food Chemistry, </w:t>
      </w:r>
      <w:r>
        <w:rPr>
          <w:sz w:val="22"/>
        </w:rPr>
        <w:t>43 (12): 3021–3025.</w:t>
      </w:r>
    </w:p>
    <w:p>
      <w:pPr>
        <w:spacing w:line="261" w:lineRule="auto" w:before="192"/>
        <w:ind w:left="1100" w:right="982" w:hanging="720"/>
        <w:jc w:val="both"/>
        <w:rPr>
          <w:sz w:val="22"/>
        </w:rPr>
      </w:pPr>
      <w:r>
        <w:rPr>
          <w:sz w:val="22"/>
        </w:rPr>
        <w:t>Allen, K. L., Hutchinson, G., and Molan, P. C. (2000). The potential for using honey to treat wounds infected with MRSA and VRE. </w:t>
      </w:r>
      <w:r>
        <w:rPr>
          <w:i/>
          <w:sz w:val="22"/>
        </w:rPr>
        <w:t>First World Healing Congress, Melbourne, Australia</w:t>
      </w:r>
      <w:r>
        <w:rPr>
          <w:sz w:val="22"/>
        </w:rPr>
        <w:t>: 10-13.</w:t>
      </w:r>
    </w:p>
    <w:p>
      <w:pPr>
        <w:spacing w:line="259" w:lineRule="auto" w:before="194"/>
        <w:ind w:left="1100" w:right="972" w:hanging="720"/>
        <w:jc w:val="both"/>
        <w:rPr>
          <w:sz w:val="22"/>
        </w:rPr>
      </w:pPr>
      <w:r>
        <w:rPr>
          <w:sz w:val="22"/>
        </w:rPr>
        <w:t>Andrew, N. H. (2010). </w:t>
      </w:r>
      <w:r>
        <w:rPr>
          <w:i/>
          <w:sz w:val="22"/>
        </w:rPr>
        <w:t>The Science of Scurvy: The Naked Scientists</w:t>
      </w:r>
      <w:r>
        <w:rPr>
          <w:sz w:val="22"/>
        </w:rPr>
        <w:t>. </w:t>
      </w:r>
      <w:r>
        <w:rPr>
          <w:i/>
          <w:sz w:val="22"/>
        </w:rPr>
        <w:t>Science Articles</w:t>
      </w:r>
      <w:r>
        <w:rPr>
          <w:sz w:val="22"/>
        </w:rPr>
        <w:t>. Retrieved March 7, 2012 from </w:t>
      </w:r>
      <w:hyperlink r:id="rId299">
        <w:r>
          <w:rPr>
            <w:sz w:val="22"/>
          </w:rPr>
          <w:t>http://www.thenakedscientists.com/HTML/articles/article/forgotten-</w:t>
        </w:r>
      </w:hyperlink>
      <w:r>
        <w:rPr>
          <w:sz w:val="22"/>
        </w:rPr>
        <w:t> </w:t>
      </w:r>
      <w:r>
        <w:rPr>
          <w:spacing w:val="-2"/>
          <w:sz w:val="22"/>
        </w:rPr>
        <w:t>knowledge.</w:t>
      </w:r>
    </w:p>
    <w:p>
      <w:pPr>
        <w:pStyle w:val="BodyText"/>
        <w:spacing w:line="261" w:lineRule="auto" w:before="199"/>
        <w:ind w:left="1100" w:right="982" w:hanging="720"/>
        <w:jc w:val="both"/>
      </w:pPr>
      <w:r>
        <w:rPr/>
        <w:t>Arnold, S. R., and Straus, S. E. (2009). Interventions to improve antibiotic prescribing practices in ambulatory care. Published by JohnWiley &amp; Sons: 5-80.</w:t>
      </w:r>
    </w:p>
    <w:p>
      <w:pPr>
        <w:spacing w:after="0" w:line="261" w:lineRule="auto"/>
        <w:jc w:val="both"/>
        <w:sectPr>
          <w:pgSz w:w="11910" w:h="16840"/>
          <w:pgMar w:header="0" w:footer="1055" w:top="1920" w:bottom="1240" w:left="1060" w:right="460"/>
        </w:sectPr>
      </w:pPr>
    </w:p>
    <w:p>
      <w:pPr>
        <w:pStyle w:val="BodyText"/>
        <w:spacing w:line="261" w:lineRule="auto" w:before="38"/>
        <w:ind w:left="1100" w:right="972" w:hanging="720"/>
        <w:jc w:val="both"/>
      </w:pPr>
      <w:r>
        <w:rPr/>
        <w:t>Astrid, A. T. M., Giske B., Krzysztof T., Elisabeth, A. M. S., and Debby, B. (2013). Viral and Bacterial Interactions in the Upper Respiratory Tract. </w:t>
      </w:r>
      <w:r>
        <w:rPr>
          <w:i/>
        </w:rPr>
        <w:t>PloS Pathogens, </w:t>
      </w:r>
      <w:r>
        <w:rPr/>
        <w:t>9 (1): 1003.</w:t>
      </w:r>
    </w:p>
    <w:p>
      <w:pPr>
        <w:pStyle w:val="BodyText"/>
      </w:pPr>
    </w:p>
    <w:p>
      <w:pPr>
        <w:pStyle w:val="BodyText"/>
        <w:spacing w:before="147"/>
      </w:pPr>
    </w:p>
    <w:p>
      <w:pPr>
        <w:pStyle w:val="BodyText"/>
        <w:spacing w:line="259" w:lineRule="auto" w:before="1"/>
        <w:ind w:left="1100" w:right="973" w:hanging="720"/>
        <w:jc w:val="both"/>
      </w:pPr>
      <w:r>
        <w:rPr/>
        <w:t>Avadhanula, V., Rodriguez, C. A., DeVincenzo, J. P., Wang, Y., Webby, R. J., Ulett, G. C., and</w:t>
      </w:r>
      <w:r>
        <w:rPr>
          <w:spacing w:val="80"/>
        </w:rPr>
        <w:t> </w:t>
      </w:r>
      <w:r>
        <w:rPr/>
        <w:t>Adderson, E. E. (2006) Respiratory viruses augment the adhesion of bacterial pathogens to respiratory epithelium in a viral species- and cell type-dependent manner. </w:t>
      </w:r>
      <w:r>
        <w:rPr>
          <w:i/>
        </w:rPr>
        <w:t>Journal of Virology</w:t>
      </w:r>
      <w:r>
        <w:rPr/>
        <w:t>, 80(4):1629–1636.</w:t>
      </w:r>
    </w:p>
    <w:p>
      <w:pPr>
        <w:pStyle w:val="BodyText"/>
        <w:spacing w:line="261" w:lineRule="auto" w:before="198"/>
        <w:ind w:left="1100" w:right="979" w:hanging="720"/>
        <w:jc w:val="both"/>
      </w:pPr>
      <w:r>
        <w:rPr/>
        <w:t>Aziz, R. K., Rita, K., Bruce, A. J., William, L. T., Sarah, L. R., Michael, K., … Malak, K.</w:t>
      </w:r>
      <w:r>
        <w:rPr>
          <w:spacing w:val="40"/>
        </w:rPr>
        <w:t> </w:t>
      </w:r>
      <w:r>
        <w:rPr/>
        <w:t>(2010). </w:t>
      </w:r>
      <w:hyperlink r:id="rId300">
        <w:r>
          <w:rPr/>
          <w:t>Microevolution of Group A </w:t>
        </w:r>
        <w:r>
          <w:rPr>
            <w:i/>
          </w:rPr>
          <w:t>Streptococci </w:t>
        </w:r>
        <w:r>
          <w:rPr/>
          <w:t>In-Vivo: Capturing Regulatory Networks Engaged in</w:t>
        </w:r>
      </w:hyperlink>
      <w:r>
        <w:rPr/>
        <w:t> </w:t>
      </w:r>
      <w:hyperlink r:id="rId300">
        <w:r>
          <w:rPr/>
          <w:t>Sociomicrobiology, Niche Adaptation, and Hypervirulence</w:t>
        </w:r>
      </w:hyperlink>
      <w:r>
        <w:rPr/>
        <w:t>. </w:t>
      </w:r>
      <w:hyperlink r:id="rId301">
        <w:r>
          <w:rPr>
            <w:i/>
          </w:rPr>
          <w:t>PLoS ONE</w:t>
        </w:r>
      </w:hyperlink>
      <w:r>
        <w:rPr>
          <w:i/>
        </w:rPr>
        <w:t>, </w:t>
      </w:r>
      <w:r>
        <w:rPr/>
        <w:t>5 (4): 9798.</w:t>
      </w:r>
    </w:p>
    <w:p>
      <w:pPr>
        <w:spacing w:line="259" w:lineRule="auto" w:before="193"/>
        <w:ind w:left="1100" w:right="975" w:hanging="720"/>
        <w:jc w:val="both"/>
        <w:rPr>
          <w:sz w:val="22"/>
        </w:rPr>
      </w:pPr>
      <w:r>
        <w:rPr>
          <w:sz w:val="22"/>
        </w:rPr>
        <w:t>Badawy, O. F. H., Shafii, S. S. A., Tharwat, E. E., and Kamal, A. M. (2004). Antibacterial activity of bee honey and its therapeutic usefulness against </w:t>
      </w:r>
      <w:r>
        <w:rPr>
          <w:i/>
          <w:sz w:val="22"/>
        </w:rPr>
        <w:t>Escherichia coli </w:t>
      </w:r>
      <w:r>
        <w:rPr>
          <w:sz w:val="22"/>
        </w:rPr>
        <w:t>O157:H7 and </w:t>
      </w:r>
      <w:r>
        <w:rPr>
          <w:i/>
          <w:sz w:val="22"/>
        </w:rPr>
        <w:t>Salmonella typhimurium </w:t>
      </w:r>
      <w:r>
        <w:rPr>
          <w:sz w:val="22"/>
        </w:rPr>
        <w:t>infection. </w:t>
      </w:r>
      <w:r>
        <w:rPr>
          <w:i/>
          <w:sz w:val="22"/>
        </w:rPr>
        <w:t>Revue scientifique et technique</w:t>
      </w:r>
      <w:r>
        <w:rPr>
          <w:sz w:val="22"/>
        </w:rPr>
        <w:t>, 23: 1011-1122.</w:t>
      </w:r>
    </w:p>
    <w:p>
      <w:pPr>
        <w:pStyle w:val="BodyText"/>
        <w:spacing w:line="261" w:lineRule="auto" w:before="198"/>
        <w:ind w:left="1100" w:right="974" w:hanging="720"/>
        <w:jc w:val="both"/>
      </w:pPr>
      <w:r>
        <w:rPr/>
        <w:t>Bang, L. M., Buntting, C., and Molan, P. C. (2003). The effect of dilution on the rate of hydrogen peroxide production in honey and its implications for wound healing. </w:t>
      </w:r>
      <w:r>
        <w:rPr>
          <w:i/>
        </w:rPr>
        <w:t>Journal of Alternative Complement Medicine</w:t>
      </w:r>
      <w:r>
        <w:rPr/>
        <w:t>; 9: 267-273.</w:t>
      </w:r>
    </w:p>
    <w:p>
      <w:pPr>
        <w:pStyle w:val="BodyText"/>
        <w:spacing w:line="259" w:lineRule="auto" w:before="192"/>
        <w:ind w:left="1100" w:right="978" w:hanging="720"/>
        <w:jc w:val="both"/>
      </w:pPr>
      <w:r>
        <w:rPr/>
        <w:t>Batch, A.</w:t>
      </w:r>
      <w:r>
        <w:rPr>
          <w:spacing w:val="-3"/>
        </w:rPr>
        <w:t> </w:t>
      </w:r>
      <w:r>
        <w:rPr/>
        <w:t>L., Smith, R.</w:t>
      </w:r>
      <w:r>
        <w:rPr>
          <w:spacing w:val="-1"/>
        </w:rPr>
        <w:t> </w:t>
      </w:r>
      <w:r>
        <w:rPr/>
        <w:t>P.,</w:t>
      </w:r>
      <w:r>
        <w:rPr>
          <w:spacing w:val="-1"/>
        </w:rPr>
        <w:t> </w:t>
      </w:r>
      <w:r>
        <w:rPr/>
        <w:t>Rite,</w:t>
      </w:r>
      <w:r>
        <w:rPr>
          <w:spacing w:val="-1"/>
        </w:rPr>
        <w:t> </w:t>
      </w:r>
      <w:r>
        <w:rPr/>
        <w:t>W. J., and Bopp, L.</w:t>
      </w:r>
      <w:r>
        <w:rPr>
          <w:spacing w:val="-2"/>
        </w:rPr>
        <w:t> </w:t>
      </w:r>
      <w:r>
        <w:rPr/>
        <w:t>H. (1998). Comparison</w:t>
      </w:r>
      <w:r>
        <w:rPr>
          <w:spacing w:val="-2"/>
        </w:rPr>
        <w:t> </w:t>
      </w:r>
      <w:r>
        <w:rPr/>
        <w:t>of inhibitory</w:t>
      </w:r>
      <w:r>
        <w:rPr>
          <w:spacing w:val="-1"/>
        </w:rPr>
        <w:t> </w:t>
      </w:r>
      <w:r>
        <w:rPr/>
        <w:t>and bactericidal activities and post antibiotic effect of Ly 333328 and Ampicillin used singly and in combination against Vancomycin Resistant </w:t>
      </w:r>
      <w:r>
        <w:rPr>
          <w:i/>
        </w:rPr>
        <w:t>Enterococcus faecium</w:t>
      </w:r>
      <w:r>
        <w:rPr/>
        <w:t>. </w:t>
      </w:r>
      <w:r>
        <w:rPr>
          <w:i/>
        </w:rPr>
        <w:t>Antimicrobial agents and chemotherapy</w:t>
      </w:r>
      <w:r>
        <w:rPr/>
        <w:t>, 42 (10): 2564-2568.</w:t>
      </w:r>
    </w:p>
    <w:p>
      <w:pPr>
        <w:pStyle w:val="BodyText"/>
        <w:spacing w:line="261" w:lineRule="auto" w:before="198"/>
        <w:ind w:left="1100" w:right="980" w:hanging="720"/>
        <w:jc w:val="both"/>
      </w:pPr>
      <w:r>
        <w:rPr/>
        <w:t>Bayer, A. S., Bolger, A. F., Taubert, K. A., Wilson, W., Steckelberg, J., Karchmer, A. W., … Ferrieri, P. (1998). Diagnosis and management of infective endocarditis and its complications. </w:t>
      </w:r>
      <w:r>
        <w:rPr>
          <w:i/>
        </w:rPr>
        <w:t>Circulation, </w:t>
      </w:r>
      <w:r>
        <w:rPr/>
        <w:t>98 (25): 2936–48.</w:t>
      </w:r>
    </w:p>
    <w:p>
      <w:pPr>
        <w:spacing w:before="193"/>
        <w:ind w:left="380" w:right="0" w:firstLine="0"/>
        <w:jc w:val="left"/>
        <w:rPr>
          <w:sz w:val="22"/>
        </w:rPr>
      </w:pPr>
      <w:r>
        <w:rPr>
          <w:sz w:val="22"/>
        </w:rPr>
        <w:t>Berrie,</w:t>
      </w:r>
      <w:r>
        <w:rPr>
          <w:spacing w:val="49"/>
          <w:sz w:val="22"/>
        </w:rPr>
        <w:t> </w:t>
      </w:r>
      <w:r>
        <w:rPr>
          <w:sz w:val="22"/>
        </w:rPr>
        <w:t>C.</w:t>
      </w:r>
      <w:r>
        <w:rPr>
          <w:spacing w:val="51"/>
          <w:sz w:val="22"/>
        </w:rPr>
        <w:t> </w:t>
      </w:r>
      <w:r>
        <w:rPr>
          <w:sz w:val="22"/>
        </w:rPr>
        <w:t>(2007).</w:t>
      </w:r>
      <w:r>
        <w:rPr>
          <w:spacing w:val="52"/>
          <w:sz w:val="22"/>
        </w:rPr>
        <w:t> </w:t>
      </w:r>
      <w:r>
        <w:rPr>
          <w:i/>
          <w:sz w:val="22"/>
        </w:rPr>
        <w:t>Carbapenem-Resistant</w:t>
      </w:r>
      <w:r>
        <w:rPr>
          <w:i/>
          <w:spacing w:val="52"/>
          <w:sz w:val="22"/>
        </w:rPr>
        <w:t> </w:t>
      </w:r>
      <w:r>
        <w:rPr>
          <w:i/>
          <w:sz w:val="22"/>
        </w:rPr>
        <w:t>Klebsiella</w:t>
      </w:r>
      <w:r>
        <w:rPr>
          <w:i/>
          <w:spacing w:val="50"/>
          <w:sz w:val="22"/>
        </w:rPr>
        <w:t> </w:t>
      </w:r>
      <w:r>
        <w:rPr>
          <w:i/>
          <w:sz w:val="22"/>
        </w:rPr>
        <w:t>pneumoniae</w:t>
      </w:r>
      <w:r>
        <w:rPr>
          <w:i/>
          <w:spacing w:val="52"/>
          <w:sz w:val="22"/>
        </w:rPr>
        <w:t> </w:t>
      </w:r>
      <w:r>
        <w:rPr>
          <w:i/>
          <w:sz w:val="22"/>
        </w:rPr>
        <w:t>Outbreak</w:t>
      </w:r>
      <w:r>
        <w:rPr>
          <w:i/>
          <w:spacing w:val="52"/>
          <w:sz w:val="22"/>
        </w:rPr>
        <w:t> </w:t>
      </w:r>
      <w:r>
        <w:rPr>
          <w:i/>
          <w:sz w:val="22"/>
        </w:rPr>
        <w:t>in</w:t>
      </w:r>
      <w:r>
        <w:rPr>
          <w:i/>
          <w:spacing w:val="51"/>
          <w:sz w:val="22"/>
        </w:rPr>
        <w:t> </w:t>
      </w:r>
      <w:r>
        <w:rPr>
          <w:i/>
          <w:sz w:val="22"/>
        </w:rPr>
        <w:t>an</w:t>
      </w:r>
      <w:r>
        <w:rPr>
          <w:i/>
          <w:spacing w:val="51"/>
          <w:sz w:val="22"/>
        </w:rPr>
        <w:t> </w:t>
      </w:r>
      <w:r>
        <w:rPr>
          <w:i/>
          <w:sz w:val="22"/>
        </w:rPr>
        <w:t>Israeli</w:t>
      </w:r>
      <w:r>
        <w:rPr>
          <w:i/>
          <w:spacing w:val="51"/>
          <w:sz w:val="22"/>
        </w:rPr>
        <w:t> </w:t>
      </w:r>
      <w:r>
        <w:rPr>
          <w:i/>
          <w:spacing w:val="-2"/>
          <w:sz w:val="22"/>
        </w:rPr>
        <w:t>Hospital</w:t>
      </w:r>
      <w:r>
        <w:rPr>
          <w:spacing w:val="-2"/>
          <w:sz w:val="22"/>
        </w:rPr>
        <w:t>.</w:t>
      </w:r>
    </w:p>
    <w:p>
      <w:pPr>
        <w:pStyle w:val="BodyText"/>
        <w:spacing w:before="24"/>
        <w:ind w:left="1100"/>
      </w:pPr>
      <w:r>
        <w:rPr/>
        <w:t>Retrieved</w:t>
      </w:r>
      <w:r>
        <w:rPr>
          <w:spacing w:val="-8"/>
        </w:rPr>
        <w:t> </w:t>
      </w:r>
      <w:r>
        <w:rPr/>
        <w:t>October</w:t>
      </w:r>
      <w:r>
        <w:rPr>
          <w:spacing w:val="-5"/>
        </w:rPr>
        <w:t> </w:t>
      </w:r>
      <w:r>
        <w:rPr/>
        <w:t>17,</w:t>
      </w:r>
      <w:r>
        <w:rPr>
          <w:spacing w:val="-3"/>
        </w:rPr>
        <w:t> </w:t>
      </w:r>
      <w:r>
        <w:rPr/>
        <w:t>2011</w:t>
      </w:r>
      <w:r>
        <w:rPr>
          <w:spacing w:val="-3"/>
        </w:rPr>
        <w:t> </w:t>
      </w:r>
      <w:r>
        <w:rPr/>
        <w:t>from</w:t>
      </w:r>
      <w:r>
        <w:rPr>
          <w:spacing w:val="-1"/>
        </w:rPr>
        <w:t> </w:t>
      </w:r>
      <w:hyperlink r:id="rId302">
        <w:r>
          <w:rPr>
            <w:spacing w:val="-2"/>
          </w:rPr>
          <w:t>http://www.medscape.com/viewarticle/554704</w:t>
        </w:r>
      </w:hyperlink>
      <w:r>
        <w:rPr>
          <w:spacing w:val="-2"/>
        </w:rPr>
        <w:t>.</w:t>
      </w:r>
    </w:p>
    <w:p>
      <w:pPr>
        <w:spacing w:before="221"/>
        <w:ind w:left="380" w:right="0" w:firstLine="0"/>
        <w:jc w:val="left"/>
        <w:rPr>
          <w:sz w:val="22"/>
        </w:rPr>
      </w:pPr>
      <w:r>
        <w:rPr>
          <w:sz w:val="22"/>
        </w:rPr>
        <w:t>Bisno,</w:t>
      </w:r>
      <w:r>
        <w:rPr>
          <w:spacing w:val="-4"/>
          <w:sz w:val="22"/>
        </w:rPr>
        <w:t> </w:t>
      </w:r>
      <w:r>
        <w:rPr>
          <w:sz w:val="22"/>
        </w:rPr>
        <w:t>A.</w:t>
      </w:r>
      <w:r>
        <w:rPr>
          <w:spacing w:val="-7"/>
          <w:sz w:val="22"/>
        </w:rPr>
        <w:t> </w:t>
      </w:r>
      <w:r>
        <w:rPr>
          <w:sz w:val="22"/>
        </w:rPr>
        <w:t>L.</w:t>
      </w:r>
      <w:r>
        <w:rPr>
          <w:spacing w:val="-4"/>
          <w:sz w:val="22"/>
        </w:rPr>
        <w:t> </w:t>
      </w:r>
      <w:r>
        <w:rPr>
          <w:sz w:val="22"/>
        </w:rPr>
        <w:t>(2001).</w:t>
      </w:r>
      <w:r>
        <w:rPr>
          <w:spacing w:val="-3"/>
          <w:sz w:val="22"/>
        </w:rPr>
        <w:t> </w:t>
      </w:r>
      <w:r>
        <w:rPr>
          <w:sz w:val="22"/>
        </w:rPr>
        <w:t>Acute</w:t>
      </w:r>
      <w:r>
        <w:rPr>
          <w:spacing w:val="-6"/>
          <w:sz w:val="22"/>
        </w:rPr>
        <w:t> </w:t>
      </w:r>
      <w:r>
        <w:rPr>
          <w:sz w:val="22"/>
        </w:rPr>
        <w:t>Pharyngitis.</w:t>
      </w:r>
      <w:r>
        <w:rPr>
          <w:spacing w:val="-3"/>
          <w:sz w:val="22"/>
        </w:rPr>
        <w:t> </w:t>
      </w:r>
      <w:r>
        <w:rPr>
          <w:i/>
          <w:sz w:val="22"/>
        </w:rPr>
        <w:t>New</w:t>
      </w:r>
      <w:r>
        <w:rPr>
          <w:i/>
          <w:spacing w:val="-6"/>
          <w:sz w:val="22"/>
        </w:rPr>
        <w:t> </w:t>
      </w:r>
      <w:r>
        <w:rPr>
          <w:i/>
          <w:sz w:val="22"/>
        </w:rPr>
        <w:t>England</w:t>
      </w:r>
      <w:r>
        <w:rPr>
          <w:i/>
          <w:spacing w:val="-4"/>
          <w:sz w:val="22"/>
        </w:rPr>
        <w:t> </w:t>
      </w:r>
      <w:r>
        <w:rPr>
          <w:i/>
          <w:sz w:val="22"/>
        </w:rPr>
        <w:t>Journal</w:t>
      </w:r>
      <w:r>
        <w:rPr>
          <w:i/>
          <w:spacing w:val="-4"/>
          <w:sz w:val="22"/>
        </w:rPr>
        <w:t> </w:t>
      </w:r>
      <w:r>
        <w:rPr>
          <w:i/>
          <w:sz w:val="22"/>
        </w:rPr>
        <w:t>of</w:t>
      </w:r>
      <w:r>
        <w:rPr>
          <w:i/>
          <w:spacing w:val="-4"/>
          <w:sz w:val="22"/>
        </w:rPr>
        <w:t> </w:t>
      </w:r>
      <w:r>
        <w:rPr>
          <w:i/>
          <w:sz w:val="22"/>
        </w:rPr>
        <w:t>Medicine,</w:t>
      </w:r>
      <w:r>
        <w:rPr>
          <w:i/>
          <w:spacing w:val="-2"/>
          <w:sz w:val="22"/>
        </w:rPr>
        <w:t> </w:t>
      </w:r>
      <w:r>
        <w:rPr>
          <w:sz w:val="22"/>
        </w:rPr>
        <w:t>344:</w:t>
      </w:r>
      <w:r>
        <w:rPr>
          <w:spacing w:val="-5"/>
          <w:sz w:val="22"/>
        </w:rPr>
        <w:t> </w:t>
      </w:r>
      <w:r>
        <w:rPr>
          <w:spacing w:val="-4"/>
          <w:sz w:val="22"/>
        </w:rPr>
        <w:t>205.</w:t>
      </w:r>
    </w:p>
    <w:p>
      <w:pPr>
        <w:pStyle w:val="BodyText"/>
        <w:spacing w:line="261" w:lineRule="auto" w:before="219"/>
        <w:ind w:left="1100" w:right="976" w:hanging="720"/>
        <w:jc w:val="both"/>
      </w:pPr>
      <w:r>
        <w:rPr/>
        <w:t>Bisno, A. L., Brito, M. O., and Collins, C. M. (2003). Molecular basis of group A streptococcal</w:t>
      </w:r>
      <w:r>
        <w:rPr>
          <w:spacing w:val="40"/>
        </w:rPr>
        <w:t> </w:t>
      </w:r>
      <w:r>
        <w:rPr/>
        <w:t>virulence. </w:t>
      </w:r>
      <w:r>
        <w:rPr>
          <w:i/>
        </w:rPr>
        <w:t>Lancet Infectious </w:t>
      </w:r>
      <w:r>
        <w:rPr/>
        <w:t>Diseases, 3 (4): 191–200.</w:t>
      </w:r>
    </w:p>
    <w:p>
      <w:pPr>
        <w:spacing w:line="261" w:lineRule="auto" w:before="195"/>
        <w:ind w:left="1100" w:right="974" w:hanging="720"/>
        <w:jc w:val="both"/>
        <w:rPr>
          <w:sz w:val="22"/>
        </w:rPr>
      </w:pPr>
      <w:r>
        <w:rPr>
          <w:sz w:val="22"/>
        </w:rPr>
        <w:t>Bogaert, D., De Groot, R., and Hermans, P. W. (2004) </w:t>
      </w:r>
      <w:r>
        <w:rPr>
          <w:i/>
          <w:sz w:val="22"/>
        </w:rPr>
        <w:t>Streptococcus pneumoniae </w:t>
      </w:r>
      <w:r>
        <w:rPr>
          <w:sz w:val="22"/>
        </w:rPr>
        <w:t>colonisation: The key to pneumococcal disease. </w:t>
      </w:r>
      <w:r>
        <w:rPr>
          <w:i/>
          <w:sz w:val="22"/>
        </w:rPr>
        <w:t>Lancet of Infectious Diseases</w:t>
      </w:r>
      <w:r>
        <w:rPr>
          <w:sz w:val="22"/>
        </w:rPr>
        <w:t>, 4: 144–154.</w:t>
      </w:r>
    </w:p>
    <w:p>
      <w:pPr>
        <w:spacing w:before="194"/>
        <w:ind w:left="380" w:right="0" w:firstLine="0"/>
        <w:jc w:val="left"/>
        <w:rPr>
          <w:sz w:val="22"/>
        </w:rPr>
      </w:pPr>
      <w:r>
        <w:rPr>
          <w:sz w:val="22"/>
        </w:rPr>
        <w:t>Botzenhardt,</w:t>
      </w:r>
      <w:r>
        <w:rPr>
          <w:spacing w:val="43"/>
          <w:sz w:val="22"/>
        </w:rPr>
        <w:t> </w:t>
      </w:r>
      <w:r>
        <w:rPr>
          <w:sz w:val="22"/>
        </w:rPr>
        <w:t>K.,</w:t>
      </w:r>
      <w:r>
        <w:rPr>
          <w:spacing w:val="46"/>
          <w:sz w:val="22"/>
        </w:rPr>
        <w:t> </w:t>
      </w:r>
      <w:r>
        <w:rPr>
          <w:sz w:val="22"/>
        </w:rPr>
        <w:t>and</w:t>
      </w:r>
      <w:r>
        <w:rPr>
          <w:spacing w:val="45"/>
          <w:sz w:val="22"/>
        </w:rPr>
        <w:t> </w:t>
      </w:r>
      <w:r>
        <w:rPr>
          <w:sz w:val="22"/>
        </w:rPr>
        <w:t>Doring,</w:t>
      </w:r>
      <w:r>
        <w:rPr>
          <w:spacing w:val="46"/>
          <w:sz w:val="22"/>
        </w:rPr>
        <w:t> </w:t>
      </w:r>
      <w:r>
        <w:rPr>
          <w:sz w:val="22"/>
        </w:rPr>
        <w:t>G.</w:t>
      </w:r>
      <w:r>
        <w:rPr>
          <w:spacing w:val="47"/>
          <w:sz w:val="22"/>
        </w:rPr>
        <w:t> </w:t>
      </w:r>
      <w:r>
        <w:rPr>
          <w:sz w:val="22"/>
        </w:rPr>
        <w:t>(1993).</w:t>
      </w:r>
      <w:r>
        <w:rPr>
          <w:spacing w:val="46"/>
          <w:sz w:val="22"/>
        </w:rPr>
        <w:t> </w:t>
      </w:r>
      <w:r>
        <w:rPr>
          <w:sz w:val="22"/>
        </w:rPr>
        <w:t>Ecology</w:t>
      </w:r>
      <w:r>
        <w:rPr>
          <w:spacing w:val="45"/>
          <w:sz w:val="22"/>
        </w:rPr>
        <w:t> </w:t>
      </w:r>
      <w:r>
        <w:rPr>
          <w:sz w:val="22"/>
        </w:rPr>
        <w:t>and</w:t>
      </w:r>
      <w:r>
        <w:rPr>
          <w:spacing w:val="46"/>
          <w:sz w:val="22"/>
        </w:rPr>
        <w:t> </w:t>
      </w:r>
      <w:r>
        <w:rPr>
          <w:sz w:val="22"/>
        </w:rPr>
        <w:t>Epidemiology</w:t>
      </w:r>
      <w:r>
        <w:rPr>
          <w:spacing w:val="44"/>
          <w:sz w:val="22"/>
        </w:rPr>
        <w:t> </w:t>
      </w:r>
      <w:r>
        <w:rPr>
          <w:sz w:val="22"/>
        </w:rPr>
        <w:t>of</w:t>
      </w:r>
      <w:r>
        <w:rPr>
          <w:spacing w:val="46"/>
          <w:sz w:val="22"/>
        </w:rPr>
        <w:t> </w:t>
      </w:r>
      <w:r>
        <w:rPr>
          <w:i/>
          <w:sz w:val="22"/>
        </w:rPr>
        <w:t>Pseudomonas</w:t>
      </w:r>
      <w:r>
        <w:rPr>
          <w:i/>
          <w:spacing w:val="46"/>
          <w:sz w:val="22"/>
        </w:rPr>
        <w:t> </w:t>
      </w:r>
      <w:r>
        <w:rPr>
          <w:i/>
          <w:spacing w:val="-2"/>
          <w:sz w:val="22"/>
        </w:rPr>
        <w:t>aeruginosa</w:t>
      </w:r>
      <w:r>
        <w:rPr>
          <w:spacing w:val="-2"/>
          <w:sz w:val="22"/>
        </w:rPr>
        <w:t>.</w:t>
      </w:r>
    </w:p>
    <w:p>
      <w:pPr>
        <w:spacing w:before="22"/>
        <w:ind w:left="1100" w:right="0" w:firstLine="0"/>
        <w:jc w:val="left"/>
        <w:rPr>
          <w:sz w:val="22"/>
        </w:rPr>
      </w:pPr>
      <w:r>
        <w:rPr>
          <w:i/>
          <w:sz w:val="22"/>
        </w:rPr>
        <w:t>Journal</w:t>
      </w:r>
      <w:r>
        <w:rPr>
          <w:i/>
          <w:spacing w:val="-5"/>
          <w:sz w:val="22"/>
        </w:rPr>
        <w:t> </w:t>
      </w:r>
      <w:r>
        <w:rPr>
          <w:i/>
          <w:sz w:val="22"/>
        </w:rPr>
        <w:t>of</w:t>
      </w:r>
      <w:r>
        <w:rPr>
          <w:i/>
          <w:spacing w:val="-5"/>
          <w:sz w:val="22"/>
        </w:rPr>
        <w:t> </w:t>
      </w:r>
      <w:r>
        <w:rPr>
          <w:i/>
          <w:sz w:val="22"/>
        </w:rPr>
        <w:t>Hospital</w:t>
      </w:r>
      <w:r>
        <w:rPr>
          <w:i/>
          <w:spacing w:val="-5"/>
          <w:sz w:val="22"/>
        </w:rPr>
        <w:t> </w:t>
      </w:r>
      <w:r>
        <w:rPr>
          <w:i/>
          <w:sz w:val="22"/>
        </w:rPr>
        <w:t>Infection</w:t>
      </w:r>
      <w:r>
        <w:rPr>
          <w:sz w:val="22"/>
        </w:rPr>
        <w:t>,</w:t>
      </w:r>
      <w:r>
        <w:rPr>
          <w:spacing w:val="-4"/>
          <w:sz w:val="22"/>
        </w:rPr>
        <w:t> </w:t>
      </w:r>
      <w:r>
        <w:rPr>
          <w:sz w:val="22"/>
        </w:rPr>
        <w:t>1-</w:t>
      </w:r>
      <w:r>
        <w:rPr>
          <w:spacing w:val="-5"/>
          <w:sz w:val="22"/>
        </w:rPr>
        <w:t>7.</w:t>
      </w:r>
    </w:p>
    <w:p>
      <w:pPr>
        <w:tabs>
          <w:tab w:pos="3291" w:val="left" w:leader="none"/>
          <w:tab w:pos="5599" w:val="left" w:leader="none"/>
          <w:tab w:pos="7200" w:val="left" w:leader="none"/>
          <w:tab w:pos="8974" w:val="left" w:leader="none"/>
        </w:tabs>
        <w:spacing w:line="259" w:lineRule="auto" w:before="221"/>
        <w:ind w:left="1100" w:right="972" w:hanging="720"/>
        <w:jc w:val="left"/>
        <w:rPr>
          <w:sz w:val="22"/>
        </w:rPr>
      </w:pPr>
      <w:r>
        <w:rPr>
          <w:sz w:val="22"/>
        </w:rPr>
        <w:t>Bowersox,</w:t>
      </w:r>
      <w:r>
        <w:rPr>
          <w:spacing w:val="40"/>
          <w:sz w:val="22"/>
        </w:rPr>
        <w:t> </w:t>
      </w:r>
      <w:r>
        <w:rPr>
          <w:sz w:val="22"/>
        </w:rPr>
        <w:t>J.</w:t>
      </w:r>
      <w:r>
        <w:rPr>
          <w:spacing w:val="40"/>
          <w:sz w:val="22"/>
        </w:rPr>
        <w:t> </w:t>
      </w:r>
      <w:r>
        <w:rPr>
          <w:sz w:val="22"/>
        </w:rPr>
        <w:t>(1999).</w:t>
      </w:r>
      <w:r>
        <w:rPr>
          <w:spacing w:val="40"/>
          <w:sz w:val="22"/>
        </w:rPr>
        <w:t> </w:t>
      </w:r>
      <w:r>
        <w:rPr>
          <w:i/>
          <w:sz w:val="22"/>
        </w:rPr>
        <w:t>Experimental</w:t>
      </w:r>
      <w:r>
        <w:rPr>
          <w:i/>
          <w:spacing w:val="40"/>
          <w:sz w:val="22"/>
        </w:rPr>
        <w:t> </w:t>
      </w:r>
      <w:r>
        <w:rPr>
          <w:i/>
          <w:sz w:val="22"/>
        </w:rPr>
        <w:t>Staphylococus</w:t>
      </w:r>
      <w:r>
        <w:rPr>
          <w:i/>
          <w:spacing w:val="40"/>
          <w:sz w:val="22"/>
        </w:rPr>
        <w:t> </w:t>
      </w:r>
      <w:r>
        <w:rPr>
          <w:i/>
          <w:sz w:val="22"/>
        </w:rPr>
        <w:t>Vaccine</w:t>
      </w:r>
      <w:r>
        <w:rPr>
          <w:i/>
          <w:spacing w:val="40"/>
          <w:sz w:val="22"/>
        </w:rPr>
        <w:t> </w:t>
      </w:r>
      <w:r>
        <w:rPr>
          <w:i/>
          <w:sz w:val="22"/>
        </w:rPr>
        <w:t>Broadly</w:t>
      </w:r>
      <w:r>
        <w:rPr>
          <w:i/>
          <w:spacing w:val="40"/>
          <w:sz w:val="22"/>
        </w:rPr>
        <w:t> </w:t>
      </w:r>
      <w:r>
        <w:rPr>
          <w:i/>
          <w:sz w:val="22"/>
        </w:rPr>
        <w:t>Protective</w:t>
      </w:r>
      <w:r>
        <w:rPr>
          <w:i/>
          <w:spacing w:val="40"/>
          <w:sz w:val="22"/>
        </w:rPr>
        <w:t> </w:t>
      </w:r>
      <w:r>
        <w:rPr>
          <w:i/>
          <w:sz w:val="22"/>
        </w:rPr>
        <w:t>in</w:t>
      </w:r>
      <w:r>
        <w:rPr>
          <w:i/>
          <w:spacing w:val="40"/>
          <w:sz w:val="22"/>
        </w:rPr>
        <w:t> </w:t>
      </w:r>
      <w:r>
        <w:rPr>
          <w:i/>
          <w:sz w:val="22"/>
        </w:rPr>
        <w:t>Animal</w:t>
      </w:r>
      <w:r>
        <w:rPr>
          <w:i/>
          <w:spacing w:val="40"/>
          <w:sz w:val="22"/>
        </w:rPr>
        <w:t> </w:t>
      </w:r>
      <w:r>
        <w:rPr>
          <w:i/>
          <w:sz w:val="22"/>
        </w:rPr>
        <w:t>Studies</w:t>
      </w:r>
      <w:r>
        <w:rPr>
          <w:sz w:val="22"/>
        </w:rPr>
        <w:t>. </w:t>
      </w:r>
      <w:r>
        <w:rPr>
          <w:spacing w:val="-2"/>
          <w:sz w:val="22"/>
        </w:rPr>
        <w:t>Retrieved</w:t>
      </w:r>
      <w:r>
        <w:rPr>
          <w:sz w:val="22"/>
        </w:rPr>
        <w:tab/>
      </w:r>
      <w:r>
        <w:rPr>
          <w:spacing w:val="-2"/>
          <w:sz w:val="22"/>
        </w:rPr>
        <w:t>September</w:t>
      </w:r>
      <w:r>
        <w:rPr>
          <w:sz w:val="22"/>
        </w:rPr>
        <w:tab/>
      </w:r>
      <w:r>
        <w:rPr>
          <w:spacing w:val="-4"/>
          <w:sz w:val="22"/>
        </w:rPr>
        <w:t>15,</w:t>
      </w:r>
      <w:r>
        <w:rPr>
          <w:sz w:val="22"/>
        </w:rPr>
        <w:tab/>
      </w:r>
      <w:r>
        <w:rPr>
          <w:spacing w:val="-4"/>
          <w:sz w:val="22"/>
        </w:rPr>
        <w:t>2011</w:t>
      </w:r>
      <w:r>
        <w:rPr>
          <w:sz w:val="22"/>
        </w:rPr>
        <w:tab/>
      </w:r>
      <w:r>
        <w:rPr>
          <w:spacing w:val="-4"/>
          <w:sz w:val="22"/>
        </w:rPr>
        <w:t>from </w:t>
      </w:r>
      <w:r>
        <w:rPr>
          <w:spacing w:val="-2"/>
          <w:sz w:val="22"/>
        </w:rPr>
        <w:t>http://web.archive.org/web/20070505050641/http:/www3.niaid.nih.gov/news/newsreleas es/1999/staph.html.</w:t>
      </w:r>
    </w:p>
    <w:p>
      <w:pPr>
        <w:spacing w:line="259" w:lineRule="auto" w:before="198"/>
        <w:ind w:left="1100" w:right="975" w:hanging="720"/>
        <w:jc w:val="left"/>
        <w:rPr>
          <w:sz w:val="22"/>
        </w:rPr>
      </w:pPr>
      <w:hyperlink r:id="rId303">
        <w:r>
          <w:rPr>
            <w:sz w:val="22"/>
          </w:rPr>
          <w:t>Brisse,</w:t>
        </w:r>
        <w:r>
          <w:rPr>
            <w:spacing w:val="35"/>
            <w:sz w:val="22"/>
          </w:rPr>
          <w:t> </w:t>
        </w:r>
        <w:r>
          <w:rPr>
            <w:sz w:val="22"/>
          </w:rPr>
          <w:t>S.,</w:t>
        </w:r>
        <w:r>
          <w:rPr>
            <w:spacing w:val="34"/>
            <w:sz w:val="22"/>
          </w:rPr>
          <w:t> </w:t>
        </w:r>
        <w:r>
          <w:rPr>
            <w:sz w:val="22"/>
          </w:rPr>
          <w:t>and</w:t>
        </w:r>
        <w:r>
          <w:rPr>
            <w:spacing w:val="33"/>
            <w:sz w:val="22"/>
          </w:rPr>
          <w:t> </w:t>
        </w:r>
        <w:r>
          <w:rPr>
            <w:sz w:val="22"/>
          </w:rPr>
          <w:t>Verhoef,</w:t>
        </w:r>
        <w:r>
          <w:rPr>
            <w:spacing w:val="35"/>
            <w:sz w:val="22"/>
          </w:rPr>
          <w:t> </w:t>
        </w:r>
        <w:r>
          <w:rPr>
            <w:sz w:val="22"/>
          </w:rPr>
          <w:t>J.</w:t>
        </w:r>
        <w:r>
          <w:rPr>
            <w:spacing w:val="34"/>
            <w:sz w:val="22"/>
          </w:rPr>
          <w:t> </w:t>
        </w:r>
        <w:r>
          <w:rPr>
            <w:sz w:val="22"/>
          </w:rPr>
          <w:t>(2001).</w:t>
        </w:r>
        <w:r>
          <w:rPr>
            <w:spacing w:val="34"/>
            <w:sz w:val="22"/>
          </w:rPr>
          <w:t> </w:t>
        </w:r>
        <w:r>
          <w:rPr>
            <w:sz w:val="22"/>
          </w:rPr>
          <w:t>"Phylogenetic</w:t>
        </w:r>
        <w:r>
          <w:rPr>
            <w:spacing w:val="35"/>
            <w:sz w:val="22"/>
          </w:rPr>
          <w:t> </w:t>
        </w:r>
        <w:r>
          <w:rPr>
            <w:sz w:val="22"/>
          </w:rPr>
          <w:t>diversity</w:t>
        </w:r>
        <w:r>
          <w:rPr>
            <w:spacing w:val="33"/>
            <w:sz w:val="22"/>
          </w:rPr>
          <w:t> </w:t>
        </w:r>
        <w:r>
          <w:rPr>
            <w:sz w:val="22"/>
          </w:rPr>
          <w:t>of</w:t>
        </w:r>
        <w:r>
          <w:rPr>
            <w:spacing w:val="38"/>
            <w:sz w:val="22"/>
          </w:rPr>
          <w:t> </w:t>
        </w:r>
        <w:r>
          <w:rPr>
            <w:i/>
            <w:sz w:val="22"/>
          </w:rPr>
          <w:t>Klebsiella</w:t>
        </w:r>
        <w:r>
          <w:rPr>
            <w:i/>
            <w:spacing w:val="33"/>
            <w:sz w:val="22"/>
          </w:rPr>
          <w:t> </w:t>
        </w:r>
        <w:r>
          <w:rPr>
            <w:i/>
            <w:sz w:val="22"/>
          </w:rPr>
          <w:t>pneumoniae</w:t>
        </w:r>
        <w:r>
          <w:rPr>
            <w:i/>
            <w:spacing w:val="35"/>
            <w:sz w:val="22"/>
          </w:rPr>
          <w:t> </w:t>
        </w:r>
        <w:r>
          <w:rPr>
            <w:sz w:val="22"/>
          </w:rPr>
          <w:t>and</w:t>
        </w:r>
        <w:r>
          <w:rPr>
            <w:spacing w:val="34"/>
            <w:sz w:val="22"/>
          </w:rPr>
          <w:t> </w:t>
        </w:r>
        <w:r>
          <w:rPr>
            <w:i/>
            <w:sz w:val="22"/>
          </w:rPr>
          <w:t>Klebsiella</w:t>
        </w:r>
      </w:hyperlink>
      <w:r>
        <w:rPr>
          <w:i/>
          <w:sz w:val="22"/>
        </w:rPr>
        <w:t> </w:t>
      </w:r>
      <w:hyperlink r:id="rId303">
        <w:r>
          <w:rPr>
            <w:i/>
            <w:sz w:val="22"/>
          </w:rPr>
          <w:t>oxytoca</w:t>
        </w:r>
        <w:r>
          <w:rPr>
            <w:i/>
            <w:spacing w:val="25"/>
            <w:sz w:val="22"/>
          </w:rPr>
          <w:t> </w:t>
        </w:r>
        <w:r>
          <w:rPr>
            <w:sz w:val="22"/>
          </w:rPr>
          <w:t>clinical</w:t>
        </w:r>
        <w:r>
          <w:rPr>
            <w:spacing w:val="25"/>
            <w:sz w:val="22"/>
          </w:rPr>
          <w:t> </w:t>
        </w:r>
        <w:r>
          <w:rPr>
            <w:sz w:val="22"/>
          </w:rPr>
          <w:t>isolates</w:t>
        </w:r>
        <w:r>
          <w:rPr>
            <w:spacing w:val="25"/>
            <w:sz w:val="22"/>
          </w:rPr>
          <w:t> </w:t>
        </w:r>
        <w:r>
          <w:rPr>
            <w:sz w:val="22"/>
          </w:rPr>
          <w:t>revealed</w:t>
        </w:r>
        <w:r>
          <w:rPr>
            <w:spacing w:val="26"/>
            <w:sz w:val="22"/>
          </w:rPr>
          <w:t> </w:t>
        </w:r>
        <w:r>
          <w:rPr>
            <w:sz w:val="22"/>
          </w:rPr>
          <w:t>by</w:t>
        </w:r>
        <w:r>
          <w:rPr>
            <w:spacing w:val="26"/>
            <w:sz w:val="22"/>
          </w:rPr>
          <w:t> </w:t>
        </w:r>
        <w:r>
          <w:rPr>
            <w:sz w:val="22"/>
          </w:rPr>
          <w:t>randomly</w:t>
        </w:r>
        <w:r>
          <w:rPr>
            <w:spacing w:val="26"/>
            <w:sz w:val="22"/>
          </w:rPr>
          <w:t> </w:t>
        </w:r>
        <w:r>
          <w:rPr>
            <w:sz w:val="22"/>
          </w:rPr>
          <w:t>amplified</w:t>
        </w:r>
        <w:r>
          <w:rPr>
            <w:spacing w:val="25"/>
            <w:sz w:val="22"/>
          </w:rPr>
          <w:t> </w:t>
        </w:r>
        <w:r>
          <w:rPr>
            <w:sz w:val="22"/>
          </w:rPr>
          <w:t>polymorphic</w:t>
        </w:r>
        <w:r>
          <w:rPr>
            <w:spacing w:val="24"/>
            <w:sz w:val="22"/>
          </w:rPr>
          <w:t> </w:t>
        </w:r>
        <w:r>
          <w:rPr>
            <w:sz w:val="22"/>
          </w:rPr>
          <w:t>DNA,</w:t>
        </w:r>
        <w:r>
          <w:rPr>
            <w:spacing w:val="25"/>
            <w:sz w:val="22"/>
          </w:rPr>
          <w:t> </w:t>
        </w:r>
        <w:r>
          <w:rPr>
            <w:sz w:val="22"/>
          </w:rPr>
          <w:t>gyrA</w:t>
        </w:r>
        <w:r>
          <w:rPr>
            <w:spacing w:val="25"/>
            <w:sz w:val="22"/>
          </w:rPr>
          <w:t> </w:t>
        </w:r>
        <w:r>
          <w:rPr>
            <w:sz w:val="22"/>
          </w:rPr>
          <w:t>and</w:t>
        </w:r>
        <w:r>
          <w:rPr>
            <w:spacing w:val="26"/>
            <w:sz w:val="22"/>
          </w:rPr>
          <w:t> </w:t>
        </w:r>
        <w:r>
          <w:rPr>
            <w:spacing w:val="-4"/>
            <w:sz w:val="22"/>
          </w:rPr>
          <w:t>parC</w:t>
        </w:r>
      </w:hyperlink>
    </w:p>
    <w:p>
      <w:pPr>
        <w:spacing w:after="0" w:line="259" w:lineRule="auto"/>
        <w:jc w:val="left"/>
        <w:rPr>
          <w:sz w:val="22"/>
        </w:rPr>
        <w:sectPr>
          <w:pgSz w:w="11910" w:h="16840"/>
          <w:pgMar w:header="0" w:footer="1055" w:top="1380" w:bottom="1240" w:left="1060" w:right="460"/>
        </w:sectPr>
      </w:pPr>
    </w:p>
    <w:p>
      <w:pPr>
        <w:spacing w:line="261" w:lineRule="auto" w:before="38"/>
        <w:ind w:left="1100" w:right="975" w:firstLine="0"/>
        <w:jc w:val="left"/>
        <w:rPr>
          <w:sz w:val="22"/>
        </w:rPr>
      </w:pPr>
      <w:r>
        <w:rPr>
          <w:sz w:val="22"/>
        </w:rPr>
        <w:t>genes</w:t>
      </w:r>
      <w:r>
        <w:rPr>
          <w:spacing w:val="40"/>
          <w:sz w:val="22"/>
        </w:rPr>
        <w:t> </w:t>
      </w:r>
      <w:r>
        <w:rPr>
          <w:sz w:val="22"/>
        </w:rPr>
        <w:t>sequencing</w:t>
      </w:r>
      <w:r>
        <w:rPr>
          <w:spacing w:val="40"/>
          <w:sz w:val="22"/>
        </w:rPr>
        <w:t> </w:t>
      </w:r>
      <w:r>
        <w:rPr>
          <w:sz w:val="22"/>
        </w:rPr>
        <w:t>and</w:t>
      </w:r>
      <w:r>
        <w:rPr>
          <w:spacing w:val="40"/>
          <w:sz w:val="22"/>
        </w:rPr>
        <w:t> </w:t>
      </w:r>
      <w:r>
        <w:rPr>
          <w:sz w:val="22"/>
        </w:rPr>
        <w:t>automated</w:t>
      </w:r>
      <w:r>
        <w:rPr>
          <w:spacing w:val="40"/>
          <w:sz w:val="22"/>
        </w:rPr>
        <w:t> </w:t>
      </w:r>
      <w:r>
        <w:rPr>
          <w:sz w:val="22"/>
        </w:rPr>
        <w:t>ribotyping".</w:t>
      </w:r>
      <w:r>
        <w:rPr>
          <w:spacing w:val="40"/>
          <w:sz w:val="22"/>
        </w:rPr>
        <w:t> </w:t>
      </w:r>
      <w:r>
        <w:rPr>
          <w:i/>
          <w:sz w:val="22"/>
        </w:rPr>
        <w:t>International</w:t>
      </w:r>
      <w:r>
        <w:rPr>
          <w:i/>
          <w:spacing w:val="40"/>
          <w:sz w:val="22"/>
        </w:rPr>
        <w:t> </w:t>
      </w:r>
      <w:r>
        <w:rPr>
          <w:i/>
          <w:sz w:val="22"/>
        </w:rPr>
        <w:t>Journal</w:t>
      </w:r>
      <w:r>
        <w:rPr>
          <w:i/>
          <w:spacing w:val="40"/>
          <w:sz w:val="22"/>
        </w:rPr>
        <w:t> </w:t>
      </w:r>
      <w:r>
        <w:rPr>
          <w:i/>
          <w:sz w:val="22"/>
        </w:rPr>
        <w:t>of</w:t>
      </w:r>
      <w:r>
        <w:rPr>
          <w:i/>
          <w:spacing w:val="40"/>
          <w:sz w:val="22"/>
        </w:rPr>
        <w:t> </w:t>
      </w:r>
      <w:r>
        <w:rPr>
          <w:i/>
          <w:sz w:val="22"/>
        </w:rPr>
        <w:t>Systematic</w:t>
      </w:r>
      <w:r>
        <w:rPr>
          <w:i/>
          <w:spacing w:val="40"/>
          <w:sz w:val="22"/>
        </w:rPr>
        <w:t> </w:t>
      </w:r>
      <w:r>
        <w:rPr>
          <w:i/>
          <w:sz w:val="22"/>
        </w:rPr>
        <w:t>and</w:t>
      </w:r>
      <w:r>
        <w:rPr>
          <w:i/>
          <w:spacing w:val="40"/>
          <w:sz w:val="22"/>
        </w:rPr>
        <w:t> </w:t>
      </w:r>
      <w:r>
        <w:rPr>
          <w:i/>
          <w:sz w:val="22"/>
        </w:rPr>
        <w:t>Evolutionary Microbiology</w:t>
      </w:r>
      <w:r>
        <w:rPr>
          <w:sz w:val="22"/>
        </w:rPr>
        <w:t>. 51: 915–924.</w:t>
      </w:r>
    </w:p>
    <w:p>
      <w:pPr>
        <w:spacing w:line="259" w:lineRule="auto" w:before="195"/>
        <w:ind w:left="1100" w:right="975" w:hanging="720"/>
        <w:jc w:val="both"/>
        <w:rPr>
          <w:sz w:val="22"/>
        </w:rPr>
      </w:pPr>
      <w:hyperlink r:id="rId304">
        <w:r>
          <w:rPr>
            <w:sz w:val="22"/>
          </w:rPr>
          <w:t>Brisse1, S., Milatovic1, D., Fluit, A. C., Verhoef, J., and Schmitz, F-J. (2000). "Epidemiology of</w:t>
        </w:r>
      </w:hyperlink>
      <w:r>
        <w:rPr>
          <w:sz w:val="22"/>
        </w:rPr>
        <w:t> </w:t>
      </w:r>
      <w:hyperlink r:id="rId304">
        <w:r>
          <w:rPr>
            <w:sz w:val="22"/>
          </w:rPr>
          <w:t>Quinolone Resistance of </w:t>
        </w:r>
        <w:r>
          <w:rPr>
            <w:i/>
            <w:sz w:val="22"/>
          </w:rPr>
          <w:t>Klebsiella pneumoniae </w:t>
        </w:r>
        <w:r>
          <w:rPr>
            <w:sz w:val="22"/>
          </w:rPr>
          <w:t>and </w:t>
        </w:r>
        <w:r>
          <w:rPr>
            <w:i/>
            <w:sz w:val="22"/>
          </w:rPr>
          <w:t>Klebsiella oxytoca </w:t>
        </w:r>
        <w:r>
          <w:rPr>
            <w:sz w:val="22"/>
          </w:rPr>
          <w:t>in Europe". </w:t>
        </w:r>
        <w:r>
          <w:rPr>
            <w:i/>
            <w:sz w:val="22"/>
          </w:rPr>
          <w:t>European</w:t>
        </w:r>
      </w:hyperlink>
      <w:r>
        <w:rPr>
          <w:i/>
          <w:sz w:val="22"/>
        </w:rPr>
        <w:t> </w:t>
      </w:r>
      <w:hyperlink r:id="rId304">
        <w:r>
          <w:rPr>
            <w:i/>
            <w:sz w:val="22"/>
          </w:rPr>
          <w:t>Journal of Clinical Microbiology &amp; Infectious Diseases</w:t>
        </w:r>
        <w:r>
          <w:rPr>
            <w:sz w:val="22"/>
          </w:rPr>
          <w:t>, 19 (1): 64-68.</w:t>
        </w:r>
      </w:hyperlink>
    </w:p>
    <w:p>
      <w:pPr>
        <w:spacing w:line="261" w:lineRule="auto" w:before="198"/>
        <w:ind w:left="1100" w:right="980" w:hanging="720"/>
        <w:jc w:val="both"/>
        <w:rPr>
          <w:sz w:val="22"/>
        </w:rPr>
      </w:pPr>
      <w:r>
        <w:rPr>
          <w:sz w:val="22"/>
        </w:rPr>
        <w:t>Burt, S. A. (2004). Essential oils: Their antibacterial properties and potential applications in foods: A review. </w:t>
      </w:r>
      <w:r>
        <w:rPr>
          <w:i/>
          <w:sz w:val="22"/>
        </w:rPr>
        <w:t>International Journal of Food Microbiology</w:t>
      </w:r>
      <w:r>
        <w:rPr>
          <w:sz w:val="22"/>
        </w:rPr>
        <w:t>, 94: 223-253.</w:t>
      </w:r>
    </w:p>
    <w:p>
      <w:pPr>
        <w:spacing w:line="261" w:lineRule="auto" w:before="195"/>
        <w:ind w:left="1100" w:right="974" w:hanging="720"/>
        <w:jc w:val="both"/>
        <w:rPr>
          <w:sz w:val="22"/>
        </w:rPr>
      </w:pPr>
      <w:r>
        <w:rPr>
          <w:sz w:val="22"/>
        </w:rPr>
        <w:t>Caldwell, R., and Lindberg, D. (2011). </w:t>
      </w:r>
      <w:hyperlink r:id="rId305">
        <w:r>
          <w:rPr>
            <w:i/>
            <w:sz w:val="22"/>
          </w:rPr>
          <w:t>Understanding Evolution" [Mutations are random]</w:t>
        </w:r>
        <w:r>
          <w:rPr>
            <w:sz w:val="22"/>
          </w:rPr>
          <w:t>.</w:t>
        </w:r>
      </w:hyperlink>
      <w:r>
        <w:rPr>
          <w:sz w:val="22"/>
        </w:rPr>
        <w:t> Retrieved August 14, 2011 from </w:t>
      </w:r>
      <w:hyperlink r:id="rId306">
        <w:r>
          <w:rPr>
            <w:sz w:val="22"/>
          </w:rPr>
          <w:t>http://evolution.berkeley.edu/evolibrary/article/mutations-07.</w:t>
        </w:r>
      </w:hyperlink>
    </w:p>
    <w:p>
      <w:pPr>
        <w:pStyle w:val="BodyText"/>
        <w:spacing w:line="261" w:lineRule="auto" w:before="195"/>
        <w:ind w:left="1100" w:right="975" w:hanging="720"/>
        <w:jc w:val="both"/>
      </w:pPr>
      <w:r>
        <w:rPr/>
        <w:t>Carque, O., (2006). </w:t>
      </w:r>
      <w:hyperlink r:id="rId307">
        <w:r>
          <w:rPr/>
          <w:t>Rational Diet: An Advanced Treatise on the Food Question</w:t>
        </w:r>
      </w:hyperlink>
      <w:r>
        <w:rPr/>
        <w:t>: </w:t>
      </w:r>
      <w:hyperlink r:id="rId308">
        <w:r>
          <w:rPr/>
          <w:t>Los Angeles,</w:t>
        </w:r>
      </w:hyperlink>
      <w:r>
        <w:rPr/>
        <w:t> </w:t>
      </w:r>
      <w:hyperlink r:id="rId308">
        <w:r>
          <w:rPr/>
          <w:t>California.</w:t>
        </w:r>
      </w:hyperlink>
      <w:r>
        <w:rPr/>
        <w:t> </w:t>
      </w:r>
      <w:hyperlink r:id="rId309">
        <w:r>
          <w:rPr/>
          <w:t>Kessinger Publishing,</w:t>
        </w:r>
      </w:hyperlink>
      <w:r>
        <w:rPr/>
        <w:t> 195.</w:t>
      </w:r>
    </w:p>
    <w:p>
      <w:pPr>
        <w:pStyle w:val="BodyText"/>
        <w:spacing w:line="259" w:lineRule="auto" w:before="194"/>
        <w:ind w:left="1100" w:right="975" w:hanging="720"/>
        <w:jc w:val="both"/>
      </w:pPr>
      <w:r>
        <w:rPr/>
        <w:t>Carter, A. P., Clemons, W. M., Brodersen, D. E., Morgan-Warren, R. J., Wimberly, B. T., and Ramakrishnan, V. (2000). "Functional insights from the structure of the 30s ribosomal subunit and its interactions with antibiotics". </w:t>
      </w:r>
      <w:r>
        <w:rPr>
          <w:i/>
        </w:rPr>
        <w:t>Nature, </w:t>
      </w:r>
      <w:r>
        <w:rPr/>
        <w:t>407 (6802): 340–8.</w:t>
      </w:r>
    </w:p>
    <w:p>
      <w:pPr>
        <w:spacing w:line="259" w:lineRule="auto" w:before="201"/>
        <w:ind w:left="1100" w:right="970" w:hanging="720"/>
        <w:jc w:val="both"/>
        <w:rPr>
          <w:sz w:val="22"/>
        </w:rPr>
      </w:pPr>
      <w:r>
        <w:rPr>
          <w:sz w:val="22"/>
        </w:rPr>
        <w:t>CDC (2009). </w:t>
      </w:r>
      <w:hyperlink r:id="rId310">
        <w:r>
          <w:rPr>
            <w:i/>
            <w:sz w:val="22"/>
          </w:rPr>
          <w:t>Antibiotic Resistance Questions &amp; Answers. [Are antibacterial-containing products</w:t>
        </w:r>
      </w:hyperlink>
      <w:r>
        <w:rPr>
          <w:i/>
          <w:spacing w:val="40"/>
          <w:sz w:val="22"/>
        </w:rPr>
        <w:t> </w:t>
      </w:r>
      <w:hyperlink r:id="rId310">
        <w:r>
          <w:rPr>
            <w:i/>
            <w:sz w:val="22"/>
          </w:rPr>
          <w:t>(soaps, household cleaners,</w:t>
        </w:r>
        <w:r>
          <w:rPr>
            <w:i/>
            <w:spacing w:val="-1"/>
            <w:sz w:val="22"/>
          </w:rPr>
          <w:t> </w:t>
        </w:r>
        <w:r>
          <w:rPr>
            <w:i/>
            <w:sz w:val="22"/>
          </w:rPr>
          <w:t>etc.) better for preventing</w:t>
        </w:r>
        <w:r>
          <w:rPr>
            <w:i/>
            <w:spacing w:val="-2"/>
            <w:sz w:val="22"/>
          </w:rPr>
          <w:t> </w:t>
        </w:r>
        <w:r>
          <w:rPr>
            <w:i/>
            <w:sz w:val="22"/>
          </w:rPr>
          <w:t>the spread of infection?</w:t>
        </w:r>
        <w:r>
          <w:rPr>
            <w:i/>
            <w:spacing w:val="-1"/>
            <w:sz w:val="22"/>
          </w:rPr>
          <w:t> </w:t>
        </w:r>
        <w:r>
          <w:rPr>
            <w:i/>
            <w:sz w:val="22"/>
          </w:rPr>
          <w:t>Does their use</w:t>
        </w:r>
      </w:hyperlink>
      <w:r>
        <w:rPr>
          <w:i/>
          <w:sz w:val="22"/>
        </w:rPr>
        <w:t> </w:t>
      </w:r>
      <w:hyperlink r:id="rId310">
        <w:r>
          <w:rPr>
            <w:i/>
            <w:sz w:val="22"/>
          </w:rPr>
          <w:t>add to the problem of resistance?]</w:t>
        </w:r>
      </w:hyperlink>
      <w:r>
        <w:rPr>
          <w:i/>
          <w:sz w:val="22"/>
        </w:rPr>
        <w:t>. Atlanta, Georgia, USA.: Centers for Disease Control and Prevention</w:t>
      </w:r>
      <w:r>
        <w:rPr>
          <w:sz w:val="22"/>
        </w:rPr>
        <w:t>.</w:t>
      </w:r>
      <w:r>
        <w:rPr>
          <w:spacing w:val="40"/>
          <w:sz w:val="22"/>
        </w:rPr>
        <w:t> </w:t>
      </w:r>
      <w:r>
        <w:rPr>
          <w:sz w:val="22"/>
        </w:rPr>
        <w:t>Retrieved December 19, 2011 from </w:t>
      </w:r>
      <w:hyperlink r:id="rId311">
        <w:r>
          <w:rPr>
            <w:sz w:val="22"/>
          </w:rPr>
          <w:t>http://www.cdc.gov/getsmart/antibiotic-</w:t>
        </w:r>
      </w:hyperlink>
      <w:r>
        <w:rPr>
          <w:sz w:val="22"/>
        </w:rPr>
        <w:t> </w:t>
      </w:r>
      <w:r>
        <w:rPr>
          <w:spacing w:val="-2"/>
          <w:sz w:val="22"/>
        </w:rPr>
        <w:t>use/antibiotic-resistance-faqs.html#j.</w:t>
      </w:r>
    </w:p>
    <w:p>
      <w:pPr>
        <w:tabs>
          <w:tab w:pos="4097" w:val="left" w:leader="none"/>
          <w:tab w:pos="6449" w:val="left" w:leader="none"/>
          <w:tab w:pos="8971" w:val="left" w:leader="none"/>
        </w:tabs>
        <w:spacing w:line="259" w:lineRule="auto" w:before="199"/>
        <w:ind w:left="1100" w:right="973" w:hanging="720"/>
        <w:jc w:val="both"/>
        <w:rPr>
          <w:sz w:val="22"/>
        </w:rPr>
      </w:pPr>
      <w:r>
        <w:rPr>
          <w:sz w:val="22"/>
        </w:rPr>
        <w:t>CDCP (2005). </w:t>
      </w:r>
      <w:hyperlink r:id="rId312">
        <w:r>
          <w:rPr>
            <w:i/>
            <w:sz w:val="22"/>
          </w:rPr>
          <w:t>Group A Streptococcal (GAS) Disease (strep throat, necrotizing fasciitis, impetigo) --</w:t>
        </w:r>
      </w:hyperlink>
      <w:r>
        <w:rPr>
          <w:i/>
          <w:sz w:val="22"/>
        </w:rPr>
        <w:t> </w:t>
      </w:r>
      <w:hyperlink r:id="rId312">
        <w:r>
          <w:rPr>
            <w:i/>
            <w:sz w:val="22"/>
          </w:rPr>
          <w:t>Frequently Asked Questions.</w:t>
        </w:r>
      </w:hyperlink>
      <w:r>
        <w:rPr>
          <w:i/>
          <w:sz w:val="22"/>
        </w:rPr>
        <w:t> Centers for Disease Control and Prevention</w:t>
      </w:r>
      <w:r>
        <w:rPr>
          <w:sz w:val="22"/>
        </w:rPr>
        <w:t>. Retrieved</w:t>
      </w:r>
      <w:r>
        <w:rPr>
          <w:spacing w:val="80"/>
          <w:sz w:val="22"/>
        </w:rPr>
        <w:t> </w:t>
      </w:r>
      <w:r>
        <w:rPr>
          <w:spacing w:val="-2"/>
          <w:sz w:val="22"/>
        </w:rPr>
        <w:t>December</w:t>
      </w:r>
      <w:r>
        <w:rPr>
          <w:sz w:val="22"/>
        </w:rPr>
        <w:tab/>
      </w:r>
      <w:r>
        <w:rPr>
          <w:spacing w:val="-4"/>
          <w:sz w:val="22"/>
        </w:rPr>
        <w:t>19,</w:t>
      </w:r>
      <w:r>
        <w:rPr>
          <w:sz w:val="22"/>
        </w:rPr>
        <w:tab/>
      </w:r>
      <w:r>
        <w:rPr>
          <w:spacing w:val="-4"/>
          <w:sz w:val="22"/>
        </w:rPr>
        <w:t>2011</w:t>
      </w:r>
      <w:r>
        <w:rPr>
          <w:sz w:val="22"/>
        </w:rPr>
        <w:tab/>
      </w:r>
      <w:r>
        <w:rPr>
          <w:spacing w:val="-4"/>
          <w:sz w:val="22"/>
        </w:rPr>
        <w:t>from </w:t>
      </w:r>
      <w:hyperlink r:id="rId312">
        <w:r>
          <w:rPr>
            <w:spacing w:val="-2"/>
            <w:sz w:val="22"/>
          </w:rPr>
          <w:t>http://www.cdc.gov/ncidod/dbmd/diseaseinfo/groupastreptococcal_g.htm.</w:t>
        </w:r>
      </w:hyperlink>
    </w:p>
    <w:p>
      <w:pPr>
        <w:spacing w:line="261" w:lineRule="auto" w:before="198"/>
        <w:ind w:left="1100" w:right="973" w:hanging="720"/>
        <w:jc w:val="both"/>
        <w:rPr>
          <w:sz w:val="22"/>
        </w:rPr>
      </w:pPr>
      <w:r>
        <w:rPr>
          <w:sz w:val="22"/>
        </w:rPr>
        <w:t>Cenci-Goga, B. T., Karama, M., Rossitto, P. V., Morgante, R. A., and Cullor, J. S. (2003). "Enterotoxin production by </w:t>
      </w:r>
      <w:r>
        <w:rPr>
          <w:i/>
          <w:sz w:val="22"/>
        </w:rPr>
        <w:t>Staphylococcus aureus </w:t>
      </w:r>
      <w:r>
        <w:rPr>
          <w:sz w:val="22"/>
        </w:rPr>
        <w:t>isolated from mastitic cows". </w:t>
      </w:r>
      <w:r>
        <w:rPr>
          <w:i/>
          <w:sz w:val="22"/>
        </w:rPr>
        <w:t>Journal of food protection, </w:t>
      </w:r>
      <w:r>
        <w:rPr>
          <w:sz w:val="22"/>
        </w:rPr>
        <w:t>66 (9): 1693–6.</w:t>
      </w:r>
    </w:p>
    <w:p>
      <w:pPr>
        <w:spacing w:line="259" w:lineRule="auto" w:before="192"/>
        <w:ind w:left="1100" w:right="973" w:hanging="720"/>
        <w:jc w:val="both"/>
        <w:rPr>
          <w:sz w:val="22"/>
        </w:rPr>
      </w:pPr>
      <w:r>
        <w:rPr>
          <w:sz w:val="22"/>
        </w:rPr>
        <w:t>Center for Disease Control (CDC) (2005). </w:t>
      </w:r>
      <w:r>
        <w:rPr>
          <w:i/>
          <w:sz w:val="22"/>
        </w:rPr>
        <w:t>Division of Bacterial and Mycotic Diseases</w:t>
      </w:r>
      <w:r>
        <w:rPr>
          <w:sz w:val="22"/>
        </w:rPr>
        <w:t>: </w:t>
      </w:r>
      <w:r>
        <w:rPr>
          <w:i/>
          <w:sz w:val="22"/>
        </w:rPr>
        <w:t>Group A Streptococcal (GAS) Disease</w:t>
      </w:r>
      <w:r>
        <w:rPr>
          <w:sz w:val="22"/>
        </w:rPr>
        <w:t>. Retrieved December 13, 2011 from </w:t>
      </w:r>
      <w:hyperlink r:id="rId312">
        <w:r>
          <w:rPr>
            <w:spacing w:val="-2"/>
            <w:sz w:val="22"/>
          </w:rPr>
          <w:t>http://www.cdc.gov/ncidod/dbmd/diseaseinfo/groupastreptococcal_g.htm.</w:t>
        </w:r>
      </w:hyperlink>
    </w:p>
    <w:p>
      <w:pPr>
        <w:pStyle w:val="BodyText"/>
        <w:spacing w:before="199"/>
        <w:ind w:left="380"/>
      </w:pPr>
      <w:r>
        <w:rPr/>
        <w:t>Centers</w:t>
      </w:r>
      <w:r>
        <w:rPr>
          <w:spacing w:val="-3"/>
        </w:rPr>
        <w:t> </w:t>
      </w:r>
      <w:r>
        <w:rPr/>
        <w:t>for Disease Control</w:t>
      </w:r>
      <w:r>
        <w:rPr>
          <w:spacing w:val="-1"/>
        </w:rPr>
        <w:t> </w:t>
      </w:r>
      <w:r>
        <w:rPr/>
        <w:t>and</w:t>
      </w:r>
      <w:r>
        <w:rPr>
          <w:spacing w:val="-1"/>
        </w:rPr>
        <w:t> </w:t>
      </w:r>
      <w:r>
        <w:rPr/>
        <w:t>Prevention</w:t>
      </w:r>
      <w:r>
        <w:rPr>
          <w:spacing w:val="-2"/>
        </w:rPr>
        <w:t> </w:t>
      </w:r>
      <w:r>
        <w:rPr/>
        <w:t>(CDC) (2012).</w:t>
      </w:r>
      <w:r>
        <w:rPr>
          <w:spacing w:val="-1"/>
        </w:rPr>
        <w:t> </w:t>
      </w:r>
      <w:r>
        <w:rPr/>
        <w:t>Sexually</w:t>
      </w:r>
      <w:r>
        <w:rPr>
          <w:spacing w:val="-1"/>
        </w:rPr>
        <w:t> </w:t>
      </w:r>
      <w:r>
        <w:rPr/>
        <w:t>transmitted</w:t>
      </w:r>
      <w:r>
        <w:rPr>
          <w:spacing w:val="-1"/>
        </w:rPr>
        <w:t> </w:t>
      </w:r>
      <w:r>
        <w:rPr/>
        <w:t>diseases </w:t>
      </w:r>
      <w:r>
        <w:rPr>
          <w:spacing w:val="-2"/>
        </w:rPr>
        <w:t>Surveillance.</w:t>
      </w:r>
    </w:p>
    <w:p>
      <w:pPr>
        <w:spacing w:before="24"/>
        <w:ind w:left="1100" w:right="0" w:firstLine="0"/>
        <w:jc w:val="left"/>
        <w:rPr>
          <w:sz w:val="22"/>
        </w:rPr>
      </w:pPr>
      <w:r>
        <w:rPr>
          <w:i/>
          <w:sz w:val="22"/>
        </w:rPr>
        <w:t>Centers</w:t>
      </w:r>
      <w:r>
        <w:rPr>
          <w:i/>
          <w:spacing w:val="-4"/>
          <w:sz w:val="22"/>
        </w:rPr>
        <w:t> </w:t>
      </w:r>
      <w:r>
        <w:rPr>
          <w:i/>
          <w:sz w:val="22"/>
        </w:rPr>
        <w:t>for</w:t>
      </w:r>
      <w:r>
        <w:rPr>
          <w:i/>
          <w:spacing w:val="-6"/>
          <w:sz w:val="22"/>
        </w:rPr>
        <w:t> </w:t>
      </w:r>
      <w:r>
        <w:rPr>
          <w:i/>
          <w:sz w:val="22"/>
        </w:rPr>
        <w:t>Disease</w:t>
      </w:r>
      <w:r>
        <w:rPr>
          <w:i/>
          <w:spacing w:val="-6"/>
          <w:sz w:val="22"/>
        </w:rPr>
        <w:t> </w:t>
      </w:r>
      <w:r>
        <w:rPr>
          <w:i/>
          <w:sz w:val="22"/>
        </w:rPr>
        <w:t>Control</w:t>
      </w:r>
      <w:r>
        <w:rPr>
          <w:i/>
          <w:spacing w:val="-9"/>
          <w:sz w:val="22"/>
        </w:rPr>
        <w:t> </w:t>
      </w:r>
      <w:r>
        <w:rPr>
          <w:i/>
          <w:sz w:val="22"/>
        </w:rPr>
        <w:t>and</w:t>
      </w:r>
      <w:r>
        <w:rPr>
          <w:i/>
          <w:spacing w:val="-5"/>
          <w:sz w:val="22"/>
        </w:rPr>
        <w:t> </w:t>
      </w:r>
      <w:r>
        <w:rPr>
          <w:i/>
          <w:sz w:val="22"/>
        </w:rPr>
        <w:t>Prevention</w:t>
      </w:r>
      <w:r>
        <w:rPr>
          <w:sz w:val="22"/>
        </w:rPr>
        <w:t>,</w:t>
      </w:r>
      <w:r>
        <w:rPr>
          <w:spacing w:val="-4"/>
          <w:sz w:val="22"/>
        </w:rPr>
        <w:t> </w:t>
      </w:r>
      <w:r>
        <w:rPr>
          <w:sz w:val="22"/>
        </w:rPr>
        <w:t>(888):</w:t>
      </w:r>
      <w:r>
        <w:rPr>
          <w:spacing w:val="-6"/>
          <w:sz w:val="22"/>
        </w:rPr>
        <w:t> </w:t>
      </w:r>
      <w:r>
        <w:rPr>
          <w:sz w:val="22"/>
        </w:rPr>
        <w:t>232-</w:t>
      </w:r>
      <w:r>
        <w:rPr>
          <w:spacing w:val="-2"/>
          <w:sz w:val="22"/>
        </w:rPr>
        <w:t>6348.</w:t>
      </w:r>
    </w:p>
    <w:p>
      <w:pPr>
        <w:spacing w:line="261" w:lineRule="auto" w:before="218"/>
        <w:ind w:left="1100" w:right="975" w:hanging="720"/>
        <w:jc w:val="both"/>
        <w:rPr>
          <w:sz w:val="22"/>
        </w:rPr>
      </w:pPr>
      <w:r>
        <w:rPr>
          <w:sz w:val="22"/>
        </w:rPr>
        <w:t>Chang, C. M., Lauderdale, T. L., Lee, H. C., Lee, N. Y, Wu, C. J., Chen, C. C., … Lee, P. C. (2010). Colonisation of fluoroquinolone-resistant </w:t>
      </w:r>
      <w:r>
        <w:rPr>
          <w:i/>
          <w:sz w:val="22"/>
        </w:rPr>
        <w:t>haemophilus influenza </w:t>
      </w:r>
      <w:r>
        <w:rPr>
          <w:sz w:val="22"/>
        </w:rPr>
        <w:t>among nursing home residents in southern Taiwan. </w:t>
      </w:r>
      <w:r>
        <w:rPr>
          <w:i/>
          <w:sz w:val="22"/>
        </w:rPr>
        <w:t>Journal of Hospital Infections, </w:t>
      </w:r>
      <w:r>
        <w:rPr>
          <w:sz w:val="22"/>
        </w:rPr>
        <w:t>75 (4): 304–8.</w:t>
      </w:r>
    </w:p>
    <w:p>
      <w:pPr>
        <w:tabs>
          <w:tab w:pos="3697" w:val="left" w:leader="none"/>
          <w:tab w:pos="6117" w:val="left" w:leader="none"/>
          <w:tab w:pos="8970" w:val="left" w:leader="none"/>
        </w:tabs>
        <w:spacing w:line="259" w:lineRule="auto" w:before="193"/>
        <w:ind w:left="1100" w:right="976" w:hanging="720"/>
        <w:jc w:val="both"/>
        <w:rPr>
          <w:sz w:val="22"/>
        </w:rPr>
      </w:pPr>
      <w:hyperlink r:id="rId313">
        <w:r>
          <w:rPr>
            <w:sz w:val="22"/>
          </w:rPr>
          <w:t>Charles, D. B.</w:t>
        </w:r>
      </w:hyperlink>
      <w:r>
        <w:rPr>
          <w:sz w:val="22"/>
        </w:rPr>
        <w:t> (2011). </w:t>
      </w:r>
      <w:r>
        <w:rPr>
          <w:i/>
          <w:sz w:val="22"/>
        </w:rPr>
        <w:t>Otitis media in infants and chidren: Recent advances in otitis media. Books on </w:t>
      </w:r>
      <w:r>
        <w:rPr>
          <w:i/>
          <w:spacing w:val="-2"/>
          <w:sz w:val="22"/>
        </w:rPr>
        <w:t>google</w:t>
      </w:r>
      <w:r>
        <w:rPr>
          <w:i/>
          <w:sz w:val="22"/>
        </w:rPr>
        <w:tab/>
      </w:r>
      <w:r>
        <w:rPr>
          <w:i/>
          <w:spacing w:val="-4"/>
          <w:sz w:val="22"/>
        </w:rPr>
        <w:t>play</w:t>
      </w:r>
      <w:r>
        <w:rPr>
          <w:spacing w:val="-4"/>
          <w:sz w:val="22"/>
        </w:rPr>
        <w:t>.</w:t>
      </w:r>
      <w:r>
        <w:rPr>
          <w:sz w:val="22"/>
        </w:rPr>
        <w:tab/>
      </w:r>
      <w:r>
        <w:rPr>
          <w:spacing w:val="-2"/>
          <w:sz w:val="22"/>
        </w:rPr>
        <w:t>Retrieved</w:t>
      </w:r>
      <w:r>
        <w:rPr>
          <w:sz w:val="22"/>
        </w:rPr>
        <w:tab/>
      </w:r>
      <w:r>
        <w:rPr>
          <w:spacing w:val="-4"/>
          <w:sz w:val="22"/>
        </w:rPr>
        <w:t>from </w:t>
      </w:r>
      <w:hyperlink r:id="rId314">
        <w:r>
          <w:rPr>
            <w:spacing w:val="-2"/>
            <w:sz w:val="22"/>
          </w:rPr>
          <w:t>http://www.google.com.ng/search?tbo=bks&amp;q=inauthor:</w:t>
        </w:r>
      </w:hyperlink>
      <w:r>
        <w:rPr>
          <w:spacing w:val="-2"/>
          <w:sz w:val="22"/>
        </w:rPr>
        <w:t>”charles+d.+bluestone”.</w:t>
      </w:r>
    </w:p>
    <w:p>
      <w:pPr>
        <w:pStyle w:val="BodyText"/>
        <w:spacing w:line="261" w:lineRule="auto" w:before="198"/>
        <w:ind w:left="1100" w:right="977" w:hanging="720"/>
        <w:jc w:val="both"/>
      </w:pPr>
      <w:r>
        <w:rPr/>
        <w:t>Cheesebrough, M. (2010). Medical Laboratory Manual for Tropical Countries. Microbiology: Cambridge University Press, 137-188.</w:t>
      </w:r>
    </w:p>
    <w:p>
      <w:pPr>
        <w:spacing w:after="0" w:line="261" w:lineRule="auto"/>
        <w:jc w:val="both"/>
        <w:sectPr>
          <w:pgSz w:w="11910" w:h="16840"/>
          <w:pgMar w:header="0" w:footer="1055" w:top="1380" w:bottom="1240" w:left="1060" w:right="460"/>
        </w:sectPr>
      </w:pPr>
    </w:p>
    <w:p>
      <w:pPr>
        <w:spacing w:line="261" w:lineRule="auto" w:before="38"/>
        <w:ind w:left="1100" w:right="976" w:hanging="720"/>
        <w:jc w:val="both"/>
        <w:rPr>
          <w:i/>
          <w:sz w:val="22"/>
        </w:rPr>
      </w:pPr>
      <w:r>
        <w:rPr>
          <w:sz w:val="22"/>
        </w:rPr>
        <w:t>Chemical &amp; Engineering News (2012). </w:t>
      </w:r>
      <w:hyperlink r:id="rId315">
        <w:r>
          <w:rPr>
            <w:i/>
            <w:sz w:val="22"/>
          </w:rPr>
          <w:t>Modified Bee Peptide Slays Deadly Bacteria | Chemical &amp;</w:t>
        </w:r>
      </w:hyperlink>
      <w:r>
        <w:rPr>
          <w:i/>
          <w:sz w:val="22"/>
        </w:rPr>
        <w:t> </w:t>
      </w:r>
      <w:hyperlink r:id="rId315">
        <w:r>
          <w:rPr>
            <w:i/>
            <w:sz w:val="22"/>
          </w:rPr>
          <w:t>Engineering News</w:t>
        </w:r>
        <w:r>
          <w:rPr>
            <w:sz w:val="22"/>
          </w:rPr>
          <w:t>.</w:t>
        </w:r>
      </w:hyperlink>
      <w:r>
        <w:rPr>
          <w:sz w:val="22"/>
        </w:rPr>
        <w:t> Retrieved May 29, 2012 from </w:t>
      </w:r>
      <w:hyperlink r:id="rId316">
        <w:r>
          <w:rPr>
            <w:sz w:val="22"/>
          </w:rPr>
          <w:t>http:www.</w:t>
        </w:r>
        <w:r>
          <w:rPr>
            <w:i/>
            <w:sz w:val="22"/>
          </w:rPr>
          <w:t>Cen.acs.org.html.</w:t>
        </w:r>
      </w:hyperlink>
    </w:p>
    <w:p>
      <w:pPr>
        <w:pStyle w:val="BodyText"/>
        <w:spacing w:line="261" w:lineRule="auto" w:before="195"/>
        <w:ind w:left="1100" w:right="979" w:hanging="720"/>
        <w:jc w:val="both"/>
      </w:pPr>
      <w:r>
        <w:rPr/>
        <w:t>Cherry, D. K., Hing, E., Woodwell, D. A., and Rechtsteiner, E. A. (2008). National Ambulatory Medical Care Survey: 2006 Summary. </w:t>
      </w:r>
      <w:r>
        <w:rPr>
          <w:i/>
        </w:rPr>
        <w:t>National Health Statistics Report</w:t>
      </w:r>
      <w:r>
        <w:rPr/>
        <w:t>, 3: 1-40.</w:t>
      </w:r>
    </w:p>
    <w:p>
      <w:pPr>
        <w:spacing w:line="259" w:lineRule="auto" w:before="195"/>
        <w:ind w:left="1100" w:right="979" w:hanging="720"/>
        <w:jc w:val="both"/>
        <w:rPr>
          <w:sz w:val="22"/>
        </w:rPr>
      </w:pPr>
      <w:r>
        <w:rPr>
          <w:sz w:val="22"/>
        </w:rPr>
        <w:t>Cimolai, (2008). MRSA and the environment: implications for comprehensive control measures. The European Society of Clinical Microbiology. </w:t>
      </w:r>
      <w:r>
        <w:rPr>
          <w:i/>
          <w:sz w:val="22"/>
        </w:rPr>
        <w:t>European journal of Clinical Microbiology &amp; Infectious Diseases, </w:t>
      </w:r>
      <w:r>
        <w:rPr>
          <w:sz w:val="22"/>
        </w:rPr>
        <w:t>27 (7): 481-93.</w:t>
      </w:r>
    </w:p>
    <w:p>
      <w:pPr>
        <w:pStyle w:val="BodyText"/>
        <w:spacing w:line="261" w:lineRule="auto" w:before="198"/>
        <w:ind w:left="1100" w:right="973" w:hanging="720"/>
        <w:jc w:val="both"/>
      </w:pPr>
      <w:r>
        <w:rPr/>
        <w:t>Cirz, R. T., Chin, J. K., Andes, D. R., de Crécy-Lagard, V., Craig, W. A., and Romesberg, F. E. (2005). </w:t>
      </w:r>
      <w:hyperlink r:id="rId317">
        <w:r>
          <w:rPr/>
          <w:t>"Inhibition</w:t>
        </w:r>
        <w:r>
          <w:rPr>
            <w:spacing w:val="-2"/>
          </w:rPr>
          <w:t> </w:t>
        </w:r>
        <w:r>
          <w:rPr/>
          <w:t>of</w:t>
        </w:r>
        <w:r>
          <w:rPr>
            <w:spacing w:val="-1"/>
          </w:rPr>
          <w:t> </w:t>
        </w:r>
        <w:r>
          <w:rPr/>
          <w:t>Mutation</w:t>
        </w:r>
        <w:r>
          <w:rPr>
            <w:spacing w:val="-2"/>
          </w:rPr>
          <w:t> </w:t>
        </w:r>
        <w:r>
          <w:rPr/>
          <w:t>and</w:t>
        </w:r>
        <w:r>
          <w:rPr>
            <w:spacing w:val="-2"/>
          </w:rPr>
          <w:t> </w:t>
        </w:r>
        <w:r>
          <w:rPr/>
          <w:t>Combating</w:t>
        </w:r>
        <w:r>
          <w:rPr>
            <w:spacing w:val="-2"/>
          </w:rPr>
          <w:t> </w:t>
        </w:r>
        <w:r>
          <w:rPr/>
          <w:t>the</w:t>
        </w:r>
        <w:r>
          <w:rPr>
            <w:spacing w:val="-1"/>
          </w:rPr>
          <w:t> </w:t>
        </w:r>
        <w:r>
          <w:rPr/>
          <w:t>Evolution</w:t>
        </w:r>
        <w:r>
          <w:rPr>
            <w:spacing w:val="-4"/>
          </w:rPr>
          <w:t> </w:t>
        </w:r>
        <w:r>
          <w:rPr/>
          <w:t>of</w:t>
        </w:r>
        <w:r>
          <w:rPr>
            <w:spacing w:val="-1"/>
          </w:rPr>
          <w:t> </w:t>
        </w:r>
        <w:r>
          <w:rPr/>
          <w:t>Antibiotic</w:t>
        </w:r>
        <w:r>
          <w:rPr>
            <w:spacing w:val="-1"/>
          </w:rPr>
          <w:t> </w:t>
        </w:r>
        <w:r>
          <w:rPr/>
          <w:t>Resistance"</w:t>
        </w:r>
      </w:hyperlink>
      <w:r>
        <w:rPr/>
        <w:t>.</w:t>
      </w:r>
      <w:r>
        <w:rPr>
          <w:spacing w:val="-1"/>
        </w:rPr>
        <w:t> </w:t>
      </w:r>
      <w:r>
        <w:rPr>
          <w:i/>
        </w:rPr>
        <w:t>PLoS Biololgy, </w:t>
      </w:r>
      <w:r>
        <w:rPr/>
        <w:t>3 (6): 176.</w:t>
      </w:r>
    </w:p>
    <w:p>
      <w:pPr>
        <w:pStyle w:val="BodyText"/>
        <w:spacing w:line="259" w:lineRule="auto" w:before="192"/>
        <w:ind w:left="1100" w:right="972" w:hanging="720"/>
        <w:jc w:val="both"/>
      </w:pPr>
      <w:r>
        <w:rPr/>
        <w:t>Clauditz, A., Resch, A., Wieland, K. P., Peschel, A., and Götz, F. (2006). </w:t>
      </w:r>
      <w:hyperlink r:id="rId318">
        <w:r>
          <w:rPr/>
          <w:t>"Staphyloxanthin plays a role</w:t>
        </w:r>
      </w:hyperlink>
      <w:r>
        <w:rPr>
          <w:spacing w:val="40"/>
        </w:rPr>
        <w:t> </w:t>
      </w:r>
      <w:hyperlink r:id="rId318">
        <w:r>
          <w:rPr/>
          <w:t>in</w:t>
        </w:r>
        <w:r>
          <w:rPr>
            <w:spacing w:val="-1"/>
          </w:rPr>
          <w:t> </w:t>
        </w:r>
        <w:r>
          <w:rPr/>
          <w:t>the fitness</w:t>
        </w:r>
        <w:r>
          <w:rPr>
            <w:spacing w:val="-2"/>
          </w:rPr>
          <w:t> </w:t>
        </w:r>
        <w:r>
          <w:rPr/>
          <w:t>of </w:t>
        </w:r>
        <w:r>
          <w:rPr>
            <w:i/>
          </w:rPr>
          <w:t>Staphylococcus aureus </w:t>
        </w:r>
        <w:r>
          <w:rPr/>
          <w:t>and its ability</w:t>
        </w:r>
        <w:r>
          <w:rPr>
            <w:spacing w:val="-1"/>
          </w:rPr>
          <w:t> </w:t>
        </w:r>
        <w:r>
          <w:rPr/>
          <w:t>to cope</w:t>
        </w:r>
        <w:r>
          <w:rPr>
            <w:spacing w:val="-2"/>
          </w:rPr>
          <w:t> </w:t>
        </w:r>
        <w:r>
          <w:rPr/>
          <w:t>with</w:t>
        </w:r>
        <w:r>
          <w:rPr>
            <w:spacing w:val="-2"/>
          </w:rPr>
          <w:t> </w:t>
        </w:r>
        <w:r>
          <w:rPr/>
          <w:t>oxidative</w:t>
        </w:r>
        <w:r>
          <w:rPr>
            <w:spacing w:val="-2"/>
          </w:rPr>
          <w:t> </w:t>
        </w:r>
        <w:r>
          <w:rPr/>
          <w:t>stress"</w:t>
        </w:r>
      </w:hyperlink>
      <w:r>
        <w:rPr/>
        <w:t>. </w:t>
      </w:r>
      <w:r>
        <w:rPr>
          <w:i/>
        </w:rPr>
        <w:t>Infection and Immunity, </w:t>
      </w:r>
      <w:r>
        <w:rPr/>
        <w:t>74 (8): 4950–3.</w:t>
      </w:r>
    </w:p>
    <w:p>
      <w:pPr>
        <w:pStyle w:val="BodyText"/>
        <w:spacing w:line="261" w:lineRule="auto" w:before="198"/>
        <w:ind w:left="1100" w:right="978" w:hanging="720"/>
        <w:jc w:val="both"/>
      </w:pPr>
      <w:r>
        <w:rPr/>
        <w:t>Clinical and Laboratory Standards Institute (2008). Performance Standard for Antimicrobial Susceptibility Testing; Eighteenth Informational Supplement, 28 (1): 80-160.</w:t>
      </w:r>
    </w:p>
    <w:p>
      <w:pPr>
        <w:spacing w:line="259" w:lineRule="auto" w:before="195"/>
        <w:ind w:left="1100" w:right="974" w:hanging="720"/>
        <w:jc w:val="both"/>
        <w:rPr>
          <w:sz w:val="22"/>
        </w:rPr>
      </w:pPr>
      <w:r>
        <w:rPr>
          <w:sz w:val="22"/>
        </w:rPr>
        <w:t>Cole, A. M., Tahk, S., Oren, A., Yoshioka, D., Kim, Y. H., Park, A., and Ganz, T. (2001).</w:t>
      </w:r>
      <w:r>
        <w:rPr>
          <w:spacing w:val="16"/>
          <w:sz w:val="22"/>
        </w:rPr>
        <w:t> </w:t>
      </w:r>
      <w:hyperlink r:id="rId319">
        <w:r>
          <w:rPr>
            <w:sz w:val="22"/>
          </w:rPr>
          <w:t>"Determinants</w:t>
        </w:r>
      </w:hyperlink>
      <w:r>
        <w:rPr>
          <w:spacing w:val="40"/>
          <w:sz w:val="22"/>
        </w:rPr>
        <w:t> </w:t>
      </w:r>
      <w:hyperlink r:id="rId319">
        <w:r>
          <w:rPr>
            <w:sz w:val="22"/>
          </w:rPr>
          <w:t>of</w:t>
        </w:r>
        <w:r>
          <w:rPr>
            <w:spacing w:val="25"/>
            <w:sz w:val="22"/>
          </w:rPr>
          <w:t> </w:t>
        </w:r>
        <w:r>
          <w:rPr>
            <w:i/>
            <w:sz w:val="22"/>
          </w:rPr>
          <w:t>Staphylococcus</w:t>
        </w:r>
        <w:r>
          <w:rPr>
            <w:i/>
            <w:spacing w:val="26"/>
            <w:sz w:val="22"/>
          </w:rPr>
          <w:t> </w:t>
        </w:r>
        <w:r>
          <w:rPr>
            <w:i/>
            <w:sz w:val="22"/>
          </w:rPr>
          <w:t>aureus</w:t>
        </w:r>
        <w:r>
          <w:rPr>
            <w:i/>
            <w:spacing w:val="24"/>
            <w:sz w:val="22"/>
          </w:rPr>
          <w:t> </w:t>
        </w:r>
        <w:r>
          <w:rPr>
            <w:sz w:val="22"/>
          </w:rPr>
          <w:t>nasal</w:t>
        </w:r>
        <w:r>
          <w:rPr>
            <w:spacing w:val="25"/>
            <w:sz w:val="22"/>
          </w:rPr>
          <w:t> </w:t>
        </w:r>
        <w:r>
          <w:rPr>
            <w:sz w:val="22"/>
          </w:rPr>
          <w:t>carriage"</w:t>
        </w:r>
      </w:hyperlink>
      <w:r>
        <w:rPr>
          <w:sz w:val="22"/>
        </w:rPr>
        <w:t>.</w:t>
      </w:r>
      <w:r>
        <w:rPr>
          <w:spacing w:val="25"/>
          <w:sz w:val="22"/>
        </w:rPr>
        <w:t> </w:t>
      </w:r>
      <w:r>
        <w:rPr>
          <w:i/>
          <w:sz w:val="22"/>
        </w:rPr>
        <w:t>Clinical</w:t>
      </w:r>
      <w:r>
        <w:rPr>
          <w:i/>
          <w:spacing w:val="23"/>
          <w:sz w:val="22"/>
        </w:rPr>
        <w:t> </w:t>
      </w:r>
      <w:r>
        <w:rPr>
          <w:i/>
          <w:sz w:val="22"/>
        </w:rPr>
        <w:t>Diagnostic</w:t>
      </w:r>
      <w:r>
        <w:rPr>
          <w:i/>
          <w:spacing w:val="25"/>
          <w:sz w:val="22"/>
        </w:rPr>
        <w:t> </w:t>
      </w:r>
      <w:r>
        <w:rPr>
          <w:i/>
          <w:sz w:val="22"/>
        </w:rPr>
        <w:t>Laboratory</w:t>
      </w:r>
      <w:r>
        <w:rPr>
          <w:i/>
          <w:spacing w:val="25"/>
          <w:sz w:val="22"/>
        </w:rPr>
        <w:t> </w:t>
      </w:r>
      <w:r>
        <w:rPr>
          <w:i/>
          <w:sz w:val="22"/>
        </w:rPr>
        <w:t>of</w:t>
      </w:r>
      <w:r>
        <w:rPr>
          <w:i/>
          <w:spacing w:val="25"/>
          <w:sz w:val="22"/>
        </w:rPr>
        <w:t> </w:t>
      </w:r>
      <w:r>
        <w:rPr>
          <w:i/>
          <w:sz w:val="22"/>
        </w:rPr>
        <w:t>Immunology,</w:t>
      </w:r>
      <w:r>
        <w:rPr>
          <w:i/>
          <w:spacing w:val="27"/>
          <w:sz w:val="22"/>
        </w:rPr>
        <w:t> </w:t>
      </w:r>
      <w:r>
        <w:rPr>
          <w:spacing w:val="-10"/>
          <w:sz w:val="22"/>
        </w:rPr>
        <w:t>8</w:t>
      </w:r>
    </w:p>
    <w:p>
      <w:pPr>
        <w:pStyle w:val="BodyText"/>
        <w:spacing w:before="3"/>
        <w:ind w:left="1100"/>
      </w:pPr>
      <w:r>
        <w:rPr/>
        <w:t>(6):</w:t>
      </w:r>
      <w:r>
        <w:rPr>
          <w:spacing w:val="-8"/>
        </w:rPr>
        <w:t> </w:t>
      </w:r>
      <w:r>
        <w:rPr/>
        <w:t>1064-</w:t>
      </w:r>
      <w:r>
        <w:rPr>
          <w:spacing w:val="-5"/>
        </w:rPr>
        <w:t>9.</w:t>
      </w:r>
    </w:p>
    <w:p>
      <w:pPr>
        <w:pStyle w:val="BodyText"/>
        <w:spacing w:line="261" w:lineRule="auto" w:before="219"/>
        <w:ind w:left="1100" w:right="978" w:hanging="720"/>
        <w:jc w:val="both"/>
      </w:pPr>
      <w:r>
        <w:rPr/>
        <w:t>Colin, T. (2010). </w:t>
      </w:r>
      <w:r>
        <w:rPr>
          <w:i/>
        </w:rPr>
        <w:t>Haemophilus influenzae</w:t>
      </w:r>
      <w:r>
        <w:rPr/>
        <w:t>. Retrieved March 26, 2012 from </w:t>
      </w:r>
      <w:hyperlink r:id="rId320">
        <w:r>
          <w:rPr>
            <w:spacing w:val="-2"/>
          </w:rPr>
          <w:t>http://www.patient.co.uk/doctor/Haemophilus-Influenzae.htm.</w:t>
        </w:r>
      </w:hyperlink>
    </w:p>
    <w:p>
      <w:pPr>
        <w:pStyle w:val="BodyText"/>
        <w:spacing w:line="259" w:lineRule="auto" w:before="195"/>
        <w:ind w:left="1100" w:right="974" w:hanging="720"/>
        <w:jc w:val="both"/>
      </w:pPr>
      <w:r>
        <w:rPr/>
        <w:t>Cook, H., Furuya, E., Larson, E., Vasquez, G., and Lowy, F. (2007). </w:t>
      </w:r>
      <w:hyperlink r:id="rId321">
        <w:r>
          <w:rPr/>
          <w:t>"Heterosexual transmission of</w:t>
        </w:r>
      </w:hyperlink>
      <w:r>
        <w:rPr/>
        <w:t> </w:t>
      </w:r>
      <w:hyperlink r:id="rId321">
        <w:r>
          <w:rPr/>
          <w:t>community-associated methicillin-resistant Staphylococcus aureus"</w:t>
        </w:r>
      </w:hyperlink>
      <w:r>
        <w:rPr/>
        <w:t>. </w:t>
      </w:r>
      <w:r>
        <w:rPr>
          <w:i/>
        </w:rPr>
        <w:t>Clinical Infectious Diseases, </w:t>
      </w:r>
      <w:r>
        <w:rPr/>
        <w:t>44 (3): 410–3.</w:t>
      </w:r>
    </w:p>
    <w:p>
      <w:pPr>
        <w:pStyle w:val="BodyText"/>
        <w:spacing w:line="261" w:lineRule="auto" w:before="197"/>
        <w:ind w:left="1100" w:right="975" w:hanging="720"/>
        <w:jc w:val="both"/>
      </w:pPr>
      <w:r>
        <w:rPr/>
        <w:t>Costelloe, C., Metcalfe, C., Lovering, A., Mant, D., Hay, and Alastair, D. (2010). </w:t>
      </w:r>
      <w:hyperlink r:id="rId322">
        <w:r>
          <w:rPr/>
          <w:t>Effect of antibiotic</w:t>
        </w:r>
      </w:hyperlink>
      <w:r>
        <w:rPr/>
        <w:t> </w:t>
      </w:r>
      <w:hyperlink r:id="rId322">
        <w:r>
          <w:rPr/>
          <w:t>prescribing in primary care on antimicrobial resistance in individual patients: systematic</w:t>
        </w:r>
      </w:hyperlink>
      <w:r>
        <w:rPr/>
        <w:t> </w:t>
      </w:r>
      <w:hyperlink r:id="rId322">
        <w:r>
          <w:rPr/>
          <w:t>review and meta-analysis</w:t>
        </w:r>
      </w:hyperlink>
      <w:r>
        <w:rPr/>
        <w:t>. </w:t>
      </w:r>
      <w:r>
        <w:rPr>
          <w:i/>
        </w:rPr>
        <w:t>British Medical Journal, </w:t>
      </w:r>
      <w:r>
        <w:rPr/>
        <w:t>340: 2096.</w:t>
      </w:r>
    </w:p>
    <w:p>
      <w:pPr>
        <w:tabs>
          <w:tab w:pos="2434" w:val="left" w:leader="none"/>
          <w:tab w:pos="3242" w:val="left" w:leader="none"/>
          <w:tab w:pos="4223" w:val="left" w:leader="none"/>
          <w:tab w:pos="5190" w:val="left" w:leader="none"/>
        </w:tabs>
        <w:spacing w:line="261" w:lineRule="auto" w:before="193"/>
        <w:ind w:left="1100" w:right="974" w:hanging="720"/>
        <w:jc w:val="both"/>
        <w:rPr>
          <w:sz w:val="22"/>
        </w:rPr>
      </w:pPr>
      <w:r>
        <w:rPr>
          <w:sz w:val="22"/>
        </w:rPr>
        <w:t>Crane, E (1983). </w:t>
      </w:r>
      <w:r>
        <w:rPr>
          <w:i/>
          <w:sz w:val="22"/>
        </w:rPr>
        <w:t>The Archaeology of Beekeeping</w:t>
      </w:r>
      <w:r>
        <w:rPr>
          <w:sz w:val="22"/>
        </w:rPr>
        <w:t>. Cornell University Press, 338-352. Retrieved </w:t>
      </w:r>
      <w:r>
        <w:rPr>
          <w:spacing w:val="-2"/>
          <w:sz w:val="22"/>
        </w:rPr>
        <w:t>February</w:t>
      </w:r>
      <w:r>
        <w:rPr>
          <w:sz w:val="22"/>
        </w:rPr>
        <w:tab/>
      </w:r>
      <w:r>
        <w:rPr>
          <w:spacing w:val="-4"/>
          <w:sz w:val="22"/>
        </w:rPr>
        <w:t>22,</w:t>
      </w:r>
      <w:r>
        <w:rPr>
          <w:sz w:val="22"/>
        </w:rPr>
        <w:tab/>
      </w:r>
      <w:r>
        <w:rPr>
          <w:spacing w:val="-4"/>
          <w:sz w:val="22"/>
        </w:rPr>
        <w:t>2012</w:t>
      </w:r>
      <w:r>
        <w:rPr>
          <w:sz w:val="22"/>
        </w:rPr>
        <w:tab/>
      </w:r>
      <w:r>
        <w:rPr>
          <w:spacing w:val="-4"/>
          <w:sz w:val="22"/>
        </w:rPr>
        <w:t>from</w:t>
      </w:r>
      <w:r>
        <w:rPr>
          <w:sz w:val="22"/>
        </w:rPr>
        <w:tab/>
      </w:r>
      <w:hyperlink r:id="rId323">
        <w:r>
          <w:rPr>
            <w:spacing w:val="-2"/>
            <w:sz w:val="22"/>
          </w:rPr>
          <w:t>http://</w:t>
        </w:r>
        <w:r>
          <w:rPr>
            <w:i/>
            <w:spacing w:val="-2"/>
            <w:sz w:val="22"/>
          </w:rPr>
          <w:t>www.worldcat.org/title/archaeology-of-</w:t>
        </w:r>
      </w:hyperlink>
      <w:r>
        <w:rPr>
          <w:i/>
          <w:spacing w:val="-2"/>
          <w:sz w:val="22"/>
        </w:rPr>
        <w:t> beekeeping/oclc/477022970</w:t>
      </w:r>
      <w:r>
        <w:rPr>
          <w:spacing w:val="-2"/>
          <w:sz w:val="22"/>
        </w:rPr>
        <w:t>.</w:t>
      </w:r>
    </w:p>
    <w:p>
      <w:pPr>
        <w:spacing w:line="259" w:lineRule="auto" w:before="193"/>
        <w:ind w:left="1100" w:right="976" w:hanging="720"/>
        <w:jc w:val="both"/>
        <w:rPr>
          <w:sz w:val="22"/>
        </w:rPr>
      </w:pPr>
      <w:r>
        <w:rPr>
          <w:sz w:val="22"/>
        </w:rPr>
        <w:t>Cunningham, M. W. (2000). Pathogenesis of group A streptococcal infections. </w:t>
      </w:r>
      <w:r>
        <w:rPr>
          <w:i/>
          <w:sz w:val="22"/>
        </w:rPr>
        <w:t>Clinical Microbiology Reviews</w:t>
      </w:r>
      <w:r>
        <w:rPr>
          <w:sz w:val="22"/>
        </w:rPr>
        <w:t>, 13(3): 470-511.</w:t>
      </w:r>
    </w:p>
    <w:p>
      <w:pPr>
        <w:pStyle w:val="BodyText"/>
        <w:spacing w:before="197"/>
        <w:ind w:left="380"/>
      </w:pPr>
      <w:r>
        <w:rPr/>
        <w:t>Dagan,</w:t>
      </w:r>
      <w:r>
        <w:rPr>
          <w:spacing w:val="14"/>
        </w:rPr>
        <w:t> </w:t>
      </w:r>
      <w:r>
        <w:rPr/>
        <w:t>R.</w:t>
      </w:r>
      <w:r>
        <w:rPr>
          <w:spacing w:val="16"/>
        </w:rPr>
        <w:t> </w:t>
      </w:r>
      <w:r>
        <w:rPr/>
        <w:t>(2000).</w:t>
      </w:r>
      <w:r>
        <w:rPr>
          <w:spacing w:val="14"/>
        </w:rPr>
        <w:t> </w:t>
      </w:r>
      <w:r>
        <w:rPr/>
        <w:t>"Treatment</w:t>
      </w:r>
      <w:r>
        <w:rPr>
          <w:spacing w:val="16"/>
        </w:rPr>
        <w:t> </w:t>
      </w:r>
      <w:r>
        <w:rPr/>
        <w:t>of</w:t>
      </w:r>
      <w:r>
        <w:rPr>
          <w:spacing w:val="17"/>
        </w:rPr>
        <w:t> </w:t>
      </w:r>
      <w:r>
        <w:rPr/>
        <w:t>acute</w:t>
      </w:r>
      <w:r>
        <w:rPr>
          <w:spacing w:val="14"/>
        </w:rPr>
        <w:t> </w:t>
      </w:r>
      <w:r>
        <w:rPr/>
        <w:t>otitis</w:t>
      </w:r>
      <w:r>
        <w:rPr>
          <w:spacing w:val="14"/>
        </w:rPr>
        <w:t> </w:t>
      </w:r>
      <w:r>
        <w:rPr/>
        <w:t>media—challenges</w:t>
      </w:r>
      <w:r>
        <w:rPr>
          <w:spacing w:val="17"/>
        </w:rPr>
        <w:t> </w:t>
      </w:r>
      <w:r>
        <w:rPr/>
        <w:t>in</w:t>
      </w:r>
      <w:r>
        <w:rPr>
          <w:spacing w:val="15"/>
        </w:rPr>
        <w:t> </w:t>
      </w:r>
      <w:r>
        <w:rPr/>
        <w:t>the</w:t>
      </w:r>
      <w:r>
        <w:rPr>
          <w:spacing w:val="15"/>
        </w:rPr>
        <w:t> </w:t>
      </w:r>
      <w:r>
        <w:rPr/>
        <w:t>era</w:t>
      </w:r>
      <w:r>
        <w:rPr>
          <w:spacing w:val="14"/>
        </w:rPr>
        <w:t> </w:t>
      </w:r>
      <w:r>
        <w:rPr/>
        <w:t>of</w:t>
      </w:r>
      <w:r>
        <w:rPr>
          <w:spacing w:val="14"/>
        </w:rPr>
        <w:t> </w:t>
      </w:r>
      <w:r>
        <w:rPr/>
        <w:t>antibiotic</w:t>
      </w:r>
      <w:r>
        <w:rPr>
          <w:spacing w:val="17"/>
        </w:rPr>
        <w:t> </w:t>
      </w:r>
      <w:r>
        <w:rPr>
          <w:spacing w:val="-2"/>
        </w:rPr>
        <w:t>resistance".</w:t>
      </w:r>
    </w:p>
    <w:p>
      <w:pPr>
        <w:spacing w:before="24"/>
        <w:ind w:left="1100" w:right="0" w:firstLine="0"/>
        <w:jc w:val="left"/>
        <w:rPr>
          <w:sz w:val="22"/>
        </w:rPr>
      </w:pPr>
      <w:r>
        <w:rPr>
          <w:i/>
          <w:sz w:val="22"/>
        </w:rPr>
        <w:t>Vaccine</w:t>
      </w:r>
      <w:r>
        <w:rPr>
          <w:sz w:val="22"/>
        </w:rPr>
        <w:t>,</w:t>
      </w:r>
      <w:r>
        <w:rPr>
          <w:spacing w:val="-4"/>
          <w:sz w:val="22"/>
        </w:rPr>
        <w:t> </w:t>
      </w:r>
      <w:r>
        <w:rPr>
          <w:sz w:val="22"/>
        </w:rPr>
        <w:t>19</w:t>
      </w:r>
      <w:r>
        <w:rPr>
          <w:spacing w:val="-5"/>
          <w:sz w:val="22"/>
        </w:rPr>
        <w:t> </w:t>
      </w:r>
      <w:r>
        <w:rPr>
          <w:sz w:val="22"/>
        </w:rPr>
        <w:t>(1):</w:t>
      </w:r>
      <w:r>
        <w:rPr>
          <w:spacing w:val="-5"/>
          <w:sz w:val="22"/>
        </w:rPr>
        <w:t> </w:t>
      </w:r>
      <w:r>
        <w:rPr>
          <w:spacing w:val="-4"/>
          <w:sz w:val="22"/>
        </w:rPr>
        <w:t>9–16.</w:t>
      </w:r>
    </w:p>
    <w:p>
      <w:pPr>
        <w:spacing w:line="261" w:lineRule="auto" w:before="219"/>
        <w:ind w:left="1100" w:right="975" w:hanging="720"/>
        <w:jc w:val="both"/>
        <w:rPr>
          <w:sz w:val="22"/>
        </w:rPr>
      </w:pPr>
      <w:r>
        <w:rPr>
          <w:sz w:val="22"/>
        </w:rPr>
        <w:t>Dawn, F. M. (2012). </w:t>
      </w:r>
      <w:r>
        <w:rPr>
          <w:i/>
          <w:sz w:val="22"/>
        </w:rPr>
        <w:t>Pneumococcal Infections</w:t>
      </w:r>
      <w:r>
        <w:rPr>
          <w:sz w:val="22"/>
        </w:rPr>
        <w:t>. </w:t>
      </w:r>
      <w:r>
        <w:rPr>
          <w:i/>
          <w:sz w:val="22"/>
        </w:rPr>
        <w:t>Medscape Medpulse</w:t>
      </w:r>
      <w:r>
        <w:rPr>
          <w:sz w:val="22"/>
        </w:rPr>
        <w:t>. Retrieved July 21, 2012 from </w:t>
      </w:r>
      <w:hyperlink r:id="rId324">
        <w:r>
          <w:rPr>
            <w:spacing w:val="-2"/>
            <w:sz w:val="22"/>
          </w:rPr>
          <w:t>http://emedicine.medscape.com/article/225811-overview.</w:t>
        </w:r>
      </w:hyperlink>
    </w:p>
    <w:p>
      <w:pPr>
        <w:pStyle w:val="BodyText"/>
        <w:spacing w:line="261" w:lineRule="auto" w:before="194"/>
        <w:ind w:left="1100" w:right="981" w:hanging="720"/>
        <w:jc w:val="both"/>
      </w:pPr>
      <w:r>
        <w:rPr/>
        <w:t>D'Costa, V., King, C., Kalan, L., Morar, M., Sung, W., Schwartz, C., …Zazula, G. (2011). "Antibiotic resistance is ancient". </w:t>
      </w:r>
      <w:r>
        <w:rPr>
          <w:i/>
        </w:rPr>
        <w:t>Nature, </w:t>
      </w:r>
      <w:r>
        <w:rPr/>
        <w:t>477 (7365): 457–461.</w:t>
      </w:r>
    </w:p>
    <w:p>
      <w:pPr>
        <w:spacing w:after="0" w:line="261" w:lineRule="auto"/>
        <w:jc w:val="both"/>
        <w:sectPr>
          <w:pgSz w:w="11910" w:h="16840"/>
          <w:pgMar w:header="0" w:footer="1055" w:top="1380" w:bottom="1240" w:left="1060" w:right="460"/>
        </w:sectPr>
      </w:pPr>
    </w:p>
    <w:p>
      <w:pPr>
        <w:spacing w:line="261" w:lineRule="auto" w:before="38"/>
        <w:ind w:left="1100" w:right="978" w:hanging="720"/>
        <w:jc w:val="both"/>
        <w:rPr>
          <w:sz w:val="22"/>
        </w:rPr>
      </w:pPr>
      <w:hyperlink r:id="rId325">
        <w:r>
          <w:rPr>
            <w:sz w:val="22"/>
          </w:rPr>
          <w:t>Devarajan, V. R.</w:t>
        </w:r>
      </w:hyperlink>
      <w:r>
        <w:rPr>
          <w:sz w:val="22"/>
        </w:rPr>
        <w:t> (2009). </w:t>
      </w:r>
      <w:r>
        <w:rPr>
          <w:i/>
          <w:sz w:val="22"/>
        </w:rPr>
        <w:t>Haemophilus Influenzae Infections</w:t>
      </w:r>
      <w:r>
        <w:rPr>
          <w:sz w:val="22"/>
        </w:rPr>
        <w:t>. </w:t>
      </w:r>
      <w:r>
        <w:rPr>
          <w:i/>
          <w:sz w:val="22"/>
        </w:rPr>
        <w:t>eMedicine</w:t>
      </w:r>
      <w:r>
        <w:rPr>
          <w:sz w:val="22"/>
        </w:rPr>
        <w:t>. Retrieved January 28, 2012 from </w:t>
      </w:r>
      <w:hyperlink r:id="rId320">
        <w:r>
          <w:rPr>
            <w:sz w:val="22"/>
          </w:rPr>
          <w:t>http://www.patient.co.uk/doctor/Haemophilus-Influenzae.htm.</w:t>
        </w:r>
      </w:hyperlink>
    </w:p>
    <w:p>
      <w:pPr>
        <w:spacing w:line="261" w:lineRule="auto" w:before="195"/>
        <w:ind w:left="1100" w:right="975" w:hanging="720"/>
        <w:jc w:val="both"/>
        <w:rPr>
          <w:sz w:val="22"/>
        </w:rPr>
      </w:pPr>
      <w:r>
        <w:rPr>
          <w:sz w:val="22"/>
        </w:rPr>
        <w:t>Dilnawaz, S., Zaman, S., Naqvi, S. B., Sheikh, M. R., and Ali, G. (1995). Studies on the Antimicrobial Activity of Honey. </w:t>
      </w:r>
      <w:r>
        <w:rPr>
          <w:i/>
          <w:sz w:val="22"/>
        </w:rPr>
        <w:t>Pakistan Journal of Pharmaceutical Sciences, </w:t>
      </w:r>
      <w:r>
        <w:rPr>
          <w:sz w:val="22"/>
        </w:rPr>
        <w:t>(8): 51-62.</w:t>
      </w:r>
    </w:p>
    <w:p>
      <w:pPr>
        <w:pStyle w:val="BodyText"/>
        <w:spacing w:line="259" w:lineRule="auto" w:before="195"/>
        <w:ind w:left="1100" w:right="976" w:hanging="720"/>
        <w:jc w:val="both"/>
      </w:pPr>
      <w:r>
        <w:rPr/>
        <w:t>Donadio, S., Maffioli, S., Monciardini, P., Sosio, M., and Jabes, D. (2010). Antibiotic discovery in the twenty-first century: Current trends and future perspectives. </w:t>
      </w:r>
      <w:r>
        <w:rPr>
          <w:i/>
        </w:rPr>
        <w:t>Journal of Antibiotics, </w:t>
      </w:r>
      <w:r>
        <w:rPr/>
        <w:t>63 (8): </w:t>
      </w:r>
      <w:r>
        <w:rPr>
          <w:spacing w:val="-2"/>
        </w:rPr>
        <w:t>423–430.</w:t>
      </w:r>
    </w:p>
    <w:p>
      <w:pPr>
        <w:spacing w:line="261" w:lineRule="auto" w:before="198"/>
        <w:ind w:left="1100" w:right="972" w:hanging="720"/>
        <w:jc w:val="both"/>
        <w:rPr>
          <w:sz w:val="22"/>
        </w:rPr>
      </w:pPr>
      <w:r>
        <w:rPr>
          <w:sz w:val="22"/>
        </w:rPr>
        <w:t>Douglas, R. M., Hemila, H.,</w:t>
      </w:r>
      <w:r>
        <w:rPr>
          <w:spacing w:val="-1"/>
          <w:sz w:val="22"/>
        </w:rPr>
        <w:t> </w:t>
      </w:r>
      <w:r>
        <w:rPr>
          <w:sz w:val="22"/>
        </w:rPr>
        <w:t>D’Souza, R., Chalker, E. B., and Treacy, B. (2007). </w:t>
      </w:r>
      <w:r>
        <w:rPr>
          <w:i/>
          <w:sz w:val="22"/>
        </w:rPr>
        <w:t>Vitamin C for preventing and treating the common cold</w:t>
      </w:r>
      <w:r>
        <w:rPr>
          <w:sz w:val="22"/>
        </w:rPr>
        <w:t>. </w:t>
      </w:r>
      <w:r>
        <w:rPr>
          <w:i/>
          <w:sz w:val="22"/>
        </w:rPr>
        <w:t>Cochrane Database system Review</w:t>
      </w:r>
      <w:r>
        <w:rPr>
          <w:sz w:val="22"/>
        </w:rPr>
        <w:t>, </w:t>
      </w:r>
      <w:hyperlink r:id="rId326">
        <w:r>
          <w:rPr>
            <w:sz w:val="22"/>
          </w:rPr>
          <w:t>(3):CD000980.</w:t>
        </w:r>
      </w:hyperlink>
      <w:r>
        <w:rPr>
          <w:sz w:val="22"/>
        </w:rPr>
        <w:t> Retrieved June 11, 2012 from </w:t>
      </w:r>
      <w:hyperlink r:id="rId327">
        <w:r>
          <w:rPr>
            <w:sz w:val="22"/>
          </w:rPr>
          <w:t>http://www.ncbi.nih.gov/pubmed/17636648.</w:t>
        </w:r>
      </w:hyperlink>
    </w:p>
    <w:p>
      <w:pPr>
        <w:spacing w:line="261" w:lineRule="auto" w:before="192"/>
        <w:ind w:left="1100" w:right="975" w:hanging="720"/>
        <w:jc w:val="both"/>
        <w:rPr>
          <w:sz w:val="22"/>
        </w:rPr>
      </w:pPr>
      <w:r>
        <w:rPr>
          <w:sz w:val="22"/>
        </w:rPr>
        <w:t>Drgrotte (2012). </w:t>
      </w:r>
      <w:hyperlink r:id="rId328">
        <w:r>
          <w:rPr>
            <w:i/>
            <w:sz w:val="22"/>
          </w:rPr>
          <w:t>Raw honey as medicine: the medicinal value of raw honey</w:t>
        </w:r>
        <w:r>
          <w:rPr>
            <w:sz w:val="22"/>
          </w:rPr>
          <w:t>.</w:t>
        </w:r>
      </w:hyperlink>
      <w:r>
        <w:rPr>
          <w:sz w:val="22"/>
        </w:rPr>
        <w:t> Retrieved August 17, 2012 from </w:t>
      </w:r>
      <w:hyperlink r:id="rId328">
        <w:r>
          <w:rPr>
            <w:sz w:val="22"/>
          </w:rPr>
          <w:t>http://www.drgrotte.com/honey-medicine.shtml.</w:t>
        </w:r>
      </w:hyperlink>
    </w:p>
    <w:p>
      <w:pPr>
        <w:pStyle w:val="BodyText"/>
        <w:spacing w:line="259" w:lineRule="auto" w:before="195"/>
        <w:ind w:left="1100" w:right="977" w:hanging="720"/>
        <w:jc w:val="both"/>
      </w:pPr>
      <w:r>
        <w:rPr/>
        <w:t>Duckworth, D. (2006). </w:t>
      </w:r>
      <w:r>
        <w:rPr>
          <w:i/>
        </w:rPr>
        <w:t>Streptococcus pyogenes. </w:t>
      </w:r>
      <w:r>
        <w:rPr/>
        <w:t>Retrieved December 15, 2011 from </w:t>
      </w:r>
      <w:hyperlink r:id="rId329">
        <w:r>
          <w:rPr>
            <w:spacing w:val="-2"/>
          </w:rPr>
          <w:t>http://medinfo.ufl.edu/year2/mmid/bms5300/bugs/strpyoge.html</w:t>
        </w:r>
      </w:hyperlink>
      <w:r>
        <w:rPr>
          <w:spacing w:val="-2"/>
        </w:rPr>
        <w:t>.</w:t>
      </w:r>
    </w:p>
    <w:p>
      <w:pPr>
        <w:pStyle w:val="BodyText"/>
        <w:spacing w:line="259" w:lineRule="auto" w:before="200"/>
        <w:ind w:left="1100" w:right="976" w:hanging="720"/>
        <w:jc w:val="both"/>
      </w:pPr>
      <w:r>
        <w:rPr/>
        <w:t>Eccles, M. P., Grimshaw, J., Walker, A., Johnston, M., and Pitts, N.</w:t>
      </w:r>
      <w:r>
        <w:rPr>
          <w:spacing w:val="40"/>
        </w:rPr>
        <w:t> </w:t>
      </w:r>
      <w:r>
        <w:rPr/>
        <w:t>(2007). Applying Psychological Theories to Evidence-based Clinical Practice: Identifying factors predictive of managing</w:t>
      </w:r>
      <w:r>
        <w:rPr>
          <w:spacing w:val="40"/>
        </w:rPr>
        <w:t> </w:t>
      </w:r>
      <w:r>
        <w:rPr/>
        <w:t>upper respiratory tract infections without antibiotics. </w:t>
      </w:r>
      <w:r>
        <w:rPr>
          <w:i/>
        </w:rPr>
        <w:t>Implement Sciences, </w:t>
      </w:r>
      <w:r>
        <w:rPr/>
        <w:t>2: 26.</w:t>
      </w:r>
    </w:p>
    <w:p>
      <w:pPr>
        <w:spacing w:line="259" w:lineRule="auto" w:before="198"/>
        <w:ind w:left="1100" w:right="975" w:hanging="720"/>
        <w:jc w:val="both"/>
        <w:rPr>
          <w:sz w:val="22"/>
        </w:rPr>
      </w:pPr>
      <w:r>
        <w:rPr>
          <w:sz w:val="22"/>
        </w:rPr>
        <w:t>Eugene, L., R. J. Stanek, M. A. Mufson (2003). Lack of synergy of Erythromycin combined with Penicillin or Cefotaxime against </w:t>
      </w:r>
      <w:r>
        <w:rPr>
          <w:i/>
          <w:sz w:val="22"/>
        </w:rPr>
        <w:t>Streptococcus pneumonia </w:t>
      </w:r>
      <w:r>
        <w:rPr>
          <w:sz w:val="22"/>
        </w:rPr>
        <w:t>In Vitro, </w:t>
      </w:r>
      <w:r>
        <w:rPr>
          <w:i/>
          <w:sz w:val="22"/>
        </w:rPr>
        <w:t>Antimicrobial Agents and Chemotherapy</w:t>
      </w:r>
      <w:r>
        <w:rPr>
          <w:sz w:val="22"/>
        </w:rPr>
        <w:t>, 47 (3): 1151-1153.</w:t>
      </w:r>
    </w:p>
    <w:p>
      <w:pPr>
        <w:spacing w:line="259" w:lineRule="auto" w:before="160"/>
        <w:ind w:left="1100" w:right="974" w:hanging="720"/>
        <w:jc w:val="both"/>
        <w:rPr>
          <w:sz w:val="22"/>
        </w:rPr>
      </w:pPr>
      <w:r>
        <w:rPr>
          <w:sz w:val="22"/>
        </w:rPr>
        <w:t>European Centre for Disease Prevention and Control (2013a). </w:t>
      </w:r>
      <w:r>
        <w:rPr>
          <w:i/>
          <w:sz w:val="22"/>
        </w:rPr>
        <w:t>Occurrence and spread of</w:t>
      </w:r>
      <w:r>
        <w:rPr>
          <w:i/>
          <w:spacing w:val="40"/>
          <w:sz w:val="22"/>
        </w:rPr>
        <w:t> </w:t>
      </w:r>
      <w:r>
        <w:rPr>
          <w:i/>
          <w:sz w:val="22"/>
        </w:rPr>
        <w:t>antimicrobial resistance in the European countries</w:t>
      </w:r>
      <w:r>
        <w:rPr>
          <w:sz w:val="22"/>
        </w:rPr>
        <w:t>. Retrieved February 27, 2013 from </w:t>
      </w:r>
      <w:hyperlink r:id="rId330">
        <w:r>
          <w:rPr>
            <w:spacing w:val="-2"/>
            <w:sz w:val="22"/>
          </w:rPr>
          <w:t>http://www.ecdc.europa.eu/en/healthtopics/antimicrobial_resistance/database/pages/data</w:t>
        </w:r>
      </w:hyperlink>
      <w:r>
        <w:rPr>
          <w:spacing w:val="-2"/>
          <w:sz w:val="22"/>
        </w:rPr>
        <w:t> </w:t>
      </w:r>
      <w:hyperlink r:id="rId330">
        <w:r>
          <w:rPr>
            <w:spacing w:val="-2"/>
            <w:sz w:val="22"/>
          </w:rPr>
          <w:t>base.aspx.</w:t>
        </w:r>
      </w:hyperlink>
    </w:p>
    <w:p>
      <w:pPr>
        <w:pStyle w:val="BodyText"/>
      </w:pPr>
    </w:p>
    <w:p>
      <w:pPr>
        <w:pStyle w:val="BodyText"/>
        <w:spacing w:before="153"/>
      </w:pPr>
    </w:p>
    <w:p>
      <w:pPr>
        <w:pStyle w:val="BodyText"/>
        <w:tabs>
          <w:tab w:pos="2499" w:val="left" w:leader="none"/>
          <w:tab w:pos="4158" w:val="left" w:leader="none"/>
          <w:tab w:pos="5628" w:val="left" w:leader="none"/>
          <w:tab w:pos="7034" w:val="left" w:leader="none"/>
          <w:tab w:pos="7917" w:val="left" w:leader="none"/>
          <w:tab w:pos="8970" w:val="left" w:leader="none"/>
        </w:tabs>
        <w:spacing w:line="259" w:lineRule="auto"/>
        <w:ind w:left="1100" w:right="973" w:hanging="720"/>
      </w:pPr>
      <w:r>
        <w:rPr/>
        <w:t>European Centre for Disease Prevention and Control (ECDC) (2013b). </w:t>
      </w:r>
      <w:r>
        <w:rPr>
          <w:i/>
        </w:rPr>
        <w:t>Communicable disease threats. </w:t>
      </w:r>
      <w:r>
        <w:rPr>
          <w:i/>
          <w:spacing w:val="-2"/>
        </w:rPr>
        <w:t>Scientific</w:t>
      </w:r>
      <w:r>
        <w:rPr>
          <w:i/>
        </w:rPr>
        <w:tab/>
      </w:r>
      <w:r>
        <w:rPr>
          <w:i/>
          <w:spacing w:val="-2"/>
        </w:rPr>
        <w:t>Publication</w:t>
      </w:r>
      <w:r>
        <w:rPr>
          <w:spacing w:val="-2"/>
        </w:rPr>
        <w:t>.</w:t>
      </w:r>
      <w:r>
        <w:rPr/>
        <w:tab/>
      </w:r>
      <w:r>
        <w:rPr>
          <w:spacing w:val="-2"/>
        </w:rPr>
        <w:t>Retrieved</w:t>
      </w:r>
      <w:r>
        <w:rPr/>
        <w:tab/>
      </w:r>
      <w:r>
        <w:rPr>
          <w:spacing w:val="-2"/>
        </w:rPr>
        <w:t>February</w:t>
      </w:r>
      <w:r>
        <w:rPr/>
        <w:tab/>
      </w:r>
      <w:r>
        <w:rPr>
          <w:spacing w:val="-4"/>
        </w:rPr>
        <w:t>27,</w:t>
      </w:r>
      <w:r>
        <w:rPr/>
        <w:tab/>
      </w:r>
      <w:r>
        <w:rPr>
          <w:spacing w:val="-4"/>
        </w:rPr>
        <w:t>2013</w:t>
      </w:r>
      <w:r>
        <w:rPr/>
        <w:tab/>
      </w:r>
      <w:r>
        <w:rPr>
          <w:spacing w:val="-4"/>
        </w:rPr>
        <w:t>from </w:t>
      </w:r>
      <w:hyperlink r:id="rId331">
        <w:r>
          <w:rPr>
            <w:spacing w:val="-2"/>
          </w:rPr>
          <w:t>http://ecdc.europa.eu/en/publications/surveillance_reports/Communicable-Disease-</w:t>
        </w:r>
      </w:hyperlink>
      <w:r>
        <w:rPr>
          <w:spacing w:val="40"/>
        </w:rPr>
        <w:t>  </w:t>
      </w:r>
      <w:r>
        <w:rPr>
          <w:spacing w:val="-2"/>
        </w:rPr>
        <w:t>Threats-Report/pages/default.aspx.</w:t>
      </w:r>
    </w:p>
    <w:p>
      <w:pPr>
        <w:pStyle w:val="BodyText"/>
        <w:spacing w:line="261" w:lineRule="auto" w:before="199"/>
        <w:ind w:left="1100" w:right="975" w:hanging="720"/>
      </w:pPr>
      <w:r>
        <w:rPr/>
        <w:t>Facklam, R. (2002). What happened to the streptococci: overview of taxonomic and nomenclature</w:t>
      </w:r>
      <w:r>
        <w:rPr>
          <w:spacing w:val="40"/>
        </w:rPr>
        <w:t> </w:t>
      </w:r>
      <w:r>
        <w:rPr/>
        <w:t>changes. </w:t>
      </w:r>
      <w:r>
        <w:rPr>
          <w:i/>
        </w:rPr>
        <w:t>Clinical Microbiology Reviews</w:t>
      </w:r>
      <w:r>
        <w:rPr/>
        <w:t>, 15: 613-30.</w:t>
      </w:r>
    </w:p>
    <w:p>
      <w:pPr>
        <w:pStyle w:val="BodyText"/>
        <w:spacing w:before="197"/>
        <w:ind w:left="380"/>
      </w:pPr>
      <w:r>
        <w:rPr/>
        <w:t>Ferber,</w:t>
      </w:r>
      <w:r>
        <w:rPr>
          <w:spacing w:val="-7"/>
        </w:rPr>
        <w:t> </w:t>
      </w:r>
      <w:r>
        <w:rPr/>
        <w:t>D.</w:t>
      </w:r>
      <w:r>
        <w:rPr>
          <w:spacing w:val="-4"/>
        </w:rPr>
        <w:t> </w:t>
      </w:r>
      <w:r>
        <w:rPr/>
        <w:t>(2002).</w:t>
      </w:r>
      <w:r>
        <w:rPr>
          <w:spacing w:val="-7"/>
        </w:rPr>
        <w:t> </w:t>
      </w:r>
      <w:r>
        <w:rPr/>
        <w:t>"Livestock</w:t>
      </w:r>
      <w:r>
        <w:rPr>
          <w:spacing w:val="-4"/>
        </w:rPr>
        <w:t> </w:t>
      </w:r>
      <w:r>
        <w:rPr/>
        <w:t>Feed</w:t>
      </w:r>
      <w:r>
        <w:rPr>
          <w:spacing w:val="-5"/>
        </w:rPr>
        <w:t> </w:t>
      </w:r>
      <w:r>
        <w:rPr/>
        <w:t>Ban</w:t>
      </w:r>
      <w:r>
        <w:rPr>
          <w:spacing w:val="-5"/>
        </w:rPr>
        <w:t> </w:t>
      </w:r>
      <w:r>
        <w:rPr/>
        <w:t>Preserves</w:t>
      </w:r>
      <w:r>
        <w:rPr>
          <w:spacing w:val="-6"/>
        </w:rPr>
        <w:t> </w:t>
      </w:r>
      <w:r>
        <w:rPr/>
        <w:t>Drugs'</w:t>
      </w:r>
      <w:r>
        <w:rPr>
          <w:spacing w:val="-6"/>
        </w:rPr>
        <w:t> </w:t>
      </w:r>
      <w:r>
        <w:rPr/>
        <w:t>Power". </w:t>
      </w:r>
      <w:r>
        <w:rPr>
          <w:i/>
        </w:rPr>
        <w:t>Science</w:t>
      </w:r>
      <w:r>
        <w:rPr/>
        <w:t>,</w:t>
      </w:r>
      <w:r>
        <w:rPr>
          <w:spacing w:val="-7"/>
        </w:rPr>
        <w:t> </w:t>
      </w:r>
      <w:r>
        <w:rPr/>
        <w:t>295</w:t>
      </w:r>
      <w:r>
        <w:rPr>
          <w:spacing w:val="-5"/>
        </w:rPr>
        <w:t> </w:t>
      </w:r>
      <w:r>
        <w:rPr/>
        <w:t>(5552):</w:t>
      </w:r>
      <w:r>
        <w:rPr>
          <w:spacing w:val="-6"/>
        </w:rPr>
        <w:t> </w:t>
      </w:r>
      <w:r>
        <w:rPr>
          <w:spacing w:val="-2"/>
        </w:rPr>
        <w:t>27–28.</w:t>
      </w:r>
    </w:p>
    <w:p>
      <w:pPr>
        <w:pStyle w:val="BodyText"/>
        <w:spacing w:line="261" w:lineRule="auto" w:before="218"/>
        <w:ind w:left="1100" w:hanging="720"/>
      </w:pPr>
      <w:r>
        <w:rPr/>
        <w:t>Fick,</w:t>
      </w:r>
      <w:r>
        <w:rPr>
          <w:spacing w:val="80"/>
        </w:rPr>
        <w:t> </w:t>
      </w:r>
      <w:r>
        <w:rPr/>
        <w:t>R.</w:t>
      </w:r>
      <w:r>
        <w:rPr>
          <w:spacing w:val="76"/>
        </w:rPr>
        <w:t> </w:t>
      </w:r>
      <w:r>
        <w:rPr/>
        <w:t>(1993).</w:t>
      </w:r>
      <w:r>
        <w:rPr>
          <w:spacing w:val="77"/>
        </w:rPr>
        <w:t> </w:t>
      </w:r>
      <w:r>
        <w:rPr>
          <w:i/>
        </w:rPr>
        <w:t>Pseudomonas</w:t>
      </w:r>
      <w:r>
        <w:rPr>
          <w:i/>
          <w:spacing w:val="80"/>
        </w:rPr>
        <w:t> </w:t>
      </w:r>
      <w:r>
        <w:rPr>
          <w:i/>
        </w:rPr>
        <w:t>aeruginosa</w:t>
      </w:r>
      <w:r>
        <w:rPr/>
        <w:t>—the</w:t>
      </w:r>
      <w:r>
        <w:rPr>
          <w:spacing w:val="77"/>
        </w:rPr>
        <w:t> </w:t>
      </w:r>
      <w:r>
        <w:rPr/>
        <w:t>Microbial</w:t>
      </w:r>
      <w:r>
        <w:rPr>
          <w:spacing w:val="78"/>
        </w:rPr>
        <w:t> </w:t>
      </w:r>
      <w:r>
        <w:rPr/>
        <w:t>Hyena</w:t>
      </w:r>
      <w:r>
        <w:rPr>
          <w:spacing w:val="79"/>
        </w:rPr>
        <w:t> </w:t>
      </w:r>
      <w:r>
        <w:rPr/>
        <w:t>and</w:t>
      </w:r>
      <w:r>
        <w:rPr>
          <w:spacing w:val="76"/>
        </w:rPr>
        <w:t> </w:t>
      </w:r>
      <w:r>
        <w:rPr/>
        <w:t>Its</w:t>
      </w:r>
      <w:r>
        <w:rPr>
          <w:spacing w:val="77"/>
        </w:rPr>
        <w:t> </w:t>
      </w:r>
      <w:r>
        <w:rPr/>
        <w:t>Role</w:t>
      </w:r>
      <w:r>
        <w:rPr>
          <w:spacing w:val="79"/>
        </w:rPr>
        <w:t> </w:t>
      </w:r>
      <w:r>
        <w:rPr/>
        <w:t>in</w:t>
      </w:r>
      <w:r>
        <w:rPr>
          <w:spacing w:val="75"/>
        </w:rPr>
        <w:t> </w:t>
      </w:r>
      <w:r>
        <w:rPr/>
        <w:t>Disease:</w:t>
      </w:r>
      <w:r>
        <w:rPr>
          <w:spacing w:val="80"/>
        </w:rPr>
        <w:t> </w:t>
      </w:r>
      <w:r>
        <w:rPr/>
        <w:t>An Introduciton. CRC Press Florida, 1-6.</w:t>
      </w:r>
    </w:p>
    <w:p>
      <w:pPr>
        <w:pStyle w:val="BodyText"/>
        <w:tabs>
          <w:tab w:pos="3300" w:val="left" w:leader="none"/>
          <w:tab w:pos="5578" w:val="left" w:leader="none"/>
          <w:tab w:pos="7188" w:val="left" w:leader="none"/>
          <w:tab w:pos="8969" w:val="left" w:leader="none"/>
        </w:tabs>
        <w:spacing w:line="259" w:lineRule="auto" w:before="195"/>
        <w:ind w:left="1100" w:right="972" w:hanging="720"/>
        <w:jc w:val="both"/>
      </w:pPr>
      <w:hyperlink r:id="rId30">
        <w:r>
          <w:rPr/>
          <w:t>Food and Agriculture Organization of the United Nations</w:t>
        </w:r>
      </w:hyperlink>
      <w:r>
        <w:rPr/>
        <w:t> (2008). </w:t>
      </w:r>
      <w:hyperlink r:id="rId332">
        <w:r>
          <w:rPr>
            <w:i/>
          </w:rPr>
          <w:t>Where Honey Comes From</w:t>
        </w:r>
      </w:hyperlink>
      <w:r>
        <w:rPr/>
        <w:t>. </w:t>
      </w:r>
      <w:r>
        <w:rPr>
          <w:spacing w:val="-2"/>
        </w:rPr>
        <w:t>Retrieved</w:t>
      </w:r>
      <w:r>
        <w:rPr/>
        <w:tab/>
      </w:r>
      <w:r>
        <w:rPr>
          <w:spacing w:val="-2"/>
        </w:rPr>
        <w:t>November</w:t>
      </w:r>
      <w:r>
        <w:rPr/>
        <w:tab/>
      </w:r>
      <w:r>
        <w:rPr>
          <w:spacing w:val="-4"/>
        </w:rPr>
        <w:t>13,</w:t>
      </w:r>
      <w:r>
        <w:rPr/>
        <w:tab/>
      </w:r>
      <w:r>
        <w:rPr>
          <w:spacing w:val="-4"/>
        </w:rPr>
        <w:t>2011</w:t>
      </w:r>
      <w:r>
        <w:rPr/>
        <w:tab/>
      </w:r>
      <w:r>
        <w:rPr>
          <w:spacing w:val="-4"/>
        </w:rPr>
        <w:t>from </w:t>
      </w:r>
      <w:hyperlink r:id="rId30">
        <w:r>
          <w:rPr>
            <w:spacing w:val="-2"/>
          </w:rPr>
          <w:t>http://www.fao.org/docrep/w0076e/w0076e00.htm#con.</w:t>
        </w:r>
      </w:hyperlink>
    </w:p>
    <w:p>
      <w:pPr>
        <w:spacing w:after="0" w:line="259" w:lineRule="auto"/>
        <w:jc w:val="both"/>
        <w:sectPr>
          <w:pgSz w:w="11910" w:h="16840"/>
          <w:pgMar w:header="0" w:footer="1055" w:top="1380" w:bottom="1240" w:left="1060" w:right="460"/>
        </w:sectPr>
      </w:pPr>
    </w:p>
    <w:p>
      <w:pPr>
        <w:spacing w:line="259" w:lineRule="auto" w:before="38"/>
        <w:ind w:left="1100" w:right="974" w:hanging="720"/>
        <w:jc w:val="both"/>
        <w:rPr>
          <w:sz w:val="22"/>
        </w:rPr>
      </w:pPr>
      <w:r>
        <w:rPr>
          <w:sz w:val="22"/>
        </w:rPr>
        <w:t>Gani, O., Bayram, A., Zer, Y., and Balci, I. (2005). Synergy Tests by E test and Checker board methods of</w:t>
      </w:r>
      <w:r>
        <w:rPr>
          <w:spacing w:val="-7"/>
          <w:sz w:val="22"/>
        </w:rPr>
        <w:t> </w:t>
      </w:r>
      <w:r>
        <w:rPr>
          <w:sz w:val="22"/>
        </w:rPr>
        <w:t>antimicrobial</w:t>
      </w:r>
      <w:r>
        <w:rPr>
          <w:spacing w:val="-5"/>
          <w:sz w:val="22"/>
        </w:rPr>
        <w:t> </w:t>
      </w:r>
      <w:r>
        <w:rPr>
          <w:sz w:val="22"/>
        </w:rPr>
        <w:t>combinations</w:t>
      </w:r>
      <w:r>
        <w:rPr>
          <w:spacing w:val="-4"/>
          <w:sz w:val="22"/>
        </w:rPr>
        <w:t> </w:t>
      </w:r>
      <w:r>
        <w:rPr>
          <w:sz w:val="22"/>
        </w:rPr>
        <w:t>against</w:t>
      </w:r>
      <w:r>
        <w:rPr>
          <w:spacing w:val="-2"/>
          <w:sz w:val="22"/>
        </w:rPr>
        <w:t> </w:t>
      </w:r>
      <w:r>
        <w:rPr>
          <w:i/>
          <w:sz w:val="22"/>
        </w:rPr>
        <w:t>Brucella</w:t>
      </w:r>
      <w:r>
        <w:rPr>
          <w:i/>
          <w:spacing w:val="-5"/>
          <w:sz w:val="22"/>
        </w:rPr>
        <w:t> </w:t>
      </w:r>
      <w:r>
        <w:rPr>
          <w:i/>
          <w:sz w:val="22"/>
        </w:rPr>
        <w:t>melitensis</w:t>
      </w:r>
      <w:r>
        <w:rPr>
          <w:sz w:val="22"/>
        </w:rPr>
        <w:t>,</w:t>
      </w:r>
      <w:r>
        <w:rPr>
          <w:spacing w:val="-4"/>
          <w:sz w:val="22"/>
        </w:rPr>
        <w:t> </w:t>
      </w:r>
      <w:r>
        <w:rPr>
          <w:i/>
          <w:sz w:val="22"/>
        </w:rPr>
        <w:t>Journal</w:t>
      </w:r>
      <w:r>
        <w:rPr>
          <w:i/>
          <w:spacing w:val="-4"/>
          <w:sz w:val="22"/>
        </w:rPr>
        <w:t> </w:t>
      </w:r>
      <w:r>
        <w:rPr>
          <w:i/>
          <w:sz w:val="22"/>
        </w:rPr>
        <w:t>of</w:t>
      </w:r>
      <w:r>
        <w:rPr>
          <w:i/>
          <w:spacing w:val="-4"/>
          <w:sz w:val="22"/>
        </w:rPr>
        <w:t> </w:t>
      </w:r>
      <w:r>
        <w:rPr>
          <w:i/>
          <w:sz w:val="22"/>
        </w:rPr>
        <w:t>Clinical</w:t>
      </w:r>
      <w:r>
        <w:rPr>
          <w:i/>
          <w:spacing w:val="-4"/>
          <w:sz w:val="22"/>
        </w:rPr>
        <w:t> </w:t>
      </w:r>
      <w:r>
        <w:rPr>
          <w:i/>
          <w:sz w:val="22"/>
        </w:rPr>
        <w:t>Microbiology</w:t>
      </w:r>
      <w:r>
        <w:rPr>
          <w:sz w:val="22"/>
        </w:rPr>
        <w:t>,</w:t>
      </w:r>
      <w:r>
        <w:rPr>
          <w:spacing w:val="-4"/>
          <w:sz w:val="22"/>
        </w:rPr>
        <w:t> </w:t>
      </w:r>
      <w:r>
        <w:rPr>
          <w:spacing w:val="-5"/>
          <w:sz w:val="22"/>
        </w:rPr>
        <w:t>43</w:t>
      </w:r>
    </w:p>
    <w:p>
      <w:pPr>
        <w:pStyle w:val="BodyText"/>
        <w:spacing w:before="1"/>
        <w:ind w:left="1100"/>
      </w:pPr>
      <w:r>
        <w:rPr/>
        <w:t>(1):</w:t>
      </w:r>
      <w:r>
        <w:rPr>
          <w:spacing w:val="-8"/>
        </w:rPr>
        <w:t> </w:t>
      </w:r>
      <w:r>
        <w:rPr/>
        <w:t>140-</w:t>
      </w:r>
      <w:r>
        <w:rPr>
          <w:spacing w:val="-4"/>
        </w:rPr>
        <w:t>143.</w:t>
      </w:r>
    </w:p>
    <w:p>
      <w:pPr>
        <w:spacing w:line="259" w:lineRule="auto" w:before="181"/>
        <w:ind w:left="1100" w:right="975" w:hanging="720"/>
        <w:jc w:val="both"/>
        <w:rPr>
          <w:sz w:val="22"/>
        </w:rPr>
      </w:pPr>
      <w:r>
        <w:rPr>
          <w:sz w:val="22"/>
        </w:rPr>
        <w:t>Gulsen, O. and M. L. Roose (2001).”Lemons: Diversity and Relationships with Selected Citrus Genotypes as Measured with Nuclear Genome Markers.” </w:t>
      </w:r>
      <w:r>
        <w:rPr>
          <w:i/>
          <w:sz w:val="22"/>
        </w:rPr>
        <w:t>Journal of the American Society of Horticultural Science</w:t>
      </w:r>
      <w:r>
        <w:rPr>
          <w:sz w:val="22"/>
        </w:rPr>
        <w:t>, 126: 309-317.</w:t>
      </w:r>
    </w:p>
    <w:p>
      <w:pPr>
        <w:pStyle w:val="BodyText"/>
        <w:spacing w:line="259" w:lineRule="auto" w:before="200"/>
        <w:ind w:left="1100" w:right="982" w:hanging="720"/>
        <w:jc w:val="both"/>
      </w:pPr>
      <w:r>
        <w:rPr/>
        <w:t>Hakim I. A., and Harris, R. B. (2001). Joint</w:t>
      </w:r>
      <w:r>
        <w:rPr>
          <w:spacing w:val="-1"/>
        </w:rPr>
        <w:t> </w:t>
      </w:r>
      <w:r>
        <w:rPr/>
        <w:t>effects of citrus peel use and black tea</w:t>
      </w:r>
      <w:r>
        <w:rPr>
          <w:spacing w:val="-1"/>
        </w:rPr>
        <w:t> </w:t>
      </w:r>
      <w:r>
        <w:rPr/>
        <w:t>intake on the risk</w:t>
      </w:r>
      <w:r>
        <w:rPr>
          <w:spacing w:val="-1"/>
        </w:rPr>
        <w:t> </w:t>
      </w:r>
      <w:r>
        <w:rPr/>
        <w:t>of squamous cell carcinoma of the skin. </w:t>
      </w:r>
      <w:r>
        <w:rPr>
          <w:i/>
        </w:rPr>
        <w:t>Biomed Central Dermatology Journal, </w:t>
      </w:r>
      <w:r>
        <w:rPr/>
        <w:t>1, 3.</w:t>
      </w:r>
    </w:p>
    <w:p>
      <w:pPr>
        <w:pStyle w:val="BodyText"/>
        <w:spacing w:line="261" w:lineRule="auto" w:before="197"/>
        <w:ind w:left="1100" w:right="976" w:hanging="720"/>
        <w:jc w:val="both"/>
      </w:pPr>
      <w:r>
        <w:rPr/>
        <w:t>Hament, J., Piet, C. A., Andre, F., Hans, D., Theo, H., Jan, L. L. K., and Tom, F. W. F. (2005) Direct binding of respiratory syncytial virus to pneumococci: A phenomenon that enhances both pneumococcal adherence to human epithelial cells and pneumococcal invasiveness in a murine model. </w:t>
      </w:r>
      <w:r>
        <w:rPr>
          <w:i/>
        </w:rPr>
        <w:t>Pediatrics Research, </w:t>
      </w:r>
      <w:r>
        <w:rPr/>
        <w:t>58(6): 1198–1203.</w:t>
      </w:r>
    </w:p>
    <w:p>
      <w:pPr>
        <w:pStyle w:val="BodyText"/>
        <w:spacing w:line="259" w:lineRule="auto" w:before="191"/>
        <w:ind w:left="1100" w:right="975" w:hanging="720"/>
        <w:jc w:val="both"/>
      </w:pPr>
      <w:r>
        <w:rPr/>
        <w:t>Hans-Dieter, B., Werner G., and Peter, S. (2004). </w:t>
      </w:r>
      <w:hyperlink r:id="rId333">
        <w:r>
          <w:rPr/>
          <w:t>Food chemistry.</w:t>
        </w:r>
      </w:hyperlink>
      <w:r>
        <w:rPr/>
        <w:t> Springer Verlag, Berlin-Heidelberg, </w:t>
      </w:r>
      <w:r>
        <w:rPr>
          <w:spacing w:val="-4"/>
        </w:rPr>
        <w:t>884.</w:t>
      </w:r>
    </w:p>
    <w:p>
      <w:pPr>
        <w:spacing w:line="259" w:lineRule="auto" w:before="200"/>
        <w:ind w:left="1100" w:right="975" w:hanging="720"/>
        <w:jc w:val="both"/>
        <w:rPr>
          <w:sz w:val="22"/>
        </w:rPr>
      </w:pPr>
      <w:r>
        <w:rPr>
          <w:sz w:val="22"/>
        </w:rPr>
        <w:t>Hawkey, P. M., and Jones, A. M. (2009). The changing epidemiology of resistance. </w:t>
      </w:r>
      <w:r>
        <w:rPr>
          <w:i/>
          <w:sz w:val="22"/>
        </w:rPr>
        <w:t>Journal of Antimicrobial Chemotherapy</w:t>
      </w:r>
      <w:r>
        <w:rPr>
          <w:sz w:val="22"/>
        </w:rPr>
        <w:t>. 64 (1): 3–10.</w:t>
      </w:r>
    </w:p>
    <w:p>
      <w:pPr>
        <w:pStyle w:val="BodyText"/>
        <w:spacing w:line="261" w:lineRule="auto" w:before="197"/>
        <w:ind w:left="1100" w:right="978" w:hanging="720"/>
        <w:jc w:val="both"/>
      </w:pPr>
      <w:r>
        <w:rPr/>
        <w:t>Herbs (2000). Lemon: </w:t>
      </w:r>
      <w:r>
        <w:rPr>
          <w:i/>
        </w:rPr>
        <w:t>Citrus limon</w:t>
      </w:r>
      <w:r>
        <w:rPr/>
        <w:t>. Retrieved May 24, 2014 from </w:t>
      </w:r>
      <w:hyperlink r:id="rId334">
        <w:r>
          <w:rPr>
            <w:spacing w:val="-2"/>
          </w:rPr>
          <w:t>http://www.herbs2000.com/herbs/herbs_lemon.htm.</w:t>
        </w:r>
      </w:hyperlink>
    </w:p>
    <w:p>
      <w:pPr>
        <w:tabs>
          <w:tab w:pos="3942" w:val="left" w:leader="none"/>
          <w:tab w:pos="6373" w:val="left" w:leader="none"/>
          <w:tab w:pos="8974" w:val="left" w:leader="none"/>
        </w:tabs>
        <w:spacing w:line="259" w:lineRule="auto" w:before="195"/>
        <w:ind w:left="1100" w:right="976" w:hanging="720"/>
        <w:jc w:val="both"/>
        <w:rPr>
          <w:sz w:val="22"/>
        </w:rPr>
      </w:pPr>
      <w:hyperlink r:id="rId335">
        <w:r>
          <w:rPr>
            <w:sz w:val="22"/>
          </w:rPr>
          <w:t>Holden, M., and Williams, P. (2001). </w:t>
        </w:r>
        <w:r>
          <w:rPr>
            <w:i/>
            <w:sz w:val="22"/>
          </w:rPr>
          <w:t>Quorum Sensing</w:t>
        </w:r>
        <w:r>
          <w:rPr>
            <w:sz w:val="22"/>
          </w:rPr>
          <w:t>. </w:t>
        </w:r>
        <w:r>
          <w:rPr>
            <w:i/>
            <w:sz w:val="22"/>
          </w:rPr>
          <w:t>Encyclopedia of Life Sciences</w:t>
        </w:r>
      </w:hyperlink>
      <w:r>
        <w:rPr>
          <w:sz w:val="22"/>
        </w:rPr>
        <w:t>. Retrieved</w:t>
      </w:r>
      <w:r>
        <w:rPr>
          <w:spacing w:val="40"/>
          <w:sz w:val="22"/>
        </w:rPr>
        <w:t> </w:t>
      </w:r>
      <w:r>
        <w:rPr>
          <w:spacing w:val="-2"/>
          <w:sz w:val="22"/>
        </w:rPr>
        <w:t>January</w:t>
      </w:r>
      <w:r>
        <w:rPr>
          <w:sz w:val="22"/>
        </w:rPr>
        <w:tab/>
      </w:r>
      <w:r>
        <w:rPr>
          <w:spacing w:val="-4"/>
          <w:sz w:val="22"/>
        </w:rPr>
        <w:t>24,</w:t>
      </w:r>
      <w:r>
        <w:rPr>
          <w:sz w:val="22"/>
        </w:rPr>
        <w:tab/>
      </w:r>
      <w:r>
        <w:rPr>
          <w:spacing w:val="-4"/>
          <w:sz w:val="22"/>
        </w:rPr>
        <w:t>2012</w:t>
      </w:r>
      <w:r>
        <w:rPr>
          <w:sz w:val="22"/>
        </w:rPr>
        <w:tab/>
      </w:r>
      <w:r>
        <w:rPr>
          <w:spacing w:val="-4"/>
          <w:sz w:val="22"/>
        </w:rPr>
        <w:t>from </w:t>
      </w:r>
      <w:hyperlink r:id="rId336">
        <w:r>
          <w:rPr>
            <w:spacing w:val="-2"/>
            <w:sz w:val="22"/>
          </w:rPr>
          <w:t>http://www.mrw.interscience.wiley.com/emrw/9780470015902/els/article/a0001426/curre</w:t>
        </w:r>
      </w:hyperlink>
      <w:r>
        <w:rPr>
          <w:spacing w:val="-2"/>
          <w:sz w:val="22"/>
        </w:rPr>
        <w:t> nt/html.</w:t>
      </w:r>
    </w:p>
    <w:p>
      <w:pPr>
        <w:pStyle w:val="BodyText"/>
        <w:spacing w:line="259" w:lineRule="auto" w:before="201"/>
        <w:ind w:left="1100" w:right="978" w:hanging="720"/>
        <w:jc w:val="both"/>
      </w:pPr>
      <w:r>
        <w:rPr/>
        <w:t>Ifra, G., and Sheikh, S. A. (2009). Antibacterial Activities of Honey, Sandal oil and Black pepper. Department of Environmental Sciences, Fatima Jinnah Women University, Rawalpindi, Pakistan. </w:t>
      </w:r>
      <w:r>
        <w:rPr>
          <w:i/>
        </w:rPr>
        <w:t>Pakistan Journal of Botany, </w:t>
      </w:r>
      <w:r>
        <w:rPr/>
        <w:t>41(1): 173.</w:t>
      </w:r>
    </w:p>
    <w:p>
      <w:pPr>
        <w:pStyle w:val="BodyText"/>
        <w:spacing w:line="261" w:lineRule="auto" w:before="198"/>
        <w:ind w:left="1100" w:right="976" w:hanging="720"/>
        <w:jc w:val="both"/>
      </w:pPr>
      <w:r>
        <w:rPr/>
        <w:t>Jeremy, H. B. (2009). Sailors’ scurvy before and after James Lind-a reassessment. International Life Science Institute. </w:t>
      </w:r>
      <w:r>
        <w:rPr>
          <w:i/>
        </w:rPr>
        <w:t>Nutrition Reviews</w:t>
      </w:r>
      <w:r>
        <w:rPr/>
        <w:t>; 67 (6): 315-332.</w:t>
      </w:r>
    </w:p>
    <w:p>
      <w:pPr>
        <w:pStyle w:val="BodyText"/>
        <w:spacing w:line="261" w:lineRule="auto" w:before="194"/>
        <w:ind w:left="1100" w:right="981" w:hanging="720"/>
        <w:jc w:val="both"/>
      </w:pPr>
      <w:r>
        <w:rPr/>
        <w:t>Jeremy, P.T.W., Jane, W., and Charles, M. W. (2006). The respiratory system at a glance. Published</w:t>
      </w:r>
      <w:r>
        <w:rPr>
          <w:spacing w:val="80"/>
        </w:rPr>
        <w:t> </w:t>
      </w:r>
      <w:r>
        <w:rPr/>
        <w:t>by Wiley-Blackwell, 11-16.</w:t>
      </w:r>
    </w:p>
    <w:p>
      <w:pPr>
        <w:spacing w:line="259" w:lineRule="auto" w:before="196"/>
        <w:ind w:left="1100" w:right="975" w:hanging="720"/>
        <w:jc w:val="both"/>
        <w:rPr>
          <w:sz w:val="22"/>
        </w:rPr>
      </w:pPr>
      <w:r>
        <w:rPr>
          <w:sz w:val="22"/>
        </w:rPr>
        <w:t>Jim, D. (2012). </w:t>
      </w:r>
      <w:hyperlink r:id="rId337">
        <w:r>
          <w:rPr>
            <w:i/>
            <w:sz w:val="22"/>
          </w:rPr>
          <w:t>An Infection, Unnoticed, Turns Unstoppable</w:t>
        </w:r>
        <w:r>
          <w:rPr>
            <w:sz w:val="22"/>
          </w:rPr>
          <w:t>.</w:t>
        </w:r>
      </w:hyperlink>
      <w:r>
        <w:rPr>
          <w:sz w:val="22"/>
        </w:rPr>
        <w:t> </w:t>
      </w:r>
      <w:r>
        <w:rPr>
          <w:i/>
          <w:sz w:val="22"/>
        </w:rPr>
        <w:t>The New York Times</w:t>
      </w:r>
      <w:r>
        <w:rPr>
          <w:sz w:val="22"/>
        </w:rPr>
        <w:t>. Retrieved July 12, 2012 from </w:t>
      </w:r>
      <w:hyperlink r:id="rId338">
        <w:r>
          <w:rPr>
            <w:sz w:val="22"/>
          </w:rPr>
          <w:t>http://www.nytimes.com/2012/07/12/nyregion/in-rory-stauntons-fight-for-his-</w:t>
        </w:r>
      </w:hyperlink>
      <w:r>
        <w:rPr>
          <w:sz w:val="22"/>
        </w:rPr>
        <w:t> </w:t>
      </w:r>
      <w:r>
        <w:rPr>
          <w:spacing w:val="-2"/>
          <w:sz w:val="22"/>
        </w:rPr>
        <w:t>life-signs-that-went-unheeded.html.</w:t>
      </w:r>
    </w:p>
    <w:p>
      <w:pPr>
        <w:spacing w:line="259" w:lineRule="auto" w:before="200"/>
        <w:ind w:left="1100" w:right="974" w:hanging="720"/>
        <w:jc w:val="both"/>
        <w:rPr>
          <w:sz w:val="22"/>
        </w:rPr>
      </w:pPr>
      <w:r>
        <w:rPr>
          <w:sz w:val="22"/>
        </w:rPr>
        <w:t>Kabir, O. A. , O. Oladapo, C. E. Okwara, C. C. Ibe and K. A. Fasure (2005). Screening of crude extracts of six medicinal plants used in</w:t>
      </w:r>
      <w:r>
        <w:rPr>
          <w:spacing w:val="-1"/>
          <w:sz w:val="22"/>
        </w:rPr>
        <w:t> </w:t>
      </w:r>
      <w:r>
        <w:rPr>
          <w:sz w:val="22"/>
        </w:rPr>
        <w:t>South-West Nigerian</w:t>
      </w:r>
      <w:r>
        <w:rPr>
          <w:spacing w:val="-1"/>
          <w:sz w:val="22"/>
        </w:rPr>
        <w:t> </w:t>
      </w:r>
      <w:r>
        <w:rPr>
          <w:sz w:val="22"/>
        </w:rPr>
        <w:t>unorthodox medicine for anti-methicillin resistant </w:t>
      </w:r>
      <w:r>
        <w:rPr>
          <w:i/>
          <w:sz w:val="22"/>
        </w:rPr>
        <w:t>Staphylococcus aureus </w:t>
      </w:r>
      <w:r>
        <w:rPr>
          <w:sz w:val="22"/>
        </w:rPr>
        <w:t>activity. </w:t>
      </w:r>
      <w:r>
        <w:rPr>
          <w:i/>
          <w:sz w:val="22"/>
        </w:rPr>
        <w:t>BioMed Central Complementary and Alternative Medicine</w:t>
      </w:r>
      <w:r>
        <w:rPr>
          <w:sz w:val="22"/>
        </w:rPr>
        <w:t>, 5, 6.</w:t>
      </w:r>
    </w:p>
    <w:p>
      <w:pPr>
        <w:pStyle w:val="BodyText"/>
        <w:spacing w:line="259" w:lineRule="auto" w:before="198"/>
        <w:ind w:left="1100" w:right="973" w:hanging="720"/>
        <w:jc w:val="both"/>
      </w:pPr>
      <w:r>
        <w:rPr/>
        <w:t>Kántor, Z., Pitsi, G., and Thoen, J. (1999). Glass Transition Temperature of Honey as a Function of Water Content As Determined by Differential Scanning Calorimetry". </w:t>
      </w:r>
      <w:r>
        <w:rPr>
          <w:i/>
        </w:rPr>
        <w:t>Journal of Agricultural and Food Chemistry, </w:t>
      </w:r>
      <w:r>
        <w:rPr/>
        <w:t>47 (6): 2327–2330.</w:t>
      </w:r>
    </w:p>
    <w:p>
      <w:pPr>
        <w:spacing w:after="0" w:line="259" w:lineRule="auto"/>
        <w:jc w:val="both"/>
        <w:sectPr>
          <w:pgSz w:w="11910" w:h="16840"/>
          <w:pgMar w:header="0" w:footer="1055" w:top="1380" w:bottom="1240" w:left="1060" w:right="460"/>
        </w:sectPr>
      </w:pPr>
    </w:p>
    <w:p>
      <w:pPr>
        <w:pStyle w:val="BodyText"/>
        <w:spacing w:line="261" w:lineRule="auto" w:before="38"/>
        <w:ind w:left="1100" w:right="974" w:hanging="720"/>
        <w:jc w:val="both"/>
      </w:pPr>
      <w:r>
        <w:rPr/>
        <w:t>Kardas, P. (2007). "Comparison of patient compliance with once-daily and twice-daily antibiotic regimens in respiratory tract infections: results of a randomized trial". </w:t>
      </w:r>
      <w:r>
        <w:rPr>
          <w:i/>
        </w:rPr>
        <w:t>Journal of Antimicrobial Chemotherapy, </w:t>
      </w:r>
      <w:r>
        <w:rPr/>
        <w:t>59 (3): 531–6.</w:t>
      </w:r>
    </w:p>
    <w:p>
      <w:pPr>
        <w:pStyle w:val="BodyText"/>
        <w:spacing w:line="259" w:lineRule="auto" w:before="193"/>
        <w:ind w:left="1100" w:right="981" w:hanging="720"/>
        <w:jc w:val="both"/>
      </w:pPr>
      <w:r>
        <w:rPr/>
        <w:t>Katie, B., and Ashley, M. (2000). Establishment of Pseudomonas aeruginosa infection: lessons from a versatile opportunist. </w:t>
      </w:r>
      <w:r>
        <w:rPr>
          <w:i/>
        </w:rPr>
        <w:t>Microbes and Infection</w:t>
      </w:r>
      <w:r>
        <w:rPr/>
        <w:t>. 2 (9): 1051-1060.</w:t>
      </w:r>
    </w:p>
    <w:p>
      <w:pPr>
        <w:spacing w:line="261" w:lineRule="auto" w:before="197"/>
        <w:ind w:left="1100" w:right="975" w:hanging="720"/>
        <w:jc w:val="both"/>
        <w:rPr>
          <w:sz w:val="22"/>
        </w:rPr>
      </w:pPr>
      <w:r>
        <w:rPr>
          <w:sz w:val="22"/>
        </w:rPr>
        <w:t>Kawaii, S., T. Yasuhiko, K. Eriko, O. Kazunori, Y. Masamichi, K. Meisaku, ChihiroIto and F. Hiroshi, (2000). Quantitative study of flavonoids in leaves of </w:t>
      </w:r>
      <w:r>
        <w:rPr>
          <w:i/>
          <w:sz w:val="22"/>
        </w:rPr>
        <w:t>Citrus </w:t>
      </w:r>
      <w:r>
        <w:rPr>
          <w:sz w:val="22"/>
        </w:rPr>
        <w:t>plants </w:t>
      </w:r>
      <w:r>
        <w:rPr>
          <w:i/>
          <w:sz w:val="22"/>
        </w:rPr>
        <w:t>Journal of Agricultural and Food Chemistry</w:t>
      </w:r>
      <w:r>
        <w:rPr>
          <w:sz w:val="22"/>
        </w:rPr>
        <w:t>, 48: 3865-3871.</w:t>
      </w:r>
    </w:p>
    <w:p>
      <w:pPr>
        <w:spacing w:line="261" w:lineRule="auto" w:before="193"/>
        <w:ind w:left="1100" w:right="974" w:hanging="720"/>
        <w:jc w:val="both"/>
        <w:rPr>
          <w:sz w:val="22"/>
        </w:rPr>
      </w:pPr>
      <w:r>
        <w:rPr>
          <w:sz w:val="22"/>
        </w:rPr>
        <w:t>Kingsley, A., (2001). The use of honey in the treatment of infected wound. </w:t>
      </w:r>
      <w:r>
        <w:rPr>
          <w:i/>
          <w:sz w:val="22"/>
        </w:rPr>
        <w:t>British Journal of Nursing</w:t>
      </w:r>
      <w:r>
        <w:rPr>
          <w:sz w:val="22"/>
        </w:rPr>
        <w:t>; 10: 13-16.</w:t>
      </w:r>
    </w:p>
    <w:p>
      <w:pPr>
        <w:spacing w:line="259" w:lineRule="auto" w:before="195"/>
        <w:ind w:left="1100" w:right="974" w:hanging="720"/>
        <w:jc w:val="both"/>
        <w:rPr>
          <w:sz w:val="22"/>
        </w:rPr>
      </w:pPr>
      <w:r>
        <w:rPr>
          <w:sz w:val="22"/>
        </w:rPr>
        <w:t>Kluytmans, J., van Belkum, A., and Verbrugh, H. (1997). </w:t>
      </w:r>
      <w:hyperlink r:id="rId339">
        <w:r>
          <w:rPr>
            <w:sz w:val="22"/>
          </w:rPr>
          <w:t>"Nasal carriage of </w:t>
        </w:r>
        <w:r>
          <w:rPr>
            <w:i/>
            <w:sz w:val="22"/>
          </w:rPr>
          <w:t>Staphylococcus aureus</w:t>
        </w:r>
        <w:r>
          <w:rPr>
            <w:sz w:val="22"/>
          </w:rPr>
          <w:t>:</w:t>
        </w:r>
      </w:hyperlink>
      <w:r>
        <w:rPr>
          <w:sz w:val="22"/>
        </w:rPr>
        <w:t> </w:t>
      </w:r>
      <w:hyperlink r:id="rId339">
        <w:r>
          <w:rPr>
            <w:sz w:val="22"/>
          </w:rPr>
          <w:t>epidemiology, underlying mechanisms, and associated risks"</w:t>
        </w:r>
      </w:hyperlink>
      <w:r>
        <w:rPr>
          <w:sz w:val="22"/>
        </w:rPr>
        <w:t>. </w:t>
      </w:r>
      <w:r>
        <w:rPr>
          <w:i/>
          <w:sz w:val="22"/>
        </w:rPr>
        <w:t>Clinical Microbiology, </w:t>
      </w:r>
      <w:r>
        <w:rPr>
          <w:sz w:val="22"/>
        </w:rPr>
        <w:t>10 (3): </w:t>
      </w:r>
      <w:r>
        <w:rPr>
          <w:spacing w:val="-2"/>
          <w:sz w:val="22"/>
        </w:rPr>
        <w:t>505–20.</w:t>
      </w:r>
    </w:p>
    <w:p>
      <w:pPr>
        <w:spacing w:line="261" w:lineRule="auto" w:before="198"/>
        <w:ind w:left="1100" w:right="980" w:hanging="720"/>
        <w:jc w:val="both"/>
        <w:rPr>
          <w:sz w:val="22"/>
        </w:rPr>
      </w:pPr>
      <w:r>
        <w:rPr>
          <w:sz w:val="22"/>
        </w:rPr>
        <w:t>Krell, R., (1996). </w:t>
      </w:r>
      <w:hyperlink r:id="rId340">
        <w:r>
          <w:rPr>
            <w:sz w:val="22"/>
          </w:rPr>
          <w:t>Value-added products from beekeeping.</w:t>
        </w:r>
      </w:hyperlink>
      <w:r>
        <w:rPr>
          <w:sz w:val="22"/>
        </w:rPr>
        <w:t> </w:t>
      </w:r>
      <w:r>
        <w:rPr>
          <w:i/>
          <w:sz w:val="22"/>
        </w:rPr>
        <w:t>Food and Agriculture Organization of the United Nations</w:t>
      </w:r>
      <w:r>
        <w:rPr>
          <w:sz w:val="22"/>
        </w:rPr>
        <w:t>, 7–8.</w:t>
      </w:r>
    </w:p>
    <w:p>
      <w:pPr>
        <w:spacing w:before="194"/>
        <w:ind w:left="380" w:right="0" w:firstLine="0"/>
        <w:jc w:val="left"/>
        <w:rPr>
          <w:sz w:val="22"/>
        </w:rPr>
      </w:pPr>
      <w:r>
        <w:rPr>
          <w:sz w:val="22"/>
        </w:rPr>
        <w:t>Kuhnert,</w:t>
      </w:r>
      <w:r>
        <w:rPr>
          <w:spacing w:val="7"/>
          <w:sz w:val="22"/>
        </w:rPr>
        <w:t> </w:t>
      </w:r>
      <w:r>
        <w:rPr>
          <w:sz w:val="22"/>
        </w:rPr>
        <w:t>P.,</w:t>
      </w:r>
      <w:r>
        <w:rPr>
          <w:spacing w:val="9"/>
          <w:sz w:val="22"/>
        </w:rPr>
        <w:t> </w:t>
      </w:r>
      <w:r>
        <w:rPr>
          <w:sz w:val="22"/>
        </w:rPr>
        <w:t>and</w:t>
      </w:r>
      <w:r>
        <w:rPr>
          <w:spacing w:val="8"/>
          <w:sz w:val="22"/>
        </w:rPr>
        <w:t> </w:t>
      </w:r>
      <w:r>
        <w:rPr>
          <w:sz w:val="22"/>
        </w:rPr>
        <w:t>Christensen,</w:t>
      </w:r>
      <w:r>
        <w:rPr>
          <w:spacing w:val="9"/>
          <w:sz w:val="22"/>
        </w:rPr>
        <w:t> </w:t>
      </w:r>
      <w:r>
        <w:rPr>
          <w:sz w:val="22"/>
        </w:rPr>
        <w:t>H.</w:t>
      </w:r>
      <w:r>
        <w:rPr>
          <w:spacing w:val="9"/>
          <w:sz w:val="22"/>
        </w:rPr>
        <w:t> </w:t>
      </w:r>
      <w:r>
        <w:rPr>
          <w:sz w:val="22"/>
        </w:rPr>
        <w:t>(2008).</w:t>
      </w:r>
      <w:r>
        <w:rPr>
          <w:spacing w:val="10"/>
          <w:sz w:val="22"/>
        </w:rPr>
        <w:t> </w:t>
      </w:r>
      <w:r>
        <w:rPr>
          <w:i/>
          <w:sz w:val="22"/>
        </w:rPr>
        <w:t>Pasteurellaceae:</w:t>
      </w:r>
      <w:r>
        <w:rPr>
          <w:i/>
          <w:spacing w:val="9"/>
          <w:sz w:val="22"/>
        </w:rPr>
        <w:t> </w:t>
      </w:r>
      <w:r>
        <w:rPr>
          <w:i/>
          <w:sz w:val="22"/>
        </w:rPr>
        <w:t>Biology,</w:t>
      </w:r>
      <w:r>
        <w:rPr>
          <w:i/>
          <w:spacing w:val="9"/>
          <w:sz w:val="22"/>
        </w:rPr>
        <w:t> </w:t>
      </w:r>
      <w:r>
        <w:rPr>
          <w:i/>
          <w:sz w:val="22"/>
        </w:rPr>
        <w:t>Genomics</w:t>
      </w:r>
      <w:r>
        <w:rPr>
          <w:i/>
          <w:spacing w:val="10"/>
          <w:sz w:val="22"/>
        </w:rPr>
        <w:t> </w:t>
      </w:r>
      <w:r>
        <w:rPr>
          <w:i/>
          <w:sz w:val="22"/>
        </w:rPr>
        <w:t>and</w:t>
      </w:r>
      <w:r>
        <w:rPr>
          <w:i/>
          <w:spacing w:val="9"/>
          <w:sz w:val="22"/>
        </w:rPr>
        <w:t> </w:t>
      </w:r>
      <w:r>
        <w:rPr>
          <w:i/>
          <w:sz w:val="22"/>
        </w:rPr>
        <w:t>Molecular</w:t>
      </w:r>
      <w:r>
        <w:rPr>
          <w:i/>
          <w:spacing w:val="10"/>
          <w:sz w:val="22"/>
        </w:rPr>
        <w:t> </w:t>
      </w:r>
      <w:r>
        <w:rPr>
          <w:i/>
          <w:spacing w:val="-2"/>
          <w:sz w:val="22"/>
        </w:rPr>
        <w:t>Aspects</w:t>
      </w:r>
      <w:r>
        <w:rPr>
          <w:spacing w:val="-2"/>
          <w:sz w:val="22"/>
        </w:rPr>
        <w:t>.</w:t>
      </w:r>
    </w:p>
    <w:p>
      <w:pPr>
        <w:pStyle w:val="BodyText"/>
        <w:spacing w:before="24"/>
        <w:ind w:left="1100"/>
      </w:pPr>
      <w:r>
        <w:rPr/>
        <w:t>Caister</w:t>
      </w:r>
      <w:r>
        <w:rPr>
          <w:spacing w:val="-5"/>
        </w:rPr>
        <w:t> </w:t>
      </w:r>
      <w:r>
        <w:rPr/>
        <w:t>Academic</w:t>
      </w:r>
      <w:r>
        <w:rPr>
          <w:spacing w:val="-7"/>
        </w:rPr>
        <w:t> </w:t>
      </w:r>
      <w:r>
        <w:rPr/>
        <w:t>Press,</w:t>
      </w:r>
      <w:r>
        <w:rPr>
          <w:spacing w:val="-4"/>
        </w:rPr>
        <w:t> </w:t>
      </w:r>
      <w:r>
        <w:rPr/>
        <w:t>1-</w:t>
      </w:r>
      <w:r>
        <w:rPr>
          <w:spacing w:val="-5"/>
        </w:rPr>
        <w:t>26.</w:t>
      </w:r>
    </w:p>
    <w:p>
      <w:pPr>
        <w:pStyle w:val="BodyText"/>
        <w:spacing w:line="261" w:lineRule="auto" w:before="219"/>
        <w:ind w:left="1100" w:right="978" w:hanging="720"/>
        <w:jc w:val="both"/>
      </w:pPr>
      <w:r>
        <w:rPr/>
        <w:t>Kwakman, P. H. S., Johannes, P. C., Van den A., Ahmet, G., Aslami, H., and Binnekade, J. M. (2008). Medical-grade honey kills antibiotic cresistant bacteria in vitro and eradicates skin colonization. </w:t>
      </w:r>
      <w:r>
        <w:rPr>
          <w:i/>
        </w:rPr>
        <w:t>Clinical Infectious Diseases, </w:t>
      </w:r>
      <w:r>
        <w:rPr/>
        <w:t>46 (11): 1677-82.</w:t>
      </w:r>
    </w:p>
    <w:p>
      <w:pPr>
        <w:pStyle w:val="BodyText"/>
        <w:spacing w:line="259" w:lineRule="auto" w:before="193"/>
        <w:ind w:left="1100" w:right="978" w:hanging="720"/>
        <w:jc w:val="both"/>
      </w:pPr>
      <w:r>
        <w:rPr/>
        <w:t>Larsson, D. G., and Fick, J. (2009). "Transparency throughout the production chain -- a way to reduce pollution from the manufacturing of pharmaceuticals” </w:t>
      </w:r>
      <w:hyperlink r:id="rId341">
        <w:r>
          <w:rPr>
            <w:i/>
          </w:rPr>
          <w:t>Regular Toxicology and</w:t>
        </w:r>
      </w:hyperlink>
      <w:r>
        <w:rPr>
          <w:i/>
        </w:rPr>
        <w:t> </w:t>
      </w:r>
      <w:hyperlink r:id="rId341">
        <w:r>
          <w:rPr>
            <w:i/>
          </w:rPr>
          <w:t>Pharmacol</w:t>
        </w:r>
      </w:hyperlink>
      <w:r>
        <w:rPr>
          <w:i/>
        </w:rPr>
        <w:t>ogy, </w:t>
      </w:r>
      <w:r>
        <w:rPr/>
        <w:t>53 (3): 161–3.</w:t>
      </w:r>
    </w:p>
    <w:p>
      <w:pPr>
        <w:spacing w:before="200"/>
        <w:ind w:left="430" w:right="0" w:firstLine="0"/>
        <w:jc w:val="left"/>
        <w:rPr>
          <w:sz w:val="22"/>
        </w:rPr>
      </w:pPr>
      <w:r>
        <w:rPr>
          <w:sz w:val="22"/>
        </w:rPr>
        <w:t>Lavin,</w:t>
      </w:r>
      <w:r>
        <w:rPr>
          <w:spacing w:val="-8"/>
          <w:sz w:val="22"/>
        </w:rPr>
        <w:t> </w:t>
      </w:r>
      <w:r>
        <w:rPr>
          <w:sz w:val="22"/>
        </w:rPr>
        <w:t>T.,</w:t>
      </w:r>
      <w:r>
        <w:rPr>
          <w:spacing w:val="-5"/>
          <w:sz w:val="22"/>
        </w:rPr>
        <w:t> </w:t>
      </w:r>
      <w:r>
        <w:rPr>
          <w:sz w:val="22"/>
        </w:rPr>
        <w:t>and</w:t>
      </w:r>
      <w:r>
        <w:rPr>
          <w:spacing w:val="-8"/>
          <w:sz w:val="22"/>
        </w:rPr>
        <w:t> </w:t>
      </w:r>
      <w:r>
        <w:rPr>
          <w:sz w:val="22"/>
        </w:rPr>
        <w:t>Mariely</w:t>
      </w:r>
      <w:r>
        <w:rPr>
          <w:spacing w:val="-5"/>
          <w:sz w:val="22"/>
        </w:rPr>
        <w:t> </w:t>
      </w:r>
      <w:r>
        <w:rPr>
          <w:sz w:val="22"/>
        </w:rPr>
        <w:t>(2008).</w:t>
      </w:r>
      <w:r>
        <w:rPr>
          <w:spacing w:val="-6"/>
          <w:sz w:val="22"/>
        </w:rPr>
        <w:t> </w:t>
      </w:r>
      <w:r>
        <w:rPr>
          <w:sz w:val="22"/>
        </w:rPr>
        <w:t>“Yucatan</w:t>
      </w:r>
      <w:r>
        <w:rPr>
          <w:spacing w:val="-5"/>
          <w:sz w:val="22"/>
        </w:rPr>
        <w:t> </w:t>
      </w:r>
      <w:r>
        <w:rPr>
          <w:sz w:val="22"/>
        </w:rPr>
        <w:t>Honey</w:t>
      </w:r>
      <w:r>
        <w:rPr>
          <w:spacing w:val="-7"/>
          <w:sz w:val="22"/>
        </w:rPr>
        <w:t> </w:t>
      </w:r>
      <w:r>
        <w:rPr>
          <w:sz w:val="22"/>
        </w:rPr>
        <w:t>Producers”.</w:t>
      </w:r>
      <w:r>
        <w:rPr>
          <w:spacing w:val="-3"/>
          <w:sz w:val="22"/>
        </w:rPr>
        <w:t> </w:t>
      </w:r>
      <w:r>
        <w:rPr>
          <w:i/>
          <w:sz w:val="22"/>
        </w:rPr>
        <w:t>Mexico</w:t>
      </w:r>
      <w:r>
        <w:rPr>
          <w:i/>
          <w:spacing w:val="-9"/>
          <w:sz w:val="22"/>
        </w:rPr>
        <w:t> </w:t>
      </w:r>
      <w:r>
        <w:rPr>
          <w:i/>
          <w:sz w:val="22"/>
        </w:rPr>
        <w:t>Desconocido</w:t>
      </w:r>
      <w:r>
        <w:rPr>
          <w:sz w:val="22"/>
        </w:rPr>
        <w:t>,</w:t>
      </w:r>
      <w:r>
        <w:rPr>
          <w:spacing w:val="-5"/>
          <w:sz w:val="22"/>
        </w:rPr>
        <w:t> </w:t>
      </w:r>
      <w:r>
        <w:rPr>
          <w:sz w:val="22"/>
        </w:rPr>
        <w:t>372:</w:t>
      </w:r>
      <w:r>
        <w:rPr>
          <w:spacing w:val="-6"/>
          <w:sz w:val="22"/>
        </w:rPr>
        <w:t> </w:t>
      </w:r>
      <w:r>
        <w:rPr>
          <w:sz w:val="22"/>
        </w:rPr>
        <w:t>78-</w:t>
      </w:r>
      <w:r>
        <w:rPr>
          <w:spacing w:val="-5"/>
          <w:sz w:val="22"/>
        </w:rPr>
        <w:t>83.</w:t>
      </w:r>
    </w:p>
    <w:p>
      <w:pPr>
        <w:spacing w:line="261" w:lineRule="auto" w:before="219"/>
        <w:ind w:left="1100" w:right="973" w:hanging="720"/>
        <w:jc w:val="both"/>
        <w:rPr>
          <w:sz w:val="22"/>
        </w:rPr>
      </w:pPr>
      <w:hyperlink r:id="rId342">
        <w:r>
          <w:rPr>
            <w:sz w:val="22"/>
          </w:rPr>
          <w:t>Lawlor, M., Hsu, J., Rick, P., and Miller, V. (2005). "Identification of </w:t>
        </w:r>
        <w:r>
          <w:rPr>
            <w:i/>
            <w:sz w:val="22"/>
          </w:rPr>
          <w:t>Klebsiella pneumoniae </w:t>
        </w:r>
        <w:r>
          <w:rPr>
            <w:sz w:val="22"/>
          </w:rPr>
          <w:t>virulence</w:t>
        </w:r>
      </w:hyperlink>
      <w:r>
        <w:rPr>
          <w:sz w:val="22"/>
        </w:rPr>
        <w:t> </w:t>
      </w:r>
      <w:hyperlink r:id="rId342">
        <w:r>
          <w:rPr>
            <w:sz w:val="22"/>
          </w:rPr>
          <w:t>determinants using an intranasal infection model". </w:t>
        </w:r>
        <w:r>
          <w:rPr>
            <w:i/>
            <w:sz w:val="22"/>
          </w:rPr>
          <w:t>Molecular Microbiology</w:t>
        </w:r>
        <w:r>
          <w:rPr>
            <w:sz w:val="22"/>
          </w:rPr>
          <w:t>. 58 (4): 1054–</w:t>
        </w:r>
      </w:hyperlink>
      <w:r>
        <w:rPr>
          <w:sz w:val="22"/>
        </w:rPr>
        <w:t> </w:t>
      </w:r>
      <w:hyperlink r:id="rId342">
        <w:r>
          <w:rPr>
            <w:spacing w:val="-2"/>
            <w:sz w:val="22"/>
          </w:rPr>
          <w:t>1073.</w:t>
        </w:r>
      </w:hyperlink>
    </w:p>
    <w:p>
      <w:pPr>
        <w:spacing w:line="261" w:lineRule="auto" w:before="192"/>
        <w:ind w:left="1100" w:right="976" w:hanging="720"/>
        <w:jc w:val="both"/>
        <w:rPr>
          <w:sz w:val="22"/>
        </w:rPr>
      </w:pPr>
      <w:hyperlink r:id="rId343">
        <w:r>
          <w:rPr>
            <w:sz w:val="22"/>
          </w:rPr>
          <w:t>Leanord, A., and Williams, C.</w:t>
        </w:r>
      </w:hyperlink>
      <w:r>
        <w:rPr>
          <w:sz w:val="22"/>
        </w:rPr>
        <w:t> (2002). </w:t>
      </w:r>
      <w:r>
        <w:rPr>
          <w:i/>
          <w:sz w:val="22"/>
        </w:rPr>
        <w:t>Haemophilus influenzae </w:t>
      </w:r>
      <w:r>
        <w:rPr>
          <w:sz w:val="22"/>
        </w:rPr>
        <w:t>in acute exacerbations of chronic obstructive pulmonary disease. </w:t>
      </w:r>
      <w:r>
        <w:rPr>
          <w:i/>
          <w:sz w:val="22"/>
        </w:rPr>
        <w:t>International Journal of Antimicrobial Agents</w:t>
      </w:r>
      <w:r>
        <w:rPr>
          <w:sz w:val="22"/>
        </w:rPr>
        <w:t>; 19 (5): 371-5.</w:t>
      </w:r>
    </w:p>
    <w:p>
      <w:pPr>
        <w:spacing w:before="195"/>
        <w:ind w:left="380" w:right="0" w:firstLine="0"/>
        <w:jc w:val="left"/>
        <w:rPr>
          <w:sz w:val="22"/>
        </w:rPr>
      </w:pPr>
      <w:r>
        <w:rPr>
          <w:sz w:val="22"/>
        </w:rPr>
        <w:t>Lederberg,</w:t>
      </w:r>
      <w:r>
        <w:rPr>
          <w:spacing w:val="45"/>
          <w:sz w:val="22"/>
        </w:rPr>
        <w:t> </w:t>
      </w:r>
      <w:r>
        <w:rPr>
          <w:sz w:val="22"/>
        </w:rPr>
        <w:t>J.,</w:t>
      </w:r>
      <w:r>
        <w:rPr>
          <w:spacing w:val="50"/>
          <w:sz w:val="22"/>
        </w:rPr>
        <w:t> </w:t>
      </w:r>
      <w:r>
        <w:rPr>
          <w:sz w:val="22"/>
        </w:rPr>
        <w:t>Martin,</w:t>
      </w:r>
      <w:r>
        <w:rPr>
          <w:spacing w:val="50"/>
          <w:sz w:val="22"/>
        </w:rPr>
        <w:t> </w:t>
      </w:r>
      <w:r>
        <w:rPr>
          <w:sz w:val="22"/>
        </w:rPr>
        <w:t>A.,</w:t>
      </w:r>
      <w:r>
        <w:rPr>
          <w:spacing w:val="48"/>
          <w:sz w:val="22"/>
        </w:rPr>
        <w:t> </w:t>
      </w:r>
      <w:r>
        <w:rPr>
          <w:sz w:val="22"/>
        </w:rPr>
        <w:t>and</w:t>
      </w:r>
      <w:r>
        <w:rPr>
          <w:spacing w:val="50"/>
          <w:sz w:val="22"/>
        </w:rPr>
        <w:t> </w:t>
      </w:r>
      <w:r>
        <w:rPr>
          <w:sz w:val="22"/>
        </w:rPr>
        <w:t>Barry,</w:t>
      </w:r>
      <w:r>
        <w:rPr>
          <w:spacing w:val="49"/>
          <w:sz w:val="22"/>
        </w:rPr>
        <w:t> </w:t>
      </w:r>
      <w:r>
        <w:rPr>
          <w:sz w:val="22"/>
        </w:rPr>
        <w:t>R.</w:t>
      </w:r>
      <w:r>
        <w:rPr>
          <w:spacing w:val="50"/>
          <w:sz w:val="22"/>
        </w:rPr>
        <w:t> </w:t>
      </w:r>
      <w:r>
        <w:rPr>
          <w:sz w:val="22"/>
        </w:rPr>
        <w:t>B.</w:t>
      </w:r>
      <w:r>
        <w:rPr>
          <w:spacing w:val="50"/>
          <w:sz w:val="22"/>
        </w:rPr>
        <w:t> </w:t>
      </w:r>
      <w:r>
        <w:rPr>
          <w:sz w:val="22"/>
        </w:rPr>
        <w:t>(2000).</w:t>
      </w:r>
      <w:r>
        <w:rPr>
          <w:spacing w:val="53"/>
          <w:sz w:val="22"/>
        </w:rPr>
        <w:t> </w:t>
      </w:r>
      <w:r>
        <w:rPr>
          <w:i/>
          <w:sz w:val="22"/>
        </w:rPr>
        <w:t>Pseudomonas</w:t>
      </w:r>
      <w:r>
        <w:rPr>
          <w:sz w:val="22"/>
        </w:rPr>
        <w:t>.</w:t>
      </w:r>
      <w:r>
        <w:rPr>
          <w:spacing w:val="51"/>
          <w:sz w:val="22"/>
        </w:rPr>
        <w:t> </w:t>
      </w:r>
      <w:r>
        <w:rPr>
          <w:i/>
          <w:sz w:val="22"/>
        </w:rPr>
        <w:t>Encyclopedia</w:t>
      </w:r>
      <w:r>
        <w:rPr>
          <w:i/>
          <w:spacing w:val="50"/>
          <w:sz w:val="22"/>
        </w:rPr>
        <w:t> </w:t>
      </w:r>
      <w:r>
        <w:rPr>
          <w:i/>
          <w:sz w:val="22"/>
        </w:rPr>
        <w:t>of</w:t>
      </w:r>
      <w:r>
        <w:rPr>
          <w:i/>
          <w:spacing w:val="51"/>
          <w:sz w:val="22"/>
        </w:rPr>
        <w:t> </w:t>
      </w:r>
      <w:r>
        <w:rPr>
          <w:i/>
          <w:spacing w:val="-2"/>
          <w:sz w:val="22"/>
        </w:rPr>
        <w:t>Microbiology</w:t>
      </w:r>
      <w:r>
        <w:rPr>
          <w:spacing w:val="-2"/>
          <w:sz w:val="22"/>
        </w:rPr>
        <w:t>.</w:t>
      </w:r>
    </w:p>
    <w:p>
      <w:pPr>
        <w:pStyle w:val="BodyText"/>
        <w:spacing w:before="24"/>
        <w:ind w:left="1100"/>
      </w:pPr>
      <w:r>
        <w:rPr/>
        <w:t>Second</w:t>
      </w:r>
      <w:r>
        <w:rPr>
          <w:spacing w:val="-4"/>
        </w:rPr>
        <w:t> </w:t>
      </w:r>
      <w:r>
        <w:rPr/>
        <w:t>Edition,</w:t>
      </w:r>
      <w:r>
        <w:rPr>
          <w:spacing w:val="-2"/>
        </w:rPr>
        <w:t> </w:t>
      </w:r>
      <w:r>
        <w:rPr/>
        <w:t>San</w:t>
      </w:r>
      <w:r>
        <w:rPr>
          <w:spacing w:val="-6"/>
        </w:rPr>
        <w:t> </w:t>
      </w:r>
      <w:r>
        <w:rPr/>
        <w:t>Diego.</w:t>
      </w:r>
      <w:r>
        <w:rPr>
          <w:spacing w:val="-5"/>
        </w:rPr>
        <w:t> </w:t>
      </w:r>
      <w:r>
        <w:rPr/>
        <w:t>3:</w:t>
      </w:r>
      <w:r>
        <w:rPr>
          <w:spacing w:val="-4"/>
        </w:rPr>
        <w:t> </w:t>
      </w:r>
      <w:r>
        <w:rPr/>
        <w:t>876-</w:t>
      </w:r>
      <w:r>
        <w:rPr>
          <w:spacing w:val="-4"/>
        </w:rPr>
        <w:t>891.</w:t>
      </w:r>
    </w:p>
    <w:p>
      <w:pPr>
        <w:pStyle w:val="BodyText"/>
        <w:spacing w:line="261" w:lineRule="auto" w:before="219"/>
        <w:ind w:left="1100" w:right="974" w:hanging="720"/>
        <w:jc w:val="both"/>
      </w:pPr>
      <w:r>
        <w:rPr/>
        <w:t>Li, X., and Nikadio, H. (2009). </w:t>
      </w:r>
      <w:hyperlink r:id="rId344">
        <w:r>
          <w:rPr/>
          <w:t>Efflux-Mediated Drug Resistance in Bacteria: an Update</w:t>
        </w:r>
      </w:hyperlink>
      <w:r>
        <w:rPr/>
        <w:t>. </w:t>
      </w:r>
      <w:r>
        <w:rPr>
          <w:i/>
        </w:rPr>
        <w:t>Drug, </w:t>
      </w:r>
      <w:r>
        <w:rPr/>
        <w:t>69 (12): </w:t>
      </w:r>
      <w:r>
        <w:rPr>
          <w:spacing w:val="-2"/>
        </w:rPr>
        <w:t>1555–623.</w:t>
      </w:r>
    </w:p>
    <w:p>
      <w:pPr>
        <w:pStyle w:val="BodyText"/>
        <w:spacing w:line="259" w:lineRule="auto" w:before="194"/>
        <w:ind w:left="1100" w:right="975" w:hanging="720"/>
        <w:jc w:val="both"/>
      </w:pPr>
      <w:r>
        <w:rPr/>
        <w:t>Limbago, B. M., Rasheed, J. K., Anderson, K. F., Zhu, W., Kitchel, B., Watz, N., … Kallen, A. J. (2011). "IMP-Producing Carbapenem-Resistant Klebsiella pneumoniae in the United States". </w:t>
      </w:r>
      <w:r>
        <w:rPr>
          <w:i/>
        </w:rPr>
        <w:t>Journal of Clinical Microbiology</w:t>
      </w:r>
      <w:r>
        <w:rPr/>
        <w:t>, 49 (12): 4239–4245.</w:t>
      </w:r>
    </w:p>
    <w:p>
      <w:pPr>
        <w:spacing w:after="0" w:line="259" w:lineRule="auto"/>
        <w:jc w:val="both"/>
        <w:sectPr>
          <w:pgSz w:w="11910" w:h="16840"/>
          <w:pgMar w:header="0" w:footer="1055" w:top="1380" w:bottom="1240" w:left="1060" w:right="460"/>
        </w:sectPr>
      </w:pPr>
    </w:p>
    <w:p>
      <w:pPr>
        <w:pStyle w:val="BodyText"/>
        <w:spacing w:line="261" w:lineRule="auto" w:before="38"/>
        <w:ind w:left="1100" w:right="978" w:hanging="720"/>
        <w:jc w:val="both"/>
      </w:pPr>
      <w:r>
        <w:rPr/>
        <w:t>Liu, G. Y., Essex, A., Buchanan, J. T., Datta, V., Hoffman, H. M, Bastian, J. F, Fierer, J., and Nizet, V. (2005). </w:t>
      </w:r>
      <w:hyperlink r:id="rId345">
        <w:r>
          <w:rPr>
            <w:i/>
          </w:rPr>
          <w:t>Staphylococcus aureus </w:t>
        </w:r>
        <w:r>
          <w:rPr/>
          <w:t>golden pigment impairs neutrophil killing and promotes</w:t>
        </w:r>
      </w:hyperlink>
      <w:r>
        <w:rPr/>
        <w:t> </w:t>
      </w:r>
      <w:hyperlink r:id="rId345">
        <w:r>
          <w:rPr/>
          <w:t>virulence through its antioxidant activity</w:t>
        </w:r>
      </w:hyperlink>
      <w:r>
        <w:rPr/>
        <w:t>. </w:t>
      </w:r>
      <w:r>
        <w:rPr>
          <w:i/>
        </w:rPr>
        <w:t>Journal of Experimental</w:t>
      </w:r>
      <w:r>
        <w:rPr>
          <w:i/>
          <w:spacing w:val="-1"/>
        </w:rPr>
        <w:t> </w:t>
      </w:r>
      <w:r>
        <w:rPr>
          <w:i/>
        </w:rPr>
        <w:t>Medicine, </w:t>
      </w:r>
      <w:r>
        <w:rPr/>
        <w:t>202 (2): 209–15.</w:t>
      </w:r>
    </w:p>
    <w:p>
      <w:pPr>
        <w:spacing w:line="259" w:lineRule="auto" w:before="193"/>
        <w:ind w:left="1100" w:right="976" w:hanging="720"/>
        <w:jc w:val="both"/>
        <w:rPr>
          <w:sz w:val="22"/>
        </w:rPr>
      </w:pPr>
      <w:r>
        <w:rPr>
          <w:sz w:val="22"/>
        </w:rPr>
        <w:t>Los Angeles Times (2011). </w:t>
      </w:r>
      <w:hyperlink r:id="rId346">
        <w:r>
          <w:rPr>
            <w:i/>
            <w:sz w:val="22"/>
          </w:rPr>
          <w:t>Taste of a thousand lemons</w:t>
        </w:r>
        <w:r>
          <w:rPr>
            <w:sz w:val="22"/>
          </w:rPr>
          <w:t>.</w:t>
        </w:r>
      </w:hyperlink>
      <w:r>
        <w:rPr>
          <w:sz w:val="22"/>
        </w:rPr>
        <w:t> </w:t>
      </w:r>
      <w:hyperlink r:id="rId347">
        <w:r>
          <w:rPr>
            <w:i/>
            <w:sz w:val="22"/>
          </w:rPr>
          <w:t>Los Angeles Times</w:t>
        </w:r>
      </w:hyperlink>
      <w:r>
        <w:rPr>
          <w:sz w:val="22"/>
        </w:rPr>
        <w:t>. Retrieved November 21, 2011 from </w:t>
      </w:r>
      <w:hyperlink r:id="rId348">
        <w:r>
          <w:rPr>
            <w:sz w:val="22"/>
          </w:rPr>
          <w:t>http://www.latimes.com/features/la-fo-limoncello8sep08,0,7715990.story.</w:t>
        </w:r>
      </w:hyperlink>
    </w:p>
    <w:p>
      <w:pPr>
        <w:pStyle w:val="BodyText"/>
        <w:spacing w:line="261" w:lineRule="auto" w:before="197"/>
        <w:ind w:left="1100" w:right="978" w:hanging="720"/>
        <w:jc w:val="both"/>
      </w:pPr>
      <w:r>
        <w:rPr/>
        <w:t>Lysenko, E. S., Ratner, A. J., Nelson, A. L., and Weiser, J. N. (2005). The role of innate immune responses in the outcome of interspecies competition for colonization of mucosal surfaces. </w:t>
      </w:r>
      <w:r>
        <w:rPr>
          <w:i/>
        </w:rPr>
        <w:t>PLoS Pathogens</w:t>
      </w:r>
      <w:r>
        <w:rPr/>
        <w:t>, 1 (1): 51.</w:t>
      </w:r>
    </w:p>
    <w:p>
      <w:pPr>
        <w:spacing w:line="261" w:lineRule="auto" w:before="193"/>
        <w:ind w:left="1100" w:right="976" w:hanging="720"/>
        <w:jc w:val="both"/>
        <w:rPr>
          <w:sz w:val="22"/>
        </w:rPr>
      </w:pPr>
      <w:r>
        <w:rPr>
          <w:sz w:val="22"/>
        </w:rPr>
        <w:t>Mandal, S (2011). Honey: its medicinal property and antibacterial activity. </w:t>
      </w:r>
      <w:r>
        <w:rPr>
          <w:i/>
          <w:sz w:val="22"/>
        </w:rPr>
        <w:t>Asian Pacific Journal of Tropical Biomedicine, </w:t>
      </w:r>
      <w:r>
        <w:rPr>
          <w:sz w:val="22"/>
        </w:rPr>
        <w:t>1 (2): 154-160.</w:t>
      </w:r>
    </w:p>
    <w:p>
      <w:pPr>
        <w:pStyle w:val="BodyText"/>
        <w:spacing w:line="259" w:lineRule="auto" w:before="195"/>
        <w:ind w:left="1100" w:right="974" w:hanging="720"/>
        <w:jc w:val="both"/>
      </w:pPr>
      <w:r>
        <w:rPr/>
        <w:t>Mandal, S., Pal, N. K., Chowdhury, I. H., and Deb_Mandal, M. (2009). Antibacterial activity of ciprofloxacin and trimethoprim, alone and in combination, against </w:t>
      </w:r>
      <w:r>
        <w:rPr>
          <w:i/>
        </w:rPr>
        <w:t>Vibrio cholerae </w:t>
      </w:r>
      <w:r>
        <w:rPr/>
        <w:t>O1</w:t>
      </w:r>
      <w:r>
        <w:rPr>
          <w:spacing w:val="40"/>
        </w:rPr>
        <w:t> </w:t>
      </w:r>
      <w:r>
        <w:rPr/>
        <w:t>biotype El Tor serotype Ogawa isolates. </w:t>
      </w:r>
      <w:r>
        <w:rPr>
          <w:i/>
        </w:rPr>
        <w:t>Polish Journal of Microbiology</w:t>
      </w:r>
      <w:r>
        <w:rPr/>
        <w:t>; 58: 57-60.</w:t>
      </w:r>
    </w:p>
    <w:p>
      <w:pPr>
        <w:spacing w:line="261" w:lineRule="auto" w:before="198"/>
        <w:ind w:left="1100" w:right="980" w:hanging="720"/>
        <w:jc w:val="both"/>
        <w:rPr>
          <w:sz w:val="22"/>
        </w:rPr>
      </w:pPr>
      <w:r>
        <w:rPr>
          <w:sz w:val="22"/>
        </w:rPr>
        <w:t>Marin, H. K. (2000). Inadequate antimicrobial treatment and an important determinant outcome for hospitalized patients. </w:t>
      </w:r>
      <w:r>
        <w:rPr>
          <w:i/>
          <w:sz w:val="22"/>
        </w:rPr>
        <w:t>Journal of Clinical Infectious Diseases</w:t>
      </w:r>
      <w:r>
        <w:rPr>
          <w:sz w:val="22"/>
        </w:rPr>
        <w:t>, 31 (4): 5131-5138.</w:t>
      </w:r>
    </w:p>
    <w:p>
      <w:pPr>
        <w:pStyle w:val="BodyText"/>
        <w:spacing w:line="261" w:lineRule="auto" w:before="194"/>
        <w:ind w:left="1100" w:right="976" w:hanging="720"/>
        <w:jc w:val="both"/>
      </w:pPr>
      <w:r>
        <w:rPr/>
        <w:t>Mathew, A. G., Cissell, R., and Liamthong, S. (2007). Antibiotic resistance in bacteria associated with food</w:t>
      </w:r>
      <w:r>
        <w:rPr>
          <w:spacing w:val="-1"/>
        </w:rPr>
        <w:t> </w:t>
      </w:r>
      <w:r>
        <w:rPr/>
        <w:t>animals: a</w:t>
      </w:r>
      <w:r>
        <w:rPr>
          <w:spacing w:val="-1"/>
        </w:rPr>
        <w:t> </w:t>
      </w:r>
      <w:r>
        <w:rPr/>
        <w:t>United States perspective of</w:t>
      </w:r>
      <w:r>
        <w:rPr>
          <w:spacing w:val="-1"/>
        </w:rPr>
        <w:t> </w:t>
      </w:r>
      <w:r>
        <w:rPr/>
        <w:t>livestock</w:t>
      </w:r>
      <w:r>
        <w:rPr>
          <w:spacing w:val="-2"/>
        </w:rPr>
        <w:t> </w:t>
      </w:r>
      <w:r>
        <w:rPr/>
        <w:t>production. </w:t>
      </w:r>
      <w:r>
        <w:rPr>
          <w:i/>
        </w:rPr>
        <w:t>Foodborne</w:t>
      </w:r>
      <w:r>
        <w:rPr>
          <w:i/>
          <w:spacing w:val="-1"/>
        </w:rPr>
        <w:t> </w:t>
      </w:r>
      <w:r>
        <w:rPr>
          <w:i/>
        </w:rPr>
        <w:t>Pathogens and Disease, </w:t>
      </w:r>
      <w:r>
        <w:rPr/>
        <w:t>4 (2): 115–33.</w:t>
      </w:r>
    </w:p>
    <w:p>
      <w:pPr>
        <w:spacing w:line="259" w:lineRule="auto" w:before="192"/>
        <w:ind w:left="1100" w:right="976" w:hanging="720"/>
        <w:jc w:val="both"/>
        <w:rPr>
          <w:sz w:val="22"/>
        </w:rPr>
      </w:pPr>
      <w:r>
        <w:rPr>
          <w:sz w:val="22"/>
        </w:rPr>
        <w:t>Mathur, M. D., Vidhani, S., Mehndiratta, P. L., Bhalla, P., Reddy, B. S. N. (2003). "Bacteriophage therapy: an alternative to conventional antibiotics". </w:t>
      </w:r>
      <w:r>
        <w:rPr>
          <w:i/>
          <w:sz w:val="22"/>
        </w:rPr>
        <w:t>Journal of the Association of Physicians in India</w:t>
      </w:r>
      <w:r>
        <w:rPr>
          <w:sz w:val="22"/>
        </w:rPr>
        <w:t>, 51 (8): 593–6.</w:t>
      </w:r>
    </w:p>
    <w:p>
      <w:pPr>
        <w:pStyle w:val="BodyText"/>
        <w:spacing w:line="259" w:lineRule="auto" w:before="201"/>
        <w:ind w:left="1100" w:right="971" w:hanging="720"/>
        <w:jc w:val="both"/>
      </w:pPr>
      <w:r>
        <w:rPr/>
        <w:t>Matthews,</w:t>
      </w:r>
      <w:r>
        <w:rPr>
          <w:spacing w:val="-3"/>
        </w:rPr>
        <w:t> </w:t>
      </w:r>
      <w:r>
        <w:rPr/>
        <w:t>K.</w:t>
      </w:r>
      <w:r>
        <w:rPr>
          <w:spacing w:val="-1"/>
        </w:rPr>
        <w:t> </w:t>
      </w:r>
      <w:r>
        <w:rPr/>
        <w:t>R.,</w:t>
      </w:r>
      <w:r>
        <w:rPr>
          <w:spacing w:val="-1"/>
        </w:rPr>
        <w:t> </w:t>
      </w:r>
      <w:r>
        <w:rPr/>
        <w:t>Roberson,</w:t>
      </w:r>
      <w:r>
        <w:rPr>
          <w:spacing w:val="-4"/>
        </w:rPr>
        <w:t> </w:t>
      </w:r>
      <w:r>
        <w:rPr/>
        <w:t>J.,</w:t>
      </w:r>
      <w:r>
        <w:rPr>
          <w:spacing w:val="-1"/>
        </w:rPr>
        <w:t> </w:t>
      </w:r>
      <w:r>
        <w:rPr/>
        <w:t>Gillespie,</w:t>
      </w:r>
      <w:r>
        <w:rPr>
          <w:spacing w:val="-1"/>
        </w:rPr>
        <w:t> </w:t>
      </w:r>
      <w:r>
        <w:rPr/>
        <w:t>B.</w:t>
      </w:r>
      <w:r>
        <w:rPr>
          <w:spacing w:val="-4"/>
        </w:rPr>
        <w:t> </w:t>
      </w:r>
      <w:r>
        <w:rPr/>
        <w:t>E.,</w:t>
      </w:r>
      <w:r>
        <w:rPr>
          <w:spacing w:val="-1"/>
        </w:rPr>
        <w:t> </w:t>
      </w:r>
      <w:r>
        <w:rPr/>
        <w:t>Luther,</w:t>
      </w:r>
      <w:r>
        <w:rPr>
          <w:spacing w:val="-3"/>
        </w:rPr>
        <w:t> </w:t>
      </w:r>
      <w:r>
        <w:rPr/>
        <w:t>D.</w:t>
      </w:r>
      <w:r>
        <w:rPr>
          <w:spacing w:val="-1"/>
        </w:rPr>
        <w:t> </w:t>
      </w:r>
      <w:r>
        <w:rPr/>
        <w:t>A,</w:t>
      </w:r>
      <w:r>
        <w:rPr>
          <w:spacing w:val="-1"/>
        </w:rPr>
        <w:t> </w:t>
      </w:r>
      <w:r>
        <w:rPr/>
        <w:t>and</w:t>
      </w:r>
      <w:r>
        <w:rPr>
          <w:spacing w:val="-2"/>
        </w:rPr>
        <w:t> </w:t>
      </w:r>
      <w:r>
        <w:rPr/>
        <w:t>Oliver,</w:t>
      </w:r>
      <w:r>
        <w:rPr>
          <w:spacing w:val="-1"/>
        </w:rPr>
        <w:t> </w:t>
      </w:r>
      <w:r>
        <w:rPr/>
        <w:t>S.</w:t>
      </w:r>
      <w:r>
        <w:rPr>
          <w:spacing w:val="-4"/>
        </w:rPr>
        <w:t> </w:t>
      </w:r>
      <w:r>
        <w:rPr/>
        <w:t>P.</w:t>
      </w:r>
      <w:r>
        <w:rPr>
          <w:spacing w:val="-1"/>
        </w:rPr>
        <w:t> </w:t>
      </w:r>
      <w:r>
        <w:rPr/>
        <w:t>(1997). </w:t>
      </w:r>
      <w:hyperlink r:id="rId349">
        <w:r>
          <w:rPr/>
          <w:t>"Identification</w:t>
        </w:r>
        <w:r>
          <w:rPr>
            <w:spacing w:val="-2"/>
          </w:rPr>
          <w:t> </w:t>
        </w:r>
        <w:r>
          <w:rPr/>
          <w:t>and</w:t>
        </w:r>
      </w:hyperlink>
      <w:r>
        <w:rPr/>
        <w:t> </w:t>
      </w:r>
      <w:hyperlink r:id="rId349">
        <w:r>
          <w:rPr/>
          <w:t>Differentiation of Coagulase-Negative Staphylococcus aureus by Polymerase Chain</w:t>
        </w:r>
      </w:hyperlink>
      <w:r>
        <w:rPr>
          <w:spacing w:val="40"/>
        </w:rPr>
        <w:t> </w:t>
      </w:r>
      <w:hyperlink r:id="rId349">
        <w:r>
          <w:rPr/>
          <w:t>Reaction".</w:t>
        </w:r>
      </w:hyperlink>
      <w:r>
        <w:rPr/>
        <w:t> </w:t>
      </w:r>
      <w:r>
        <w:rPr>
          <w:i/>
        </w:rPr>
        <w:t>Journal of Food Protections, </w:t>
      </w:r>
      <w:r>
        <w:rPr/>
        <w:t>60 (6): 686–8.</w:t>
      </w:r>
    </w:p>
    <w:p>
      <w:pPr>
        <w:spacing w:line="261" w:lineRule="auto" w:before="198"/>
        <w:ind w:left="1100" w:right="974" w:hanging="720"/>
        <w:jc w:val="both"/>
        <w:rPr>
          <w:sz w:val="22"/>
        </w:rPr>
      </w:pPr>
      <w:r>
        <w:rPr>
          <w:sz w:val="22"/>
        </w:rPr>
        <w:t>Mavric, E., Wittmann, S., Barth, G., and Henle, T. (2008). Identification and quantification of methylglyoxal as the dominant antibacterial constituent of manuka (</w:t>
      </w:r>
      <w:r>
        <w:rPr>
          <w:i/>
          <w:sz w:val="22"/>
        </w:rPr>
        <w:t>Leptospermum scoparium</w:t>
      </w:r>
      <w:r>
        <w:rPr>
          <w:sz w:val="22"/>
        </w:rPr>
        <w:t>)</w:t>
      </w:r>
      <w:r>
        <w:rPr>
          <w:spacing w:val="-2"/>
          <w:sz w:val="22"/>
        </w:rPr>
        <w:t> </w:t>
      </w:r>
      <w:r>
        <w:rPr>
          <w:sz w:val="22"/>
        </w:rPr>
        <w:t>honeys</w:t>
      </w:r>
      <w:r>
        <w:rPr>
          <w:spacing w:val="-2"/>
          <w:sz w:val="22"/>
        </w:rPr>
        <w:t> </w:t>
      </w:r>
      <w:r>
        <w:rPr>
          <w:sz w:val="22"/>
        </w:rPr>
        <w:t>from</w:t>
      </w:r>
      <w:r>
        <w:rPr>
          <w:spacing w:val="-4"/>
          <w:sz w:val="22"/>
        </w:rPr>
        <w:t> </w:t>
      </w:r>
      <w:r>
        <w:rPr>
          <w:sz w:val="22"/>
        </w:rPr>
        <w:t>New</w:t>
      </w:r>
      <w:r>
        <w:rPr>
          <w:spacing w:val="-2"/>
          <w:sz w:val="22"/>
        </w:rPr>
        <w:t> </w:t>
      </w:r>
      <w:r>
        <w:rPr>
          <w:sz w:val="22"/>
        </w:rPr>
        <w:t>Zealand. </w:t>
      </w:r>
      <w:r>
        <w:rPr>
          <w:i/>
          <w:sz w:val="22"/>
        </w:rPr>
        <w:t>Molecular</w:t>
      </w:r>
      <w:r>
        <w:rPr>
          <w:i/>
          <w:spacing w:val="-4"/>
          <w:sz w:val="22"/>
        </w:rPr>
        <w:t> </w:t>
      </w:r>
      <w:r>
        <w:rPr>
          <w:i/>
          <w:sz w:val="22"/>
        </w:rPr>
        <w:t>Nutrition</w:t>
      </w:r>
      <w:r>
        <w:rPr>
          <w:i/>
          <w:spacing w:val="-3"/>
          <w:sz w:val="22"/>
        </w:rPr>
        <w:t> </w:t>
      </w:r>
      <w:r>
        <w:rPr>
          <w:i/>
          <w:sz w:val="22"/>
        </w:rPr>
        <w:t>and</w:t>
      </w:r>
      <w:r>
        <w:rPr>
          <w:i/>
          <w:spacing w:val="-3"/>
          <w:sz w:val="22"/>
        </w:rPr>
        <w:t> </w:t>
      </w:r>
      <w:r>
        <w:rPr>
          <w:i/>
          <w:sz w:val="22"/>
        </w:rPr>
        <w:t>Foods</w:t>
      </w:r>
      <w:r>
        <w:rPr>
          <w:i/>
          <w:spacing w:val="-1"/>
          <w:sz w:val="22"/>
        </w:rPr>
        <w:t> </w:t>
      </w:r>
      <w:r>
        <w:rPr>
          <w:i/>
          <w:sz w:val="22"/>
        </w:rPr>
        <w:t>Research,</w:t>
      </w:r>
      <w:r>
        <w:rPr>
          <w:i/>
          <w:spacing w:val="-5"/>
          <w:sz w:val="22"/>
        </w:rPr>
        <w:t> </w:t>
      </w:r>
      <w:r>
        <w:rPr>
          <w:sz w:val="22"/>
        </w:rPr>
        <w:t>52:</w:t>
      </w:r>
      <w:r>
        <w:rPr>
          <w:spacing w:val="-1"/>
          <w:sz w:val="22"/>
        </w:rPr>
        <w:t> </w:t>
      </w:r>
      <w:r>
        <w:rPr>
          <w:sz w:val="22"/>
        </w:rPr>
        <w:t>483-489.</w:t>
      </w:r>
    </w:p>
    <w:p>
      <w:pPr>
        <w:pStyle w:val="BodyText"/>
        <w:spacing w:line="261" w:lineRule="auto" w:before="192"/>
        <w:ind w:left="1100" w:right="973" w:hanging="720"/>
        <w:jc w:val="both"/>
      </w:pPr>
      <w:r>
        <w:rPr/>
        <w:t>McCarthy J. (1995). The Antibacterial Effects of Honey: medical fact of fiction. </w:t>
      </w:r>
      <w:r>
        <w:rPr>
          <w:i/>
        </w:rPr>
        <w:t>American Bee Journal</w:t>
      </w:r>
      <w:r>
        <w:rPr/>
        <w:t>, 135: 341-342.</w:t>
      </w:r>
    </w:p>
    <w:p>
      <w:pPr>
        <w:pStyle w:val="BodyText"/>
        <w:spacing w:line="259" w:lineRule="auto" w:before="195"/>
        <w:ind w:left="1100" w:right="983" w:hanging="720"/>
        <w:jc w:val="both"/>
      </w:pPr>
      <w:r>
        <w:rPr/>
        <w:t>McCormack, J., and Allan, G. M. (2012). "A prescription for improving antibiotic prescribing in primary care". </w:t>
      </w:r>
      <w:r>
        <w:rPr>
          <w:i/>
        </w:rPr>
        <w:t>British Medical Journal, </w:t>
      </w:r>
      <w:r>
        <w:rPr/>
        <w:t>344: 7955.</w:t>
      </w:r>
    </w:p>
    <w:p>
      <w:pPr>
        <w:spacing w:line="261" w:lineRule="auto" w:before="198"/>
        <w:ind w:left="1100" w:right="973" w:hanging="720"/>
        <w:jc w:val="both"/>
        <w:rPr>
          <w:sz w:val="22"/>
        </w:rPr>
      </w:pPr>
      <w:hyperlink r:id="rId350">
        <w:r>
          <w:rPr>
            <w:sz w:val="22"/>
          </w:rPr>
          <w:t>McVernon, J., Howard, A. J., Slack, M. P.,</w:t>
        </w:r>
      </w:hyperlink>
      <w:r>
        <w:rPr>
          <w:sz w:val="22"/>
        </w:rPr>
        <w:t> and Ramsay, M. E. (2004). Long-term impact of vaccination on </w:t>
      </w:r>
      <w:r>
        <w:rPr>
          <w:i/>
          <w:sz w:val="22"/>
        </w:rPr>
        <w:t>Haemophilus influenzae </w:t>
      </w:r>
      <w:r>
        <w:rPr>
          <w:sz w:val="22"/>
        </w:rPr>
        <w:t>type b (Hib) carriage in the United Kingdom. </w:t>
      </w:r>
      <w:r>
        <w:rPr>
          <w:i/>
          <w:sz w:val="22"/>
        </w:rPr>
        <w:t>Epidemiology of Infections</w:t>
      </w:r>
      <w:r>
        <w:rPr>
          <w:sz w:val="22"/>
        </w:rPr>
        <w:t>; 132 (4): 765-7.</w:t>
      </w:r>
    </w:p>
    <w:p>
      <w:pPr>
        <w:pStyle w:val="BodyText"/>
        <w:spacing w:line="261" w:lineRule="auto" w:before="192"/>
        <w:ind w:left="1100" w:right="978" w:hanging="720"/>
        <w:jc w:val="both"/>
      </w:pPr>
      <w:r>
        <w:rPr/>
        <w:t>Mika,</w:t>
      </w:r>
      <w:r>
        <w:rPr>
          <w:spacing w:val="-1"/>
        </w:rPr>
        <w:t> </w:t>
      </w:r>
      <w:r>
        <w:rPr/>
        <w:t>J.</w:t>
      </w:r>
      <w:r>
        <w:rPr>
          <w:spacing w:val="-4"/>
        </w:rPr>
        <w:t> </w:t>
      </w:r>
      <w:r>
        <w:rPr/>
        <w:t>M.,</w:t>
      </w:r>
      <w:r>
        <w:rPr>
          <w:spacing w:val="-1"/>
        </w:rPr>
        <w:t> </w:t>
      </w:r>
      <w:r>
        <w:rPr/>
        <w:t>Tuomo,</w:t>
      </w:r>
      <w:r>
        <w:rPr>
          <w:spacing w:val="-3"/>
        </w:rPr>
        <w:t> </w:t>
      </w:r>
      <w:r>
        <w:rPr/>
        <w:t>P.,</w:t>
      </w:r>
      <w:r>
        <w:rPr>
          <w:spacing w:val="-4"/>
        </w:rPr>
        <w:t> </w:t>
      </w:r>
      <w:r>
        <w:rPr/>
        <w:t>Olli,</w:t>
      </w:r>
      <w:r>
        <w:rPr>
          <w:spacing w:val="-4"/>
        </w:rPr>
        <w:t> </w:t>
      </w:r>
      <w:r>
        <w:rPr/>
        <w:t>R.,</w:t>
      </w:r>
      <w:r>
        <w:rPr>
          <w:spacing w:val="-1"/>
        </w:rPr>
        <w:t> </w:t>
      </w:r>
      <w:r>
        <w:rPr/>
        <w:t>Maija,</w:t>
      </w:r>
      <w:r>
        <w:rPr>
          <w:spacing w:val="-1"/>
        </w:rPr>
        <w:t> </w:t>
      </w:r>
      <w:r>
        <w:rPr/>
        <w:t>L.,</w:t>
      </w:r>
      <w:r>
        <w:rPr>
          <w:spacing w:val="-4"/>
        </w:rPr>
        <w:t> </w:t>
      </w:r>
      <w:r>
        <w:rPr/>
        <w:t>Pekka,</w:t>
      </w:r>
      <w:r>
        <w:rPr>
          <w:spacing w:val="-1"/>
        </w:rPr>
        <w:t> </w:t>
      </w:r>
      <w:r>
        <w:rPr/>
        <w:t>S.,</w:t>
      </w:r>
      <w:r>
        <w:rPr>
          <w:spacing w:val="-4"/>
        </w:rPr>
        <w:t> </w:t>
      </w:r>
      <w:r>
        <w:rPr/>
        <w:t>Marko,</w:t>
      </w:r>
      <w:r>
        <w:rPr>
          <w:spacing w:val="-3"/>
        </w:rPr>
        <w:t> </w:t>
      </w:r>
      <w:r>
        <w:rPr/>
        <w:t>K.,</w:t>
      </w:r>
      <w:r>
        <w:rPr>
          <w:spacing w:val="-3"/>
        </w:rPr>
        <w:t> </w:t>
      </w:r>
      <w:r>
        <w:rPr/>
        <w:t>… Pertti,</w:t>
      </w:r>
      <w:r>
        <w:rPr>
          <w:spacing w:val="-4"/>
        </w:rPr>
        <w:t> </w:t>
      </w:r>
      <w:r>
        <w:rPr/>
        <w:t>A.</w:t>
      </w:r>
      <w:r>
        <w:rPr>
          <w:spacing w:val="-1"/>
        </w:rPr>
        <w:t> </w:t>
      </w:r>
      <w:r>
        <w:rPr/>
        <w:t>(1998).</w:t>
      </w:r>
      <w:r>
        <w:rPr>
          <w:spacing w:val="-1"/>
        </w:rPr>
        <w:t> </w:t>
      </w:r>
      <w:r>
        <w:rPr/>
        <w:t>Viruses and</w:t>
      </w:r>
      <w:r>
        <w:rPr>
          <w:spacing w:val="-2"/>
        </w:rPr>
        <w:t> </w:t>
      </w:r>
      <w:r>
        <w:rPr/>
        <w:t>Bacteria in the Etiology of the Common Cold. </w:t>
      </w:r>
      <w:r>
        <w:rPr>
          <w:i/>
        </w:rPr>
        <w:t>Journal of Clinical Microbiology</w:t>
      </w:r>
      <w:r>
        <w:rPr/>
        <w:t>, 36 (2): 539-542.</w:t>
      </w:r>
    </w:p>
    <w:p>
      <w:pPr>
        <w:spacing w:line="261" w:lineRule="auto" w:before="195"/>
        <w:ind w:left="1100" w:right="975" w:hanging="720"/>
        <w:jc w:val="both"/>
        <w:rPr>
          <w:sz w:val="22"/>
        </w:rPr>
      </w:pPr>
      <w:r>
        <w:rPr>
          <w:sz w:val="22"/>
        </w:rPr>
        <w:t>Molan, P. C. (1992) “Honey for the treatment of infections”. </w:t>
      </w:r>
      <w:r>
        <w:rPr>
          <w:i/>
          <w:sz w:val="22"/>
        </w:rPr>
        <w:t>The New Zealand Beekeeper </w:t>
      </w:r>
      <w:r>
        <w:rPr>
          <w:sz w:val="22"/>
        </w:rPr>
        <w:t>(Waikato Honey Research Unit), 216: 19-20.</w:t>
      </w:r>
    </w:p>
    <w:p>
      <w:pPr>
        <w:spacing w:after="0" w:line="261" w:lineRule="auto"/>
        <w:jc w:val="both"/>
        <w:rPr>
          <w:sz w:val="22"/>
        </w:rPr>
        <w:sectPr>
          <w:pgSz w:w="11910" w:h="16840"/>
          <w:pgMar w:header="0" w:footer="1055" w:top="1380" w:bottom="1240" w:left="1060" w:right="460"/>
        </w:sectPr>
      </w:pPr>
    </w:p>
    <w:p>
      <w:pPr>
        <w:pStyle w:val="BodyText"/>
        <w:spacing w:line="261" w:lineRule="auto" w:before="38"/>
        <w:ind w:left="1100" w:right="975" w:hanging="720"/>
        <w:jc w:val="both"/>
      </w:pPr>
      <w:r>
        <w:rPr/>
        <w:t>Molan, P. C. (1992a). The Antibacterial Activity of Honey-2. Variation in potency of the antibacterial activity. </w:t>
      </w:r>
      <w:r>
        <w:rPr>
          <w:i/>
        </w:rPr>
        <w:t>Bee World</w:t>
      </w:r>
      <w:r>
        <w:rPr/>
        <w:t>, 73: 59-76.</w:t>
      </w:r>
    </w:p>
    <w:p>
      <w:pPr>
        <w:pStyle w:val="BodyText"/>
        <w:spacing w:before="195"/>
        <w:ind w:left="380"/>
      </w:pPr>
      <w:r>
        <w:rPr/>
        <w:t>Molan,</w:t>
      </w:r>
      <w:r>
        <w:rPr>
          <w:spacing w:val="2"/>
        </w:rPr>
        <w:t> </w:t>
      </w:r>
      <w:r>
        <w:rPr/>
        <w:t>P.</w:t>
      </w:r>
      <w:r>
        <w:rPr>
          <w:spacing w:val="6"/>
        </w:rPr>
        <w:t> </w:t>
      </w:r>
      <w:r>
        <w:rPr/>
        <w:t>C.</w:t>
      </w:r>
      <w:r>
        <w:rPr>
          <w:spacing w:val="4"/>
        </w:rPr>
        <w:t> </w:t>
      </w:r>
      <w:r>
        <w:rPr/>
        <w:t>(1992b).</w:t>
      </w:r>
      <w:r>
        <w:rPr>
          <w:spacing w:val="6"/>
        </w:rPr>
        <w:t> </w:t>
      </w:r>
      <w:r>
        <w:rPr/>
        <w:t>The</w:t>
      </w:r>
      <w:r>
        <w:rPr>
          <w:spacing w:val="5"/>
        </w:rPr>
        <w:t> </w:t>
      </w:r>
      <w:r>
        <w:rPr/>
        <w:t>Antibadterial</w:t>
      </w:r>
      <w:r>
        <w:rPr>
          <w:spacing w:val="6"/>
        </w:rPr>
        <w:t> </w:t>
      </w:r>
      <w:r>
        <w:rPr/>
        <w:t>Activity</w:t>
      </w:r>
      <w:r>
        <w:rPr>
          <w:spacing w:val="6"/>
        </w:rPr>
        <w:t> </w:t>
      </w:r>
      <w:r>
        <w:rPr/>
        <w:t>of</w:t>
      </w:r>
      <w:r>
        <w:rPr>
          <w:spacing w:val="6"/>
        </w:rPr>
        <w:t> </w:t>
      </w:r>
      <w:r>
        <w:rPr/>
        <w:t>Honey-1.</w:t>
      </w:r>
      <w:r>
        <w:rPr>
          <w:spacing w:val="4"/>
        </w:rPr>
        <w:t> </w:t>
      </w:r>
      <w:r>
        <w:rPr/>
        <w:t>The</w:t>
      </w:r>
      <w:r>
        <w:rPr>
          <w:spacing w:val="7"/>
        </w:rPr>
        <w:t> </w:t>
      </w:r>
      <w:r>
        <w:rPr/>
        <w:t>Nature</w:t>
      </w:r>
      <w:r>
        <w:rPr>
          <w:spacing w:val="5"/>
        </w:rPr>
        <w:t> </w:t>
      </w:r>
      <w:r>
        <w:rPr/>
        <w:t>of</w:t>
      </w:r>
      <w:r>
        <w:rPr>
          <w:spacing w:val="6"/>
        </w:rPr>
        <w:t> </w:t>
      </w:r>
      <w:r>
        <w:rPr/>
        <w:t>the</w:t>
      </w:r>
      <w:r>
        <w:rPr>
          <w:spacing w:val="4"/>
        </w:rPr>
        <w:t> </w:t>
      </w:r>
      <w:r>
        <w:rPr/>
        <w:t>Antibacterial</w:t>
      </w:r>
      <w:r>
        <w:rPr>
          <w:spacing w:val="7"/>
        </w:rPr>
        <w:t> </w:t>
      </w:r>
      <w:r>
        <w:rPr>
          <w:spacing w:val="-2"/>
        </w:rPr>
        <w:t>Activity.</w:t>
      </w:r>
    </w:p>
    <w:p>
      <w:pPr>
        <w:spacing w:before="24"/>
        <w:ind w:left="1100" w:right="0" w:firstLine="0"/>
        <w:jc w:val="left"/>
        <w:rPr>
          <w:sz w:val="22"/>
        </w:rPr>
      </w:pPr>
      <w:r>
        <w:rPr>
          <w:i/>
          <w:sz w:val="22"/>
        </w:rPr>
        <w:t>Bee</w:t>
      </w:r>
      <w:r>
        <w:rPr>
          <w:i/>
          <w:spacing w:val="-5"/>
          <w:sz w:val="22"/>
        </w:rPr>
        <w:t> </w:t>
      </w:r>
      <w:r>
        <w:rPr>
          <w:i/>
          <w:sz w:val="22"/>
        </w:rPr>
        <w:t>World</w:t>
      </w:r>
      <w:r>
        <w:rPr>
          <w:sz w:val="22"/>
        </w:rPr>
        <w:t>,</w:t>
      </w:r>
      <w:r>
        <w:rPr>
          <w:spacing w:val="-5"/>
          <w:sz w:val="22"/>
        </w:rPr>
        <w:t> </w:t>
      </w:r>
      <w:r>
        <w:rPr>
          <w:sz w:val="22"/>
        </w:rPr>
        <w:t>73:</w:t>
      </w:r>
      <w:r>
        <w:rPr>
          <w:spacing w:val="-2"/>
          <w:sz w:val="22"/>
        </w:rPr>
        <w:t> </w:t>
      </w:r>
      <w:r>
        <w:rPr>
          <w:sz w:val="22"/>
        </w:rPr>
        <w:t>5-</w:t>
      </w:r>
      <w:r>
        <w:rPr>
          <w:spacing w:val="-5"/>
          <w:sz w:val="22"/>
        </w:rPr>
        <w:t>28.</w:t>
      </w:r>
    </w:p>
    <w:p>
      <w:pPr>
        <w:spacing w:line="259" w:lineRule="auto" w:before="219"/>
        <w:ind w:left="1100" w:right="973" w:hanging="720"/>
        <w:jc w:val="both"/>
        <w:rPr>
          <w:sz w:val="22"/>
        </w:rPr>
      </w:pPr>
      <w:r>
        <w:rPr>
          <w:sz w:val="22"/>
        </w:rPr>
        <w:t>Morita, Y., Kodama, K., Shiota, S., Mine, T., Kataoka, A., Mizushima, T., and Tsuchiya, T. (1998).</w:t>
      </w:r>
      <w:r>
        <w:rPr>
          <w:spacing w:val="40"/>
          <w:sz w:val="22"/>
        </w:rPr>
        <w:t> </w:t>
      </w:r>
      <w:hyperlink r:id="rId351">
        <w:r>
          <w:rPr>
            <w:sz w:val="22"/>
          </w:rPr>
          <w:t>NorM, a Putative Multidrug Efflux Protein, of </w:t>
        </w:r>
        <w:r>
          <w:rPr>
            <w:i/>
            <w:sz w:val="22"/>
          </w:rPr>
          <w:t>Vibrio parahaemolyticus </w:t>
        </w:r>
        <w:r>
          <w:rPr>
            <w:sz w:val="22"/>
          </w:rPr>
          <w:t>and Its Homolog in</w:t>
        </w:r>
      </w:hyperlink>
      <w:r>
        <w:rPr>
          <w:sz w:val="22"/>
        </w:rPr>
        <w:t> </w:t>
      </w:r>
      <w:hyperlink r:id="rId351">
        <w:r>
          <w:rPr>
            <w:i/>
            <w:sz w:val="22"/>
          </w:rPr>
          <w:t>Escherichia coli</w:t>
        </w:r>
        <w:r>
          <w:rPr>
            <w:sz w:val="22"/>
          </w:rPr>
          <w:t>.</w:t>
        </w:r>
      </w:hyperlink>
      <w:r>
        <w:rPr>
          <w:sz w:val="22"/>
        </w:rPr>
        <w:t> </w:t>
      </w:r>
      <w:r>
        <w:rPr>
          <w:i/>
          <w:sz w:val="22"/>
        </w:rPr>
        <w:t>Antimicrobial Agents and Chemotherapy, </w:t>
      </w:r>
      <w:r>
        <w:rPr>
          <w:sz w:val="22"/>
        </w:rPr>
        <w:t>42 (7): 1778–82.</w:t>
      </w:r>
    </w:p>
    <w:p>
      <w:pPr>
        <w:spacing w:line="261" w:lineRule="auto" w:before="198"/>
        <w:ind w:left="1100" w:right="975" w:hanging="720"/>
        <w:jc w:val="both"/>
        <w:rPr>
          <w:sz w:val="22"/>
        </w:rPr>
      </w:pPr>
      <w:r>
        <w:rPr>
          <w:sz w:val="22"/>
        </w:rPr>
        <w:t>National Honey Board (2010). </w:t>
      </w:r>
      <w:hyperlink r:id="rId352">
        <w:r>
          <w:rPr>
            <w:i/>
            <w:sz w:val="22"/>
          </w:rPr>
          <w:t>Carbohydrates and the Sweetness of Honey</w:t>
        </w:r>
      </w:hyperlink>
      <w:r>
        <w:rPr>
          <w:sz w:val="22"/>
        </w:rPr>
        <w:t>. Retrieved July 6, 2011 from </w:t>
      </w:r>
      <w:hyperlink r:id="rId353">
        <w:r>
          <w:rPr>
            <w:sz w:val="22"/>
          </w:rPr>
          <w:t>http://161.58.48.157/foodindustry/resourceb/carbohydrates.htm.</w:t>
        </w:r>
      </w:hyperlink>
    </w:p>
    <w:p>
      <w:pPr>
        <w:spacing w:before="195"/>
        <w:ind w:left="380" w:right="0" w:firstLine="0"/>
        <w:jc w:val="left"/>
        <w:rPr>
          <w:sz w:val="22"/>
        </w:rPr>
      </w:pPr>
      <w:r>
        <w:rPr>
          <w:sz w:val="22"/>
        </w:rPr>
        <w:t>National</w:t>
      </w:r>
      <w:r>
        <w:rPr>
          <w:spacing w:val="58"/>
          <w:sz w:val="22"/>
        </w:rPr>
        <w:t> </w:t>
      </w:r>
      <w:r>
        <w:rPr>
          <w:sz w:val="22"/>
        </w:rPr>
        <w:t>Institute</w:t>
      </w:r>
      <w:r>
        <w:rPr>
          <w:spacing w:val="59"/>
          <w:sz w:val="22"/>
        </w:rPr>
        <w:t> </w:t>
      </w:r>
      <w:r>
        <w:rPr>
          <w:sz w:val="22"/>
        </w:rPr>
        <w:t>of</w:t>
      </w:r>
      <w:r>
        <w:rPr>
          <w:spacing w:val="59"/>
          <w:sz w:val="22"/>
        </w:rPr>
        <w:t> </w:t>
      </w:r>
      <w:r>
        <w:rPr>
          <w:sz w:val="22"/>
        </w:rPr>
        <w:t>Allergy</w:t>
      </w:r>
      <w:r>
        <w:rPr>
          <w:spacing w:val="61"/>
          <w:sz w:val="22"/>
        </w:rPr>
        <w:t> </w:t>
      </w:r>
      <w:r>
        <w:rPr>
          <w:sz w:val="22"/>
        </w:rPr>
        <w:t>and</w:t>
      </w:r>
      <w:r>
        <w:rPr>
          <w:spacing w:val="60"/>
          <w:sz w:val="22"/>
        </w:rPr>
        <w:t> </w:t>
      </w:r>
      <w:r>
        <w:rPr>
          <w:sz w:val="22"/>
        </w:rPr>
        <w:t>Infectious</w:t>
      </w:r>
      <w:r>
        <w:rPr>
          <w:spacing w:val="59"/>
          <w:sz w:val="22"/>
        </w:rPr>
        <w:t> </w:t>
      </w:r>
      <w:r>
        <w:rPr>
          <w:sz w:val="22"/>
        </w:rPr>
        <w:t>Diseases</w:t>
      </w:r>
      <w:r>
        <w:rPr>
          <w:spacing w:val="61"/>
          <w:sz w:val="22"/>
        </w:rPr>
        <w:t> </w:t>
      </w:r>
      <w:r>
        <w:rPr>
          <w:sz w:val="22"/>
        </w:rPr>
        <w:t>(2005).</w:t>
      </w:r>
      <w:r>
        <w:rPr>
          <w:spacing w:val="64"/>
          <w:sz w:val="22"/>
        </w:rPr>
        <w:t> </w:t>
      </w:r>
      <w:r>
        <w:rPr>
          <w:i/>
          <w:sz w:val="22"/>
        </w:rPr>
        <w:t>Group</w:t>
      </w:r>
      <w:r>
        <w:rPr>
          <w:i/>
          <w:spacing w:val="61"/>
          <w:sz w:val="22"/>
        </w:rPr>
        <w:t> </w:t>
      </w:r>
      <w:r>
        <w:rPr>
          <w:i/>
          <w:sz w:val="22"/>
        </w:rPr>
        <w:t>A</w:t>
      </w:r>
      <w:r>
        <w:rPr>
          <w:i/>
          <w:spacing w:val="57"/>
          <w:sz w:val="22"/>
        </w:rPr>
        <w:t> </w:t>
      </w:r>
      <w:r>
        <w:rPr>
          <w:i/>
          <w:sz w:val="22"/>
        </w:rPr>
        <w:t>Streptococcal</w:t>
      </w:r>
      <w:r>
        <w:rPr>
          <w:i/>
          <w:spacing w:val="61"/>
          <w:sz w:val="22"/>
        </w:rPr>
        <w:t> </w:t>
      </w:r>
      <w:r>
        <w:rPr>
          <w:i/>
          <w:spacing w:val="-2"/>
          <w:sz w:val="22"/>
        </w:rPr>
        <w:t>Infections</w:t>
      </w:r>
      <w:r>
        <w:rPr>
          <w:spacing w:val="-2"/>
          <w:sz w:val="22"/>
        </w:rPr>
        <w:t>.</w:t>
      </w:r>
    </w:p>
    <w:p>
      <w:pPr>
        <w:pStyle w:val="BodyText"/>
        <w:spacing w:before="24"/>
        <w:ind w:left="1100"/>
      </w:pPr>
      <w:r>
        <w:rPr/>
        <w:t>Retrieved</w:t>
      </w:r>
      <w:r>
        <w:rPr>
          <w:spacing w:val="-6"/>
        </w:rPr>
        <w:t> </w:t>
      </w:r>
      <w:r>
        <w:rPr/>
        <w:t>August</w:t>
      </w:r>
      <w:r>
        <w:rPr>
          <w:spacing w:val="-4"/>
        </w:rPr>
        <w:t> </w:t>
      </w:r>
      <w:r>
        <w:rPr/>
        <w:t>19,</w:t>
      </w:r>
      <w:r>
        <w:rPr>
          <w:spacing w:val="-5"/>
        </w:rPr>
        <w:t> </w:t>
      </w:r>
      <w:r>
        <w:rPr/>
        <w:t>2012</w:t>
      </w:r>
      <w:r>
        <w:rPr>
          <w:spacing w:val="-5"/>
        </w:rPr>
        <w:t> </w:t>
      </w:r>
      <w:r>
        <w:rPr/>
        <w:t>from</w:t>
      </w:r>
      <w:r>
        <w:rPr>
          <w:spacing w:val="-1"/>
        </w:rPr>
        <w:t> </w:t>
      </w:r>
      <w:hyperlink r:id="rId354">
        <w:r>
          <w:rPr>
            <w:spacing w:val="-2"/>
          </w:rPr>
          <w:t>http://www.niaid.nih.gov/factsheets/strep.htm</w:t>
        </w:r>
      </w:hyperlink>
      <w:r>
        <w:rPr>
          <w:spacing w:val="-2"/>
        </w:rPr>
        <w:t>.</w:t>
      </w:r>
    </w:p>
    <w:p>
      <w:pPr>
        <w:spacing w:line="261" w:lineRule="auto" w:before="219"/>
        <w:ind w:left="1100" w:right="977" w:hanging="720"/>
        <w:jc w:val="both"/>
        <w:rPr>
          <w:sz w:val="22"/>
        </w:rPr>
      </w:pPr>
      <w:r>
        <w:rPr>
          <w:sz w:val="22"/>
        </w:rPr>
        <w:t>Neely, A. N., and Maley, M. P. (2000). </w:t>
      </w:r>
      <w:hyperlink r:id="rId355">
        <w:r>
          <w:rPr>
            <w:sz w:val="22"/>
          </w:rPr>
          <w:t>Survival of enterococci and staphylococci on hospital fabrics</w:t>
        </w:r>
      </w:hyperlink>
      <w:r>
        <w:rPr>
          <w:sz w:val="22"/>
        </w:rPr>
        <w:t> </w:t>
      </w:r>
      <w:hyperlink r:id="rId355">
        <w:r>
          <w:rPr>
            <w:sz w:val="22"/>
          </w:rPr>
          <w:t>and plastic.</w:t>
        </w:r>
      </w:hyperlink>
      <w:r>
        <w:rPr>
          <w:sz w:val="22"/>
        </w:rPr>
        <w:t> </w:t>
      </w:r>
      <w:r>
        <w:rPr>
          <w:i/>
          <w:sz w:val="22"/>
        </w:rPr>
        <w:t>Journal of Clinical Microbiology, </w:t>
      </w:r>
      <w:r>
        <w:rPr>
          <w:sz w:val="22"/>
        </w:rPr>
        <w:t>38 (2): 724–6.</w:t>
      </w:r>
    </w:p>
    <w:p>
      <w:pPr>
        <w:pStyle w:val="BodyText"/>
        <w:spacing w:line="261" w:lineRule="auto" w:before="195"/>
        <w:ind w:left="1100" w:right="977" w:hanging="720"/>
        <w:jc w:val="both"/>
      </w:pPr>
      <w:r>
        <w:rPr/>
        <w:t>Nemours Foundation (2005). </w:t>
      </w:r>
      <w:r>
        <w:rPr>
          <w:i/>
        </w:rPr>
        <w:t>Infections: Toxic Shock Syndrome</w:t>
      </w:r>
      <w:r>
        <w:rPr/>
        <w:t>. Retrieved June 12, 2012 from </w:t>
      </w:r>
      <w:hyperlink r:id="rId356">
        <w:r>
          <w:rPr>
            <w:spacing w:val="-2"/>
          </w:rPr>
          <w:t>http://www.kidshealth.org/parent/infections/bacterial_viral/toxic_shock.html</w:t>
        </w:r>
      </w:hyperlink>
      <w:r>
        <w:rPr>
          <w:spacing w:val="-2"/>
        </w:rPr>
        <w:t>.</w:t>
      </w:r>
    </w:p>
    <w:p>
      <w:pPr>
        <w:pStyle w:val="BodyText"/>
        <w:spacing w:line="259" w:lineRule="auto" w:before="194"/>
        <w:ind w:left="1100" w:right="974" w:hanging="720"/>
        <w:jc w:val="both"/>
      </w:pPr>
      <w:hyperlink r:id="rId357">
        <w:r>
          <w:rPr/>
          <w:t>Nicole, A. C., Roye-Green, K., and Smikle, M. (2010). Molecular epiemiology of multidrug resistant</w:t>
        </w:r>
      </w:hyperlink>
      <w:r>
        <w:rPr/>
        <w:t> </w:t>
      </w:r>
      <w:hyperlink r:id="rId357">
        <w:r>
          <w:rPr/>
          <w:t>extended spectrum beta-lactamase producing </w:t>
        </w:r>
        <w:r>
          <w:rPr>
            <w:i/>
          </w:rPr>
          <w:t>Klebsiella pneumoniae </w:t>
        </w:r>
        <w:r>
          <w:rPr/>
          <w:t>at a Jamaican hospital,</w:t>
        </w:r>
      </w:hyperlink>
      <w:r>
        <w:rPr/>
        <w:t> </w:t>
      </w:r>
      <w:hyperlink r:id="rId357">
        <w:r>
          <w:rPr/>
          <w:t>2000-2004. </w:t>
        </w:r>
        <w:r>
          <w:rPr>
            <w:i/>
          </w:rPr>
          <w:t>BioMed Central Microbiology</w:t>
        </w:r>
        <w:r>
          <w:rPr/>
          <w:t>, 10, 27.</w:t>
        </w:r>
      </w:hyperlink>
      <w:r>
        <w:rPr/>
        <w:t> Retrieved May 7, 2014 from </w:t>
      </w:r>
      <w:hyperlink r:id="rId358">
        <w:r>
          <w:rPr>
            <w:spacing w:val="-2"/>
          </w:rPr>
          <w:t>http://www.biomedcentral.com/1471-2180/10/27.</w:t>
        </w:r>
      </w:hyperlink>
    </w:p>
    <w:p>
      <w:pPr>
        <w:pStyle w:val="BodyText"/>
        <w:spacing w:line="261" w:lineRule="auto" w:before="199"/>
        <w:ind w:left="1100" w:right="978" w:hanging="720"/>
        <w:jc w:val="both"/>
      </w:pPr>
      <w:r>
        <w:rPr/>
        <w:t>NPCS (2012). Handbook on Agro Based Industries (2</w:t>
      </w:r>
      <w:r>
        <w:rPr>
          <w:vertAlign w:val="superscript"/>
        </w:rPr>
        <w:t>nd</w:t>
      </w:r>
      <w:r>
        <w:rPr>
          <w:vertAlign w:val="baseline"/>
        </w:rPr>
        <w:t> Edition). Amazon. Published by Niir Project Consultancy Services, Delhi (India), 75-78.</w:t>
      </w:r>
    </w:p>
    <w:p>
      <w:pPr>
        <w:pStyle w:val="BodyText"/>
        <w:spacing w:before="197"/>
        <w:ind w:left="380"/>
      </w:pPr>
      <w:r>
        <w:rPr/>
        <w:t>Okereke,</w:t>
      </w:r>
      <w:r>
        <w:rPr>
          <w:spacing w:val="-6"/>
        </w:rPr>
        <w:t> </w:t>
      </w:r>
      <w:r>
        <w:rPr/>
        <w:t>C.</w:t>
      </w:r>
      <w:r>
        <w:rPr>
          <w:spacing w:val="-3"/>
        </w:rPr>
        <w:t> </w:t>
      </w:r>
      <w:r>
        <w:rPr/>
        <w:t>C.</w:t>
      </w:r>
      <w:r>
        <w:rPr>
          <w:spacing w:val="-3"/>
        </w:rPr>
        <w:t> </w:t>
      </w:r>
      <w:r>
        <w:rPr/>
        <w:t>(2009).</w:t>
      </w:r>
      <w:r>
        <w:rPr>
          <w:spacing w:val="-4"/>
        </w:rPr>
        <w:t> </w:t>
      </w:r>
      <w:r>
        <w:rPr/>
        <w:t>Health</w:t>
      </w:r>
      <w:r>
        <w:rPr>
          <w:spacing w:val="-3"/>
        </w:rPr>
        <w:t> </w:t>
      </w:r>
      <w:r>
        <w:rPr/>
        <w:t>Benefits</w:t>
      </w:r>
      <w:r>
        <w:rPr>
          <w:spacing w:val="-4"/>
        </w:rPr>
        <w:t> </w:t>
      </w:r>
      <w:r>
        <w:rPr/>
        <w:t>of</w:t>
      </w:r>
      <w:r>
        <w:rPr>
          <w:spacing w:val="-4"/>
        </w:rPr>
        <w:t> </w:t>
      </w:r>
      <w:r>
        <w:rPr/>
        <w:t>Bee</w:t>
      </w:r>
      <w:r>
        <w:rPr>
          <w:spacing w:val="-3"/>
        </w:rPr>
        <w:t> </w:t>
      </w:r>
      <w:r>
        <w:rPr/>
        <w:t>Honey.</w:t>
      </w:r>
      <w:r>
        <w:rPr>
          <w:spacing w:val="-3"/>
        </w:rPr>
        <w:t> </w:t>
      </w:r>
      <w:r>
        <w:rPr/>
        <w:t>Joglas</w:t>
      </w:r>
      <w:r>
        <w:rPr>
          <w:spacing w:val="-3"/>
        </w:rPr>
        <w:t> </w:t>
      </w:r>
      <w:r>
        <w:rPr/>
        <w:t>production,</w:t>
      </w:r>
      <w:r>
        <w:rPr>
          <w:spacing w:val="-6"/>
        </w:rPr>
        <w:t> </w:t>
      </w:r>
      <w:r>
        <w:rPr/>
        <w:t>Nigeria,</w:t>
      </w:r>
      <w:r>
        <w:rPr>
          <w:spacing w:val="-4"/>
        </w:rPr>
        <w:t> </w:t>
      </w:r>
      <w:r>
        <w:rPr/>
        <w:t>3-</w:t>
      </w:r>
      <w:r>
        <w:rPr>
          <w:spacing w:val="-5"/>
        </w:rPr>
        <w:t>47.</w:t>
      </w:r>
    </w:p>
    <w:p>
      <w:pPr>
        <w:pStyle w:val="BodyText"/>
        <w:spacing w:line="259" w:lineRule="auto" w:before="218"/>
        <w:ind w:left="1100" w:right="978" w:hanging="720"/>
        <w:jc w:val="both"/>
      </w:pPr>
      <w:r>
        <w:rPr/>
        <w:t>Ophori, E. A. and E. C. Wemabu (2010). Antimicrobial activity of propolis extract on bacteria isolated from nasopharynx of patients with upper respiratory tract infection admitted to Central Hospital, Benin City, Nigeria. </w:t>
      </w:r>
      <w:r>
        <w:rPr>
          <w:i/>
        </w:rPr>
        <w:t>African Journal of Microbiology Research</w:t>
      </w:r>
      <w:r>
        <w:rPr/>
        <w:t>, 4 (16): 1720-1721.</w:t>
      </w:r>
    </w:p>
    <w:p>
      <w:pPr>
        <w:spacing w:line="259" w:lineRule="auto" w:before="201"/>
        <w:ind w:left="1100" w:right="977" w:hanging="720"/>
        <w:jc w:val="both"/>
        <w:rPr>
          <w:sz w:val="22"/>
        </w:rPr>
      </w:pPr>
      <w:r>
        <w:rPr>
          <w:sz w:val="22"/>
        </w:rPr>
        <w:t>Patterson, M. J. (1996). </w:t>
      </w:r>
      <w:hyperlink r:id="rId359">
        <w:r>
          <w:rPr>
            <w:i/>
            <w:sz w:val="22"/>
          </w:rPr>
          <w:t>Streptococcus: Baron's Medical Microbiology</w:t>
        </w:r>
        <w:r>
          <w:rPr>
            <w:sz w:val="22"/>
          </w:rPr>
          <w:t>.</w:t>
        </w:r>
      </w:hyperlink>
      <w:r>
        <w:rPr>
          <w:sz w:val="22"/>
        </w:rPr>
        <w:t> Retrieved September 26, 2012 from </w:t>
      </w:r>
      <w:hyperlink r:id="rId359">
        <w:r>
          <w:rPr>
            <w:sz w:val="22"/>
          </w:rPr>
          <w:t>http://www.ncbi.nlm.nih.gov/books/bv.fcgi?rid=mmed.section.824.</w:t>
        </w:r>
      </w:hyperlink>
    </w:p>
    <w:p>
      <w:pPr>
        <w:spacing w:before="198"/>
        <w:ind w:left="380" w:right="0" w:firstLine="0"/>
        <w:jc w:val="left"/>
        <w:rPr>
          <w:sz w:val="22"/>
        </w:rPr>
      </w:pPr>
      <w:r>
        <w:rPr>
          <w:sz w:val="22"/>
        </w:rPr>
        <w:t>Pechère,</w:t>
      </w:r>
      <w:r>
        <w:rPr>
          <w:spacing w:val="17"/>
          <w:sz w:val="22"/>
        </w:rPr>
        <w:t> </w:t>
      </w:r>
      <w:r>
        <w:rPr>
          <w:sz w:val="22"/>
        </w:rPr>
        <w:t>J.</w:t>
      </w:r>
      <w:r>
        <w:rPr>
          <w:spacing w:val="17"/>
          <w:sz w:val="22"/>
        </w:rPr>
        <w:t> </w:t>
      </w:r>
      <w:r>
        <w:rPr>
          <w:sz w:val="22"/>
        </w:rPr>
        <w:t>C.</w:t>
      </w:r>
      <w:r>
        <w:rPr>
          <w:spacing w:val="15"/>
          <w:sz w:val="22"/>
        </w:rPr>
        <w:t> </w:t>
      </w:r>
      <w:r>
        <w:rPr>
          <w:sz w:val="22"/>
        </w:rPr>
        <w:t>(2001).</w:t>
      </w:r>
      <w:r>
        <w:rPr>
          <w:spacing w:val="14"/>
          <w:sz w:val="22"/>
        </w:rPr>
        <w:t> </w:t>
      </w:r>
      <w:r>
        <w:rPr>
          <w:sz w:val="22"/>
        </w:rPr>
        <w:t>Patients'</w:t>
      </w:r>
      <w:r>
        <w:rPr>
          <w:spacing w:val="17"/>
          <w:sz w:val="22"/>
        </w:rPr>
        <w:t> </w:t>
      </w:r>
      <w:r>
        <w:rPr>
          <w:sz w:val="22"/>
        </w:rPr>
        <w:t>interviews</w:t>
      </w:r>
      <w:r>
        <w:rPr>
          <w:spacing w:val="15"/>
          <w:sz w:val="22"/>
        </w:rPr>
        <w:t> </w:t>
      </w:r>
      <w:r>
        <w:rPr>
          <w:sz w:val="22"/>
        </w:rPr>
        <w:t>and</w:t>
      </w:r>
      <w:r>
        <w:rPr>
          <w:spacing w:val="17"/>
          <w:sz w:val="22"/>
        </w:rPr>
        <w:t> </w:t>
      </w:r>
      <w:r>
        <w:rPr>
          <w:sz w:val="22"/>
        </w:rPr>
        <w:t>misuse</w:t>
      </w:r>
      <w:r>
        <w:rPr>
          <w:spacing w:val="15"/>
          <w:sz w:val="22"/>
        </w:rPr>
        <w:t> </w:t>
      </w:r>
      <w:r>
        <w:rPr>
          <w:sz w:val="22"/>
        </w:rPr>
        <w:t>of</w:t>
      </w:r>
      <w:r>
        <w:rPr>
          <w:spacing w:val="17"/>
          <w:sz w:val="22"/>
        </w:rPr>
        <w:t> </w:t>
      </w:r>
      <w:r>
        <w:rPr>
          <w:sz w:val="22"/>
        </w:rPr>
        <w:t>antibiotics.</w:t>
      </w:r>
      <w:r>
        <w:rPr>
          <w:spacing w:val="20"/>
          <w:sz w:val="22"/>
        </w:rPr>
        <w:t> </w:t>
      </w:r>
      <w:r>
        <w:rPr>
          <w:i/>
          <w:sz w:val="22"/>
        </w:rPr>
        <w:t>Clinical</w:t>
      </w:r>
      <w:r>
        <w:rPr>
          <w:i/>
          <w:spacing w:val="17"/>
          <w:sz w:val="22"/>
        </w:rPr>
        <w:t> </w:t>
      </w:r>
      <w:r>
        <w:rPr>
          <w:i/>
          <w:sz w:val="22"/>
        </w:rPr>
        <w:t>Infectious</w:t>
      </w:r>
      <w:r>
        <w:rPr>
          <w:i/>
          <w:spacing w:val="18"/>
          <w:sz w:val="22"/>
        </w:rPr>
        <w:t> </w:t>
      </w:r>
      <w:r>
        <w:rPr>
          <w:i/>
          <w:sz w:val="22"/>
        </w:rPr>
        <w:t>Diseases</w:t>
      </w:r>
      <w:r>
        <w:rPr>
          <w:sz w:val="22"/>
        </w:rPr>
        <w:t>.</w:t>
      </w:r>
      <w:r>
        <w:rPr>
          <w:spacing w:val="15"/>
          <w:sz w:val="22"/>
        </w:rPr>
        <w:t> </w:t>
      </w:r>
      <w:r>
        <w:rPr>
          <w:spacing w:val="-5"/>
          <w:sz w:val="22"/>
        </w:rPr>
        <w:t>33</w:t>
      </w:r>
    </w:p>
    <w:p>
      <w:pPr>
        <w:pStyle w:val="BodyText"/>
        <w:spacing w:before="24"/>
        <w:ind w:left="1100"/>
      </w:pPr>
      <w:r>
        <w:rPr/>
        <w:t>(3):</w:t>
      </w:r>
      <w:r>
        <w:rPr>
          <w:spacing w:val="-4"/>
        </w:rPr>
        <w:t> </w:t>
      </w:r>
      <w:r>
        <w:rPr>
          <w:spacing w:val="-2"/>
        </w:rPr>
        <w:t>170–3.</w:t>
      </w:r>
    </w:p>
    <w:p>
      <w:pPr>
        <w:spacing w:line="261" w:lineRule="auto" w:before="219"/>
        <w:ind w:left="1100" w:right="975" w:hanging="720"/>
        <w:jc w:val="both"/>
        <w:rPr>
          <w:sz w:val="22"/>
        </w:rPr>
      </w:pPr>
      <w:r>
        <w:rPr>
          <w:sz w:val="22"/>
        </w:rPr>
        <w:t>Pechère, J. C., Hughes, D., Kardas, P., and Cornaglia, G. (2007). Non-compliance with antibiotic therapy for acute community infections: a global survey. </w:t>
      </w:r>
      <w:r>
        <w:rPr>
          <w:i/>
          <w:sz w:val="22"/>
        </w:rPr>
        <w:t>International Journal of Antimicrobial Agents, </w:t>
      </w:r>
      <w:r>
        <w:rPr>
          <w:sz w:val="22"/>
        </w:rPr>
        <w:t>29 (3): 245–53.</w:t>
      </w:r>
    </w:p>
    <w:p>
      <w:pPr>
        <w:spacing w:line="259" w:lineRule="auto" w:before="192"/>
        <w:ind w:left="1100" w:right="975" w:hanging="720"/>
        <w:jc w:val="both"/>
        <w:rPr>
          <w:sz w:val="22"/>
        </w:rPr>
      </w:pPr>
      <w:r>
        <w:rPr>
          <w:sz w:val="22"/>
        </w:rPr>
        <w:t>Pikis, A., Campos, J. M., Rodriguez, W. J., and Keith, J. M. (2001). </w:t>
      </w:r>
      <w:hyperlink r:id="rId360">
        <w:r>
          <w:rPr>
            <w:sz w:val="22"/>
          </w:rPr>
          <w:t>Optochin resistance in</w:t>
        </w:r>
      </w:hyperlink>
      <w:r>
        <w:rPr>
          <w:spacing w:val="40"/>
          <w:sz w:val="22"/>
        </w:rPr>
        <w:t> </w:t>
      </w:r>
      <w:hyperlink r:id="rId360">
        <w:r>
          <w:rPr>
            <w:i/>
            <w:sz w:val="22"/>
          </w:rPr>
          <w:t>Streptococcus pneumoniae</w:t>
        </w:r>
        <w:r>
          <w:rPr>
            <w:sz w:val="22"/>
          </w:rPr>
          <w:t>: mechanism, significance, and clinical implications</w:t>
        </w:r>
      </w:hyperlink>
      <w:r>
        <w:rPr>
          <w:sz w:val="22"/>
        </w:rPr>
        <w:t>. </w:t>
      </w:r>
      <w:r>
        <w:rPr>
          <w:i/>
          <w:sz w:val="22"/>
        </w:rPr>
        <w:t>Journal of Infectious Diseases, </w:t>
      </w:r>
      <w:r>
        <w:rPr>
          <w:sz w:val="22"/>
        </w:rPr>
        <w:t>184 (5): 582–590.</w:t>
      </w:r>
    </w:p>
    <w:p>
      <w:pPr>
        <w:spacing w:after="0" w:line="259" w:lineRule="auto"/>
        <w:jc w:val="both"/>
        <w:rPr>
          <w:sz w:val="22"/>
        </w:rPr>
        <w:sectPr>
          <w:pgSz w:w="11910" w:h="16840"/>
          <w:pgMar w:header="0" w:footer="1055" w:top="1380" w:bottom="1240" w:left="1060" w:right="460"/>
        </w:sectPr>
      </w:pPr>
    </w:p>
    <w:p>
      <w:pPr>
        <w:spacing w:line="261" w:lineRule="auto" w:before="38"/>
        <w:ind w:left="1100" w:right="976" w:hanging="720"/>
        <w:jc w:val="both"/>
        <w:rPr>
          <w:sz w:val="22"/>
        </w:rPr>
      </w:pPr>
      <w:hyperlink r:id="rId361">
        <w:r>
          <w:rPr>
            <w:sz w:val="22"/>
          </w:rPr>
          <w:t>Podschun, R., and Ullmann, U. (1998). </w:t>
        </w:r>
        <w:r>
          <w:rPr>
            <w:i/>
            <w:sz w:val="22"/>
          </w:rPr>
          <w:t>Klebsiella </w:t>
        </w:r>
        <w:r>
          <w:rPr>
            <w:sz w:val="22"/>
          </w:rPr>
          <w:t>spp as Nosocomial Pathogens: Epidemiology,</w:t>
        </w:r>
      </w:hyperlink>
      <w:r>
        <w:rPr>
          <w:sz w:val="22"/>
        </w:rPr>
        <w:t> </w:t>
      </w:r>
      <w:hyperlink r:id="rId361">
        <w:r>
          <w:rPr>
            <w:sz w:val="22"/>
          </w:rPr>
          <w:t>Taxonomy,</w:t>
        </w:r>
        <w:r>
          <w:rPr>
            <w:spacing w:val="-6"/>
            <w:sz w:val="22"/>
          </w:rPr>
          <w:t> </w:t>
        </w:r>
        <w:r>
          <w:rPr>
            <w:sz w:val="22"/>
          </w:rPr>
          <w:t>Typing</w:t>
        </w:r>
        <w:r>
          <w:rPr>
            <w:spacing w:val="-6"/>
            <w:sz w:val="22"/>
          </w:rPr>
          <w:t> </w:t>
        </w:r>
        <w:r>
          <w:rPr>
            <w:sz w:val="22"/>
          </w:rPr>
          <w:t>Methods,</w:t>
        </w:r>
        <w:r>
          <w:rPr>
            <w:spacing w:val="-3"/>
            <w:sz w:val="22"/>
          </w:rPr>
          <w:t> </w:t>
        </w:r>
        <w:r>
          <w:rPr>
            <w:sz w:val="22"/>
          </w:rPr>
          <w:t>and</w:t>
        </w:r>
        <w:r>
          <w:rPr>
            <w:spacing w:val="-5"/>
            <w:sz w:val="22"/>
          </w:rPr>
          <w:t> </w:t>
        </w:r>
        <w:r>
          <w:rPr>
            <w:sz w:val="22"/>
          </w:rPr>
          <w:t>Pathogenicity</w:t>
        </w:r>
        <w:r>
          <w:rPr>
            <w:spacing w:val="-2"/>
            <w:sz w:val="22"/>
          </w:rPr>
          <w:t> </w:t>
        </w:r>
        <w:r>
          <w:rPr>
            <w:sz w:val="22"/>
          </w:rPr>
          <w:t>Factors. </w:t>
        </w:r>
        <w:r>
          <w:rPr>
            <w:i/>
            <w:sz w:val="22"/>
          </w:rPr>
          <w:t>Clinical</w:t>
        </w:r>
        <w:r>
          <w:rPr>
            <w:i/>
            <w:spacing w:val="-3"/>
            <w:sz w:val="22"/>
          </w:rPr>
          <w:t> </w:t>
        </w:r>
        <w:r>
          <w:rPr>
            <w:i/>
            <w:sz w:val="22"/>
          </w:rPr>
          <w:t>Microbiology</w:t>
        </w:r>
        <w:r>
          <w:rPr>
            <w:i/>
            <w:spacing w:val="-3"/>
            <w:sz w:val="22"/>
          </w:rPr>
          <w:t> </w:t>
        </w:r>
        <w:r>
          <w:rPr>
            <w:i/>
            <w:sz w:val="22"/>
          </w:rPr>
          <w:t>Reviews</w:t>
        </w:r>
        <w:r>
          <w:rPr>
            <w:sz w:val="22"/>
          </w:rPr>
          <w:t>,</w:t>
        </w:r>
        <w:r>
          <w:rPr>
            <w:spacing w:val="-5"/>
            <w:sz w:val="22"/>
          </w:rPr>
          <w:t> </w:t>
        </w:r>
        <w:r>
          <w:rPr>
            <w:sz w:val="22"/>
          </w:rPr>
          <w:t>11</w:t>
        </w:r>
        <w:r>
          <w:rPr>
            <w:spacing w:val="-5"/>
            <w:sz w:val="22"/>
          </w:rPr>
          <w:t> </w:t>
        </w:r>
        <w:r>
          <w:rPr>
            <w:sz w:val="22"/>
          </w:rPr>
          <w:t>(4):</w:t>
        </w:r>
      </w:hyperlink>
      <w:r>
        <w:rPr>
          <w:sz w:val="22"/>
        </w:rPr>
        <w:t> </w:t>
      </w:r>
      <w:hyperlink r:id="rId361">
        <w:r>
          <w:rPr>
            <w:spacing w:val="-2"/>
            <w:sz w:val="22"/>
          </w:rPr>
          <w:t>589-603.</w:t>
        </w:r>
      </w:hyperlink>
    </w:p>
    <w:p>
      <w:pPr>
        <w:spacing w:line="259" w:lineRule="auto" w:before="193"/>
        <w:ind w:left="1100" w:right="976" w:hanging="720"/>
        <w:jc w:val="both"/>
        <w:rPr>
          <w:sz w:val="22"/>
        </w:rPr>
      </w:pPr>
      <w:r>
        <w:rPr>
          <w:sz w:val="22"/>
        </w:rPr>
        <w:t>Poole, K. (2004). "Efflux-mediated multiresistance in Gram-negative bacteria". </w:t>
      </w:r>
      <w:r>
        <w:rPr>
          <w:i/>
          <w:sz w:val="22"/>
        </w:rPr>
        <w:t>Clinical Microbiology and Infection, </w:t>
      </w:r>
      <w:r>
        <w:rPr>
          <w:sz w:val="22"/>
        </w:rPr>
        <w:t>10 (1): 12–26.</w:t>
      </w:r>
    </w:p>
    <w:p>
      <w:pPr>
        <w:spacing w:line="261" w:lineRule="auto" w:before="197"/>
        <w:ind w:left="1100" w:right="976" w:hanging="720"/>
        <w:jc w:val="both"/>
        <w:rPr>
          <w:sz w:val="22"/>
        </w:rPr>
      </w:pPr>
      <w:r>
        <w:rPr>
          <w:sz w:val="22"/>
        </w:rPr>
        <w:t>Prabuseenivasan, S., Manickkam, J., and Savarimuthu, I. (2006). </w:t>
      </w:r>
      <w:hyperlink r:id="rId362">
        <w:r>
          <w:rPr>
            <w:sz w:val="22"/>
          </w:rPr>
          <w:t>In Vitro Antibacterial Activity of</w:t>
        </w:r>
      </w:hyperlink>
      <w:r>
        <w:rPr>
          <w:sz w:val="22"/>
        </w:rPr>
        <w:t> </w:t>
      </w:r>
      <w:hyperlink r:id="rId362">
        <w:r>
          <w:rPr>
            <w:sz w:val="22"/>
          </w:rPr>
          <w:t>Some Plant Essential Oils.</w:t>
        </w:r>
      </w:hyperlink>
      <w:r>
        <w:rPr>
          <w:sz w:val="22"/>
        </w:rPr>
        <w:t> </w:t>
      </w:r>
      <w:r>
        <w:rPr>
          <w:i/>
          <w:sz w:val="22"/>
        </w:rPr>
        <w:t>BioMed Central Complementary &amp; Alternative Medicine</w:t>
      </w:r>
      <w:r>
        <w:rPr>
          <w:sz w:val="22"/>
        </w:rPr>
        <w:t>, 6, 39.</w:t>
      </w:r>
    </w:p>
    <w:p>
      <w:pPr>
        <w:spacing w:line="259" w:lineRule="auto" w:before="195"/>
        <w:ind w:left="1100" w:right="972" w:hanging="720"/>
        <w:jc w:val="both"/>
        <w:rPr>
          <w:sz w:val="22"/>
        </w:rPr>
      </w:pPr>
      <w:r>
        <w:rPr>
          <w:sz w:val="22"/>
        </w:rPr>
        <w:t>Prinsloo, A., van Straten, A. M. S., and Weldhagen, G. F. (2008). Antibiotic synergy profiles of multi- drug</w:t>
      </w:r>
      <w:r>
        <w:rPr>
          <w:spacing w:val="-1"/>
          <w:sz w:val="22"/>
        </w:rPr>
        <w:t> </w:t>
      </w:r>
      <w:r>
        <w:rPr>
          <w:sz w:val="22"/>
        </w:rPr>
        <w:t>resistant</w:t>
      </w:r>
      <w:r>
        <w:rPr>
          <w:spacing w:val="-2"/>
          <w:sz w:val="22"/>
        </w:rPr>
        <w:t> </w:t>
      </w:r>
      <w:r>
        <w:rPr>
          <w:i/>
          <w:sz w:val="22"/>
        </w:rPr>
        <w:t>Pseudomonas aeruginosa</w:t>
      </w:r>
      <w:r>
        <w:rPr>
          <w:i/>
          <w:spacing w:val="-2"/>
          <w:sz w:val="22"/>
        </w:rPr>
        <w:t> </w:t>
      </w:r>
      <w:r>
        <w:rPr>
          <w:sz w:val="22"/>
        </w:rPr>
        <w:t>in</w:t>
      </w:r>
      <w:r>
        <w:rPr>
          <w:spacing w:val="-2"/>
          <w:sz w:val="22"/>
        </w:rPr>
        <w:t> </w:t>
      </w:r>
      <w:r>
        <w:rPr>
          <w:sz w:val="22"/>
        </w:rPr>
        <w:t>a</w:t>
      </w:r>
      <w:r>
        <w:rPr>
          <w:spacing w:val="-1"/>
          <w:sz w:val="22"/>
        </w:rPr>
        <w:t> </w:t>
      </w:r>
      <w:r>
        <w:rPr>
          <w:sz w:val="22"/>
        </w:rPr>
        <w:t>nosocomial</w:t>
      </w:r>
      <w:r>
        <w:rPr>
          <w:spacing w:val="-1"/>
          <w:sz w:val="22"/>
        </w:rPr>
        <w:t> </w:t>
      </w:r>
      <w:r>
        <w:rPr>
          <w:sz w:val="22"/>
        </w:rPr>
        <w:t>environment, </w:t>
      </w:r>
      <w:r>
        <w:rPr>
          <w:i/>
          <w:sz w:val="22"/>
        </w:rPr>
        <w:t>South</w:t>
      </w:r>
      <w:r>
        <w:rPr>
          <w:i/>
          <w:spacing w:val="-3"/>
          <w:sz w:val="22"/>
        </w:rPr>
        <w:t> </w:t>
      </w:r>
      <w:r>
        <w:rPr>
          <w:i/>
          <w:sz w:val="22"/>
        </w:rPr>
        <w:t>African</w:t>
      </w:r>
      <w:r>
        <w:rPr>
          <w:i/>
          <w:spacing w:val="-1"/>
          <w:sz w:val="22"/>
        </w:rPr>
        <w:t> </w:t>
      </w:r>
      <w:r>
        <w:rPr>
          <w:i/>
          <w:sz w:val="22"/>
        </w:rPr>
        <w:t>Journal, Epidemiology and infection</w:t>
      </w:r>
      <w:r>
        <w:rPr>
          <w:sz w:val="22"/>
        </w:rPr>
        <w:t>, 23 (3): 7-9.</w:t>
      </w:r>
    </w:p>
    <w:p>
      <w:pPr>
        <w:pStyle w:val="BodyText"/>
        <w:spacing w:line="261" w:lineRule="auto" w:before="160"/>
        <w:ind w:left="1100" w:right="974" w:hanging="720"/>
        <w:jc w:val="both"/>
      </w:pPr>
      <w:r>
        <w:rPr/>
        <w:t>Quinn, G. A., and Cole, A. M. (2007). </w:t>
      </w:r>
      <w:hyperlink r:id="rId363">
        <w:r>
          <w:rPr/>
          <w:t>Suppression of innate immunity by a nasal carriage strain of</w:t>
        </w:r>
      </w:hyperlink>
      <w:r>
        <w:rPr/>
        <w:t> </w:t>
      </w:r>
      <w:hyperlink r:id="rId363">
        <w:r>
          <w:rPr/>
          <w:t>Staphylococcus aureus increases its colonization on nasal epithelium</w:t>
        </w:r>
      </w:hyperlink>
      <w:r>
        <w:rPr/>
        <w:t>. </w:t>
      </w:r>
      <w:r>
        <w:rPr>
          <w:i/>
        </w:rPr>
        <w:t>Immunology, </w:t>
      </w:r>
      <w:r>
        <w:rPr/>
        <w:t>122 (1): </w:t>
      </w:r>
      <w:r>
        <w:rPr>
          <w:spacing w:val="-2"/>
        </w:rPr>
        <w:t>80-9.</w:t>
      </w:r>
    </w:p>
    <w:p>
      <w:pPr>
        <w:pStyle w:val="BodyText"/>
        <w:spacing w:line="261" w:lineRule="auto" w:before="192"/>
        <w:ind w:left="1100" w:right="980" w:hanging="720"/>
        <w:jc w:val="both"/>
      </w:pPr>
      <w:hyperlink r:id="rId364">
        <w:r>
          <w:rPr/>
          <w:t>Rabaey, K., and Verstraete, W. (2005). Microbial Fuel Cells: novel biotechnology for enegy</w:t>
        </w:r>
      </w:hyperlink>
      <w:r>
        <w:rPr/>
        <w:t> </w:t>
      </w:r>
      <w:hyperlink r:id="rId364">
        <w:r>
          <w:rPr/>
          <w:t>generation. </w:t>
        </w:r>
        <w:r>
          <w:rPr>
            <w:i/>
          </w:rPr>
          <w:t>Trends in Biotechnology</w:t>
        </w:r>
        <w:r>
          <w:rPr/>
          <w:t>. 23(6)</w:t>
        </w:r>
      </w:hyperlink>
      <w:r>
        <w:rPr/>
        <w:t>: 291-298.</w:t>
      </w:r>
    </w:p>
    <w:p>
      <w:pPr>
        <w:pStyle w:val="BodyText"/>
        <w:spacing w:before="195"/>
        <w:ind w:left="380"/>
      </w:pPr>
      <w:r>
        <w:rPr/>
        <w:t>Reveiz,</w:t>
      </w:r>
      <w:r>
        <w:rPr>
          <w:spacing w:val="47"/>
        </w:rPr>
        <w:t> </w:t>
      </w:r>
      <w:r>
        <w:rPr/>
        <w:t>L.,</w:t>
      </w:r>
      <w:r>
        <w:rPr>
          <w:spacing w:val="46"/>
        </w:rPr>
        <w:t> </w:t>
      </w:r>
      <w:r>
        <w:rPr/>
        <w:t>Cardona,</w:t>
      </w:r>
      <w:r>
        <w:rPr>
          <w:spacing w:val="48"/>
        </w:rPr>
        <w:t> </w:t>
      </w:r>
      <w:r>
        <w:rPr/>
        <w:t>A.</w:t>
      </w:r>
      <w:r>
        <w:rPr>
          <w:spacing w:val="46"/>
        </w:rPr>
        <w:t> </w:t>
      </w:r>
      <w:r>
        <w:rPr/>
        <w:t>F.,</w:t>
      </w:r>
      <w:r>
        <w:rPr>
          <w:spacing w:val="45"/>
        </w:rPr>
        <w:t> </w:t>
      </w:r>
      <w:r>
        <w:rPr/>
        <w:t>and</w:t>
      </w:r>
      <w:r>
        <w:rPr>
          <w:spacing w:val="47"/>
        </w:rPr>
        <w:t> </w:t>
      </w:r>
      <w:r>
        <w:rPr/>
        <w:t>Ospina,</w:t>
      </w:r>
      <w:r>
        <w:rPr>
          <w:spacing w:val="47"/>
        </w:rPr>
        <w:t> </w:t>
      </w:r>
      <w:r>
        <w:rPr/>
        <w:t>E.</w:t>
      </w:r>
      <w:r>
        <w:rPr>
          <w:spacing w:val="47"/>
        </w:rPr>
        <w:t> </w:t>
      </w:r>
      <w:r>
        <w:rPr/>
        <w:t>G.</w:t>
      </w:r>
      <w:r>
        <w:rPr>
          <w:spacing w:val="46"/>
        </w:rPr>
        <w:t> </w:t>
      </w:r>
      <w:r>
        <w:rPr/>
        <w:t>(2007).</w:t>
      </w:r>
      <w:r>
        <w:rPr>
          <w:spacing w:val="47"/>
        </w:rPr>
        <w:t> </w:t>
      </w:r>
      <w:r>
        <w:rPr/>
        <w:t>Antibiotics</w:t>
      </w:r>
      <w:r>
        <w:rPr>
          <w:spacing w:val="47"/>
        </w:rPr>
        <w:t> </w:t>
      </w:r>
      <w:r>
        <w:rPr/>
        <w:t>for</w:t>
      </w:r>
      <w:r>
        <w:rPr>
          <w:spacing w:val="47"/>
        </w:rPr>
        <w:t> </w:t>
      </w:r>
      <w:r>
        <w:rPr/>
        <w:t>acute</w:t>
      </w:r>
      <w:r>
        <w:rPr>
          <w:spacing w:val="47"/>
        </w:rPr>
        <w:t> </w:t>
      </w:r>
      <w:r>
        <w:rPr/>
        <w:t>pharyngitis</w:t>
      </w:r>
      <w:r>
        <w:rPr>
          <w:spacing w:val="47"/>
        </w:rPr>
        <w:t> </w:t>
      </w:r>
      <w:r>
        <w:rPr/>
        <w:t>in</w:t>
      </w:r>
      <w:r>
        <w:rPr>
          <w:spacing w:val="47"/>
        </w:rPr>
        <w:t> </w:t>
      </w:r>
      <w:r>
        <w:rPr>
          <w:spacing w:val="-2"/>
        </w:rPr>
        <w:t>adults.</w:t>
      </w:r>
    </w:p>
    <w:p>
      <w:pPr>
        <w:spacing w:before="22"/>
        <w:ind w:left="1100" w:right="0" w:firstLine="0"/>
        <w:jc w:val="left"/>
        <w:rPr>
          <w:sz w:val="22"/>
        </w:rPr>
      </w:pPr>
      <w:r>
        <w:rPr>
          <w:i/>
          <w:sz w:val="22"/>
        </w:rPr>
        <w:t>Cochrane</w:t>
      </w:r>
      <w:r>
        <w:rPr>
          <w:i/>
          <w:spacing w:val="-4"/>
          <w:sz w:val="22"/>
        </w:rPr>
        <w:t> </w:t>
      </w:r>
      <w:r>
        <w:rPr>
          <w:i/>
          <w:sz w:val="22"/>
        </w:rPr>
        <w:t>Database</w:t>
      </w:r>
      <w:r>
        <w:rPr>
          <w:i/>
          <w:spacing w:val="-5"/>
          <w:sz w:val="22"/>
        </w:rPr>
        <w:t> </w:t>
      </w:r>
      <w:r>
        <w:rPr>
          <w:i/>
          <w:sz w:val="22"/>
        </w:rPr>
        <w:t>system</w:t>
      </w:r>
      <w:r>
        <w:rPr>
          <w:i/>
          <w:spacing w:val="-6"/>
          <w:sz w:val="22"/>
        </w:rPr>
        <w:t> </w:t>
      </w:r>
      <w:r>
        <w:rPr>
          <w:i/>
          <w:sz w:val="22"/>
        </w:rPr>
        <w:t>Review</w:t>
      </w:r>
      <w:r>
        <w:rPr>
          <w:sz w:val="22"/>
        </w:rPr>
        <w:t>,</w:t>
      </w:r>
      <w:r>
        <w:rPr>
          <w:spacing w:val="-3"/>
          <w:sz w:val="22"/>
        </w:rPr>
        <w:t> </w:t>
      </w:r>
      <w:r>
        <w:rPr>
          <w:sz w:val="22"/>
        </w:rPr>
        <w:t>(2),</w:t>
      </w:r>
      <w:r>
        <w:rPr>
          <w:spacing w:val="-5"/>
          <w:sz w:val="22"/>
        </w:rPr>
        <w:t> </w:t>
      </w:r>
      <w:r>
        <w:rPr>
          <w:spacing w:val="-2"/>
          <w:sz w:val="22"/>
        </w:rPr>
        <w:t>4783.</w:t>
      </w:r>
    </w:p>
    <w:p>
      <w:pPr>
        <w:pStyle w:val="BodyText"/>
        <w:spacing w:line="259" w:lineRule="auto" w:before="221"/>
        <w:ind w:left="1100" w:right="980" w:hanging="720"/>
        <w:jc w:val="both"/>
      </w:pPr>
      <w:r>
        <w:rPr/>
        <w:t>Robert, B., Ruth, B., Richard, H., Orvill, A., and Martin, M.</w:t>
      </w:r>
      <w:r>
        <w:rPr>
          <w:spacing w:val="80"/>
        </w:rPr>
        <w:t> </w:t>
      </w:r>
      <w:r>
        <w:rPr/>
        <w:t>(2004). </w:t>
      </w:r>
      <w:hyperlink r:id="rId365">
        <w:r>
          <w:rPr/>
          <w:t>World Health Report: Changing</w:t>
        </w:r>
      </w:hyperlink>
      <w:r>
        <w:rPr/>
        <w:t> </w:t>
      </w:r>
      <w:hyperlink r:id="rId365">
        <w:r>
          <w:rPr/>
          <w:t>History</w:t>
        </w:r>
      </w:hyperlink>
      <w:r>
        <w:rPr/>
        <w:t>. </w:t>
      </w:r>
      <w:hyperlink r:id="rId366">
        <w:r>
          <w:rPr>
            <w:i/>
          </w:rPr>
          <w:t>World Health Organization</w:t>
        </w:r>
        <w:r>
          <w:rPr/>
          <w:t>,</w:t>
        </w:r>
      </w:hyperlink>
      <w:r>
        <w:rPr/>
        <w:t> 120–124.</w:t>
      </w:r>
    </w:p>
    <w:p>
      <w:pPr>
        <w:pStyle w:val="BodyText"/>
        <w:spacing w:line="261" w:lineRule="auto" w:before="198"/>
        <w:ind w:left="1100" w:right="972" w:hanging="720"/>
        <w:jc w:val="both"/>
      </w:pPr>
      <w:r>
        <w:rPr/>
        <w:t>Robicsek,</w:t>
      </w:r>
      <w:r>
        <w:rPr>
          <w:spacing w:val="-1"/>
        </w:rPr>
        <w:t> </w:t>
      </w:r>
      <w:r>
        <w:rPr/>
        <w:t>A.,</w:t>
      </w:r>
      <w:r>
        <w:rPr>
          <w:spacing w:val="-1"/>
        </w:rPr>
        <w:t> </w:t>
      </w:r>
      <w:r>
        <w:rPr/>
        <w:t>Jacoby,</w:t>
      </w:r>
      <w:r>
        <w:rPr>
          <w:spacing w:val="-1"/>
        </w:rPr>
        <w:t> </w:t>
      </w:r>
      <w:r>
        <w:rPr/>
        <w:t>G.</w:t>
      </w:r>
      <w:r>
        <w:rPr>
          <w:spacing w:val="-1"/>
        </w:rPr>
        <w:t> </w:t>
      </w:r>
      <w:r>
        <w:rPr/>
        <w:t>A.,</w:t>
      </w:r>
      <w:r>
        <w:rPr>
          <w:spacing w:val="-4"/>
        </w:rPr>
        <w:t> </w:t>
      </w:r>
      <w:r>
        <w:rPr/>
        <w:t>and</w:t>
      </w:r>
      <w:r>
        <w:rPr>
          <w:spacing w:val="-2"/>
        </w:rPr>
        <w:t> </w:t>
      </w:r>
      <w:r>
        <w:rPr/>
        <w:t>Hooper,</w:t>
      </w:r>
      <w:r>
        <w:rPr>
          <w:spacing w:val="-3"/>
        </w:rPr>
        <w:t> </w:t>
      </w:r>
      <w:r>
        <w:rPr/>
        <w:t>D.</w:t>
      </w:r>
      <w:r>
        <w:rPr>
          <w:spacing w:val="-1"/>
        </w:rPr>
        <w:t> </w:t>
      </w:r>
      <w:r>
        <w:rPr/>
        <w:t>C.</w:t>
      </w:r>
      <w:r>
        <w:rPr>
          <w:spacing w:val="-1"/>
        </w:rPr>
        <w:t> </w:t>
      </w:r>
      <w:r>
        <w:rPr/>
        <w:t>(2006). </w:t>
      </w:r>
      <w:hyperlink r:id="rId367">
        <w:r>
          <w:rPr/>
          <w:t>The</w:t>
        </w:r>
        <w:r>
          <w:rPr>
            <w:spacing w:val="-1"/>
          </w:rPr>
          <w:t> </w:t>
        </w:r>
        <w:r>
          <w:rPr/>
          <w:t>worldwide</w:t>
        </w:r>
        <w:r>
          <w:rPr>
            <w:spacing w:val="-1"/>
          </w:rPr>
          <w:t> </w:t>
        </w:r>
        <w:r>
          <w:rPr/>
          <w:t>emergence</w:t>
        </w:r>
        <w:r>
          <w:rPr>
            <w:spacing w:val="-3"/>
          </w:rPr>
          <w:t> </w:t>
        </w:r>
        <w:r>
          <w:rPr/>
          <w:t>of</w:t>
        </w:r>
        <w:r>
          <w:rPr>
            <w:spacing w:val="-1"/>
          </w:rPr>
          <w:t> </w:t>
        </w:r>
        <w:r>
          <w:rPr/>
          <w:t>plasmid-mediated</w:t>
        </w:r>
      </w:hyperlink>
      <w:r>
        <w:rPr/>
        <w:t> </w:t>
      </w:r>
      <w:hyperlink r:id="rId367">
        <w:r>
          <w:rPr/>
          <w:t>quinolone resistance.</w:t>
        </w:r>
      </w:hyperlink>
      <w:r>
        <w:rPr/>
        <w:t> </w:t>
      </w:r>
      <w:r>
        <w:rPr>
          <w:i/>
        </w:rPr>
        <w:t>Lancet of Infectious Diseases, </w:t>
      </w:r>
      <w:r>
        <w:rPr/>
        <w:t>6 (10): 629–40.</w:t>
      </w:r>
    </w:p>
    <w:p>
      <w:pPr>
        <w:spacing w:line="261" w:lineRule="auto" w:before="194"/>
        <w:ind w:left="1100" w:right="977" w:hanging="720"/>
        <w:jc w:val="both"/>
        <w:rPr>
          <w:sz w:val="22"/>
        </w:rPr>
      </w:pPr>
      <w:r>
        <w:rPr>
          <w:sz w:val="22"/>
        </w:rPr>
        <w:t>Rogers, S. (2011). </w:t>
      </w:r>
      <w:r>
        <w:rPr>
          <w:i/>
          <w:sz w:val="22"/>
        </w:rPr>
        <w:t>20 Unusual Uses of Lemon Juice</w:t>
      </w:r>
      <w:r>
        <w:rPr>
          <w:sz w:val="22"/>
        </w:rPr>
        <w:t>. Retrieved November 30, 2011 from </w:t>
      </w:r>
      <w:hyperlink r:id="rId368">
        <w:r>
          <w:rPr>
            <w:spacing w:val="-2"/>
            <w:sz w:val="22"/>
          </w:rPr>
          <w:t>http://www.ecosalon.com/20-unusual-uses-for-lemon-juice.html.</w:t>
        </w:r>
      </w:hyperlink>
    </w:p>
    <w:p>
      <w:pPr>
        <w:pStyle w:val="BodyText"/>
        <w:spacing w:before="197"/>
        <w:ind w:left="380"/>
      </w:pPr>
      <w:r>
        <w:rPr/>
        <w:t>Ronald,</w:t>
      </w:r>
      <w:r>
        <w:rPr>
          <w:spacing w:val="-4"/>
        </w:rPr>
        <w:t> </w:t>
      </w:r>
      <w:r>
        <w:rPr/>
        <w:t>E.,</w:t>
      </w:r>
      <w:r>
        <w:rPr>
          <w:spacing w:val="-6"/>
        </w:rPr>
        <w:t> </w:t>
      </w:r>
      <w:r>
        <w:rPr/>
        <w:t>and</w:t>
      </w:r>
      <w:r>
        <w:rPr>
          <w:spacing w:val="-4"/>
        </w:rPr>
        <w:t> </w:t>
      </w:r>
      <w:r>
        <w:rPr/>
        <w:t>Olaf,</w:t>
      </w:r>
      <w:r>
        <w:rPr>
          <w:spacing w:val="-5"/>
        </w:rPr>
        <w:t> </w:t>
      </w:r>
      <w:r>
        <w:rPr/>
        <w:t>W.</w:t>
      </w:r>
      <w:r>
        <w:rPr>
          <w:spacing w:val="-4"/>
        </w:rPr>
        <w:t> </w:t>
      </w:r>
      <w:r>
        <w:rPr/>
        <w:t>(2009).</w:t>
      </w:r>
      <w:r>
        <w:rPr>
          <w:spacing w:val="-3"/>
        </w:rPr>
        <w:t> </w:t>
      </w:r>
      <w:hyperlink r:id="rId369">
        <w:r>
          <w:rPr>
            <w:i/>
          </w:rPr>
          <w:t>Common</w:t>
        </w:r>
        <w:r>
          <w:rPr>
            <w:i/>
            <w:spacing w:val="-6"/>
          </w:rPr>
          <w:t> </w:t>
        </w:r>
        <w:r>
          <w:rPr>
            <w:i/>
          </w:rPr>
          <w:t>cold</w:t>
        </w:r>
        <w:r>
          <w:rPr/>
          <w:t>.</w:t>
        </w:r>
      </w:hyperlink>
      <w:r>
        <w:rPr>
          <w:spacing w:val="-3"/>
        </w:rPr>
        <w:t> </w:t>
      </w:r>
      <w:r>
        <w:rPr/>
        <w:t>Basel:</w:t>
      </w:r>
      <w:r>
        <w:rPr>
          <w:spacing w:val="-5"/>
        </w:rPr>
        <w:t> </w:t>
      </w:r>
      <w:r>
        <w:rPr/>
        <w:t>Birkhäuser,</w:t>
      </w:r>
      <w:r>
        <w:rPr>
          <w:spacing w:val="-5"/>
        </w:rPr>
        <w:t> </w:t>
      </w:r>
      <w:r>
        <w:rPr>
          <w:spacing w:val="-4"/>
        </w:rPr>
        <w:t>240.</w:t>
      </w:r>
    </w:p>
    <w:p>
      <w:pPr>
        <w:spacing w:before="221"/>
        <w:ind w:left="380" w:right="0" w:firstLine="0"/>
        <w:jc w:val="left"/>
        <w:rPr>
          <w:sz w:val="22"/>
        </w:rPr>
      </w:pPr>
      <w:r>
        <w:rPr>
          <w:sz w:val="22"/>
        </w:rPr>
        <w:t>Root,</w:t>
      </w:r>
      <w:r>
        <w:rPr>
          <w:spacing w:val="-5"/>
          <w:sz w:val="22"/>
        </w:rPr>
        <w:t> </w:t>
      </w:r>
      <w:r>
        <w:rPr>
          <w:sz w:val="22"/>
        </w:rPr>
        <w:t>A.</w:t>
      </w:r>
      <w:r>
        <w:rPr>
          <w:spacing w:val="-5"/>
          <w:sz w:val="22"/>
        </w:rPr>
        <w:t> </w:t>
      </w:r>
      <w:r>
        <w:rPr>
          <w:sz w:val="22"/>
        </w:rPr>
        <w:t>I.,</w:t>
      </w:r>
      <w:r>
        <w:rPr>
          <w:spacing w:val="-5"/>
          <w:sz w:val="22"/>
        </w:rPr>
        <w:t> </w:t>
      </w:r>
      <w:r>
        <w:rPr>
          <w:sz w:val="22"/>
        </w:rPr>
        <w:t>and</w:t>
      </w:r>
      <w:r>
        <w:rPr>
          <w:spacing w:val="-3"/>
          <w:sz w:val="22"/>
        </w:rPr>
        <w:t> </w:t>
      </w:r>
      <w:r>
        <w:rPr>
          <w:sz w:val="22"/>
        </w:rPr>
        <w:t>Root,</w:t>
      </w:r>
      <w:r>
        <w:rPr>
          <w:spacing w:val="-5"/>
          <w:sz w:val="22"/>
        </w:rPr>
        <w:t> </w:t>
      </w:r>
      <w:r>
        <w:rPr>
          <w:sz w:val="22"/>
        </w:rPr>
        <w:t>E.</w:t>
      </w:r>
      <w:r>
        <w:rPr>
          <w:spacing w:val="-3"/>
          <w:sz w:val="22"/>
        </w:rPr>
        <w:t> </w:t>
      </w:r>
      <w:r>
        <w:rPr>
          <w:sz w:val="22"/>
        </w:rPr>
        <w:t>R.</w:t>
      </w:r>
      <w:r>
        <w:rPr>
          <w:spacing w:val="-5"/>
          <w:sz w:val="22"/>
        </w:rPr>
        <w:t> </w:t>
      </w:r>
      <w:r>
        <w:rPr>
          <w:sz w:val="22"/>
        </w:rPr>
        <w:t>(2005).</w:t>
      </w:r>
      <w:r>
        <w:rPr>
          <w:spacing w:val="-3"/>
          <w:sz w:val="22"/>
        </w:rPr>
        <w:t> </w:t>
      </w:r>
      <w:hyperlink r:id="rId370">
        <w:r>
          <w:rPr>
            <w:i/>
            <w:sz w:val="22"/>
          </w:rPr>
          <w:t>The</w:t>
        </w:r>
        <w:r>
          <w:rPr>
            <w:i/>
            <w:spacing w:val="-3"/>
            <w:sz w:val="22"/>
          </w:rPr>
          <w:t> </w:t>
        </w:r>
        <w:r>
          <w:rPr>
            <w:i/>
            <w:sz w:val="22"/>
          </w:rPr>
          <w:t>ABC</w:t>
        </w:r>
        <w:r>
          <w:rPr>
            <w:i/>
            <w:spacing w:val="-5"/>
            <w:sz w:val="22"/>
          </w:rPr>
          <w:t> </w:t>
        </w:r>
        <w:r>
          <w:rPr>
            <w:i/>
            <w:sz w:val="22"/>
          </w:rPr>
          <w:t>and</w:t>
        </w:r>
        <w:r>
          <w:rPr>
            <w:i/>
            <w:spacing w:val="-4"/>
            <w:sz w:val="22"/>
          </w:rPr>
          <w:t> </w:t>
        </w:r>
        <w:r>
          <w:rPr>
            <w:i/>
            <w:sz w:val="22"/>
          </w:rPr>
          <w:t>Xyz</w:t>
        </w:r>
        <w:r>
          <w:rPr>
            <w:i/>
            <w:spacing w:val="-4"/>
            <w:sz w:val="22"/>
          </w:rPr>
          <w:t> </w:t>
        </w:r>
        <w:r>
          <w:rPr>
            <w:i/>
            <w:sz w:val="22"/>
          </w:rPr>
          <w:t>of</w:t>
        </w:r>
        <w:r>
          <w:rPr>
            <w:i/>
            <w:spacing w:val="-4"/>
            <w:sz w:val="22"/>
          </w:rPr>
          <w:t> </w:t>
        </w:r>
        <w:r>
          <w:rPr>
            <w:i/>
            <w:sz w:val="22"/>
          </w:rPr>
          <w:t>Bee</w:t>
        </w:r>
        <w:r>
          <w:rPr>
            <w:i/>
            <w:spacing w:val="-3"/>
            <w:sz w:val="22"/>
          </w:rPr>
          <w:t> </w:t>
        </w:r>
        <w:r>
          <w:rPr>
            <w:i/>
            <w:sz w:val="22"/>
          </w:rPr>
          <w:t>Culture</w:t>
        </w:r>
      </w:hyperlink>
      <w:r>
        <w:rPr>
          <w:sz w:val="22"/>
        </w:rPr>
        <w:t>.</w:t>
      </w:r>
      <w:r>
        <w:rPr>
          <w:spacing w:val="-3"/>
          <w:sz w:val="22"/>
        </w:rPr>
        <w:t> </w:t>
      </w:r>
      <w:r>
        <w:rPr>
          <w:sz w:val="22"/>
        </w:rPr>
        <w:t>Kessinger</w:t>
      </w:r>
      <w:r>
        <w:rPr>
          <w:spacing w:val="-5"/>
          <w:sz w:val="22"/>
        </w:rPr>
        <w:t> </w:t>
      </w:r>
      <w:r>
        <w:rPr>
          <w:sz w:val="22"/>
        </w:rPr>
        <w:t>Publishing,</w:t>
      </w:r>
      <w:r>
        <w:rPr>
          <w:spacing w:val="-1"/>
          <w:sz w:val="22"/>
        </w:rPr>
        <w:t> </w:t>
      </w:r>
      <w:r>
        <w:rPr>
          <w:sz w:val="22"/>
        </w:rPr>
        <w:t>348-</w:t>
      </w:r>
      <w:r>
        <w:rPr>
          <w:spacing w:val="-4"/>
          <w:sz w:val="22"/>
        </w:rPr>
        <w:t>355.</w:t>
      </w:r>
    </w:p>
    <w:p>
      <w:pPr>
        <w:pStyle w:val="BodyText"/>
        <w:spacing w:line="480" w:lineRule="atLeast" w:before="10"/>
        <w:ind w:left="380" w:right="975"/>
      </w:pPr>
      <w:r>
        <w:rPr/>
        <w:t>Ryan, K. J., C. G., Ray (2004). Sherris Medical Microbiology (4th edition). McGraw Hill, 396–401. Sabyasachi,</w:t>
      </w:r>
      <w:r>
        <w:rPr>
          <w:spacing w:val="39"/>
        </w:rPr>
        <w:t> </w:t>
      </w:r>
      <w:r>
        <w:rPr/>
        <w:t>S.</w:t>
      </w:r>
      <w:r>
        <w:rPr>
          <w:spacing w:val="38"/>
        </w:rPr>
        <w:t> </w:t>
      </w:r>
      <w:r>
        <w:rPr/>
        <w:t>(2008).</w:t>
      </w:r>
      <w:r>
        <w:rPr>
          <w:spacing w:val="39"/>
        </w:rPr>
        <w:t> </w:t>
      </w:r>
      <w:r>
        <w:rPr/>
        <w:t>Principles</w:t>
      </w:r>
      <w:r>
        <w:rPr>
          <w:spacing w:val="39"/>
        </w:rPr>
        <w:t> </w:t>
      </w:r>
      <w:r>
        <w:rPr/>
        <w:t>of</w:t>
      </w:r>
      <w:r>
        <w:rPr>
          <w:spacing w:val="39"/>
        </w:rPr>
        <w:t> </w:t>
      </w:r>
      <w:r>
        <w:rPr/>
        <w:t>Medical</w:t>
      </w:r>
      <w:r>
        <w:rPr>
          <w:spacing w:val="38"/>
        </w:rPr>
        <w:t> </w:t>
      </w:r>
      <w:r>
        <w:rPr/>
        <w:t>Physiology.</w:t>
      </w:r>
      <w:r>
        <w:rPr>
          <w:spacing w:val="38"/>
        </w:rPr>
        <w:t> </w:t>
      </w:r>
      <w:r>
        <w:rPr/>
        <w:t>Thieme.</w:t>
      </w:r>
      <w:r>
        <w:rPr>
          <w:spacing w:val="39"/>
        </w:rPr>
        <w:t> </w:t>
      </w:r>
      <w:r>
        <w:rPr/>
        <w:t>CBS</w:t>
      </w:r>
      <w:r>
        <w:rPr>
          <w:spacing w:val="38"/>
        </w:rPr>
        <w:t> </w:t>
      </w:r>
      <w:r>
        <w:rPr/>
        <w:t>Publishers</w:t>
      </w:r>
      <w:r>
        <w:rPr>
          <w:spacing w:val="39"/>
        </w:rPr>
        <w:t> </w:t>
      </w:r>
      <w:r>
        <w:rPr/>
        <w:t>and</w:t>
      </w:r>
      <w:r>
        <w:rPr>
          <w:spacing w:val="38"/>
        </w:rPr>
        <w:t> </w:t>
      </w:r>
      <w:r>
        <w:rPr/>
        <w:t>Distributors,</w:t>
      </w:r>
    </w:p>
    <w:p>
      <w:pPr>
        <w:pStyle w:val="BodyText"/>
        <w:spacing w:before="32"/>
        <w:ind w:left="1100"/>
      </w:pPr>
      <w:r>
        <w:rPr/>
        <w:t>Delhi</w:t>
      </w:r>
      <w:r>
        <w:rPr>
          <w:i/>
        </w:rPr>
        <w:t>,</w:t>
      </w:r>
      <w:r>
        <w:rPr>
          <w:i/>
          <w:spacing w:val="-7"/>
        </w:rPr>
        <w:t> </w:t>
      </w:r>
      <w:r>
        <w:rPr>
          <w:spacing w:val="-4"/>
        </w:rPr>
        <w:t>309.</w:t>
      </w:r>
    </w:p>
    <w:p>
      <w:pPr>
        <w:pStyle w:val="BodyText"/>
        <w:spacing w:line="261" w:lineRule="auto" w:before="218"/>
        <w:ind w:left="1100" w:right="976" w:hanging="720"/>
        <w:jc w:val="both"/>
      </w:pPr>
      <w:r>
        <w:rPr/>
        <w:t>Sakon, J., Liao, H. H., Kanikula, A. M., Benning, M. M., Rayment, I., and Holden, H. M. (1993). Molecular structure of kanamycin nucleotidyltransferase determined to 3.0-A resolution. </w:t>
      </w:r>
      <w:r>
        <w:rPr>
          <w:i/>
        </w:rPr>
        <w:t>Biochemistry, </w:t>
      </w:r>
      <w:r>
        <w:rPr/>
        <w:t>32 (45): 1977–84.</w:t>
      </w:r>
    </w:p>
    <w:p>
      <w:pPr>
        <w:pStyle w:val="BodyText"/>
        <w:spacing w:line="259" w:lineRule="auto" w:before="193"/>
        <w:ind w:left="1100" w:right="980" w:hanging="720"/>
        <w:jc w:val="both"/>
      </w:pPr>
      <w:r>
        <w:rPr/>
        <w:t>Samie, A., Obi, C. L., Bessong, P. O., and Namrita, L. (2005). Activity profiles of fourteen selected medicinal plants from Yenda communities in South Africa against fifteen Clinical Bacterial species. </w:t>
      </w:r>
      <w:r>
        <w:rPr>
          <w:i/>
        </w:rPr>
        <w:t>African Journal of Biotechnology</w:t>
      </w:r>
      <w:r>
        <w:rPr/>
        <w:t>, 4 (12): 1443-1451.</w:t>
      </w:r>
    </w:p>
    <w:p>
      <w:pPr>
        <w:spacing w:line="259" w:lineRule="auto" w:before="198"/>
        <w:ind w:left="1100" w:right="974" w:hanging="720"/>
        <w:jc w:val="both"/>
        <w:rPr>
          <w:i/>
          <w:sz w:val="22"/>
        </w:rPr>
      </w:pPr>
      <w:r>
        <w:rPr>
          <w:sz w:val="22"/>
        </w:rPr>
        <w:t>Schneider, K., and Garrett, L. (2009). </w:t>
      </w:r>
      <w:hyperlink r:id="rId371">
        <w:r>
          <w:rPr>
            <w:i/>
            <w:sz w:val="22"/>
          </w:rPr>
          <w:t>Non-therapeutic Use of Antibiotics in Animal Agriculture,</w:t>
        </w:r>
      </w:hyperlink>
      <w:r>
        <w:rPr>
          <w:i/>
          <w:sz w:val="22"/>
        </w:rPr>
        <w:t> </w:t>
      </w:r>
      <w:hyperlink r:id="rId371">
        <w:r>
          <w:rPr>
            <w:i/>
            <w:sz w:val="22"/>
          </w:rPr>
          <w:t>Corresponding</w:t>
        </w:r>
        <w:r>
          <w:rPr>
            <w:i/>
            <w:spacing w:val="72"/>
            <w:sz w:val="22"/>
          </w:rPr>
          <w:t> </w:t>
        </w:r>
        <w:r>
          <w:rPr>
            <w:i/>
            <w:sz w:val="22"/>
          </w:rPr>
          <w:t>Resistance</w:t>
        </w:r>
        <w:r>
          <w:rPr>
            <w:i/>
            <w:spacing w:val="70"/>
            <w:sz w:val="22"/>
          </w:rPr>
          <w:t> </w:t>
        </w:r>
        <w:r>
          <w:rPr>
            <w:i/>
            <w:sz w:val="22"/>
          </w:rPr>
          <w:t>Rates,</w:t>
        </w:r>
        <w:r>
          <w:rPr>
            <w:i/>
            <w:spacing w:val="73"/>
            <w:sz w:val="22"/>
          </w:rPr>
          <w:t> </w:t>
        </w:r>
        <w:r>
          <w:rPr>
            <w:i/>
            <w:sz w:val="22"/>
          </w:rPr>
          <w:t>and</w:t>
        </w:r>
        <w:r>
          <w:rPr>
            <w:i/>
            <w:spacing w:val="72"/>
            <w:sz w:val="22"/>
          </w:rPr>
          <w:t> </w:t>
        </w:r>
        <w:r>
          <w:rPr>
            <w:i/>
            <w:sz w:val="22"/>
          </w:rPr>
          <w:t>What</w:t>
        </w:r>
        <w:r>
          <w:rPr>
            <w:i/>
            <w:spacing w:val="73"/>
            <w:sz w:val="22"/>
          </w:rPr>
          <w:t> </w:t>
        </w:r>
        <w:r>
          <w:rPr>
            <w:i/>
            <w:sz w:val="22"/>
          </w:rPr>
          <w:t>Can</w:t>
        </w:r>
        <w:r>
          <w:rPr>
            <w:i/>
            <w:spacing w:val="75"/>
            <w:sz w:val="22"/>
          </w:rPr>
          <w:t> </w:t>
        </w:r>
        <w:r>
          <w:rPr>
            <w:i/>
            <w:sz w:val="22"/>
          </w:rPr>
          <w:t>be</w:t>
        </w:r>
        <w:r>
          <w:rPr>
            <w:i/>
            <w:spacing w:val="73"/>
            <w:sz w:val="22"/>
          </w:rPr>
          <w:t> </w:t>
        </w:r>
        <w:r>
          <w:rPr>
            <w:i/>
            <w:sz w:val="22"/>
          </w:rPr>
          <w:t>Done</w:t>
        </w:r>
        <w:r>
          <w:rPr>
            <w:i/>
            <w:spacing w:val="73"/>
            <w:sz w:val="22"/>
          </w:rPr>
          <w:t> </w:t>
        </w:r>
        <w:r>
          <w:rPr>
            <w:i/>
            <w:sz w:val="22"/>
          </w:rPr>
          <w:t>About</w:t>
        </w:r>
        <w:r>
          <w:rPr>
            <w:i/>
            <w:spacing w:val="78"/>
            <w:sz w:val="22"/>
          </w:rPr>
          <w:t> </w:t>
        </w:r>
        <w:r>
          <w:rPr>
            <w:i/>
            <w:sz w:val="22"/>
          </w:rPr>
          <w:t>It</w:t>
        </w:r>
      </w:hyperlink>
      <w:r>
        <w:rPr>
          <w:sz w:val="22"/>
        </w:rPr>
        <w:t>.</w:t>
      </w:r>
      <w:r>
        <w:rPr>
          <w:spacing w:val="72"/>
          <w:sz w:val="22"/>
        </w:rPr>
        <w:t> </w:t>
      </w:r>
      <w:r>
        <w:rPr>
          <w:i/>
          <w:sz w:val="22"/>
        </w:rPr>
        <w:t>Center</w:t>
      </w:r>
      <w:r>
        <w:rPr>
          <w:i/>
          <w:spacing w:val="74"/>
          <w:sz w:val="22"/>
        </w:rPr>
        <w:t> </w:t>
      </w:r>
      <w:r>
        <w:rPr>
          <w:i/>
          <w:sz w:val="22"/>
        </w:rPr>
        <w:t>for</w:t>
      </w:r>
      <w:r>
        <w:rPr>
          <w:i/>
          <w:spacing w:val="73"/>
          <w:sz w:val="22"/>
        </w:rPr>
        <w:t> </w:t>
      </w:r>
      <w:r>
        <w:rPr>
          <w:i/>
          <w:sz w:val="22"/>
        </w:rPr>
        <w:t>Global</w:t>
      </w:r>
    </w:p>
    <w:p>
      <w:pPr>
        <w:spacing w:after="0" w:line="259" w:lineRule="auto"/>
        <w:jc w:val="both"/>
        <w:rPr>
          <w:sz w:val="22"/>
        </w:rPr>
        <w:sectPr>
          <w:pgSz w:w="11910" w:h="16840"/>
          <w:pgMar w:header="0" w:footer="1055" w:top="1380" w:bottom="1240" w:left="1060" w:right="460"/>
        </w:sectPr>
      </w:pPr>
    </w:p>
    <w:p>
      <w:pPr>
        <w:pStyle w:val="BodyText"/>
        <w:tabs>
          <w:tab w:pos="3188" w:val="left" w:leader="none"/>
          <w:tab w:pos="4899" w:val="left" w:leader="none"/>
          <w:tab w:pos="6667" w:val="left" w:leader="none"/>
          <w:tab w:pos="7680" w:val="left" w:leader="none"/>
          <w:tab w:pos="8970" w:val="left" w:leader="none"/>
        </w:tabs>
        <w:spacing w:line="261" w:lineRule="auto" w:before="38"/>
        <w:ind w:left="1100" w:right="978"/>
        <w:jc w:val="both"/>
      </w:pPr>
      <w:r>
        <w:rPr>
          <w:i/>
          <w:spacing w:val="-2"/>
        </w:rPr>
        <w:t>Development</w:t>
      </w:r>
      <w:r>
        <w:rPr>
          <w:spacing w:val="-2"/>
        </w:rPr>
        <w:t>.</w:t>
      </w:r>
      <w:r>
        <w:rPr/>
        <w:tab/>
      </w:r>
      <w:r>
        <w:rPr>
          <w:spacing w:val="-2"/>
        </w:rPr>
        <w:t>Retrieved</w:t>
      </w:r>
      <w:r>
        <w:rPr/>
        <w:tab/>
      </w:r>
      <w:r>
        <w:rPr>
          <w:spacing w:val="-2"/>
        </w:rPr>
        <w:t>December</w:t>
      </w:r>
      <w:r>
        <w:rPr/>
        <w:tab/>
      </w:r>
      <w:r>
        <w:rPr>
          <w:spacing w:val="-6"/>
        </w:rPr>
        <w:t>5,</w:t>
      </w:r>
      <w:r>
        <w:rPr/>
        <w:tab/>
      </w:r>
      <w:r>
        <w:rPr>
          <w:spacing w:val="-4"/>
        </w:rPr>
        <w:t>2012</w:t>
      </w:r>
      <w:r>
        <w:rPr/>
        <w:tab/>
      </w:r>
      <w:r>
        <w:rPr>
          <w:spacing w:val="-4"/>
        </w:rPr>
        <w:t>from </w:t>
      </w:r>
      <w:hyperlink r:id="rId372">
        <w:r>
          <w:rPr>
            <w:spacing w:val="-2"/>
          </w:rPr>
          <w:t>http://www.cgdev.org/content/article/detail/1422307.</w:t>
        </w:r>
      </w:hyperlink>
    </w:p>
    <w:p>
      <w:pPr>
        <w:pStyle w:val="BodyText"/>
        <w:spacing w:line="261" w:lineRule="auto" w:before="195"/>
        <w:ind w:left="1100" w:right="978" w:hanging="720"/>
        <w:jc w:val="both"/>
      </w:pPr>
      <w:r>
        <w:rPr/>
        <w:t>Schoffro, M. (2012). </w:t>
      </w:r>
      <w:r>
        <w:rPr>
          <w:i/>
        </w:rPr>
        <w:t>The healing powers of lemons</w:t>
      </w:r>
      <w:r>
        <w:rPr/>
        <w:t>. Retrieved February 2, 2012 from </w:t>
      </w:r>
      <w:hyperlink r:id="rId373">
        <w:r>
          <w:rPr>
            <w:spacing w:val="-2"/>
          </w:rPr>
          <w:t>http://www.care2.com/greenliving/13-healing-powers-of-lemons.html.</w:t>
        </w:r>
      </w:hyperlink>
    </w:p>
    <w:p>
      <w:pPr>
        <w:spacing w:line="259" w:lineRule="auto" w:before="195"/>
        <w:ind w:left="1100" w:right="978" w:hanging="720"/>
        <w:jc w:val="both"/>
        <w:rPr>
          <w:sz w:val="22"/>
        </w:rPr>
      </w:pPr>
      <w:r>
        <w:rPr>
          <w:sz w:val="22"/>
        </w:rPr>
        <w:t>Science Daily (2012). </w:t>
      </w:r>
      <w:r>
        <w:rPr>
          <w:i/>
          <w:sz w:val="22"/>
        </w:rPr>
        <w:t>Antimicrobial (Drug) Resistance</w:t>
      </w:r>
      <w:r>
        <w:rPr>
          <w:sz w:val="22"/>
        </w:rPr>
        <w:t>. Retrieved August 8, 2012 from </w:t>
      </w:r>
      <w:hyperlink r:id="rId374">
        <w:r>
          <w:rPr>
            <w:spacing w:val="-2"/>
            <w:sz w:val="22"/>
          </w:rPr>
          <w:t>http://www.sciencedaily.com/articles/a/antibiotic_resistance.htm.</w:t>
        </w:r>
      </w:hyperlink>
    </w:p>
    <w:p>
      <w:pPr>
        <w:spacing w:line="259" w:lineRule="auto" w:before="200"/>
        <w:ind w:left="1100" w:right="980" w:hanging="720"/>
        <w:jc w:val="both"/>
        <w:rPr>
          <w:sz w:val="22"/>
        </w:rPr>
      </w:pPr>
      <w:r>
        <w:rPr>
          <w:sz w:val="22"/>
        </w:rPr>
        <w:t>Sharma, S. (2006). </w:t>
      </w:r>
      <w:r>
        <w:rPr>
          <w:i/>
          <w:sz w:val="22"/>
        </w:rPr>
        <w:t>Streptococcus: Group A Infections</w:t>
      </w:r>
      <w:r>
        <w:rPr>
          <w:sz w:val="22"/>
        </w:rPr>
        <w:t>. Retrieved May 30, 2013 from </w:t>
      </w:r>
      <w:hyperlink r:id="rId375">
        <w:r>
          <w:rPr>
            <w:spacing w:val="-2"/>
            <w:sz w:val="22"/>
          </w:rPr>
          <w:t>http://www.emedicine.com/med/topic2184.htm.</w:t>
        </w:r>
      </w:hyperlink>
    </w:p>
    <w:p>
      <w:pPr>
        <w:spacing w:line="261" w:lineRule="auto" w:before="197"/>
        <w:ind w:left="1100" w:right="972" w:hanging="720"/>
        <w:jc w:val="both"/>
        <w:rPr>
          <w:sz w:val="22"/>
        </w:rPr>
      </w:pPr>
      <w:r>
        <w:rPr>
          <w:sz w:val="22"/>
        </w:rPr>
        <w:t>Sherlock, O.,</w:t>
      </w:r>
      <w:r>
        <w:rPr>
          <w:spacing w:val="-1"/>
          <w:sz w:val="22"/>
        </w:rPr>
        <w:t> </w:t>
      </w:r>
      <w:r>
        <w:rPr>
          <w:sz w:val="22"/>
        </w:rPr>
        <w:t>Dolan, A.,</w:t>
      </w:r>
      <w:r>
        <w:rPr>
          <w:spacing w:val="-1"/>
          <w:sz w:val="22"/>
        </w:rPr>
        <w:t> </w:t>
      </w:r>
      <w:r>
        <w:rPr>
          <w:sz w:val="22"/>
        </w:rPr>
        <w:t>Athman, R.,</w:t>
      </w:r>
      <w:r>
        <w:rPr>
          <w:spacing w:val="-1"/>
          <w:sz w:val="22"/>
        </w:rPr>
        <w:t> </w:t>
      </w:r>
      <w:r>
        <w:rPr>
          <w:sz w:val="22"/>
        </w:rPr>
        <w:t>Power, A., Gethin,</w:t>
      </w:r>
      <w:r>
        <w:rPr>
          <w:spacing w:val="-1"/>
          <w:sz w:val="22"/>
        </w:rPr>
        <w:t> </w:t>
      </w:r>
      <w:r>
        <w:rPr>
          <w:sz w:val="22"/>
        </w:rPr>
        <w:t>G., and Cowman,</w:t>
      </w:r>
      <w:r>
        <w:rPr>
          <w:spacing w:val="-1"/>
          <w:sz w:val="22"/>
        </w:rPr>
        <w:t> </w:t>
      </w:r>
      <w:r>
        <w:rPr>
          <w:sz w:val="22"/>
        </w:rPr>
        <w:t>S. (2010). Comparison</w:t>
      </w:r>
      <w:r>
        <w:rPr>
          <w:spacing w:val="-2"/>
          <w:sz w:val="22"/>
        </w:rPr>
        <w:t> </w:t>
      </w:r>
      <w:r>
        <w:rPr>
          <w:sz w:val="22"/>
        </w:rPr>
        <w:t>of the antimicrobial activity of ulmo honey from Chile and manuka honey against methicillin- resistant </w:t>
      </w:r>
      <w:r>
        <w:rPr>
          <w:i/>
          <w:sz w:val="22"/>
        </w:rPr>
        <w:t>Staphylococcus aureus</w:t>
      </w:r>
      <w:r>
        <w:rPr>
          <w:sz w:val="22"/>
        </w:rPr>
        <w:t>, </w:t>
      </w:r>
      <w:r>
        <w:rPr>
          <w:i/>
          <w:sz w:val="22"/>
        </w:rPr>
        <w:t>Escherichia coli </w:t>
      </w:r>
      <w:r>
        <w:rPr>
          <w:sz w:val="22"/>
        </w:rPr>
        <w:t>and </w:t>
      </w:r>
      <w:r>
        <w:rPr>
          <w:i/>
          <w:sz w:val="22"/>
        </w:rPr>
        <w:t>Pseudomonas aeruginosa</w:t>
      </w:r>
      <w:r>
        <w:rPr>
          <w:sz w:val="22"/>
        </w:rPr>
        <w:t>. </w:t>
      </w:r>
      <w:r>
        <w:rPr>
          <w:i/>
          <w:sz w:val="22"/>
        </w:rPr>
        <w:t>BioMed Central Complement and Alternative Medicine</w:t>
      </w:r>
      <w:r>
        <w:rPr>
          <w:sz w:val="22"/>
        </w:rPr>
        <w:t>, 10, 47.</w:t>
      </w:r>
    </w:p>
    <w:p>
      <w:pPr>
        <w:pStyle w:val="BodyText"/>
        <w:spacing w:before="191"/>
        <w:ind w:left="380"/>
      </w:pPr>
      <w:r>
        <w:rPr/>
        <w:t>Sherman,</w:t>
      </w:r>
      <w:r>
        <w:rPr>
          <w:spacing w:val="53"/>
        </w:rPr>
        <w:t> </w:t>
      </w:r>
      <w:r>
        <w:rPr/>
        <w:t>P.,</w:t>
      </w:r>
      <w:r>
        <w:rPr>
          <w:spacing w:val="56"/>
        </w:rPr>
        <w:t> </w:t>
      </w:r>
      <w:r>
        <w:rPr/>
        <w:t>and</w:t>
      </w:r>
      <w:r>
        <w:rPr>
          <w:spacing w:val="58"/>
        </w:rPr>
        <w:t> </w:t>
      </w:r>
      <w:r>
        <w:rPr/>
        <w:t>Billing,</w:t>
      </w:r>
      <w:r>
        <w:rPr>
          <w:spacing w:val="59"/>
        </w:rPr>
        <w:t> </w:t>
      </w:r>
      <w:r>
        <w:rPr/>
        <w:t>J.</w:t>
      </w:r>
      <w:r>
        <w:rPr>
          <w:spacing w:val="58"/>
        </w:rPr>
        <w:t> </w:t>
      </w:r>
      <w:r>
        <w:rPr/>
        <w:t>(1999).”The</w:t>
      </w:r>
      <w:r>
        <w:rPr>
          <w:spacing w:val="57"/>
        </w:rPr>
        <w:t> </w:t>
      </w:r>
      <w:r>
        <w:rPr/>
        <w:t>Antimicrobial</w:t>
      </w:r>
      <w:r>
        <w:rPr>
          <w:spacing w:val="58"/>
        </w:rPr>
        <w:t> </w:t>
      </w:r>
      <w:r>
        <w:rPr/>
        <w:t>Powers</w:t>
      </w:r>
      <w:r>
        <w:rPr>
          <w:spacing w:val="56"/>
        </w:rPr>
        <w:t> </w:t>
      </w:r>
      <w:r>
        <w:rPr/>
        <w:t>of</w:t>
      </w:r>
      <w:r>
        <w:rPr>
          <w:spacing w:val="58"/>
        </w:rPr>
        <w:t> </w:t>
      </w:r>
      <w:r>
        <w:rPr/>
        <w:t>Spices.”</w:t>
      </w:r>
      <w:r>
        <w:rPr>
          <w:spacing w:val="55"/>
        </w:rPr>
        <w:t> </w:t>
      </w:r>
      <w:r>
        <w:rPr/>
        <w:t>Why</w:t>
      </w:r>
      <w:r>
        <w:rPr>
          <w:spacing w:val="57"/>
        </w:rPr>
        <w:t> </w:t>
      </w:r>
      <w:r>
        <w:rPr/>
        <w:t>we</w:t>
      </w:r>
      <w:r>
        <w:rPr>
          <w:spacing w:val="57"/>
        </w:rPr>
        <w:t> </w:t>
      </w:r>
      <w:r>
        <w:rPr/>
        <w:t>use</w:t>
      </w:r>
      <w:r>
        <w:rPr>
          <w:spacing w:val="59"/>
        </w:rPr>
        <w:t> </w:t>
      </w:r>
      <w:r>
        <w:rPr>
          <w:spacing w:val="-2"/>
        </w:rPr>
        <w:t>spices?</w:t>
      </w:r>
    </w:p>
    <w:p>
      <w:pPr>
        <w:spacing w:before="22"/>
        <w:ind w:left="1100" w:right="0" w:firstLine="0"/>
        <w:jc w:val="both"/>
        <w:rPr>
          <w:sz w:val="22"/>
        </w:rPr>
      </w:pPr>
      <w:r>
        <w:rPr>
          <w:i/>
          <w:sz w:val="22"/>
        </w:rPr>
        <w:t>Bioscience</w:t>
      </w:r>
      <w:r>
        <w:rPr>
          <w:sz w:val="22"/>
        </w:rPr>
        <w:t>,</w:t>
      </w:r>
      <w:r>
        <w:rPr>
          <w:spacing w:val="-8"/>
          <w:sz w:val="22"/>
        </w:rPr>
        <w:t> </w:t>
      </w:r>
      <w:r>
        <w:rPr>
          <w:sz w:val="22"/>
        </w:rPr>
        <w:t>49</w:t>
      </w:r>
      <w:r>
        <w:rPr>
          <w:spacing w:val="-6"/>
          <w:sz w:val="22"/>
        </w:rPr>
        <w:t> </w:t>
      </w:r>
      <w:r>
        <w:rPr>
          <w:sz w:val="22"/>
        </w:rPr>
        <w:t>(6):</w:t>
      </w:r>
      <w:r>
        <w:rPr>
          <w:spacing w:val="-5"/>
          <w:sz w:val="22"/>
        </w:rPr>
        <w:t> </w:t>
      </w:r>
      <w:r>
        <w:rPr>
          <w:spacing w:val="-4"/>
          <w:sz w:val="22"/>
        </w:rPr>
        <w:t>453.</w:t>
      </w:r>
    </w:p>
    <w:p>
      <w:pPr>
        <w:spacing w:line="259" w:lineRule="auto" w:before="221"/>
        <w:ind w:left="1100" w:right="980" w:hanging="720"/>
        <w:jc w:val="both"/>
        <w:rPr>
          <w:sz w:val="22"/>
        </w:rPr>
      </w:pPr>
      <w:r>
        <w:rPr>
          <w:sz w:val="22"/>
        </w:rPr>
        <w:t>Shine (2008). </w:t>
      </w:r>
      <w:hyperlink r:id="rId376">
        <w:r>
          <w:rPr>
            <w:i/>
            <w:sz w:val="22"/>
          </w:rPr>
          <w:t>6 ingredients for a green, clean home</w:t>
        </w:r>
        <w:r>
          <w:rPr>
            <w:sz w:val="22"/>
          </w:rPr>
          <w:t>.</w:t>
        </w:r>
      </w:hyperlink>
      <w:r>
        <w:rPr>
          <w:sz w:val="22"/>
        </w:rPr>
        <w:t> Retrieved March 21, 2012 from </w:t>
      </w:r>
      <w:r>
        <w:rPr>
          <w:spacing w:val="-2"/>
          <w:sz w:val="22"/>
        </w:rPr>
        <w:t>https://shine.yahoo.com/work-money/6-ingredients-for-a-green-clean-home-155345.html.</w:t>
      </w:r>
    </w:p>
    <w:p>
      <w:pPr>
        <w:pStyle w:val="BodyText"/>
        <w:spacing w:line="261" w:lineRule="auto" w:before="197"/>
        <w:ind w:left="1100" w:right="974" w:hanging="720"/>
        <w:jc w:val="both"/>
      </w:pPr>
      <w:r>
        <w:rPr/>
        <w:t>Siemieniuk, R. A. C., Gregson, D. B., and Gill, M. J. (2011). </w:t>
      </w:r>
      <w:hyperlink r:id="rId377">
        <w:r>
          <w:rPr/>
          <w:t>The persisting burden of invasive</w:t>
        </w:r>
      </w:hyperlink>
      <w:r>
        <w:rPr/>
        <w:t> </w:t>
      </w:r>
      <w:hyperlink r:id="rId377">
        <w:r>
          <w:rPr/>
          <w:t>pneumococcal disease in HIV patients: an observational cohort study</w:t>
        </w:r>
      </w:hyperlink>
      <w:r>
        <w:rPr/>
        <w:t>. </w:t>
      </w:r>
      <w:r>
        <w:rPr>
          <w:i/>
        </w:rPr>
        <w:t>BioMed Central Infectious Diseases, </w:t>
      </w:r>
      <w:r>
        <w:rPr/>
        <w:t>11, 314.</w:t>
      </w:r>
    </w:p>
    <w:p>
      <w:pPr>
        <w:pStyle w:val="BodyText"/>
        <w:spacing w:line="261" w:lineRule="auto" w:before="193"/>
        <w:ind w:left="1100" w:right="975" w:hanging="720"/>
        <w:jc w:val="both"/>
      </w:pPr>
      <w:r>
        <w:rPr/>
        <w:t>Silveira, F. A., Melo, G. A. R., and Almeida, E. A. B. (2002). A High Grassland Bee Community in Southern Brazil: Survey and Annotated checklist (Insecta:Apidae). </w:t>
      </w:r>
      <w:r>
        <w:rPr>
          <w:i/>
        </w:rPr>
        <w:t>Journal of Kansas Entomological Society</w:t>
      </w:r>
      <w:r>
        <w:rPr/>
        <w:t>, 85(4): 295-308.</w:t>
      </w:r>
    </w:p>
    <w:p>
      <w:pPr>
        <w:spacing w:line="259" w:lineRule="auto" w:before="192"/>
        <w:ind w:left="1100" w:right="978" w:hanging="720"/>
        <w:jc w:val="both"/>
        <w:rPr>
          <w:sz w:val="22"/>
        </w:rPr>
      </w:pPr>
      <w:r>
        <w:rPr>
          <w:sz w:val="22"/>
        </w:rPr>
        <w:t>Sing,</w:t>
      </w:r>
      <w:r>
        <w:rPr>
          <w:spacing w:val="-1"/>
          <w:sz w:val="22"/>
        </w:rPr>
        <w:t> </w:t>
      </w:r>
      <w:r>
        <w:rPr>
          <w:sz w:val="22"/>
        </w:rPr>
        <w:t>A.,</w:t>
      </w:r>
      <w:r>
        <w:rPr>
          <w:spacing w:val="-1"/>
          <w:sz w:val="22"/>
        </w:rPr>
        <w:t> </w:t>
      </w:r>
      <w:r>
        <w:rPr>
          <w:sz w:val="22"/>
        </w:rPr>
        <w:t>Tuschak,</w:t>
      </w:r>
      <w:r>
        <w:rPr>
          <w:spacing w:val="-1"/>
          <w:sz w:val="22"/>
        </w:rPr>
        <w:t> </w:t>
      </w:r>
      <w:r>
        <w:rPr>
          <w:sz w:val="22"/>
        </w:rPr>
        <w:t>C.,</w:t>
      </w:r>
      <w:r>
        <w:rPr>
          <w:spacing w:val="-1"/>
          <w:sz w:val="22"/>
        </w:rPr>
        <w:t> </w:t>
      </w:r>
      <w:r>
        <w:rPr>
          <w:sz w:val="22"/>
        </w:rPr>
        <w:t>and Hoermansdorfer,</w:t>
      </w:r>
      <w:r>
        <w:rPr>
          <w:spacing w:val="-1"/>
          <w:sz w:val="22"/>
        </w:rPr>
        <w:t> </w:t>
      </w:r>
      <w:r>
        <w:rPr>
          <w:sz w:val="22"/>
        </w:rPr>
        <w:t>S.</w:t>
      </w:r>
      <w:r>
        <w:rPr>
          <w:spacing w:val="-2"/>
          <w:sz w:val="22"/>
        </w:rPr>
        <w:t> </w:t>
      </w:r>
      <w:r>
        <w:rPr>
          <w:sz w:val="22"/>
        </w:rPr>
        <w:t>(2008).</w:t>
      </w:r>
      <w:r>
        <w:rPr>
          <w:spacing w:val="-3"/>
          <w:sz w:val="22"/>
        </w:rPr>
        <w:t> </w:t>
      </w:r>
      <w:r>
        <w:rPr>
          <w:sz w:val="22"/>
        </w:rPr>
        <w:t>Methicillin-Resistant </w:t>
      </w:r>
      <w:r>
        <w:rPr>
          <w:i/>
          <w:sz w:val="22"/>
        </w:rPr>
        <w:t>Staphylococcus aureus</w:t>
      </w:r>
      <w:r>
        <w:rPr>
          <w:i/>
          <w:spacing w:val="-1"/>
          <w:sz w:val="22"/>
        </w:rPr>
        <w:t> </w:t>
      </w:r>
      <w:r>
        <w:rPr>
          <w:sz w:val="22"/>
        </w:rPr>
        <w:t>in</w:t>
      </w:r>
      <w:r>
        <w:rPr>
          <w:spacing w:val="-3"/>
          <w:sz w:val="22"/>
        </w:rPr>
        <w:t> </w:t>
      </w:r>
      <w:r>
        <w:rPr>
          <w:sz w:val="22"/>
        </w:rPr>
        <w:t>a Family and Its Pet Cat. </w:t>
      </w:r>
      <w:r>
        <w:rPr>
          <w:i/>
          <w:sz w:val="22"/>
        </w:rPr>
        <w:t>New England Journal of Medicine, </w:t>
      </w:r>
      <w:r>
        <w:rPr>
          <w:sz w:val="22"/>
        </w:rPr>
        <w:t>358: 1200-1201.</w:t>
      </w:r>
    </w:p>
    <w:p>
      <w:pPr>
        <w:spacing w:line="261" w:lineRule="auto" w:before="197"/>
        <w:ind w:left="1100" w:right="976" w:hanging="720"/>
        <w:jc w:val="both"/>
        <w:rPr>
          <w:sz w:val="22"/>
        </w:rPr>
      </w:pPr>
      <w:r>
        <w:rPr>
          <w:sz w:val="22"/>
        </w:rPr>
        <w:t>Slack, M. P.,</w:t>
      </w:r>
      <w:r>
        <w:rPr>
          <w:spacing w:val="-1"/>
          <w:sz w:val="22"/>
        </w:rPr>
        <w:t> </w:t>
      </w:r>
      <w:r>
        <w:rPr>
          <w:sz w:val="22"/>
        </w:rPr>
        <w:t>McVernon, J., Trotter, C. L., and Ramsay, M. E. (1998). Enhanced surveillance of invasive </w:t>
      </w:r>
      <w:r>
        <w:rPr>
          <w:i/>
          <w:sz w:val="22"/>
        </w:rPr>
        <w:t>Haemophilus influenzae </w:t>
      </w:r>
      <w:r>
        <w:rPr>
          <w:sz w:val="22"/>
        </w:rPr>
        <w:t>disease in England, 1990 to 1996: impact of conjugate vaccines. </w:t>
      </w:r>
      <w:r>
        <w:rPr>
          <w:i/>
          <w:sz w:val="22"/>
        </w:rPr>
        <w:t>Pediatric Infectious Diseases Journal, </w:t>
      </w:r>
      <w:r>
        <w:rPr>
          <w:sz w:val="22"/>
        </w:rPr>
        <w:t>17 (9): 204-7.</w:t>
      </w:r>
    </w:p>
    <w:p>
      <w:pPr>
        <w:spacing w:before="193"/>
        <w:ind w:left="380" w:right="0" w:firstLine="0"/>
        <w:jc w:val="left"/>
        <w:rPr>
          <w:sz w:val="22"/>
        </w:rPr>
      </w:pPr>
      <w:r>
        <w:rPr>
          <w:sz w:val="22"/>
        </w:rPr>
        <w:t>Smiley,</w:t>
      </w:r>
      <w:r>
        <w:rPr>
          <w:spacing w:val="32"/>
          <w:sz w:val="22"/>
        </w:rPr>
        <w:t> </w:t>
      </w:r>
      <w:r>
        <w:rPr>
          <w:sz w:val="22"/>
        </w:rPr>
        <w:t>A.,</w:t>
      </w:r>
      <w:r>
        <w:rPr>
          <w:spacing w:val="35"/>
          <w:sz w:val="22"/>
        </w:rPr>
        <w:t> </w:t>
      </w:r>
      <w:r>
        <w:rPr>
          <w:sz w:val="22"/>
        </w:rPr>
        <w:t>and</w:t>
      </w:r>
      <w:r>
        <w:rPr>
          <w:spacing w:val="34"/>
          <w:sz w:val="22"/>
        </w:rPr>
        <w:t> </w:t>
      </w:r>
      <w:r>
        <w:rPr>
          <w:sz w:val="22"/>
        </w:rPr>
        <w:t>Hassett,</w:t>
      </w:r>
      <w:r>
        <w:rPr>
          <w:spacing w:val="33"/>
          <w:sz w:val="22"/>
        </w:rPr>
        <w:t> </w:t>
      </w:r>
      <w:r>
        <w:rPr>
          <w:sz w:val="22"/>
        </w:rPr>
        <w:t>D.</w:t>
      </w:r>
      <w:r>
        <w:rPr>
          <w:spacing w:val="34"/>
          <w:sz w:val="22"/>
        </w:rPr>
        <w:t> </w:t>
      </w:r>
      <w:r>
        <w:rPr>
          <w:sz w:val="22"/>
        </w:rPr>
        <w:t>(2006).</w:t>
      </w:r>
      <w:r>
        <w:rPr>
          <w:spacing w:val="35"/>
          <w:sz w:val="22"/>
        </w:rPr>
        <w:t> </w:t>
      </w:r>
      <w:r>
        <w:rPr>
          <w:i/>
          <w:sz w:val="22"/>
        </w:rPr>
        <w:t>Pseudomonas</w:t>
      </w:r>
      <w:r>
        <w:rPr>
          <w:i/>
          <w:spacing w:val="33"/>
          <w:sz w:val="22"/>
        </w:rPr>
        <w:t> </w:t>
      </w:r>
      <w:r>
        <w:rPr>
          <w:i/>
          <w:sz w:val="22"/>
        </w:rPr>
        <w:t>aeruginosa</w:t>
      </w:r>
      <w:r>
        <w:rPr>
          <w:i/>
          <w:spacing w:val="35"/>
          <w:sz w:val="22"/>
        </w:rPr>
        <w:t> </w:t>
      </w:r>
      <w:r>
        <w:rPr>
          <w:sz w:val="22"/>
        </w:rPr>
        <w:t>Biofilm</w:t>
      </w:r>
      <w:r>
        <w:rPr>
          <w:spacing w:val="36"/>
          <w:sz w:val="22"/>
        </w:rPr>
        <w:t> </w:t>
      </w:r>
      <w:r>
        <w:rPr>
          <w:sz w:val="22"/>
        </w:rPr>
        <w:t>Infections</w:t>
      </w:r>
      <w:r>
        <w:rPr>
          <w:spacing w:val="35"/>
          <w:sz w:val="22"/>
        </w:rPr>
        <w:t> </w:t>
      </w:r>
      <w:r>
        <w:rPr>
          <w:sz w:val="22"/>
        </w:rPr>
        <w:t>in</w:t>
      </w:r>
      <w:r>
        <w:rPr>
          <w:spacing w:val="34"/>
          <w:sz w:val="22"/>
        </w:rPr>
        <w:t> </w:t>
      </w:r>
      <w:r>
        <w:rPr>
          <w:sz w:val="22"/>
        </w:rPr>
        <w:t>Cystic</w:t>
      </w:r>
      <w:r>
        <w:rPr>
          <w:spacing w:val="35"/>
          <w:sz w:val="22"/>
        </w:rPr>
        <w:t> </w:t>
      </w:r>
      <w:r>
        <w:rPr>
          <w:spacing w:val="-2"/>
          <w:sz w:val="22"/>
        </w:rPr>
        <w:t>Fibrosis.</w:t>
      </w:r>
    </w:p>
    <w:p>
      <w:pPr>
        <w:spacing w:before="25"/>
        <w:ind w:left="1100" w:right="0" w:firstLine="0"/>
        <w:jc w:val="both"/>
        <w:rPr>
          <w:sz w:val="22"/>
        </w:rPr>
      </w:pPr>
      <w:r>
        <w:rPr>
          <w:i/>
          <w:sz w:val="22"/>
        </w:rPr>
        <w:t>Biofilms,</w:t>
      </w:r>
      <w:r>
        <w:rPr>
          <w:i/>
          <w:spacing w:val="-7"/>
          <w:sz w:val="22"/>
        </w:rPr>
        <w:t> </w:t>
      </w:r>
      <w:r>
        <w:rPr>
          <w:i/>
          <w:sz w:val="22"/>
        </w:rPr>
        <w:t>Infection,</w:t>
      </w:r>
      <w:r>
        <w:rPr>
          <w:i/>
          <w:spacing w:val="-10"/>
          <w:sz w:val="22"/>
        </w:rPr>
        <w:t> </w:t>
      </w:r>
      <w:r>
        <w:rPr>
          <w:i/>
          <w:sz w:val="22"/>
        </w:rPr>
        <w:t>and</w:t>
      </w:r>
      <w:r>
        <w:rPr>
          <w:i/>
          <w:spacing w:val="-7"/>
          <w:sz w:val="22"/>
        </w:rPr>
        <w:t> </w:t>
      </w:r>
      <w:r>
        <w:rPr>
          <w:i/>
          <w:sz w:val="22"/>
        </w:rPr>
        <w:t>Antimicrobial</w:t>
      </w:r>
      <w:r>
        <w:rPr>
          <w:i/>
          <w:spacing w:val="-7"/>
          <w:sz w:val="22"/>
        </w:rPr>
        <w:t> </w:t>
      </w:r>
      <w:r>
        <w:rPr>
          <w:i/>
          <w:sz w:val="22"/>
        </w:rPr>
        <w:t>Therapy</w:t>
      </w:r>
      <w:r>
        <w:rPr>
          <w:sz w:val="22"/>
        </w:rPr>
        <w:t>,</w:t>
      </w:r>
      <w:r>
        <w:rPr>
          <w:spacing w:val="-6"/>
          <w:sz w:val="22"/>
        </w:rPr>
        <w:t> </w:t>
      </w:r>
      <w:r>
        <w:rPr>
          <w:sz w:val="22"/>
        </w:rPr>
        <w:t>155-</w:t>
      </w:r>
      <w:r>
        <w:rPr>
          <w:spacing w:val="-4"/>
          <w:sz w:val="22"/>
        </w:rPr>
        <w:t>158.</w:t>
      </w:r>
    </w:p>
    <w:p>
      <w:pPr>
        <w:spacing w:line="259" w:lineRule="auto" w:before="218"/>
        <w:ind w:left="1100" w:right="974" w:hanging="720"/>
        <w:jc w:val="both"/>
        <w:rPr>
          <w:sz w:val="22"/>
        </w:rPr>
      </w:pPr>
      <w:r>
        <w:rPr>
          <w:sz w:val="22"/>
        </w:rPr>
        <w:t>Sopirala, M. M., Julie, E. M., Wondwossen, A. G., Beth, B., Tammy, B., Joan, M. B., and Preeti, P. (2010). Synergy Testing by E test, Microdilution checkerboard, and Time-kill Methods for Pan-Drug-Resistant</w:t>
      </w:r>
      <w:r>
        <w:rPr>
          <w:spacing w:val="38"/>
          <w:sz w:val="22"/>
        </w:rPr>
        <w:t> </w:t>
      </w:r>
      <w:r>
        <w:rPr>
          <w:i/>
          <w:sz w:val="22"/>
        </w:rPr>
        <w:t>Acinetobacter</w:t>
      </w:r>
      <w:r>
        <w:rPr>
          <w:i/>
          <w:spacing w:val="37"/>
          <w:sz w:val="22"/>
        </w:rPr>
        <w:t> </w:t>
      </w:r>
      <w:r>
        <w:rPr>
          <w:i/>
          <w:sz w:val="22"/>
        </w:rPr>
        <w:t>baumanni</w:t>
      </w:r>
      <w:r>
        <w:rPr>
          <w:sz w:val="22"/>
        </w:rPr>
        <w:t>.</w:t>
      </w:r>
      <w:r>
        <w:rPr>
          <w:spacing w:val="36"/>
          <w:sz w:val="22"/>
        </w:rPr>
        <w:t> </w:t>
      </w:r>
      <w:r>
        <w:rPr>
          <w:i/>
          <w:sz w:val="22"/>
        </w:rPr>
        <w:t>Antimicrobial</w:t>
      </w:r>
      <w:r>
        <w:rPr>
          <w:i/>
          <w:spacing w:val="36"/>
          <w:sz w:val="22"/>
        </w:rPr>
        <w:t> </w:t>
      </w:r>
      <w:r>
        <w:rPr>
          <w:i/>
          <w:sz w:val="22"/>
        </w:rPr>
        <w:t>Agents</w:t>
      </w:r>
      <w:r>
        <w:rPr>
          <w:i/>
          <w:spacing w:val="36"/>
          <w:sz w:val="22"/>
        </w:rPr>
        <w:t> </w:t>
      </w:r>
      <w:r>
        <w:rPr>
          <w:i/>
          <w:sz w:val="22"/>
        </w:rPr>
        <w:t>and</w:t>
      </w:r>
      <w:r>
        <w:rPr>
          <w:i/>
          <w:spacing w:val="35"/>
          <w:sz w:val="22"/>
        </w:rPr>
        <w:t> </w:t>
      </w:r>
      <w:r>
        <w:rPr>
          <w:i/>
          <w:sz w:val="22"/>
        </w:rPr>
        <w:t>Chemotherapy</w:t>
      </w:r>
      <w:r>
        <w:rPr>
          <w:sz w:val="22"/>
        </w:rPr>
        <w:t>,</w:t>
      </w:r>
      <w:r>
        <w:rPr>
          <w:spacing w:val="36"/>
          <w:sz w:val="22"/>
        </w:rPr>
        <w:t> </w:t>
      </w:r>
      <w:r>
        <w:rPr>
          <w:sz w:val="22"/>
        </w:rPr>
        <w:t>54</w:t>
      </w:r>
    </w:p>
    <w:p>
      <w:pPr>
        <w:pStyle w:val="BodyText"/>
        <w:spacing w:before="1"/>
        <w:ind w:left="1100"/>
        <w:jc w:val="both"/>
      </w:pPr>
      <w:r>
        <w:rPr/>
        <w:t>(11):</w:t>
      </w:r>
      <w:r>
        <w:rPr>
          <w:spacing w:val="-8"/>
        </w:rPr>
        <w:t> </w:t>
      </w:r>
      <w:r>
        <w:rPr/>
        <w:t>4678-</w:t>
      </w:r>
      <w:r>
        <w:rPr>
          <w:spacing w:val="-2"/>
        </w:rPr>
        <w:t>4683.</w:t>
      </w:r>
    </w:p>
    <w:p>
      <w:pPr>
        <w:pStyle w:val="BodyText"/>
        <w:spacing w:before="219"/>
        <w:ind w:right="977"/>
        <w:jc w:val="right"/>
      </w:pPr>
      <w:r>
        <w:rPr/>
        <w:t>Spoorti,</w:t>
      </w:r>
      <w:r>
        <w:rPr>
          <w:spacing w:val="14"/>
        </w:rPr>
        <w:t> </w:t>
      </w:r>
      <w:r>
        <w:rPr/>
        <w:t>N.</w:t>
      </w:r>
      <w:r>
        <w:rPr>
          <w:spacing w:val="16"/>
        </w:rPr>
        <w:t> </w:t>
      </w:r>
      <w:r>
        <w:rPr/>
        <w:t>J.,</w:t>
      </w:r>
      <w:r>
        <w:rPr>
          <w:spacing w:val="16"/>
        </w:rPr>
        <w:t> </w:t>
      </w:r>
      <w:r>
        <w:rPr/>
        <w:t>Vishwanatha,</w:t>
      </w:r>
      <w:r>
        <w:rPr>
          <w:spacing w:val="16"/>
        </w:rPr>
        <w:t> </w:t>
      </w:r>
      <w:r>
        <w:rPr/>
        <w:t>T.,</w:t>
      </w:r>
      <w:r>
        <w:rPr>
          <w:spacing w:val="17"/>
        </w:rPr>
        <w:t> </w:t>
      </w:r>
      <w:r>
        <w:rPr/>
        <w:t>Reena,</w:t>
      </w:r>
      <w:r>
        <w:rPr>
          <w:spacing w:val="16"/>
        </w:rPr>
        <w:t> </w:t>
      </w:r>
      <w:r>
        <w:rPr/>
        <w:t>V.,</w:t>
      </w:r>
      <w:r>
        <w:rPr>
          <w:spacing w:val="16"/>
        </w:rPr>
        <w:t> </w:t>
      </w:r>
      <w:r>
        <w:rPr/>
        <w:t>Divyashree,</w:t>
      </w:r>
      <w:r>
        <w:rPr>
          <w:spacing w:val="14"/>
        </w:rPr>
        <w:t> </w:t>
      </w:r>
      <w:r>
        <w:rPr/>
        <w:t>B.</w:t>
      </w:r>
      <w:r>
        <w:rPr>
          <w:spacing w:val="16"/>
        </w:rPr>
        <w:t> </w:t>
      </w:r>
      <w:r>
        <w:rPr/>
        <w:t>C.,</w:t>
      </w:r>
      <w:r>
        <w:rPr>
          <w:spacing w:val="17"/>
        </w:rPr>
        <w:t> </w:t>
      </w:r>
      <w:r>
        <w:rPr/>
        <w:t>Sampath,</w:t>
      </w:r>
      <w:r>
        <w:rPr>
          <w:spacing w:val="16"/>
        </w:rPr>
        <w:t> </w:t>
      </w:r>
      <w:r>
        <w:rPr/>
        <w:t>A.,</w:t>
      </w:r>
      <w:r>
        <w:rPr>
          <w:spacing w:val="16"/>
        </w:rPr>
        <w:t> </w:t>
      </w:r>
      <w:r>
        <w:rPr/>
        <w:t>Siddhalingeshwara,</w:t>
      </w:r>
      <w:r>
        <w:rPr>
          <w:spacing w:val="16"/>
        </w:rPr>
        <w:t> </w:t>
      </w:r>
      <w:r>
        <w:rPr/>
        <w:t>K.</w:t>
      </w:r>
      <w:r>
        <w:rPr>
          <w:spacing w:val="17"/>
        </w:rPr>
        <w:t> </w:t>
      </w:r>
      <w:r>
        <w:rPr>
          <w:spacing w:val="-5"/>
        </w:rPr>
        <w:t>G.,</w:t>
      </w:r>
    </w:p>
    <w:p>
      <w:pPr>
        <w:pStyle w:val="BodyText"/>
        <w:spacing w:before="22"/>
        <w:ind w:right="979"/>
        <w:jc w:val="right"/>
      </w:pPr>
      <w:r>
        <w:rPr/>
        <w:t>…Ramesh,</w:t>
      </w:r>
      <w:r>
        <w:rPr>
          <w:spacing w:val="8"/>
        </w:rPr>
        <w:t> </w:t>
      </w:r>
      <w:r>
        <w:rPr/>
        <w:t>I.</w:t>
      </w:r>
      <w:r>
        <w:rPr>
          <w:spacing w:val="11"/>
        </w:rPr>
        <w:t> </w:t>
      </w:r>
      <w:r>
        <w:rPr/>
        <w:t>(2011).</w:t>
      </w:r>
      <w:r>
        <w:rPr>
          <w:spacing w:val="11"/>
        </w:rPr>
        <w:t> </w:t>
      </w:r>
      <w:r>
        <w:rPr/>
        <w:t>Antibiotic</w:t>
      </w:r>
      <w:r>
        <w:rPr>
          <w:spacing w:val="11"/>
        </w:rPr>
        <w:t> </w:t>
      </w:r>
      <w:r>
        <w:rPr/>
        <w:t>Synergy</w:t>
      </w:r>
      <w:r>
        <w:rPr>
          <w:spacing w:val="12"/>
        </w:rPr>
        <w:t> </w:t>
      </w:r>
      <w:r>
        <w:rPr/>
        <w:t>Test:</w:t>
      </w:r>
      <w:r>
        <w:rPr>
          <w:spacing w:val="12"/>
        </w:rPr>
        <w:t> </w:t>
      </w:r>
      <w:r>
        <w:rPr/>
        <w:t>Checker</w:t>
      </w:r>
      <w:r>
        <w:rPr>
          <w:spacing w:val="9"/>
        </w:rPr>
        <w:t> </w:t>
      </w:r>
      <w:r>
        <w:rPr/>
        <w:t>board</w:t>
      </w:r>
      <w:r>
        <w:rPr>
          <w:spacing w:val="10"/>
        </w:rPr>
        <w:t> </w:t>
      </w:r>
      <w:r>
        <w:rPr/>
        <w:t>Method</w:t>
      </w:r>
      <w:r>
        <w:rPr>
          <w:spacing w:val="10"/>
        </w:rPr>
        <w:t> </w:t>
      </w:r>
      <w:r>
        <w:rPr/>
        <w:t>on</w:t>
      </w:r>
      <w:r>
        <w:rPr>
          <w:spacing w:val="10"/>
        </w:rPr>
        <w:t> </w:t>
      </w:r>
      <w:r>
        <w:rPr/>
        <w:t>Multidrug</w:t>
      </w:r>
      <w:r>
        <w:rPr>
          <w:spacing w:val="11"/>
        </w:rPr>
        <w:t> </w:t>
      </w:r>
      <w:r>
        <w:rPr>
          <w:spacing w:val="-2"/>
        </w:rPr>
        <w:t>Resistant</w:t>
      </w:r>
    </w:p>
    <w:p>
      <w:pPr>
        <w:spacing w:before="22"/>
        <w:ind w:left="1100" w:right="0" w:firstLine="0"/>
        <w:jc w:val="both"/>
        <w:rPr>
          <w:sz w:val="22"/>
        </w:rPr>
      </w:pPr>
      <w:r>
        <w:rPr>
          <w:i/>
          <w:sz w:val="22"/>
        </w:rPr>
        <w:t>Pseudomonas</w:t>
      </w:r>
      <w:r>
        <w:rPr>
          <w:i/>
          <w:spacing w:val="-8"/>
          <w:sz w:val="22"/>
        </w:rPr>
        <w:t> </w:t>
      </w:r>
      <w:r>
        <w:rPr>
          <w:i/>
          <w:sz w:val="22"/>
        </w:rPr>
        <w:t>aeruginosa</w:t>
      </w:r>
      <w:r>
        <w:rPr>
          <w:sz w:val="22"/>
        </w:rPr>
        <w:t>.</w:t>
      </w:r>
      <w:r>
        <w:rPr>
          <w:spacing w:val="-6"/>
          <w:sz w:val="22"/>
        </w:rPr>
        <w:t> </w:t>
      </w:r>
      <w:r>
        <w:rPr>
          <w:i/>
          <w:sz w:val="22"/>
        </w:rPr>
        <w:t>International</w:t>
      </w:r>
      <w:r>
        <w:rPr>
          <w:i/>
          <w:spacing w:val="-6"/>
          <w:sz w:val="22"/>
        </w:rPr>
        <w:t> </w:t>
      </w:r>
      <w:r>
        <w:rPr>
          <w:i/>
          <w:sz w:val="22"/>
        </w:rPr>
        <w:t>Research</w:t>
      </w:r>
      <w:r>
        <w:rPr>
          <w:i/>
          <w:spacing w:val="-8"/>
          <w:sz w:val="22"/>
        </w:rPr>
        <w:t> </w:t>
      </w:r>
      <w:r>
        <w:rPr>
          <w:i/>
          <w:sz w:val="22"/>
        </w:rPr>
        <w:t>Journal</w:t>
      </w:r>
      <w:r>
        <w:rPr>
          <w:i/>
          <w:spacing w:val="-6"/>
          <w:sz w:val="22"/>
        </w:rPr>
        <w:t> </w:t>
      </w:r>
      <w:r>
        <w:rPr>
          <w:i/>
          <w:sz w:val="22"/>
        </w:rPr>
        <w:t>of</w:t>
      </w:r>
      <w:r>
        <w:rPr>
          <w:i/>
          <w:spacing w:val="-6"/>
          <w:sz w:val="22"/>
        </w:rPr>
        <w:t> </w:t>
      </w:r>
      <w:r>
        <w:rPr>
          <w:i/>
          <w:sz w:val="22"/>
        </w:rPr>
        <w:t>Pharmacy</w:t>
      </w:r>
      <w:r>
        <w:rPr>
          <w:sz w:val="22"/>
        </w:rPr>
        <w:t>,</w:t>
      </w:r>
      <w:r>
        <w:rPr>
          <w:spacing w:val="-6"/>
          <w:sz w:val="22"/>
        </w:rPr>
        <w:t> </w:t>
      </w:r>
      <w:r>
        <w:rPr>
          <w:sz w:val="22"/>
        </w:rPr>
        <w:t>2</w:t>
      </w:r>
      <w:r>
        <w:rPr>
          <w:spacing w:val="-7"/>
          <w:sz w:val="22"/>
        </w:rPr>
        <w:t> </w:t>
      </w:r>
      <w:r>
        <w:rPr>
          <w:sz w:val="22"/>
        </w:rPr>
        <w:t>(12):</w:t>
      </w:r>
      <w:r>
        <w:rPr>
          <w:spacing w:val="-5"/>
          <w:sz w:val="22"/>
        </w:rPr>
        <w:t> </w:t>
      </w:r>
      <w:r>
        <w:rPr>
          <w:sz w:val="22"/>
        </w:rPr>
        <w:t>196-</w:t>
      </w:r>
      <w:r>
        <w:rPr>
          <w:spacing w:val="-4"/>
          <w:sz w:val="22"/>
        </w:rPr>
        <w:t>198.</w:t>
      </w:r>
    </w:p>
    <w:p>
      <w:pPr>
        <w:spacing w:after="0"/>
        <w:jc w:val="both"/>
        <w:rPr>
          <w:sz w:val="22"/>
        </w:rPr>
        <w:sectPr>
          <w:pgSz w:w="11910" w:h="16840"/>
          <w:pgMar w:header="0" w:footer="1055" w:top="1380" w:bottom="1240" w:left="1060" w:right="460"/>
        </w:sectPr>
      </w:pPr>
    </w:p>
    <w:p>
      <w:pPr>
        <w:pStyle w:val="BodyText"/>
        <w:spacing w:line="259" w:lineRule="auto" w:before="38"/>
        <w:ind w:left="1100" w:right="978" w:hanging="720"/>
        <w:jc w:val="both"/>
      </w:pPr>
      <w:r>
        <w:rPr/>
        <w:t>Stark, J. M., Stark, M. A., Colasurdo G. N., and LeVine, A. M. (2006). Decreased bacterial clearance from the lungs of mice following primary respiratory syncytial virus infection. </w:t>
      </w:r>
      <w:r>
        <w:rPr>
          <w:i/>
        </w:rPr>
        <w:t>Journal of Medical Virology, </w:t>
      </w:r>
      <w:r>
        <w:rPr/>
        <w:t>78 (6): 829–838.</w:t>
      </w:r>
    </w:p>
    <w:p>
      <w:pPr>
        <w:pStyle w:val="BodyText"/>
        <w:spacing w:line="261" w:lineRule="auto" w:before="160"/>
        <w:ind w:left="1100" w:right="980" w:hanging="720"/>
        <w:jc w:val="both"/>
      </w:pPr>
      <w:r>
        <w:rPr/>
        <w:t>Stephen, P. D., N. A. Hodges and S. P. Gorman (2004). Hugo and Russell’s Pharmaceutical Microbiology. Seventh Edition, 298-299.</w:t>
      </w:r>
    </w:p>
    <w:p>
      <w:pPr>
        <w:spacing w:line="259" w:lineRule="auto" w:before="195"/>
        <w:ind w:left="1100" w:right="977" w:hanging="720"/>
        <w:jc w:val="both"/>
        <w:rPr>
          <w:sz w:val="22"/>
        </w:rPr>
      </w:pPr>
      <w:r>
        <w:rPr>
          <w:sz w:val="22"/>
        </w:rPr>
        <w:t>Stevens, D. (1995). </w:t>
      </w:r>
      <w:r>
        <w:rPr>
          <w:i/>
          <w:sz w:val="22"/>
        </w:rPr>
        <w:t>Streptococcal Toxic-Shock Syndrome: Spectrum of Disease, Pathogenesis, and</w:t>
      </w:r>
      <w:r>
        <w:rPr>
          <w:i/>
          <w:spacing w:val="40"/>
          <w:sz w:val="22"/>
        </w:rPr>
        <w:t> </w:t>
      </w:r>
      <w:r>
        <w:rPr>
          <w:i/>
          <w:sz w:val="22"/>
        </w:rPr>
        <w:t>New Concepts in Treatment</w:t>
      </w:r>
      <w:r>
        <w:rPr>
          <w:sz w:val="22"/>
        </w:rPr>
        <w:t>. Retrieved January 14, 2013 from </w:t>
      </w:r>
      <w:hyperlink r:id="rId378">
        <w:r>
          <w:rPr>
            <w:spacing w:val="-2"/>
            <w:sz w:val="22"/>
          </w:rPr>
          <w:t>http://www.cdc.gov/ncidod/eid/vol1no3/stevens.htm</w:t>
        </w:r>
      </w:hyperlink>
      <w:r>
        <w:rPr>
          <w:spacing w:val="-2"/>
          <w:sz w:val="22"/>
        </w:rPr>
        <w:t>.</w:t>
      </w:r>
    </w:p>
    <w:p>
      <w:pPr>
        <w:spacing w:line="261" w:lineRule="auto" w:before="198"/>
        <w:ind w:left="1100" w:right="978" w:hanging="720"/>
        <w:jc w:val="both"/>
        <w:rPr>
          <w:sz w:val="22"/>
        </w:rPr>
      </w:pPr>
      <w:r>
        <w:rPr>
          <w:sz w:val="22"/>
        </w:rPr>
        <w:t>Suzuki, K., and Bakaletz, L. O. (1994). Synergistic effect of adenovirus type 1 and nontypeable </w:t>
      </w:r>
      <w:r>
        <w:rPr>
          <w:i/>
          <w:sz w:val="22"/>
        </w:rPr>
        <w:t>Haemophilus influenzae </w:t>
      </w:r>
      <w:r>
        <w:rPr>
          <w:sz w:val="22"/>
        </w:rPr>
        <w:t>in a chinchilla model of experimental otitis media. </w:t>
      </w:r>
      <w:r>
        <w:rPr>
          <w:i/>
          <w:sz w:val="22"/>
        </w:rPr>
        <w:t>Infection and Immunity, </w:t>
      </w:r>
      <w:r>
        <w:rPr>
          <w:sz w:val="22"/>
        </w:rPr>
        <w:t>62 (5): 1710–1718.</w:t>
      </w:r>
    </w:p>
    <w:p>
      <w:pPr>
        <w:spacing w:line="259" w:lineRule="auto" w:before="192"/>
        <w:ind w:left="1100" w:right="973" w:hanging="720"/>
        <w:jc w:val="both"/>
        <w:rPr>
          <w:sz w:val="22"/>
        </w:rPr>
      </w:pPr>
      <w:hyperlink r:id="rId379">
        <w:r>
          <w:rPr>
            <w:sz w:val="22"/>
          </w:rPr>
          <w:t>Sylvain, B., Milatovic, D., Fluit, A. C., Verhoef, J., Martin, N., Scheuring, S., Köhrer, K., and Schmitz, F.</w:t>
        </w:r>
      </w:hyperlink>
      <w:r>
        <w:rPr>
          <w:sz w:val="22"/>
        </w:rPr>
        <w:t> </w:t>
      </w:r>
      <w:hyperlink r:id="rId379">
        <w:r>
          <w:rPr>
            <w:sz w:val="22"/>
          </w:rPr>
          <w:t>(1999). "Comparative In-Vitro Activities of Ciprofloxacin, Clinafloxacin, Gatifloxacin,</w:t>
        </w:r>
      </w:hyperlink>
      <w:r>
        <w:rPr>
          <w:sz w:val="22"/>
        </w:rPr>
        <w:t> </w:t>
      </w:r>
      <w:hyperlink r:id="rId379">
        <w:r>
          <w:rPr>
            <w:sz w:val="22"/>
          </w:rPr>
          <w:t>Levofloxacin, Moxifloxacin, and Trovafloxacin against </w:t>
        </w:r>
        <w:r>
          <w:rPr>
            <w:i/>
            <w:sz w:val="22"/>
          </w:rPr>
          <w:t>Klebsiella pneumoniae, Klebsiella</w:t>
        </w:r>
      </w:hyperlink>
      <w:r>
        <w:rPr>
          <w:i/>
          <w:sz w:val="22"/>
        </w:rPr>
        <w:t> </w:t>
      </w:r>
      <w:hyperlink r:id="rId379">
        <w:r>
          <w:rPr>
            <w:i/>
            <w:sz w:val="22"/>
          </w:rPr>
          <w:t>oxytoca, Enterobacter cloacae, </w:t>
        </w:r>
        <w:r>
          <w:rPr>
            <w:sz w:val="22"/>
          </w:rPr>
          <w:t>and </w:t>
        </w:r>
        <w:r>
          <w:rPr>
            <w:i/>
            <w:sz w:val="22"/>
          </w:rPr>
          <w:t>Enterobacter aerogenes </w:t>
        </w:r>
        <w:r>
          <w:rPr>
            <w:sz w:val="22"/>
          </w:rPr>
          <w:t>Clinical Isolates with Alterations</w:t>
        </w:r>
      </w:hyperlink>
      <w:r>
        <w:rPr>
          <w:sz w:val="22"/>
        </w:rPr>
        <w:t> </w:t>
      </w:r>
      <w:hyperlink r:id="rId379">
        <w:r>
          <w:rPr>
            <w:sz w:val="22"/>
          </w:rPr>
          <w:t>in GyrA and ParC Proteins." </w:t>
        </w:r>
        <w:r>
          <w:rPr>
            <w:i/>
            <w:sz w:val="22"/>
          </w:rPr>
          <w:t>Antimicrobial Agents and Chemotherapy</w:t>
        </w:r>
        <w:r>
          <w:rPr>
            <w:sz w:val="22"/>
          </w:rPr>
          <w:t>, 43 (8): 2051-2055.</w:t>
        </w:r>
      </w:hyperlink>
    </w:p>
    <w:p>
      <w:pPr>
        <w:pStyle w:val="BodyText"/>
        <w:spacing w:line="259" w:lineRule="auto" w:before="199"/>
        <w:ind w:left="1100" w:right="977" w:hanging="720"/>
        <w:jc w:val="both"/>
      </w:pPr>
      <w:r>
        <w:rPr/>
        <w:t>Tan, H. T., Rahman, R. A., Gan, S. H., Halim, A. S., Hassan, S. A., and Sulaiman, S. A (2009). The antibacterial properties of Malaysian tualang honey against wound and enteric microorganisms in comparison to manuka honey. </w:t>
      </w:r>
      <w:r>
        <w:rPr>
          <w:i/>
        </w:rPr>
        <w:t>BioMed Central Complement Alternative Medicine</w:t>
      </w:r>
      <w:r>
        <w:rPr/>
        <w:t>, 9, 34.</w:t>
      </w:r>
    </w:p>
    <w:p>
      <w:pPr>
        <w:pStyle w:val="BodyText"/>
        <w:spacing w:line="261" w:lineRule="auto" w:before="199"/>
        <w:ind w:left="1100" w:right="972" w:hanging="720"/>
        <w:jc w:val="both"/>
      </w:pPr>
      <w:r>
        <w:rPr/>
        <w:t>Tan, T. T., Nordström, T., Forsgren, A., and Riesbeck, K. (2005). The respiratory pathogen</w:t>
      </w:r>
      <w:r>
        <w:rPr>
          <w:spacing w:val="-3"/>
        </w:rPr>
        <w:t> </w:t>
      </w:r>
      <w:r>
        <w:rPr>
          <w:i/>
        </w:rPr>
        <w:t>Moraxella catarrhalis </w:t>
      </w:r>
      <w:r>
        <w:rPr/>
        <w:t>adheres to epithelial cells by interacting with fibronectin through ubiquitous surface proteins A1 and A2. </w:t>
      </w:r>
      <w:r>
        <w:rPr>
          <w:i/>
        </w:rPr>
        <w:t>Journal of Infectious Diseases</w:t>
      </w:r>
      <w:r>
        <w:rPr/>
        <w:t>, 192 (6): 1029–1038.</w:t>
      </w:r>
    </w:p>
    <w:p>
      <w:pPr>
        <w:spacing w:line="261" w:lineRule="auto" w:before="192"/>
        <w:ind w:left="1100" w:right="974" w:hanging="720"/>
        <w:jc w:val="both"/>
        <w:rPr>
          <w:sz w:val="22"/>
        </w:rPr>
      </w:pPr>
      <w:r>
        <w:rPr>
          <w:sz w:val="22"/>
        </w:rPr>
        <w:t>Taverner, D., and Latte, J. (2009). Nasal decongestants for the common cold. </w:t>
      </w:r>
      <w:r>
        <w:rPr>
          <w:i/>
          <w:sz w:val="22"/>
        </w:rPr>
        <w:t>Cochrane Database Systems Review</w:t>
      </w:r>
      <w:r>
        <w:rPr>
          <w:sz w:val="22"/>
        </w:rPr>
        <w:t>, 2, 1953.</w:t>
      </w:r>
    </w:p>
    <w:p>
      <w:pPr>
        <w:pStyle w:val="BodyText"/>
        <w:spacing w:line="259" w:lineRule="auto" w:before="194"/>
        <w:ind w:left="1100" w:right="972" w:hanging="720"/>
        <w:jc w:val="both"/>
      </w:pPr>
      <w:r>
        <w:rPr/>
        <w:t>Thomas, J. K., Forrest, A., Bhavnani, S. M., Hyatt, J. M., Cheng, A., Ballow, C. H., and Schentag, J. J. (1998). </w:t>
      </w:r>
      <w:hyperlink r:id="rId380">
        <w:r>
          <w:rPr/>
          <w:t>Pharmacodynamic Evaluation of Factors Associated with the Development of</w:t>
        </w:r>
      </w:hyperlink>
      <w:r>
        <w:rPr/>
        <w:t> </w:t>
      </w:r>
      <w:hyperlink r:id="rId380">
        <w:r>
          <w:rPr/>
          <w:t>Bacterial Resistance in Acutely Ill Patients during Therapy</w:t>
        </w:r>
      </w:hyperlink>
      <w:r>
        <w:rPr/>
        <w:t>. </w:t>
      </w:r>
      <w:r>
        <w:rPr>
          <w:i/>
        </w:rPr>
        <w:t>Antimicrobial Agents and Chemotherapy, </w:t>
      </w:r>
      <w:r>
        <w:rPr/>
        <w:t>42 (3): 521–527.</w:t>
      </w:r>
    </w:p>
    <w:p>
      <w:pPr>
        <w:pStyle w:val="BodyText"/>
        <w:spacing w:line="261" w:lineRule="auto" w:before="199"/>
        <w:ind w:left="1100" w:right="978" w:hanging="720"/>
        <w:jc w:val="both"/>
      </w:pPr>
      <w:r>
        <w:rPr/>
        <w:t>Todar, K. (2002). </w:t>
      </w:r>
      <w:r>
        <w:rPr>
          <w:i/>
        </w:rPr>
        <w:t>Streptococcus pyogenes</w:t>
      </w:r>
      <w:r>
        <w:rPr/>
        <w:t>. Retrieved August 23, 2013 from </w:t>
      </w:r>
      <w:hyperlink r:id="rId381">
        <w:r>
          <w:rPr>
            <w:spacing w:val="-2"/>
          </w:rPr>
          <w:t>http://textbookofbacteriology.net/streptococcus.html.</w:t>
        </w:r>
      </w:hyperlink>
    </w:p>
    <w:p>
      <w:pPr>
        <w:spacing w:line="261" w:lineRule="auto" w:before="195"/>
        <w:ind w:left="1100" w:right="977" w:hanging="720"/>
        <w:jc w:val="both"/>
        <w:rPr>
          <w:sz w:val="22"/>
        </w:rPr>
      </w:pPr>
      <w:r>
        <w:rPr>
          <w:sz w:val="22"/>
        </w:rPr>
        <w:t>Todar, K. (2005). </w:t>
      </w:r>
      <w:r>
        <w:rPr>
          <w:i/>
          <w:sz w:val="22"/>
        </w:rPr>
        <w:t>Streptococcus pyogenes and Streptococcal Disease</w:t>
      </w:r>
      <w:r>
        <w:rPr>
          <w:sz w:val="22"/>
        </w:rPr>
        <w:t>. Retrieved August 23,</w:t>
      </w:r>
      <w:r>
        <w:rPr>
          <w:spacing w:val="-2"/>
          <w:sz w:val="22"/>
        </w:rPr>
        <w:t> </w:t>
      </w:r>
      <w:r>
        <w:rPr>
          <w:sz w:val="22"/>
        </w:rPr>
        <w:t>2013 from </w:t>
      </w:r>
      <w:hyperlink r:id="rId382">
        <w:r>
          <w:rPr>
            <w:spacing w:val="-2"/>
            <w:sz w:val="22"/>
          </w:rPr>
          <w:t>http://www.bact.wisc.edu/themicrobialworld/strep.html</w:t>
        </w:r>
      </w:hyperlink>
      <w:r>
        <w:rPr>
          <w:spacing w:val="-2"/>
          <w:sz w:val="22"/>
        </w:rPr>
        <w:t>.</w:t>
      </w:r>
    </w:p>
    <w:p>
      <w:pPr>
        <w:spacing w:line="261" w:lineRule="auto" w:before="194"/>
        <w:ind w:left="1100" w:right="977" w:hanging="720"/>
        <w:jc w:val="both"/>
        <w:rPr>
          <w:sz w:val="22"/>
        </w:rPr>
      </w:pPr>
      <w:r>
        <w:rPr>
          <w:sz w:val="22"/>
        </w:rPr>
        <w:t>Todar, K. (2012). </w:t>
      </w:r>
      <w:r>
        <w:rPr>
          <w:i/>
          <w:sz w:val="22"/>
        </w:rPr>
        <w:t>Todar’s Online Textbook of Bacteriology</w:t>
      </w:r>
      <w:r>
        <w:rPr>
          <w:sz w:val="22"/>
        </w:rPr>
        <w:t>. Retrieved August 23, 2013 from </w:t>
      </w:r>
      <w:hyperlink r:id="rId383">
        <w:r>
          <w:rPr>
            <w:spacing w:val="-2"/>
            <w:sz w:val="22"/>
          </w:rPr>
          <w:t>http://textbookofbacteriology.net/S.pneumoniae.html.</w:t>
        </w:r>
      </w:hyperlink>
    </w:p>
    <w:p>
      <w:pPr>
        <w:pStyle w:val="BodyText"/>
        <w:spacing w:before="197"/>
        <w:ind w:left="380"/>
      </w:pPr>
      <w:r>
        <w:rPr/>
        <w:t>Tomasik,</w:t>
      </w:r>
      <w:r>
        <w:rPr>
          <w:spacing w:val="-9"/>
        </w:rPr>
        <w:t> </w:t>
      </w:r>
      <w:r>
        <w:rPr/>
        <w:t>P.,</w:t>
      </w:r>
      <w:r>
        <w:rPr>
          <w:spacing w:val="-6"/>
        </w:rPr>
        <w:t> </w:t>
      </w:r>
      <w:r>
        <w:rPr/>
        <w:t>(2004).</w:t>
      </w:r>
      <w:r>
        <w:rPr>
          <w:spacing w:val="-3"/>
        </w:rPr>
        <w:t> </w:t>
      </w:r>
      <w:r>
        <w:rPr/>
        <w:t>Chemical</w:t>
      </w:r>
      <w:r>
        <w:rPr>
          <w:spacing w:val="-4"/>
        </w:rPr>
        <w:t> </w:t>
      </w:r>
      <w:r>
        <w:rPr/>
        <w:t>and</w:t>
      </w:r>
      <w:r>
        <w:rPr>
          <w:spacing w:val="-4"/>
        </w:rPr>
        <w:t> </w:t>
      </w:r>
      <w:r>
        <w:rPr/>
        <w:t>functional</w:t>
      </w:r>
      <w:r>
        <w:rPr>
          <w:spacing w:val="-7"/>
        </w:rPr>
        <w:t> </w:t>
      </w:r>
      <w:r>
        <w:rPr/>
        <w:t>properties</w:t>
      </w:r>
      <w:r>
        <w:rPr>
          <w:spacing w:val="-3"/>
        </w:rPr>
        <w:t> </w:t>
      </w:r>
      <w:r>
        <w:rPr/>
        <w:t>of</w:t>
      </w:r>
      <w:r>
        <w:rPr>
          <w:spacing w:val="-6"/>
        </w:rPr>
        <w:t> </w:t>
      </w:r>
      <w:r>
        <w:rPr/>
        <w:t>food</w:t>
      </w:r>
      <w:r>
        <w:rPr>
          <w:spacing w:val="-5"/>
        </w:rPr>
        <w:t> </w:t>
      </w:r>
      <w:r>
        <w:rPr/>
        <w:t>saccharides.</w:t>
      </w:r>
      <w:r>
        <w:rPr>
          <w:spacing w:val="-3"/>
        </w:rPr>
        <w:t> </w:t>
      </w:r>
      <w:r>
        <w:rPr/>
        <w:t>CRC</w:t>
      </w:r>
      <w:r>
        <w:rPr>
          <w:spacing w:val="-7"/>
        </w:rPr>
        <w:t> </w:t>
      </w:r>
      <w:r>
        <w:rPr/>
        <w:t>Press,</w:t>
      </w:r>
      <w:r>
        <w:rPr>
          <w:spacing w:val="-5"/>
        </w:rPr>
        <w:t> 74.</w:t>
      </w:r>
    </w:p>
    <w:p>
      <w:pPr>
        <w:pStyle w:val="BodyText"/>
        <w:spacing w:line="259" w:lineRule="auto" w:before="219"/>
        <w:ind w:left="1100" w:right="972" w:hanging="720"/>
        <w:jc w:val="both"/>
      </w:pPr>
      <w:r>
        <w:rPr/>
        <w:t>Tortora, G., Funke, B., and Case, C. (2007). </w:t>
      </w:r>
      <w:r>
        <w:rPr>
          <w:i/>
        </w:rPr>
        <w:t>Microbiology: An Introduction</w:t>
      </w:r>
      <w:r>
        <w:rPr/>
        <w:t>, 9</w:t>
      </w:r>
      <w:r>
        <w:rPr>
          <w:vertAlign w:val="superscript"/>
        </w:rPr>
        <w:t>th</w:t>
      </w:r>
      <w:r>
        <w:rPr>
          <w:vertAlign w:val="baseline"/>
        </w:rPr>
        <w:t> Edition. Pearson Education, Inc. Retrieved October 13, 2012 from http://www.e- </w:t>
      </w:r>
      <w:r>
        <w:rPr>
          <w:spacing w:val="-2"/>
          <w:vertAlign w:val="baseline"/>
        </w:rPr>
        <w:t>bookspdf.org/download/introduction-to-microbiology-tortora-notes.html.</w:t>
      </w:r>
    </w:p>
    <w:p>
      <w:pPr>
        <w:spacing w:after="0" w:line="259" w:lineRule="auto"/>
        <w:jc w:val="both"/>
        <w:sectPr>
          <w:pgSz w:w="11910" w:h="16840"/>
          <w:pgMar w:header="0" w:footer="1055" w:top="1380" w:bottom="1240" w:left="1060" w:right="460"/>
        </w:sectPr>
      </w:pPr>
    </w:p>
    <w:p>
      <w:pPr>
        <w:spacing w:line="261" w:lineRule="auto" w:before="38"/>
        <w:ind w:left="1100" w:right="974" w:hanging="720"/>
        <w:jc w:val="both"/>
        <w:rPr>
          <w:sz w:val="22"/>
        </w:rPr>
      </w:pPr>
      <w:hyperlink r:id="rId384">
        <w:r>
          <w:rPr>
            <w:sz w:val="22"/>
          </w:rPr>
          <w:t>Uedal, A., &amp; Wood, T. K. (2009). Connecting quorum sensing, c-di-GMP, pel polysaccharide, and</w:t>
        </w:r>
      </w:hyperlink>
      <w:r>
        <w:rPr>
          <w:sz w:val="22"/>
        </w:rPr>
        <w:t> </w:t>
      </w:r>
      <w:hyperlink r:id="rId384">
        <w:r>
          <w:rPr>
            <w:sz w:val="22"/>
          </w:rPr>
          <w:t>biofilm</w:t>
        </w:r>
        <w:r>
          <w:rPr>
            <w:spacing w:val="-3"/>
            <w:sz w:val="22"/>
          </w:rPr>
          <w:t> </w:t>
        </w:r>
        <w:r>
          <w:rPr>
            <w:sz w:val="22"/>
          </w:rPr>
          <w:t>formation</w:t>
        </w:r>
        <w:r>
          <w:rPr>
            <w:spacing w:val="-5"/>
            <w:sz w:val="22"/>
          </w:rPr>
          <w:t> </w:t>
        </w:r>
        <w:r>
          <w:rPr>
            <w:sz w:val="22"/>
          </w:rPr>
          <w:t>in</w:t>
        </w:r>
        <w:r>
          <w:rPr>
            <w:spacing w:val="-3"/>
            <w:sz w:val="22"/>
          </w:rPr>
          <w:t> </w:t>
        </w:r>
        <w:r>
          <w:rPr>
            <w:i/>
            <w:sz w:val="22"/>
          </w:rPr>
          <w:t>Pseudomonas</w:t>
        </w:r>
        <w:r>
          <w:rPr>
            <w:i/>
            <w:spacing w:val="-3"/>
            <w:sz w:val="22"/>
          </w:rPr>
          <w:t> </w:t>
        </w:r>
        <w:r>
          <w:rPr>
            <w:i/>
            <w:sz w:val="22"/>
          </w:rPr>
          <w:t>aeruginosa</w:t>
        </w:r>
        <w:r>
          <w:rPr>
            <w:i/>
            <w:spacing w:val="-3"/>
            <w:sz w:val="22"/>
          </w:rPr>
          <w:t> </w:t>
        </w:r>
        <w:r>
          <w:rPr>
            <w:sz w:val="22"/>
          </w:rPr>
          <w:t>through</w:t>
        </w:r>
        <w:r>
          <w:rPr>
            <w:spacing w:val="-5"/>
            <w:sz w:val="22"/>
          </w:rPr>
          <w:t> </w:t>
        </w:r>
        <w:r>
          <w:rPr>
            <w:sz w:val="22"/>
          </w:rPr>
          <w:t>tyrosine</w:t>
        </w:r>
        <w:r>
          <w:rPr>
            <w:spacing w:val="-4"/>
            <w:sz w:val="22"/>
          </w:rPr>
          <w:t> </w:t>
        </w:r>
        <w:r>
          <w:rPr>
            <w:sz w:val="22"/>
          </w:rPr>
          <w:t>phosphatase</w:t>
        </w:r>
        <w:r>
          <w:rPr>
            <w:spacing w:val="-5"/>
            <w:sz w:val="22"/>
          </w:rPr>
          <w:t> </w:t>
        </w:r>
        <w:r>
          <w:rPr>
            <w:sz w:val="22"/>
          </w:rPr>
          <w:t>TpbA</w:t>
        </w:r>
        <w:r>
          <w:rPr>
            <w:spacing w:val="-4"/>
            <w:sz w:val="22"/>
          </w:rPr>
          <w:t> </w:t>
        </w:r>
        <w:r>
          <w:rPr>
            <w:sz w:val="22"/>
          </w:rPr>
          <w:t>(PA3885).</w:t>
        </w:r>
      </w:hyperlink>
      <w:r>
        <w:rPr>
          <w:sz w:val="22"/>
        </w:rPr>
        <w:t> </w:t>
      </w:r>
      <w:hyperlink r:id="rId384">
        <w:r>
          <w:rPr>
            <w:i/>
            <w:sz w:val="22"/>
          </w:rPr>
          <w:t>Public Library of Science Pathogens</w:t>
        </w:r>
        <w:r>
          <w:rPr>
            <w:sz w:val="22"/>
          </w:rPr>
          <w:t>, 5, 6.</w:t>
        </w:r>
      </w:hyperlink>
    </w:p>
    <w:p>
      <w:pPr>
        <w:spacing w:line="259" w:lineRule="auto" w:before="193"/>
        <w:ind w:left="1100" w:right="972" w:hanging="720"/>
        <w:jc w:val="both"/>
        <w:rPr>
          <w:sz w:val="22"/>
        </w:rPr>
      </w:pPr>
      <w:r>
        <w:rPr>
          <w:sz w:val="22"/>
        </w:rPr>
        <w:t>Union</w:t>
      </w:r>
      <w:r>
        <w:rPr>
          <w:spacing w:val="-3"/>
          <w:sz w:val="22"/>
        </w:rPr>
        <w:t> </w:t>
      </w:r>
      <w:r>
        <w:rPr>
          <w:sz w:val="22"/>
        </w:rPr>
        <w:t>of</w:t>
      </w:r>
      <w:r>
        <w:rPr>
          <w:spacing w:val="-2"/>
          <w:sz w:val="22"/>
        </w:rPr>
        <w:t> </w:t>
      </w:r>
      <w:r>
        <w:rPr>
          <w:sz w:val="22"/>
        </w:rPr>
        <w:t>Concerned</w:t>
      </w:r>
      <w:r>
        <w:rPr>
          <w:spacing w:val="-2"/>
          <w:sz w:val="22"/>
        </w:rPr>
        <w:t> </w:t>
      </w:r>
      <w:r>
        <w:rPr>
          <w:sz w:val="22"/>
        </w:rPr>
        <w:t>Scientists</w:t>
      </w:r>
      <w:r>
        <w:rPr>
          <w:spacing w:val="-1"/>
          <w:sz w:val="22"/>
        </w:rPr>
        <w:t> </w:t>
      </w:r>
      <w:r>
        <w:rPr>
          <w:sz w:val="22"/>
        </w:rPr>
        <w:t>(2001). </w:t>
      </w:r>
      <w:hyperlink r:id="rId385">
        <w:r>
          <w:rPr>
            <w:i/>
            <w:sz w:val="22"/>
          </w:rPr>
          <w:t>Executive</w:t>
        </w:r>
        <w:r>
          <w:rPr>
            <w:i/>
            <w:spacing w:val="-2"/>
            <w:sz w:val="22"/>
          </w:rPr>
          <w:t> </w:t>
        </w:r>
        <w:r>
          <w:rPr>
            <w:i/>
            <w:sz w:val="22"/>
          </w:rPr>
          <w:t>summary</w:t>
        </w:r>
        <w:r>
          <w:rPr>
            <w:i/>
            <w:spacing w:val="-2"/>
            <w:sz w:val="22"/>
          </w:rPr>
          <w:t> </w:t>
        </w:r>
        <w:r>
          <w:rPr>
            <w:i/>
            <w:sz w:val="22"/>
          </w:rPr>
          <w:t>from</w:t>
        </w:r>
        <w:r>
          <w:rPr>
            <w:i/>
            <w:spacing w:val="-4"/>
            <w:sz w:val="22"/>
          </w:rPr>
          <w:t> </w:t>
        </w:r>
        <w:r>
          <w:rPr>
            <w:i/>
            <w:sz w:val="22"/>
          </w:rPr>
          <w:t>the</w:t>
        </w:r>
        <w:r>
          <w:rPr>
            <w:i/>
            <w:spacing w:val="-2"/>
            <w:sz w:val="22"/>
          </w:rPr>
          <w:t> </w:t>
        </w:r>
        <w:r>
          <w:rPr>
            <w:i/>
            <w:sz w:val="22"/>
          </w:rPr>
          <w:t>UCS</w:t>
        </w:r>
        <w:r>
          <w:rPr>
            <w:i/>
            <w:spacing w:val="-1"/>
            <w:sz w:val="22"/>
          </w:rPr>
          <w:t> </w:t>
        </w:r>
        <w:r>
          <w:rPr>
            <w:i/>
            <w:sz w:val="22"/>
          </w:rPr>
          <w:t>report</w:t>
        </w:r>
        <w:r>
          <w:rPr>
            <w:i/>
            <w:spacing w:val="-2"/>
            <w:sz w:val="22"/>
          </w:rPr>
          <w:t> </w:t>
        </w:r>
        <w:r>
          <w:rPr>
            <w:i/>
            <w:sz w:val="22"/>
          </w:rPr>
          <w:t>"Hogging</w:t>
        </w:r>
        <w:r>
          <w:rPr>
            <w:i/>
            <w:spacing w:val="-3"/>
            <w:sz w:val="22"/>
          </w:rPr>
          <w:t> </w:t>
        </w:r>
        <w:r>
          <w:rPr>
            <w:i/>
            <w:sz w:val="22"/>
          </w:rPr>
          <w:t>It:</w:t>
        </w:r>
        <w:r>
          <w:rPr>
            <w:i/>
            <w:spacing w:val="-1"/>
            <w:sz w:val="22"/>
          </w:rPr>
          <w:t> </w:t>
        </w:r>
        <w:r>
          <w:rPr>
            <w:i/>
            <w:sz w:val="22"/>
          </w:rPr>
          <w:t>Estimates</w:t>
        </w:r>
      </w:hyperlink>
      <w:r>
        <w:rPr>
          <w:i/>
          <w:sz w:val="22"/>
        </w:rPr>
        <w:t> </w:t>
      </w:r>
      <w:hyperlink r:id="rId385">
        <w:r>
          <w:rPr>
            <w:i/>
            <w:sz w:val="22"/>
          </w:rPr>
          <w:t>of Antimicrobial Abuse in Livestock</w:t>
        </w:r>
        <w:r>
          <w:rPr>
            <w:sz w:val="22"/>
          </w:rPr>
          <w:t>.</w:t>
        </w:r>
      </w:hyperlink>
      <w:r>
        <w:rPr>
          <w:sz w:val="22"/>
        </w:rPr>
        <w:t> </w:t>
      </w:r>
      <w:r>
        <w:rPr>
          <w:i/>
          <w:sz w:val="22"/>
        </w:rPr>
        <w:t>Union of Concerned Scientists</w:t>
      </w:r>
      <w:r>
        <w:rPr>
          <w:sz w:val="22"/>
        </w:rPr>
        <w:t>. Retrieved January 23, 2012 from </w:t>
      </w:r>
      <w:hyperlink r:id="rId386">
        <w:r>
          <w:rPr>
            <w:sz w:val="22"/>
          </w:rPr>
          <w:t>http://www.ucsusa.org/food_and_environment/antibiotics_and_food/hogging-</w:t>
        </w:r>
      </w:hyperlink>
      <w:r>
        <w:rPr>
          <w:sz w:val="22"/>
        </w:rPr>
        <w:t> </w:t>
      </w:r>
      <w:r>
        <w:rPr>
          <w:spacing w:val="-2"/>
          <w:sz w:val="22"/>
        </w:rPr>
        <w:t>it-estimates-of-antimicrobial-abuse-in-livestock.html.</w:t>
      </w:r>
    </w:p>
    <w:p>
      <w:pPr>
        <w:pStyle w:val="BodyText"/>
        <w:spacing w:line="261" w:lineRule="auto" w:before="198"/>
        <w:ind w:left="1100" w:right="980" w:hanging="720"/>
        <w:jc w:val="both"/>
      </w:pPr>
      <w:r>
        <w:rPr/>
        <w:t>USDA (2012). National Nutrient Database for Standard Referencing. Retrieved May 24, 2014 from </w:t>
      </w:r>
      <w:hyperlink r:id="rId387">
        <w:r>
          <w:rPr>
            <w:spacing w:val="-2"/>
          </w:rPr>
          <w:t>http://usda.mannlib.cornell.edu/MannUsda/viewDocumentInfo.do?documentID=1191.</w:t>
        </w:r>
      </w:hyperlink>
    </w:p>
    <w:p>
      <w:pPr>
        <w:pStyle w:val="BodyText"/>
        <w:tabs>
          <w:tab w:pos="3032" w:val="left" w:leader="none"/>
          <w:tab w:pos="4458" w:val="left" w:leader="none"/>
          <w:tab w:pos="5952" w:val="left" w:leader="none"/>
          <w:tab w:pos="6979" w:val="left" w:leader="none"/>
          <w:tab w:pos="7890" w:val="left" w:leader="none"/>
          <w:tab w:pos="8967" w:val="left" w:leader="none"/>
        </w:tabs>
        <w:spacing w:line="259" w:lineRule="auto" w:before="195"/>
        <w:ind w:left="1100" w:right="974" w:hanging="720"/>
        <w:jc w:val="both"/>
      </w:pPr>
      <w:r>
        <w:rPr/>
        <w:t>Valls, M., Cases, I., and Lorenzo, V. (2004). Transcription Mediated by rpoN-Dependent Promoters </w:t>
      </w:r>
      <w:r>
        <w:rPr>
          <w:i/>
          <w:spacing w:val="-2"/>
        </w:rPr>
        <w:t>Pseudomonas</w:t>
      </w:r>
      <w:r>
        <w:rPr>
          <w:spacing w:val="-2"/>
        </w:rPr>
        <w:t>,</w:t>
      </w:r>
      <w:r>
        <w:rPr/>
        <w:tab/>
      </w:r>
      <w:r>
        <w:rPr>
          <w:spacing w:val="-2"/>
        </w:rPr>
        <w:t>398-302.</w:t>
      </w:r>
      <w:r>
        <w:rPr/>
        <w:tab/>
      </w:r>
      <w:r>
        <w:rPr>
          <w:spacing w:val="-2"/>
        </w:rPr>
        <w:t>Retrieved</w:t>
      </w:r>
      <w:r>
        <w:rPr/>
        <w:tab/>
      </w:r>
      <w:r>
        <w:rPr>
          <w:spacing w:val="-4"/>
        </w:rPr>
        <w:t>May</w:t>
      </w:r>
      <w:r>
        <w:rPr/>
        <w:tab/>
      </w:r>
      <w:r>
        <w:rPr>
          <w:spacing w:val="-4"/>
        </w:rPr>
        <w:t>18,</w:t>
      </w:r>
      <w:r>
        <w:rPr/>
        <w:tab/>
      </w:r>
      <w:r>
        <w:rPr>
          <w:spacing w:val="-4"/>
        </w:rPr>
        <w:t>2013</w:t>
      </w:r>
      <w:r>
        <w:rPr/>
        <w:tab/>
      </w:r>
      <w:r>
        <w:rPr>
          <w:spacing w:val="-4"/>
        </w:rPr>
        <w:t>from </w:t>
      </w:r>
      <w:r>
        <w:rPr>
          <w:spacing w:val="-2"/>
        </w:rPr>
        <w:t>https://microbewiki.kenyon.edu/index.php/Pseudomonas_aeruginosa.</w:t>
      </w:r>
    </w:p>
    <w:p>
      <w:pPr>
        <w:spacing w:line="261" w:lineRule="auto" w:before="198"/>
        <w:ind w:left="1100" w:right="975" w:hanging="720"/>
        <w:jc w:val="both"/>
        <w:rPr>
          <w:sz w:val="22"/>
        </w:rPr>
      </w:pPr>
      <w:r>
        <w:rPr>
          <w:sz w:val="22"/>
        </w:rPr>
        <w:t>van der Flier, M., Chhun N., Wizemann, T., Min, J., McCarthy, J. B., and Tuomanen, E. I. (1995) Adherence of </w:t>
      </w:r>
      <w:r>
        <w:rPr>
          <w:i/>
          <w:sz w:val="22"/>
        </w:rPr>
        <w:t>Streptococcus pneumoniae </w:t>
      </w:r>
      <w:r>
        <w:rPr>
          <w:sz w:val="22"/>
        </w:rPr>
        <w:t>to immobilized fibronectin. </w:t>
      </w:r>
      <w:r>
        <w:rPr>
          <w:i/>
          <w:sz w:val="22"/>
        </w:rPr>
        <w:t>Infection and</w:t>
      </w:r>
      <w:r>
        <w:rPr>
          <w:i/>
          <w:spacing w:val="80"/>
          <w:sz w:val="22"/>
        </w:rPr>
        <w:t> </w:t>
      </w:r>
      <w:r>
        <w:rPr>
          <w:i/>
          <w:sz w:val="22"/>
        </w:rPr>
        <w:t>Immunity, </w:t>
      </w:r>
      <w:r>
        <w:rPr>
          <w:sz w:val="22"/>
        </w:rPr>
        <w:t>63 (11): 4317–4322.</w:t>
      </w:r>
    </w:p>
    <w:p>
      <w:pPr>
        <w:pStyle w:val="BodyText"/>
        <w:spacing w:line="261" w:lineRule="auto" w:before="192"/>
        <w:ind w:left="1100" w:right="981" w:hanging="720"/>
        <w:jc w:val="both"/>
      </w:pPr>
      <w:r>
        <w:rPr/>
        <w:t>Van Riel, D., Vincent, J. M., Emmie, de W., Guus, F. R., Ron, A. M. F., Albert, D. M. E., O., and Thijs, K. (2006). H5N1 Virus Attachment to Lower Respiratory Tract. </w:t>
      </w:r>
      <w:r>
        <w:rPr>
          <w:i/>
        </w:rPr>
        <w:t>Science</w:t>
      </w:r>
      <w:r>
        <w:rPr/>
        <w:t>, 312 (5772): 399.</w:t>
      </w:r>
    </w:p>
    <w:p>
      <w:pPr>
        <w:pStyle w:val="BodyText"/>
        <w:spacing w:line="261" w:lineRule="auto" w:before="195"/>
        <w:ind w:left="1100" w:right="981" w:hanging="720"/>
        <w:jc w:val="both"/>
      </w:pPr>
      <w:r>
        <w:rPr/>
        <w:t>Vareille, M., Kieninger, E.,</w:t>
      </w:r>
      <w:r>
        <w:rPr>
          <w:spacing w:val="-2"/>
        </w:rPr>
        <w:t> </w:t>
      </w:r>
      <w:r>
        <w:rPr/>
        <w:t>Edwards, M. R., and Regamey, N. (2011). The airway epithelium: Soldier in the fight against respiratory viruses. </w:t>
      </w:r>
      <w:r>
        <w:rPr>
          <w:i/>
        </w:rPr>
        <w:t>Clinical Microbiology Review</w:t>
      </w:r>
      <w:r>
        <w:rPr/>
        <w:t>, 24: 210–229.</w:t>
      </w:r>
    </w:p>
    <w:p>
      <w:pPr>
        <w:pStyle w:val="BodyText"/>
        <w:spacing w:line="259" w:lineRule="auto" w:before="195"/>
        <w:ind w:left="1100" w:right="978" w:hanging="720"/>
        <w:jc w:val="both"/>
      </w:pPr>
      <w:r>
        <w:rPr/>
        <w:t>Venkat, T. (2013). </w:t>
      </w:r>
      <w:r>
        <w:rPr>
          <w:i/>
        </w:rPr>
        <w:t>Bronchial Anatomy</w:t>
      </w:r>
      <w:r>
        <w:rPr/>
        <w:t>. Retrieved July 11, 2013 from </w:t>
      </w:r>
      <w:hyperlink r:id="rId388">
        <w:r>
          <w:rPr>
            <w:spacing w:val="-2"/>
          </w:rPr>
          <w:t>http://www.reference.medscape.com/article/1898852-0verview#awaab6b3.</w:t>
        </w:r>
      </w:hyperlink>
    </w:p>
    <w:p>
      <w:pPr>
        <w:pStyle w:val="BodyText"/>
        <w:spacing w:line="259" w:lineRule="auto" w:before="200"/>
        <w:ind w:left="1100" w:right="981" w:hanging="720"/>
        <w:jc w:val="both"/>
      </w:pPr>
      <w:r>
        <w:rPr/>
        <w:t>Vidal, R. E., and Israeloff, N. E. (2000). "Direct observation of molecular cooperativity near the glass transition". </w:t>
      </w:r>
      <w:r>
        <w:rPr>
          <w:i/>
        </w:rPr>
        <w:t>Nature, </w:t>
      </w:r>
      <w:r>
        <w:rPr/>
        <w:t>408 (6813): 695–698.</w:t>
      </w:r>
    </w:p>
    <w:p>
      <w:pPr>
        <w:spacing w:line="261" w:lineRule="auto" w:before="197"/>
        <w:ind w:left="1100" w:right="981" w:hanging="720"/>
        <w:jc w:val="both"/>
        <w:rPr>
          <w:sz w:val="22"/>
        </w:rPr>
      </w:pPr>
      <w:r>
        <w:rPr>
          <w:sz w:val="22"/>
        </w:rPr>
        <w:t>Visavadia, B. G., Honeysett, J., and Danford, M. H (2006). Manuka honey dressing: An effective treatment for chronic wound infections. </w:t>
      </w:r>
      <w:r>
        <w:rPr>
          <w:i/>
          <w:sz w:val="22"/>
        </w:rPr>
        <w:t>British Journal of Maxillofac Surgery, </w:t>
      </w:r>
      <w:r>
        <w:rPr>
          <w:sz w:val="22"/>
        </w:rPr>
        <w:t>44: 38-41.</w:t>
      </w:r>
    </w:p>
    <w:p>
      <w:pPr>
        <w:pStyle w:val="BodyText"/>
        <w:spacing w:before="197"/>
        <w:ind w:left="380"/>
      </w:pPr>
      <w:r>
        <w:rPr/>
        <w:t>Wahdan,</w:t>
      </w:r>
      <w:r>
        <w:rPr>
          <w:spacing w:val="-6"/>
        </w:rPr>
        <w:t> </w:t>
      </w:r>
      <w:r>
        <w:rPr/>
        <w:t>H.</w:t>
      </w:r>
      <w:r>
        <w:rPr>
          <w:spacing w:val="-4"/>
        </w:rPr>
        <w:t> </w:t>
      </w:r>
      <w:r>
        <w:rPr/>
        <w:t>(1998).</w:t>
      </w:r>
      <w:r>
        <w:rPr>
          <w:spacing w:val="-4"/>
        </w:rPr>
        <w:t> </w:t>
      </w:r>
      <w:r>
        <w:rPr/>
        <w:t>"Causes</w:t>
      </w:r>
      <w:r>
        <w:rPr>
          <w:spacing w:val="-3"/>
        </w:rPr>
        <w:t> </w:t>
      </w:r>
      <w:r>
        <w:rPr/>
        <w:t>of</w:t>
      </w:r>
      <w:r>
        <w:rPr>
          <w:spacing w:val="-5"/>
        </w:rPr>
        <w:t> </w:t>
      </w:r>
      <w:r>
        <w:rPr/>
        <w:t>the</w:t>
      </w:r>
      <w:r>
        <w:rPr>
          <w:spacing w:val="-4"/>
        </w:rPr>
        <w:t> </w:t>
      </w:r>
      <w:r>
        <w:rPr/>
        <w:t>antimicrobial</w:t>
      </w:r>
      <w:r>
        <w:rPr>
          <w:spacing w:val="-4"/>
        </w:rPr>
        <w:t> </w:t>
      </w:r>
      <w:r>
        <w:rPr/>
        <w:t>activity</w:t>
      </w:r>
      <w:r>
        <w:rPr>
          <w:spacing w:val="-5"/>
        </w:rPr>
        <w:t> </w:t>
      </w:r>
      <w:r>
        <w:rPr/>
        <w:t>of</w:t>
      </w:r>
      <w:r>
        <w:rPr>
          <w:spacing w:val="-3"/>
        </w:rPr>
        <w:t> </w:t>
      </w:r>
      <w:r>
        <w:rPr/>
        <w:t>honey".</w:t>
      </w:r>
      <w:r>
        <w:rPr>
          <w:spacing w:val="-3"/>
        </w:rPr>
        <w:t> </w:t>
      </w:r>
      <w:r>
        <w:rPr>
          <w:i/>
        </w:rPr>
        <w:t>Infection,</w:t>
      </w:r>
      <w:r>
        <w:rPr>
          <w:i/>
          <w:spacing w:val="-5"/>
        </w:rPr>
        <w:t> </w:t>
      </w:r>
      <w:r>
        <w:rPr/>
        <w:t>26</w:t>
      </w:r>
      <w:r>
        <w:rPr>
          <w:spacing w:val="-4"/>
        </w:rPr>
        <w:t> </w:t>
      </w:r>
      <w:r>
        <w:rPr/>
        <w:t>(1):</w:t>
      </w:r>
      <w:r>
        <w:rPr>
          <w:spacing w:val="-4"/>
        </w:rPr>
        <w:t> </w:t>
      </w:r>
      <w:r>
        <w:rPr>
          <w:spacing w:val="-2"/>
        </w:rPr>
        <w:t>26–31.</w:t>
      </w:r>
    </w:p>
    <w:p>
      <w:pPr>
        <w:spacing w:before="219"/>
        <w:ind w:left="380" w:right="0" w:firstLine="0"/>
        <w:jc w:val="left"/>
        <w:rPr>
          <w:sz w:val="22"/>
        </w:rPr>
      </w:pPr>
      <w:r>
        <w:rPr>
          <w:sz w:val="22"/>
        </w:rPr>
        <w:t>Walsh,</w:t>
      </w:r>
      <w:r>
        <w:rPr>
          <w:spacing w:val="34"/>
          <w:sz w:val="22"/>
        </w:rPr>
        <w:t> </w:t>
      </w:r>
      <w:r>
        <w:rPr>
          <w:sz w:val="22"/>
        </w:rPr>
        <w:t>F.,</w:t>
      </w:r>
      <w:r>
        <w:rPr>
          <w:spacing w:val="37"/>
          <w:sz w:val="22"/>
        </w:rPr>
        <w:t> </w:t>
      </w:r>
      <w:r>
        <w:rPr>
          <w:sz w:val="22"/>
        </w:rPr>
        <w:t>(2013).</w:t>
      </w:r>
      <w:r>
        <w:rPr>
          <w:spacing w:val="38"/>
          <w:sz w:val="22"/>
        </w:rPr>
        <w:t> </w:t>
      </w:r>
      <w:hyperlink r:id="rId389">
        <w:r>
          <w:rPr>
            <w:i/>
            <w:sz w:val="22"/>
          </w:rPr>
          <w:t>BBC</w:t>
        </w:r>
        <w:r>
          <w:rPr>
            <w:i/>
            <w:spacing w:val="33"/>
            <w:sz w:val="22"/>
          </w:rPr>
          <w:t> </w:t>
        </w:r>
        <w:r>
          <w:rPr>
            <w:i/>
            <w:sz w:val="22"/>
          </w:rPr>
          <w:t>News</w:t>
        </w:r>
        <w:r>
          <w:rPr>
            <w:i/>
            <w:spacing w:val="1"/>
            <w:sz w:val="22"/>
          </w:rPr>
          <w:t> </w:t>
        </w:r>
        <w:r>
          <w:rPr>
            <w:i/>
            <w:sz w:val="22"/>
          </w:rPr>
          <w:t>—</w:t>
        </w:r>
        <w:r>
          <w:rPr>
            <w:i/>
            <w:spacing w:val="36"/>
            <w:sz w:val="22"/>
          </w:rPr>
          <w:t> </w:t>
        </w:r>
        <w:r>
          <w:rPr>
            <w:i/>
            <w:sz w:val="22"/>
          </w:rPr>
          <w:t>Antibiotics</w:t>
        </w:r>
        <w:r>
          <w:rPr>
            <w:i/>
            <w:spacing w:val="35"/>
            <w:sz w:val="22"/>
          </w:rPr>
          <w:t> </w:t>
        </w:r>
        <w:r>
          <w:rPr>
            <w:i/>
            <w:sz w:val="22"/>
          </w:rPr>
          <w:t>resistance</w:t>
        </w:r>
        <w:r>
          <w:rPr>
            <w:i/>
            <w:spacing w:val="37"/>
            <w:sz w:val="22"/>
          </w:rPr>
          <w:t> </w:t>
        </w:r>
        <w:r>
          <w:rPr>
            <w:i/>
            <w:sz w:val="22"/>
          </w:rPr>
          <w:t>'as</w:t>
        </w:r>
        <w:r>
          <w:rPr>
            <w:i/>
            <w:spacing w:val="37"/>
            <w:sz w:val="22"/>
          </w:rPr>
          <w:t> </w:t>
        </w:r>
        <w:r>
          <w:rPr>
            <w:i/>
            <w:sz w:val="22"/>
          </w:rPr>
          <w:t>big</w:t>
        </w:r>
        <w:r>
          <w:rPr>
            <w:i/>
            <w:spacing w:val="35"/>
            <w:sz w:val="22"/>
          </w:rPr>
          <w:t> </w:t>
        </w:r>
        <w:r>
          <w:rPr>
            <w:i/>
            <w:sz w:val="22"/>
          </w:rPr>
          <w:t>a</w:t>
        </w:r>
        <w:r>
          <w:rPr>
            <w:i/>
            <w:spacing w:val="36"/>
            <w:sz w:val="22"/>
          </w:rPr>
          <w:t> </w:t>
        </w:r>
        <w:r>
          <w:rPr>
            <w:i/>
            <w:sz w:val="22"/>
          </w:rPr>
          <w:t>risk</w:t>
        </w:r>
        <w:r>
          <w:rPr>
            <w:i/>
            <w:spacing w:val="38"/>
            <w:sz w:val="22"/>
          </w:rPr>
          <w:t> </w:t>
        </w:r>
        <w:r>
          <w:rPr>
            <w:i/>
            <w:sz w:val="22"/>
          </w:rPr>
          <w:t>as</w:t>
        </w:r>
        <w:r>
          <w:rPr>
            <w:i/>
            <w:spacing w:val="34"/>
            <w:sz w:val="22"/>
          </w:rPr>
          <w:t> </w:t>
        </w:r>
        <w:r>
          <w:rPr>
            <w:i/>
            <w:sz w:val="22"/>
          </w:rPr>
          <w:t>terrorism'</w:t>
        </w:r>
        <w:r>
          <w:rPr>
            <w:i/>
            <w:spacing w:val="41"/>
            <w:sz w:val="22"/>
          </w:rPr>
          <w:t> </w:t>
        </w:r>
        <w:r>
          <w:rPr>
            <w:i/>
            <w:sz w:val="22"/>
          </w:rPr>
          <w:t>-</w:t>
        </w:r>
        <w:r>
          <w:rPr>
            <w:i/>
            <w:spacing w:val="37"/>
            <w:sz w:val="22"/>
          </w:rPr>
          <w:t> </w:t>
        </w:r>
        <w:r>
          <w:rPr>
            <w:i/>
            <w:sz w:val="22"/>
          </w:rPr>
          <w:t>medical</w:t>
        </w:r>
        <w:r>
          <w:rPr>
            <w:i/>
            <w:spacing w:val="37"/>
            <w:sz w:val="22"/>
          </w:rPr>
          <w:t> </w:t>
        </w:r>
        <w:r>
          <w:rPr>
            <w:i/>
            <w:spacing w:val="-2"/>
            <w:sz w:val="22"/>
          </w:rPr>
          <w:t>chief</w:t>
        </w:r>
      </w:hyperlink>
      <w:r>
        <w:rPr>
          <w:spacing w:val="-2"/>
          <w:sz w:val="22"/>
        </w:rPr>
        <w:t>.</w:t>
      </w:r>
    </w:p>
    <w:p>
      <w:pPr>
        <w:pStyle w:val="BodyText"/>
        <w:spacing w:before="25"/>
        <w:ind w:left="1100"/>
      </w:pPr>
      <w:r>
        <w:rPr/>
        <w:t>Retrieved</w:t>
      </w:r>
      <w:r>
        <w:rPr>
          <w:spacing w:val="-13"/>
        </w:rPr>
        <w:t> </w:t>
      </w:r>
      <w:r>
        <w:rPr/>
        <w:t>March</w:t>
      </w:r>
      <w:r>
        <w:rPr>
          <w:spacing w:val="-11"/>
        </w:rPr>
        <w:t> </w:t>
      </w:r>
      <w:r>
        <w:rPr/>
        <w:t>12,</w:t>
      </w:r>
      <w:r>
        <w:rPr>
          <w:spacing w:val="-8"/>
        </w:rPr>
        <w:t> </w:t>
      </w:r>
      <w:r>
        <w:rPr/>
        <w:t>2013</w:t>
      </w:r>
      <w:r>
        <w:rPr>
          <w:spacing w:val="-9"/>
        </w:rPr>
        <w:t> </w:t>
      </w:r>
      <w:r>
        <w:rPr/>
        <w:t>from</w:t>
      </w:r>
      <w:r>
        <w:rPr>
          <w:spacing w:val="-9"/>
        </w:rPr>
        <w:t> </w:t>
      </w:r>
      <w:hyperlink r:id="rId389">
        <w:r>
          <w:rPr/>
          <w:t>http://www.bbc.co.uk/news/health-</w:t>
        </w:r>
        <w:r>
          <w:rPr>
            <w:spacing w:val="-2"/>
          </w:rPr>
          <w:t>21737844.</w:t>
        </w:r>
      </w:hyperlink>
    </w:p>
    <w:p>
      <w:pPr>
        <w:pStyle w:val="BodyText"/>
        <w:tabs>
          <w:tab w:pos="1752" w:val="left" w:leader="none"/>
          <w:tab w:pos="2438" w:val="left" w:leader="none"/>
          <w:tab w:pos="3371" w:val="left" w:leader="none"/>
          <w:tab w:pos="4257" w:val="left" w:leader="none"/>
          <w:tab w:pos="4890" w:val="left" w:leader="none"/>
          <w:tab w:pos="5896" w:val="left" w:leader="none"/>
          <w:tab w:pos="7056" w:val="left" w:leader="none"/>
          <w:tab w:pos="7769" w:val="left" w:leader="none"/>
          <w:tab w:pos="8229" w:val="left" w:leader="none"/>
          <w:tab w:pos="8972" w:val="left" w:leader="none"/>
        </w:tabs>
        <w:spacing w:line="261" w:lineRule="auto" w:before="218"/>
        <w:ind w:left="1100" w:right="978" w:hanging="720"/>
      </w:pPr>
      <w:r>
        <w:rPr>
          <w:spacing w:val="-2"/>
        </w:rPr>
        <w:t>Washington</w:t>
      </w:r>
      <w:r>
        <w:rPr/>
        <w:tab/>
      </w:r>
      <w:r>
        <w:rPr>
          <w:spacing w:val="-4"/>
        </w:rPr>
        <w:t>Post</w:t>
      </w:r>
      <w:r>
        <w:rPr/>
        <w:tab/>
      </w:r>
      <w:r>
        <w:rPr>
          <w:spacing w:val="-2"/>
        </w:rPr>
        <w:t>(2012).</w:t>
      </w:r>
      <w:r>
        <w:rPr/>
        <w:tab/>
      </w:r>
      <w:r>
        <w:rPr>
          <w:i/>
          <w:spacing w:val="-2"/>
        </w:rPr>
        <w:t>Health</w:t>
      </w:r>
      <w:r>
        <w:rPr>
          <w:i/>
        </w:rPr>
        <w:tab/>
      </w:r>
      <w:r>
        <w:rPr>
          <w:i/>
          <w:spacing w:val="-4"/>
        </w:rPr>
        <w:t>and</w:t>
      </w:r>
      <w:r>
        <w:rPr>
          <w:i/>
        </w:rPr>
        <w:tab/>
      </w:r>
      <w:r>
        <w:rPr>
          <w:i/>
          <w:spacing w:val="-2"/>
        </w:rPr>
        <w:t>Science</w:t>
      </w:r>
      <w:r>
        <w:rPr>
          <w:spacing w:val="-2"/>
        </w:rPr>
        <w:t>.</w:t>
      </w:r>
      <w:r>
        <w:rPr/>
        <w:tab/>
      </w:r>
      <w:r>
        <w:rPr>
          <w:spacing w:val="-2"/>
        </w:rPr>
        <w:t>Retrieved</w:t>
      </w:r>
      <w:r>
        <w:rPr/>
        <w:tab/>
      </w:r>
      <w:r>
        <w:rPr>
          <w:spacing w:val="-2"/>
        </w:rPr>
        <w:t>April</w:t>
      </w:r>
      <w:r>
        <w:rPr/>
        <w:tab/>
      </w:r>
      <w:r>
        <w:rPr>
          <w:spacing w:val="-6"/>
        </w:rPr>
        <w:t>9,</w:t>
      </w:r>
      <w:r>
        <w:rPr/>
        <w:tab/>
      </w:r>
      <w:r>
        <w:rPr>
          <w:spacing w:val="-4"/>
        </w:rPr>
        <w:t>2013</w:t>
      </w:r>
      <w:r>
        <w:rPr/>
        <w:tab/>
      </w:r>
      <w:r>
        <w:rPr>
          <w:spacing w:val="-4"/>
        </w:rPr>
        <w:t>from </w:t>
      </w:r>
      <w:hyperlink r:id="rId390">
        <w:r>
          <w:rPr>
            <w:spacing w:val="-2"/>
          </w:rPr>
          <w:t>http://www.washingtonpost.com/national/health-science/superbug-stalked-nih-hospital-</w:t>
        </w:r>
      </w:hyperlink>
      <w:r>
        <w:rPr>
          <w:spacing w:val="80"/>
        </w:rPr>
        <w:t> </w:t>
      </w:r>
      <w:hyperlink r:id="rId390">
        <w:r>
          <w:rPr>
            <w:spacing w:val="-2"/>
          </w:rPr>
          <w:t>last-year-killing-six/2012/08/22/5be18b1a-ec66-11e1-9ddc-340d5efb1e9c_story_1.html</w:t>
        </w:r>
      </w:hyperlink>
      <w:r>
        <w:rPr>
          <w:spacing w:val="-2"/>
        </w:rPr>
        <w:t>.</w:t>
      </w:r>
    </w:p>
    <w:p>
      <w:pPr>
        <w:tabs>
          <w:tab w:pos="2329" w:val="left" w:leader="none"/>
          <w:tab w:pos="3805" w:val="left" w:leader="none"/>
          <w:tab w:pos="5465" w:val="left" w:leader="none"/>
          <w:tab w:pos="6655" w:val="left" w:leader="none"/>
          <w:tab w:pos="7728" w:val="left" w:leader="none"/>
          <w:tab w:pos="8973" w:val="left" w:leader="none"/>
        </w:tabs>
        <w:spacing w:line="259" w:lineRule="auto" w:before="193"/>
        <w:ind w:left="1100" w:right="975" w:hanging="720"/>
        <w:jc w:val="both"/>
        <w:rPr>
          <w:sz w:val="22"/>
        </w:rPr>
      </w:pPr>
      <w:hyperlink r:id="rId391">
        <w:r>
          <w:rPr>
            <w:sz w:val="22"/>
          </w:rPr>
          <w:t>Wen-Chien, D. L., Paterson, A. J., Sagnimeni, and Denis, S. H. (2002). </w:t>
        </w:r>
        <w:r>
          <w:rPr>
            <w:i/>
            <w:sz w:val="22"/>
          </w:rPr>
          <w:t>Community-Acquired Klebsiella</w:t>
        </w:r>
      </w:hyperlink>
      <w:r>
        <w:rPr>
          <w:i/>
          <w:sz w:val="22"/>
        </w:rPr>
        <w:t> </w:t>
      </w:r>
      <w:hyperlink r:id="rId391">
        <w:r>
          <w:rPr>
            <w:i/>
            <w:sz w:val="22"/>
          </w:rPr>
          <w:t>pneumoniae Bacteremia: Global Differences in Clinical Patterns. Public Medicine Central:</w:t>
        </w:r>
      </w:hyperlink>
      <w:r>
        <w:rPr>
          <w:i/>
          <w:spacing w:val="40"/>
          <w:sz w:val="22"/>
        </w:rPr>
        <w:t> </w:t>
      </w:r>
      <w:hyperlink r:id="rId391">
        <w:r>
          <w:rPr>
            <w:i/>
            <w:spacing w:val="-4"/>
            <w:sz w:val="22"/>
          </w:rPr>
          <w:t>web,</w:t>
        </w:r>
        <w:r>
          <w:rPr>
            <w:i/>
            <w:sz w:val="22"/>
          </w:rPr>
          <w:tab/>
        </w:r>
        <w:r>
          <w:rPr>
            <w:i/>
            <w:spacing w:val="-2"/>
            <w:sz w:val="22"/>
          </w:rPr>
          <w:t>160-66.</w:t>
        </w:r>
      </w:hyperlink>
      <w:r>
        <w:rPr>
          <w:i/>
          <w:sz w:val="22"/>
        </w:rPr>
        <w:tab/>
      </w:r>
      <w:r>
        <w:rPr>
          <w:spacing w:val="-2"/>
          <w:sz w:val="22"/>
        </w:rPr>
        <w:t>Retrieved</w:t>
      </w:r>
      <w:r>
        <w:rPr>
          <w:sz w:val="22"/>
        </w:rPr>
        <w:tab/>
      </w:r>
      <w:r>
        <w:rPr>
          <w:spacing w:val="-4"/>
          <w:sz w:val="22"/>
        </w:rPr>
        <w:t>May</w:t>
      </w:r>
      <w:r>
        <w:rPr>
          <w:sz w:val="22"/>
        </w:rPr>
        <w:tab/>
      </w:r>
      <w:r>
        <w:rPr>
          <w:spacing w:val="-4"/>
          <w:sz w:val="22"/>
        </w:rPr>
        <w:t>10,</w:t>
      </w:r>
      <w:r>
        <w:rPr>
          <w:sz w:val="22"/>
        </w:rPr>
        <w:tab/>
      </w:r>
      <w:r>
        <w:rPr>
          <w:spacing w:val="-4"/>
          <w:sz w:val="22"/>
        </w:rPr>
        <w:t>2013</w:t>
      </w:r>
      <w:r>
        <w:rPr>
          <w:sz w:val="22"/>
        </w:rPr>
        <w:tab/>
      </w:r>
      <w:r>
        <w:rPr>
          <w:spacing w:val="-4"/>
          <w:sz w:val="22"/>
        </w:rPr>
        <w:t>from </w:t>
      </w:r>
      <w:hyperlink r:id="rId392">
        <w:r>
          <w:rPr>
            <w:spacing w:val="-2"/>
            <w:sz w:val="22"/>
          </w:rPr>
          <w:t>http://www.ncbi.nlm.nih.gov/pmc/articles/pmc2732457/ko.</w:t>
        </w:r>
      </w:hyperlink>
    </w:p>
    <w:p>
      <w:pPr>
        <w:pStyle w:val="BodyText"/>
        <w:spacing w:line="261" w:lineRule="auto" w:before="198"/>
        <w:ind w:left="1100" w:right="975" w:hanging="720"/>
      </w:pPr>
      <w:r>
        <w:rPr/>
        <w:t>Weston,</w:t>
      </w:r>
      <w:r>
        <w:rPr>
          <w:spacing w:val="27"/>
        </w:rPr>
        <w:t> </w:t>
      </w:r>
      <w:r>
        <w:rPr/>
        <w:t>R.</w:t>
      </w:r>
      <w:r>
        <w:rPr>
          <w:spacing w:val="27"/>
        </w:rPr>
        <w:t> </w:t>
      </w:r>
      <w:r>
        <w:rPr/>
        <w:t>J.</w:t>
      </w:r>
      <w:r>
        <w:rPr>
          <w:spacing w:val="27"/>
        </w:rPr>
        <w:t> </w:t>
      </w:r>
      <w:r>
        <w:rPr/>
        <w:t>(2000).</w:t>
      </w:r>
      <w:r>
        <w:rPr>
          <w:spacing w:val="24"/>
        </w:rPr>
        <w:t> </w:t>
      </w:r>
      <w:r>
        <w:rPr/>
        <w:t>The</w:t>
      </w:r>
      <w:r>
        <w:rPr>
          <w:spacing w:val="25"/>
        </w:rPr>
        <w:t> </w:t>
      </w:r>
      <w:r>
        <w:rPr/>
        <w:t>contribution</w:t>
      </w:r>
      <w:r>
        <w:rPr>
          <w:spacing w:val="26"/>
        </w:rPr>
        <w:t> </w:t>
      </w:r>
      <w:r>
        <w:rPr/>
        <w:t>of</w:t>
      </w:r>
      <w:r>
        <w:rPr>
          <w:spacing w:val="24"/>
        </w:rPr>
        <w:t> </w:t>
      </w:r>
      <w:r>
        <w:rPr/>
        <w:t>catalase</w:t>
      </w:r>
      <w:r>
        <w:rPr>
          <w:spacing w:val="28"/>
        </w:rPr>
        <w:t> </w:t>
      </w:r>
      <w:r>
        <w:rPr/>
        <w:t>and</w:t>
      </w:r>
      <w:r>
        <w:rPr>
          <w:spacing w:val="26"/>
        </w:rPr>
        <w:t> </w:t>
      </w:r>
      <w:r>
        <w:rPr/>
        <w:t>other</w:t>
      </w:r>
      <w:r>
        <w:rPr>
          <w:spacing w:val="27"/>
        </w:rPr>
        <w:t> </w:t>
      </w:r>
      <w:r>
        <w:rPr/>
        <w:t>natural</w:t>
      </w:r>
      <w:r>
        <w:rPr>
          <w:spacing w:val="27"/>
        </w:rPr>
        <w:t> </w:t>
      </w:r>
      <w:r>
        <w:rPr/>
        <w:t>products</w:t>
      </w:r>
      <w:r>
        <w:rPr>
          <w:spacing w:val="25"/>
        </w:rPr>
        <w:t> </w:t>
      </w:r>
      <w:r>
        <w:rPr/>
        <w:t>to</w:t>
      </w:r>
      <w:r>
        <w:rPr>
          <w:spacing w:val="29"/>
        </w:rPr>
        <w:t> </w:t>
      </w:r>
      <w:r>
        <w:rPr/>
        <w:t>the</w:t>
      </w:r>
      <w:r>
        <w:rPr>
          <w:spacing w:val="28"/>
        </w:rPr>
        <w:t> </w:t>
      </w:r>
      <w:r>
        <w:rPr/>
        <w:t>antibacterial activity of honey: a review. </w:t>
      </w:r>
      <w:r>
        <w:rPr>
          <w:i/>
        </w:rPr>
        <w:t>Food Chemistry</w:t>
      </w:r>
      <w:r>
        <w:rPr/>
        <w:t>, 71: 235 - 239.</w:t>
      </w:r>
    </w:p>
    <w:p>
      <w:pPr>
        <w:spacing w:after="0" w:line="261" w:lineRule="auto"/>
        <w:sectPr>
          <w:pgSz w:w="11910" w:h="16840"/>
          <w:pgMar w:header="0" w:footer="1055" w:top="1380" w:bottom="1240" w:left="1060" w:right="460"/>
        </w:sectPr>
      </w:pPr>
    </w:p>
    <w:p>
      <w:pPr>
        <w:tabs>
          <w:tab w:pos="5759" w:val="left" w:leader="none"/>
        </w:tabs>
        <w:spacing w:line="259" w:lineRule="auto" w:before="38"/>
        <w:ind w:left="1100" w:right="979" w:hanging="720"/>
        <w:jc w:val="both"/>
        <w:rPr>
          <w:sz w:val="22"/>
        </w:rPr>
      </w:pPr>
      <w:hyperlink r:id="rId393">
        <w:r>
          <w:rPr>
            <w:sz w:val="22"/>
          </w:rPr>
          <w:t>WHO.</w:t>
        </w:r>
      </w:hyperlink>
      <w:r>
        <w:rPr>
          <w:spacing w:val="-2"/>
          <w:sz w:val="22"/>
        </w:rPr>
        <w:t> </w:t>
      </w:r>
      <w:r>
        <w:rPr>
          <w:sz w:val="22"/>
        </w:rPr>
        <w:t>(2002).</w:t>
      </w:r>
      <w:r>
        <w:rPr>
          <w:spacing w:val="-2"/>
          <w:sz w:val="22"/>
        </w:rPr>
        <w:t> </w:t>
      </w:r>
      <w:r>
        <w:rPr>
          <w:i/>
          <w:sz w:val="22"/>
        </w:rPr>
        <w:t>Use</w:t>
      </w:r>
      <w:r>
        <w:rPr>
          <w:i/>
          <w:spacing w:val="-2"/>
          <w:sz w:val="22"/>
        </w:rPr>
        <w:t> </w:t>
      </w:r>
      <w:r>
        <w:rPr>
          <w:i/>
          <w:sz w:val="22"/>
        </w:rPr>
        <w:t>of</w:t>
      </w:r>
      <w:r>
        <w:rPr>
          <w:i/>
          <w:spacing w:val="-2"/>
          <w:sz w:val="22"/>
        </w:rPr>
        <w:t> </w:t>
      </w:r>
      <w:r>
        <w:rPr>
          <w:i/>
          <w:sz w:val="22"/>
        </w:rPr>
        <w:t>antimicrobials</w:t>
      </w:r>
      <w:r>
        <w:rPr>
          <w:i/>
          <w:spacing w:val="-2"/>
          <w:sz w:val="22"/>
        </w:rPr>
        <w:t> </w:t>
      </w:r>
      <w:r>
        <w:rPr>
          <w:i/>
          <w:sz w:val="22"/>
        </w:rPr>
        <w:t>outside</w:t>
      </w:r>
      <w:r>
        <w:rPr>
          <w:i/>
          <w:spacing w:val="-2"/>
          <w:sz w:val="22"/>
        </w:rPr>
        <w:t> </w:t>
      </w:r>
      <w:r>
        <w:rPr>
          <w:i/>
          <w:sz w:val="22"/>
        </w:rPr>
        <w:t>human</w:t>
      </w:r>
      <w:r>
        <w:rPr>
          <w:i/>
          <w:spacing w:val="-3"/>
          <w:sz w:val="22"/>
        </w:rPr>
        <w:t> </w:t>
      </w:r>
      <w:r>
        <w:rPr>
          <w:i/>
          <w:sz w:val="22"/>
        </w:rPr>
        <w:t>medicine</w:t>
      </w:r>
      <w:r>
        <w:rPr>
          <w:i/>
          <w:spacing w:val="-2"/>
          <w:sz w:val="22"/>
        </w:rPr>
        <w:t> </w:t>
      </w:r>
      <w:r>
        <w:rPr>
          <w:i/>
          <w:sz w:val="22"/>
        </w:rPr>
        <w:t>and</w:t>
      </w:r>
      <w:r>
        <w:rPr>
          <w:i/>
          <w:spacing w:val="-3"/>
          <w:sz w:val="22"/>
        </w:rPr>
        <w:t> </w:t>
      </w:r>
      <w:r>
        <w:rPr>
          <w:i/>
          <w:sz w:val="22"/>
        </w:rPr>
        <w:t>resultant</w:t>
      </w:r>
      <w:r>
        <w:rPr>
          <w:i/>
          <w:spacing w:val="-2"/>
          <w:sz w:val="22"/>
        </w:rPr>
        <w:t> </w:t>
      </w:r>
      <w:r>
        <w:rPr>
          <w:i/>
          <w:sz w:val="22"/>
        </w:rPr>
        <w:t>antimicrobial</w:t>
      </w:r>
      <w:r>
        <w:rPr>
          <w:i/>
          <w:spacing w:val="-2"/>
          <w:sz w:val="22"/>
        </w:rPr>
        <w:t> </w:t>
      </w:r>
      <w:r>
        <w:rPr>
          <w:i/>
          <w:sz w:val="22"/>
        </w:rPr>
        <w:t>resistance</w:t>
      </w:r>
      <w:r>
        <w:rPr>
          <w:i/>
          <w:spacing w:val="-2"/>
          <w:sz w:val="22"/>
        </w:rPr>
        <w:t> </w:t>
      </w:r>
      <w:r>
        <w:rPr>
          <w:i/>
          <w:sz w:val="22"/>
        </w:rPr>
        <w:t>in humans.</w:t>
      </w:r>
      <w:r>
        <w:rPr>
          <w:i/>
          <w:spacing w:val="80"/>
          <w:sz w:val="22"/>
        </w:rPr>
        <w:t>  </w:t>
      </w:r>
      <w:r>
        <w:rPr>
          <w:i/>
          <w:sz w:val="22"/>
        </w:rPr>
        <w:t>World</w:t>
      </w:r>
      <w:r>
        <w:rPr>
          <w:i/>
          <w:spacing w:val="80"/>
          <w:sz w:val="22"/>
        </w:rPr>
        <w:t>  </w:t>
      </w:r>
      <w:r>
        <w:rPr>
          <w:i/>
          <w:sz w:val="22"/>
        </w:rPr>
        <w:t>Health</w:t>
      </w:r>
      <w:r>
        <w:rPr>
          <w:i/>
          <w:spacing w:val="80"/>
          <w:sz w:val="22"/>
        </w:rPr>
        <w:t>  </w:t>
      </w:r>
      <w:r>
        <w:rPr>
          <w:i/>
          <w:sz w:val="22"/>
        </w:rPr>
        <w:t>Organization</w:t>
      </w:r>
      <w:r>
        <w:rPr>
          <w:sz w:val="22"/>
        </w:rPr>
        <w:t>.</w:t>
        <w:tab/>
        <w:t>Retrieved May 13, 2012 from </w:t>
      </w:r>
      <w:r>
        <w:rPr>
          <w:spacing w:val="-2"/>
          <w:sz w:val="22"/>
        </w:rPr>
        <w:t>http://web.archive.org/web/20040513120635/http:/</w:t>
      </w:r>
      <w:hyperlink r:id="rId394">
        <w:r>
          <w:rPr>
            <w:spacing w:val="-2"/>
            <w:sz w:val="22"/>
          </w:rPr>
          <w:t>www.who.int/mediacentre/factsheets/</w:t>
        </w:r>
      </w:hyperlink>
      <w:r>
        <w:rPr>
          <w:spacing w:val="-2"/>
          <w:sz w:val="22"/>
        </w:rPr>
        <w:t> fs268/en/index.html.</w:t>
      </w:r>
    </w:p>
    <w:p>
      <w:pPr>
        <w:spacing w:line="261" w:lineRule="auto" w:before="199"/>
        <w:ind w:left="1100" w:right="977" w:hanging="720"/>
        <w:jc w:val="both"/>
        <w:rPr>
          <w:sz w:val="22"/>
        </w:rPr>
      </w:pPr>
      <w:r>
        <w:rPr>
          <w:sz w:val="22"/>
        </w:rPr>
        <w:t>Williams, E. (2012). </w:t>
      </w:r>
      <w:r>
        <w:rPr>
          <w:i/>
          <w:sz w:val="22"/>
        </w:rPr>
        <w:t>Popular Types of Lemon Trees</w:t>
      </w:r>
      <w:r>
        <w:rPr>
          <w:sz w:val="22"/>
        </w:rPr>
        <w:t>. Retrieved January 21, 2012 from </w:t>
      </w:r>
      <w:hyperlink r:id="rId395">
        <w:r>
          <w:rPr>
            <w:spacing w:val="-2"/>
            <w:sz w:val="22"/>
          </w:rPr>
          <w:t>http://www.ask.com/explore/popular-types-lemon-trees.</w:t>
        </w:r>
      </w:hyperlink>
    </w:p>
    <w:p>
      <w:pPr>
        <w:spacing w:line="261" w:lineRule="auto" w:before="194"/>
        <w:ind w:left="1100" w:right="975" w:hanging="720"/>
        <w:jc w:val="both"/>
        <w:rPr>
          <w:sz w:val="22"/>
        </w:rPr>
      </w:pPr>
      <w:r>
        <w:rPr>
          <w:sz w:val="22"/>
        </w:rPr>
        <w:t>Wright, G. D. (2010). "Antibiotic resistance in the environment: a link to the clinic?” </w:t>
      </w:r>
      <w:r>
        <w:rPr>
          <w:i/>
          <w:sz w:val="22"/>
        </w:rPr>
        <w:t>Current opinion in microbiology, </w:t>
      </w:r>
      <w:r>
        <w:rPr>
          <w:sz w:val="22"/>
        </w:rPr>
        <w:t>13 (5): 589–94.</w:t>
      </w:r>
    </w:p>
    <w:p>
      <w:pPr>
        <w:spacing w:line="261" w:lineRule="auto" w:before="195"/>
        <w:ind w:left="1100" w:right="973" w:hanging="720"/>
        <w:jc w:val="both"/>
        <w:rPr>
          <w:sz w:val="22"/>
        </w:rPr>
      </w:pPr>
      <w:r>
        <w:rPr>
          <w:sz w:val="22"/>
        </w:rPr>
        <w:t>Yigit, H., Queenan A. M., and Anderson G. J. (2001). Novel carbapenem-hydrolyzing beta-lactamase, KPC-1, from a carbapenem-resistant strain of </w:t>
      </w:r>
      <w:r>
        <w:rPr>
          <w:i/>
          <w:sz w:val="22"/>
        </w:rPr>
        <w:t>Klebsiella pneumoniae. Antimicrobial Agents and Chemotherapy</w:t>
      </w:r>
      <w:r>
        <w:rPr>
          <w:sz w:val="22"/>
        </w:rPr>
        <w:t>, 45: 1151-61.</w:t>
      </w:r>
    </w:p>
    <w:p>
      <w:pPr>
        <w:pStyle w:val="BodyText"/>
        <w:spacing w:line="259" w:lineRule="auto" w:before="193"/>
        <w:ind w:left="1100" w:right="974" w:hanging="720"/>
        <w:jc w:val="both"/>
      </w:pPr>
      <w:r>
        <w:rPr/>
        <w:t>Zdzisław,</w:t>
      </w:r>
      <w:r>
        <w:rPr>
          <w:spacing w:val="-1"/>
        </w:rPr>
        <w:t> </w:t>
      </w:r>
      <w:r>
        <w:rPr/>
        <w:t>E.</w:t>
      </w:r>
      <w:r>
        <w:rPr>
          <w:spacing w:val="-1"/>
        </w:rPr>
        <w:t> </w:t>
      </w:r>
      <w:r>
        <w:rPr/>
        <w:t>S.</w:t>
      </w:r>
      <w:r>
        <w:rPr>
          <w:spacing w:val="-2"/>
        </w:rPr>
        <w:t> </w:t>
      </w:r>
      <w:r>
        <w:rPr/>
        <w:t>(2007). Chemical</w:t>
      </w:r>
      <w:r>
        <w:rPr>
          <w:spacing w:val="-2"/>
        </w:rPr>
        <w:t> </w:t>
      </w:r>
      <w:r>
        <w:rPr/>
        <w:t>and</w:t>
      </w:r>
      <w:r>
        <w:rPr>
          <w:spacing w:val="-3"/>
        </w:rPr>
        <w:t> </w:t>
      </w:r>
      <w:r>
        <w:rPr/>
        <w:t>functional</w:t>
      </w:r>
      <w:r>
        <w:rPr>
          <w:spacing w:val="-1"/>
        </w:rPr>
        <w:t> </w:t>
      </w:r>
      <w:r>
        <w:rPr/>
        <w:t>properties</w:t>
      </w:r>
      <w:r>
        <w:rPr>
          <w:spacing w:val="-1"/>
        </w:rPr>
        <w:t> </w:t>
      </w:r>
      <w:r>
        <w:rPr/>
        <w:t>of</w:t>
      </w:r>
      <w:r>
        <w:rPr>
          <w:spacing w:val="-1"/>
        </w:rPr>
        <w:t> </w:t>
      </w:r>
      <w:r>
        <w:rPr/>
        <w:t>food</w:t>
      </w:r>
      <w:r>
        <w:rPr>
          <w:spacing w:val="-2"/>
        </w:rPr>
        <w:t> </w:t>
      </w:r>
      <w:r>
        <w:rPr/>
        <w:t>components.</w:t>
      </w:r>
      <w:r>
        <w:rPr>
          <w:spacing w:val="-1"/>
        </w:rPr>
        <w:t> </w:t>
      </w:r>
      <w:r>
        <w:rPr/>
        <w:t>LLC</w:t>
      </w:r>
      <w:r>
        <w:rPr>
          <w:spacing w:val="-1"/>
        </w:rPr>
        <w:t> </w:t>
      </w:r>
      <w:r>
        <w:rPr/>
        <w:t>Publishing</w:t>
      </w:r>
      <w:r>
        <w:rPr>
          <w:spacing w:val="-2"/>
        </w:rPr>
        <w:t> </w:t>
      </w:r>
      <w:r>
        <w:rPr/>
        <w:t>Group, CRC Press Florida, 105-121.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5"/>
      </w:pPr>
    </w:p>
    <w:p>
      <w:pPr>
        <w:pStyle w:val="Heading2"/>
        <w:ind w:left="421" w:right="1014"/>
        <w:jc w:val="center"/>
      </w:pPr>
      <w:r>
        <w:rPr>
          <w:spacing w:val="-2"/>
        </w:rPr>
        <w:t>APPENDICES</w:t>
      </w:r>
    </w:p>
    <w:p>
      <w:pPr>
        <w:pStyle w:val="BodyText"/>
        <w:spacing w:before="161"/>
        <w:rPr>
          <w:b/>
        </w:rPr>
      </w:pPr>
    </w:p>
    <w:p>
      <w:pPr>
        <w:tabs>
          <w:tab w:pos="2540" w:val="left" w:leader="none"/>
        </w:tabs>
        <w:spacing w:before="1"/>
        <w:ind w:left="380" w:right="0" w:firstLine="0"/>
        <w:jc w:val="left"/>
        <w:rPr>
          <w:b/>
          <w:sz w:val="22"/>
        </w:rPr>
      </w:pPr>
      <w:r>
        <w:rPr>
          <w:b/>
          <w:sz w:val="22"/>
        </w:rPr>
        <w:t>APPENDIX</w:t>
      </w:r>
      <w:r>
        <w:rPr>
          <w:b/>
          <w:spacing w:val="-8"/>
          <w:sz w:val="22"/>
        </w:rPr>
        <w:t> </w:t>
      </w:r>
      <w:r>
        <w:rPr>
          <w:b/>
          <w:spacing w:val="-5"/>
          <w:sz w:val="22"/>
        </w:rPr>
        <w:t>I:</w:t>
      </w:r>
      <w:r>
        <w:rPr>
          <w:b/>
          <w:sz w:val="22"/>
        </w:rPr>
        <w:tab/>
        <w:t>RATE</w:t>
      </w:r>
      <w:r>
        <w:rPr>
          <w:b/>
          <w:spacing w:val="-2"/>
          <w:sz w:val="22"/>
        </w:rPr>
        <w:t> </w:t>
      </w:r>
      <w:r>
        <w:rPr>
          <w:b/>
          <w:sz w:val="22"/>
        </w:rPr>
        <w:t>OF</w:t>
      </w:r>
      <w:r>
        <w:rPr>
          <w:b/>
          <w:spacing w:val="-3"/>
          <w:sz w:val="22"/>
        </w:rPr>
        <w:t> </w:t>
      </w:r>
      <w:r>
        <w:rPr>
          <w:b/>
          <w:sz w:val="22"/>
        </w:rPr>
        <w:t>KILL</w:t>
      </w:r>
      <w:r>
        <w:rPr>
          <w:b/>
          <w:spacing w:val="-3"/>
          <w:sz w:val="22"/>
        </w:rPr>
        <w:t> </w:t>
      </w:r>
      <w:r>
        <w:rPr>
          <w:b/>
          <w:spacing w:val="-2"/>
          <w:sz w:val="22"/>
        </w:rPr>
        <w:t>RESULTS</w:t>
      </w:r>
    </w:p>
    <w:p>
      <w:pPr>
        <w:pStyle w:val="BodyText"/>
        <w:spacing w:before="158"/>
        <w:rPr>
          <w:b/>
        </w:rPr>
      </w:pPr>
    </w:p>
    <w:p>
      <w:pPr>
        <w:spacing w:before="0"/>
        <w:ind w:left="380" w:right="0" w:firstLine="0"/>
        <w:jc w:val="left"/>
        <w:rPr>
          <w:b/>
          <w:sz w:val="22"/>
        </w:rPr>
      </w:pPr>
      <w:r>
        <w:rPr>
          <w:b/>
          <w:sz w:val="22"/>
        </w:rPr>
        <w:t>Rate</w:t>
      </w:r>
      <w:r>
        <w:rPr>
          <w:b/>
          <w:spacing w:val="-9"/>
          <w:sz w:val="22"/>
        </w:rPr>
        <w:t> </w:t>
      </w:r>
      <w:r>
        <w:rPr>
          <w:b/>
          <w:sz w:val="22"/>
        </w:rPr>
        <w:t>of</w:t>
      </w:r>
      <w:r>
        <w:rPr>
          <w:b/>
          <w:spacing w:val="-5"/>
          <w:sz w:val="22"/>
        </w:rPr>
        <w:t> </w:t>
      </w:r>
      <w:r>
        <w:rPr>
          <w:b/>
          <w:sz w:val="22"/>
        </w:rPr>
        <w:t>kill</w:t>
      </w:r>
      <w:r>
        <w:rPr>
          <w:b/>
          <w:spacing w:val="-7"/>
          <w:sz w:val="22"/>
        </w:rPr>
        <w:t> </w:t>
      </w:r>
      <w:r>
        <w:rPr>
          <w:b/>
          <w:sz w:val="22"/>
        </w:rPr>
        <w:t>(at</w:t>
      </w:r>
      <w:r>
        <w:rPr>
          <w:b/>
          <w:spacing w:val="-5"/>
          <w:sz w:val="22"/>
        </w:rPr>
        <w:t> </w:t>
      </w:r>
      <w:r>
        <w:rPr>
          <w:b/>
          <w:sz w:val="22"/>
        </w:rPr>
        <w:t>average</w:t>
      </w:r>
      <w:r>
        <w:rPr>
          <w:b/>
          <w:spacing w:val="-6"/>
          <w:sz w:val="22"/>
        </w:rPr>
        <w:t> </w:t>
      </w:r>
      <w:r>
        <w:rPr>
          <w:b/>
          <w:sz w:val="22"/>
        </w:rPr>
        <w:t>MIC</w:t>
      </w:r>
      <w:r>
        <w:rPr>
          <w:b/>
          <w:spacing w:val="-2"/>
          <w:sz w:val="22"/>
        </w:rPr>
        <w:t> </w:t>
      </w:r>
      <w:r>
        <w:rPr>
          <w:b/>
          <w:sz w:val="22"/>
        </w:rPr>
        <w:t>values)</w:t>
      </w:r>
      <w:r>
        <w:rPr>
          <w:b/>
          <w:spacing w:val="-5"/>
          <w:sz w:val="22"/>
        </w:rPr>
        <w:t> </w:t>
      </w:r>
      <w:r>
        <w:rPr>
          <w:b/>
          <w:sz w:val="22"/>
        </w:rPr>
        <w:t>for</w:t>
      </w:r>
      <w:r>
        <w:rPr>
          <w:b/>
          <w:spacing w:val="-3"/>
          <w:sz w:val="22"/>
        </w:rPr>
        <w:t> </w:t>
      </w:r>
      <w:r>
        <w:rPr>
          <w:b/>
          <w:i/>
          <w:sz w:val="22"/>
        </w:rPr>
        <w:t>Klebsiella</w:t>
      </w:r>
      <w:r>
        <w:rPr>
          <w:b/>
          <w:i/>
          <w:spacing w:val="-6"/>
          <w:sz w:val="22"/>
        </w:rPr>
        <w:t> </w:t>
      </w:r>
      <w:r>
        <w:rPr>
          <w:b/>
          <w:i/>
          <w:sz w:val="22"/>
        </w:rPr>
        <w:t>pneumoniae_</w:t>
      </w:r>
      <w:r>
        <w:rPr>
          <w:b/>
          <w:sz w:val="22"/>
        </w:rPr>
        <w:t>Sp894</w:t>
      </w:r>
      <w:r>
        <w:rPr>
          <w:b/>
          <w:spacing w:val="-3"/>
          <w:sz w:val="22"/>
        </w:rPr>
        <w:t> </w:t>
      </w:r>
      <w:r>
        <w:rPr>
          <w:b/>
          <w:spacing w:val="-2"/>
          <w:sz w:val="22"/>
        </w:rPr>
        <w:t>(Resistant)</w:t>
      </w:r>
    </w:p>
    <w:p>
      <w:pPr>
        <w:spacing w:after="0"/>
        <w:jc w:val="left"/>
        <w:rPr>
          <w:sz w:val="22"/>
        </w:rPr>
        <w:sectPr>
          <w:pgSz w:w="11910" w:h="16840"/>
          <w:pgMar w:header="0" w:footer="1055" w:top="1380" w:bottom="1240" w:left="1060" w:right="460"/>
        </w:sect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5"/>
        <w:gridCol w:w="1698"/>
        <w:gridCol w:w="2009"/>
        <w:gridCol w:w="1422"/>
        <w:gridCol w:w="1230"/>
        <w:gridCol w:w="1399"/>
      </w:tblGrid>
      <w:tr>
        <w:trPr>
          <w:trHeight w:val="2577" w:hRule="atLeast"/>
        </w:trPr>
        <w:tc>
          <w:tcPr>
            <w:tcW w:w="1155" w:type="dxa"/>
            <w:tcBorders>
              <w:top w:val="single" w:sz="4" w:space="0" w:color="000000"/>
              <w:bottom w:val="single" w:sz="4" w:space="0" w:color="000000"/>
            </w:tcBorders>
          </w:tcPr>
          <w:p>
            <w:pPr>
              <w:pStyle w:val="TableParagraph"/>
              <w:spacing w:line="360" w:lineRule="auto"/>
              <w:ind w:left="115"/>
              <w:rPr>
                <w:b/>
                <w:sz w:val="22"/>
              </w:rPr>
            </w:pPr>
            <w:r>
              <w:rPr>
                <w:b/>
                <w:spacing w:val="-4"/>
                <w:sz w:val="22"/>
              </w:rPr>
              <w:t>Time </w:t>
            </w:r>
            <w:r>
              <w:rPr>
                <w:b/>
                <w:spacing w:val="-2"/>
                <w:sz w:val="22"/>
              </w:rPr>
              <w:t>(minutes)</w:t>
            </w:r>
          </w:p>
        </w:tc>
        <w:tc>
          <w:tcPr>
            <w:tcW w:w="1698" w:type="dxa"/>
            <w:tcBorders>
              <w:top w:val="single" w:sz="4" w:space="0" w:color="000000"/>
              <w:bottom w:val="single" w:sz="4" w:space="0" w:color="000000"/>
            </w:tcBorders>
          </w:tcPr>
          <w:p>
            <w:pPr>
              <w:pStyle w:val="TableParagraph"/>
              <w:spacing w:line="360" w:lineRule="auto"/>
              <w:ind w:left="157" w:right="39"/>
              <w:rPr>
                <w:b/>
                <w:sz w:val="22"/>
              </w:rPr>
            </w:pPr>
            <w:r>
              <w:rPr>
                <w:b/>
                <w:sz w:val="22"/>
              </w:rPr>
              <w:t>No of colonies counted</w:t>
            </w:r>
            <w:r>
              <w:rPr>
                <w:b/>
                <w:spacing w:val="-13"/>
                <w:sz w:val="22"/>
              </w:rPr>
              <w:t> </w:t>
            </w:r>
            <w:r>
              <w:rPr>
                <w:b/>
                <w:sz w:val="22"/>
              </w:rPr>
              <w:t>in</w:t>
            </w:r>
            <w:r>
              <w:rPr>
                <w:b/>
                <w:spacing w:val="-12"/>
                <w:sz w:val="22"/>
              </w:rPr>
              <w:t> </w:t>
            </w:r>
            <w:r>
              <w:rPr>
                <w:b/>
                <w:sz w:val="22"/>
              </w:rPr>
              <w:t>LEV </w:t>
            </w:r>
            <w:r>
              <w:rPr>
                <w:b/>
                <w:spacing w:val="-2"/>
                <w:sz w:val="22"/>
              </w:rPr>
              <w:t>(7.81µg/ml) plate</w:t>
            </w:r>
          </w:p>
        </w:tc>
        <w:tc>
          <w:tcPr>
            <w:tcW w:w="2009" w:type="dxa"/>
            <w:tcBorders>
              <w:top w:val="single" w:sz="4" w:space="0" w:color="000000"/>
              <w:bottom w:val="single" w:sz="4" w:space="0" w:color="000000"/>
            </w:tcBorders>
          </w:tcPr>
          <w:p>
            <w:pPr>
              <w:pStyle w:val="TableParagraph"/>
              <w:spacing w:line="360" w:lineRule="auto"/>
              <w:ind w:left="183" w:right="472"/>
              <w:rPr>
                <w:b/>
                <w:sz w:val="22"/>
              </w:rPr>
            </w:pPr>
            <w:r>
              <w:rPr>
                <w:b/>
                <w:sz w:val="22"/>
              </w:rPr>
              <w:t>No of colonies counted</w:t>
            </w:r>
            <w:r>
              <w:rPr>
                <w:b/>
                <w:spacing w:val="-3"/>
                <w:sz w:val="22"/>
              </w:rPr>
              <w:t> </w:t>
            </w:r>
            <w:r>
              <w:rPr>
                <w:b/>
                <w:sz w:val="22"/>
              </w:rPr>
              <w:t>in</w:t>
            </w:r>
            <w:r>
              <w:rPr>
                <w:b/>
                <w:spacing w:val="-2"/>
                <w:sz w:val="22"/>
              </w:rPr>
              <w:t> </w:t>
            </w:r>
            <w:r>
              <w:rPr>
                <w:b/>
                <w:spacing w:val="-5"/>
                <w:sz w:val="22"/>
              </w:rPr>
              <w:t>CEF</w:t>
            </w:r>
          </w:p>
          <w:p>
            <w:pPr>
              <w:pStyle w:val="TableParagraph"/>
              <w:spacing w:before="158"/>
              <w:ind w:left="183"/>
              <w:rPr>
                <w:b/>
                <w:sz w:val="22"/>
              </w:rPr>
            </w:pPr>
            <w:r>
              <w:rPr>
                <w:b/>
                <w:sz w:val="22"/>
              </w:rPr>
              <w:t>(12.5</w:t>
            </w:r>
            <w:r>
              <w:rPr>
                <w:b/>
                <w:spacing w:val="-5"/>
                <w:sz w:val="22"/>
              </w:rPr>
              <w:t> </w:t>
            </w:r>
            <w:r>
              <w:rPr>
                <w:b/>
                <w:sz w:val="22"/>
              </w:rPr>
              <w:t>µg/ml)</w:t>
            </w:r>
            <w:r>
              <w:rPr>
                <w:b/>
                <w:spacing w:val="-5"/>
                <w:sz w:val="22"/>
              </w:rPr>
              <w:t> </w:t>
            </w:r>
            <w:r>
              <w:rPr>
                <w:b/>
                <w:spacing w:val="-2"/>
                <w:sz w:val="22"/>
              </w:rPr>
              <w:t>plate</w:t>
            </w:r>
          </w:p>
        </w:tc>
        <w:tc>
          <w:tcPr>
            <w:tcW w:w="1422" w:type="dxa"/>
            <w:tcBorders>
              <w:top w:val="single" w:sz="4" w:space="0" w:color="000000"/>
              <w:bottom w:val="single" w:sz="4" w:space="0" w:color="000000"/>
            </w:tcBorders>
          </w:tcPr>
          <w:p>
            <w:pPr>
              <w:pStyle w:val="TableParagraph"/>
              <w:spacing w:line="360" w:lineRule="auto"/>
              <w:ind w:left="169" w:right="104"/>
              <w:rPr>
                <w:b/>
                <w:sz w:val="22"/>
              </w:rPr>
            </w:pPr>
            <w:r>
              <w:rPr>
                <w:b/>
                <w:sz w:val="22"/>
              </w:rPr>
              <w:t>No of </w:t>
            </w:r>
            <w:r>
              <w:rPr>
                <w:b/>
                <w:spacing w:val="-2"/>
                <w:sz w:val="22"/>
              </w:rPr>
              <w:t>colonies </w:t>
            </w:r>
            <w:r>
              <w:rPr>
                <w:b/>
                <w:sz w:val="22"/>
              </w:rPr>
              <w:t>counted in Lemon (20 µg/ml)</w:t>
            </w:r>
            <w:r>
              <w:rPr>
                <w:b/>
                <w:spacing w:val="-13"/>
                <w:sz w:val="22"/>
              </w:rPr>
              <w:t> </w:t>
            </w:r>
            <w:r>
              <w:rPr>
                <w:b/>
                <w:sz w:val="22"/>
              </w:rPr>
              <w:t>plate</w:t>
            </w:r>
          </w:p>
        </w:tc>
        <w:tc>
          <w:tcPr>
            <w:tcW w:w="1230" w:type="dxa"/>
            <w:tcBorders>
              <w:top w:val="single" w:sz="4" w:space="0" w:color="000000"/>
              <w:bottom w:val="single" w:sz="4" w:space="0" w:color="000000"/>
            </w:tcBorders>
          </w:tcPr>
          <w:p>
            <w:pPr>
              <w:pStyle w:val="TableParagraph"/>
              <w:spacing w:line="360" w:lineRule="auto"/>
              <w:ind w:left="106" w:right="143"/>
              <w:rPr>
                <w:b/>
                <w:sz w:val="22"/>
              </w:rPr>
            </w:pPr>
            <w:r>
              <w:rPr>
                <w:b/>
                <w:sz w:val="22"/>
              </w:rPr>
              <w:t>No of </w:t>
            </w:r>
            <w:r>
              <w:rPr>
                <w:b/>
                <w:spacing w:val="-2"/>
                <w:sz w:val="22"/>
              </w:rPr>
              <w:t>colonies </w:t>
            </w:r>
            <w:r>
              <w:rPr>
                <w:b/>
                <w:sz w:val="22"/>
              </w:rPr>
              <w:t>counted</w:t>
            </w:r>
            <w:r>
              <w:rPr>
                <w:b/>
                <w:spacing w:val="-13"/>
                <w:sz w:val="22"/>
              </w:rPr>
              <w:t> </w:t>
            </w:r>
            <w:r>
              <w:rPr>
                <w:b/>
                <w:sz w:val="22"/>
              </w:rPr>
              <w:t>in Honey (50 </w:t>
            </w:r>
            <w:r>
              <w:rPr>
                <w:b/>
                <w:spacing w:val="-2"/>
                <w:sz w:val="22"/>
              </w:rPr>
              <w:t>µg/ml) plate</w:t>
            </w:r>
          </w:p>
        </w:tc>
        <w:tc>
          <w:tcPr>
            <w:tcW w:w="1399" w:type="dxa"/>
            <w:tcBorders>
              <w:top w:val="single" w:sz="4" w:space="0" w:color="000000"/>
              <w:bottom w:val="single" w:sz="4" w:space="0" w:color="000000"/>
            </w:tcBorders>
          </w:tcPr>
          <w:p>
            <w:pPr>
              <w:pStyle w:val="TableParagraph"/>
              <w:spacing w:line="360" w:lineRule="auto"/>
              <w:ind w:left="145" w:right="273"/>
              <w:rPr>
                <w:b/>
                <w:sz w:val="22"/>
              </w:rPr>
            </w:pPr>
            <w:r>
              <w:rPr>
                <w:b/>
                <w:sz w:val="22"/>
              </w:rPr>
              <w:t>No of </w:t>
            </w:r>
            <w:r>
              <w:rPr>
                <w:b/>
                <w:spacing w:val="-2"/>
                <w:sz w:val="22"/>
              </w:rPr>
              <w:t>colonies </w:t>
            </w:r>
            <w:r>
              <w:rPr>
                <w:b/>
                <w:sz w:val="22"/>
              </w:rPr>
              <w:t>counted</w:t>
            </w:r>
            <w:r>
              <w:rPr>
                <w:b/>
                <w:spacing w:val="-13"/>
                <w:sz w:val="22"/>
              </w:rPr>
              <w:t> </w:t>
            </w:r>
            <w:r>
              <w:rPr>
                <w:b/>
                <w:sz w:val="22"/>
              </w:rPr>
              <w:t>in H/L (20</w:t>
            </w:r>
          </w:p>
          <w:p>
            <w:pPr>
              <w:pStyle w:val="TableParagraph"/>
              <w:ind w:left="145"/>
              <w:rPr>
                <w:b/>
                <w:sz w:val="22"/>
              </w:rPr>
            </w:pPr>
            <w:r>
              <w:rPr>
                <w:b/>
                <w:sz w:val="22"/>
              </w:rPr>
              <w:t>µg/ml)</w:t>
            </w:r>
            <w:r>
              <w:rPr>
                <w:b/>
                <w:spacing w:val="-4"/>
                <w:sz w:val="22"/>
              </w:rPr>
              <w:t> </w:t>
            </w:r>
            <w:r>
              <w:rPr>
                <w:b/>
                <w:spacing w:val="-2"/>
                <w:sz w:val="22"/>
              </w:rPr>
              <w:t>plate</w:t>
            </w:r>
          </w:p>
        </w:tc>
      </w:tr>
      <w:tr>
        <w:trPr>
          <w:trHeight w:val="413" w:hRule="atLeast"/>
        </w:trPr>
        <w:tc>
          <w:tcPr>
            <w:tcW w:w="1155" w:type="dxa"/>
            <w:tcBorders>
              <w:top w:val="single" w:sz="4" w:space="0" w:color="000000"/>
            </w:tcBorders>
          </w:tcPr>
          <w:p>
            <w:pPr>
              <w:pStyle w:val="TableParagraph"/>
              <w:spacing w:line="265" w:lineRule="exact"/>
              <w:ind w:left="115"/>
              <w:rPr>
                <w:sz w:val="22"/>
              </w:rPr>
            </w:pPr>
            <w:r>
              <w:rPr>
                <w:spacing w:val="-10"/>
                <w:sz w:val="22"/>
              </w:rPr>
              <w:t>0</w:t>
            </w:r>
          </w:p>
        </w:tc>
        <w:tc>
          <w:tcPr>
            <w:tcW w:w="1698" w:type="dxa"/>
            <w:tcBorders>
              <w:top w:val="single" w:sz="4" w:space="0" w:color="000000"/>
            </w:tcBorders>
          </w:tcPr>
          <w:p>
            <w:pPr>
              <w:pStyle w:val="TableParagraph"/>
              <w:spacing w:line="265" w:lineRule="exact"/>
              <w:ind w:left="157"/>
              <w:rPr>
                <w:sz w:val="22"/>
              </w:rPr>
            </w:pPr>
            <w:r>
              <w:rPr>
                <w:spacing w:val="-2"/>
                <w:sz w:val="22"/>
              </w:rPr>
              <w:t>6.9×10</w:t>
            </w:r>
            <w:r>
              <w:rPr>
                <w:spacing w:val="-2"/>
                <w:sz w:val="22"/>
                <w:vertAlign w:val="superscript"/>
              </w:rPr>
              <w:t>3</w:t>
            </w:r>
          </w:p>
        </w:tc>
        <w:tc>
          <w:tcPr>
            <w:tcW w:w="2009" w:type="dxa"/>
            <w:tcBorders>
              <w:top w:val="single" w:sz="4" w:space="0" w:color="000000"/>
            </w:tcBorders>
          </w:tcPr>
          <w:p>
            <w:pPr>
              <w:pStyle w:val="TableParagraph"/>
              <w:spacing w:line="265" w:lineRule="exact"/>
              <w:ind w:left="183"/>
              <w:rPr>
                <w:sz w:val="22"/>
              </w:rPr>
            </w:pPr>
            <w:r>
              <w:rPr>
                <w:spacing w:val="-2"/>
                <w:sz w:val="22"/>
              </w:rPr>
              <w:t>6.5×10</w:t>
            </w:r>
            <w:r>
              <w:rPr>
                <w:spacing w:val="-2"/>
                <w:sz w:val="22"/>
                <w:vertAlign w:val="superscript"/>
              </w:rPr>
              <w:t>3</w:t>
            </w:r>
          </w:p>
        </w:tc>
        <w:tc>
          <w:tcPr>
            <w:tcW w:w="1422" w:type="dxa"/>
            <w:tcBorders>
              <w:top w:val="single" w:sz="4" w:space="0" w:color="000000"/>
            </w:tcBorders>
          </w:tcPr>
          <w:p>
            <w:pPr>
              <w:pStyle w:val="TableParagraph"/>
              <w:spacing w:line="265" w:lineRule="exact"/>
              <w:ind w:left="169"/>
              <w:rPr>
                <w:sz w:val="22"/>
              </w:rPr>
            </w:pPr>
            <w:r>
              <w:rPr>
                <w:spacing w:val="-2"/>
                <w:sz w:val="22"/>
              </w:rPr>
              <w:t>2.7×10</w:t>
            </w:r>
            <w:r>
              <w:rPr>
                <w:spacing w:val="-2"/>
                <w:sz w:val="22"/>
                <w:vertAlign w:val="superscript"/>
              </w:rPr>
              <w:t>3</w:t>
            </w:r>
          </w:p>
        </w:tc>
        <w:tc>
          <w:tcPr>
            <w:tcW w:w="1230" w:type="dxa"/>
            <w:tcBorders>
              <w:top w:val="single" w:sz="4" w:space="0" w:color="000000"/>
            </w:tcBorders>
          </w:tcPr>
          <w:p>
            <w:pPr>
              <w:pStyle w:val="TableParagraph"/>
              <w:spacing w:line="265" w:lineRule="exact"/>
              <w:ind w:left="106"/>
              <w:rPr>
                <w:sz w:val="22"/>
              </w:rPr>
            </w:pPr>
            <w:r>
              <w:rPr>
                <w:spacing w:val="-2"/>
                <w:sz w:val="22"/>
              </w:rPr>
              <w:t>1.1×10</w:t>
            </w:r>
            <w:r>
              <w:rPr>
                <w:spacing w:val="-2"/>
                <w:sz w:val="22"/>
                <w:vertAlign w:val="superscript"/>
              </w:rPr>
              <w:t>4</w:t>
            </w:r>
          </w:p>
        </w:tc>
        <w:tc>
          <w:tcPr>
            <w:tcW w:w="1399" w:type="dxa"/>
            <w:tcBorders>
              <w:top w:val="single" w:sz="4" w:space="0" w:color="000000"/>
            </w:tcBorders>
          </w:tcPr>
          <w:p>
            <w:pPr>
              <w:pStyle w:val="TableParagraph"/>
              <w:spacing w:line="265" w:lineRule="exact"/>
              <w:ind w:left="145"/>
              <w:rPr>
                <w:sz w:val="22"/>
              </w:rPr>
            </w:pPr>
            <w:r>
              <w:rPr>
                <w:spacing w:val="-2"/>
                <w:sz w:val="22"/>
              </w:rPr>
              <w:t>2.2×10</w:t>
            </w:r>
            <w:r>
              <w:rPr>
                <w:spacing w:val="-2"/>
                <w:sz w:val="22"/>
                <w:vertAlign w:val="superscript"/>
              </w:rPr>
              <w:t>3</w:t>
            </w:r>
          </w:p>
        </w:tc>
      </w:tr>
      <w:tr>
        <w:trPr>
          <w:trHeight w:val="563" w:hRule="atLeast"/>
        </w:trPr>
        <w:tc>
          <w:tcPr>
            <w:tcW w:w="1155" w:type="dxa"/>
          </w:tcPr>
          <w:p>
            <w:pPr>
              <w:pStyle w:val="TableParagraph"/>
              <w:spacing w:before="147"/>
              <w:ind w:left="115"/>
              <w:rPr>
                <w:sz w:val="22"/>
              </w:rPr>
            </w:pPr>
            <w:r>
              <w:rPr>
                <w:spacing w:val="-5"/>
                <w:sz w:val="22"/>
              </w:rPr>
              <w:t>30</w:t>
            </w:r>
          </w:p>
        </w:tc>
        <w:tc>
          <w:tcPr>
            <w:tcW w:w="1698" w:type="dxa"/>
          </w:tcPr>
          <w:p>
            <w:pPr>
              <w:pStyle w:val="TableParagraph"/>
              <w:spacing w:before="147"/>
              <w:ind w:left="157"/>
              <w:rPr>
                <w:sz w:val="22"/>
              </w:rPr>
            </w:pPr>
            <w:r>
              <w:rPr>
                <w:spacing w:val="-2"/>
                <w:sz w:val="22"/>
              </w:rPr>
              <w:t>3.1×10</w:t>
            </w:r>
            <w:r>
              <w:rPr>
                <w:spacing w:val="-2"/>
                <w:sz w:val="22"/>
                <w:vertAlign w:val="superscript"/>
              </w:rPr>
              <w:t>3</w:t>
            </w:r>
          </w:p>
        </w:tc>
        <w:tc>
          <w:tcPr>
            <w:tcW w:w="2009" w:type="dxa"/>
          </w:tcPr>
          <w:p>
            <w:pPr>
              <w:pStyle w:val="TableParagraph"/>
              <w:spacing w:before="147"/>
              <w:ind w:left="183"/>
              <w:rPr>
                <w:sz w:val="22"/>
              </w:rPr>
            </w:pPr>
            <w:r>
              <w:rPr>
                <w:spacing w:val="-2"/>
                <w:sz w:val="22"/>
              </w:rPr>
              <w:t>2.5×10</w:t>
            </w:r>
            <w:r>
              <w:rPr>
                <w:spacing w:val="-2"/>
                <w:sz w:val="22"/>
                <w:vertAlign w:val="superscript"/>
              </w:rPr>
              <w:t>3</w:t>
            </w:r>
          </w:p>
        </w:tc>
        <w:tc>
          <w:tcPr>
            <w:tcW w:w="1422" w:type="dxa"/>
          </w:tcPr>
          <w:p>
            <w:pPr>
              <w:pStyle w:val="TableParagraph"/>
              <w:spacing w:before="147"/>
              <w:ind w:left="169"/>
              <w:rPr>
                <w:sz w:val="22"/>
              </w:rPr>
            </w:pPr>
            <w:r>
              <w:rPr>
                <w:spacing w:val="-2"/>
                <w:sz w:val="22"/>
              </w:rPr>
              <w:t>1.3×10</w:t>
            </w:r>
            <w:r>
              <w:rPr>
                <w:spacing w:val="-2"/>
                <w:sz w:val="22"/>
                <w:vertAlign w:val="superscript"/>
              </w:rPr>
              <w:t>3</w:t>
            </w:r>
          </w:p>
        </w:tc>
        <w:tc>
          <w:tcPr>
            <w:tcW w:w="1230" w:type="dxa"/>
          </w:tcPr>
          <w:p>
            <w:pPr>
              <w:pStyle w:val="TableParagraph"/>
              <w:spacing w:before="147"/>
              <w:ind w:left="106"/>
              <w:rPr>
                <w:sz w:val="22"/>
              </w:rPr>
            </w:pPr>
            <w:r>
              <w:rPr>
                <w:spacing w:val="-2"/>
                <w:sz w:val="22"/>
              </w:rPr>
              <w:t>8.9×10</w:t>
            </w:r>
            <w:r>
              <w:rPr>
                <w:spacing w:val="-2"/>
                <w:sz w:val="22"/>
                <w:vertAlign w:val="superscript"/>
              </w:rPr>
              <w:t>3</w:t>
            </w:r>
          </w:p>
        </w:tc>
        <w:tc>
          <w:tcPr>
            <w:tcW w:w="1399" w:type="dxa"/>
          </w:tcPr>
          <w:p>
            <w:pPr>
              <w:pStyle w:val="TableParagraph"/>
              <w:spacing w:before="147"/>
              <w:ind w:left="145"/>
              <w:rPr>
                <w:sz w:val="22"/>
              </w:rPr>
            </w:pPr>
            <w:r>
              <w:rPr>
                <w:spacing w:val="-2"/>
                <w:sz w:val="22"/>
              </w:rPr>
              <w:t>1.7×10</w:t>
            </w:r>
            <w:r>
              <w:rPr>
                <w:spacing w:val="-2"/>
                <w:sz w:val="22"/>
                <w:vertAlign w:val="superscript"/>
              </w:rPr>
              <w:t>3</w:t>
            </w:r>
          </w:p>
        </w:tc>
      </w:tr>
      <w:tr>
        <w:trPr>
          <w:trHeight w:val="563" w:hRule="atLeast"/>
        </w:trPr>
        <w:tc>
          <w:tcPr>
            <w:tcW w:w="1155" w:type="dxa"/>
          </w:tcPr>
          <w:p>
            <w:pPr>
              <w:pStyle w:val="TableParagraph"/>
              <w:spacing w:before="146"/>
              <w:ind w:left="115"/>
              <w:rPr>
                <w:sz w:val="22"/>
              </w:rPr>
            </w:pPr>
            <w:r>
              <w:rPr>
                <w:spacing w:val="-5"/>
                <w:sz w:val="22"/>
              </w:rPr>
              <w:t>60</w:t>
            </w:r>
          </w:p>
        </w:tc>
        <w:tc>
          <w:tcPr>
            <w:tcW w:w="1698" w:type="dxa"/>
          </w:tcPr>
          <w:p>
            <w:pPr>
              <w:pStyle w:val="TableParagraph"/>
              <w:spacing w:before="146"/>
              <w:ind w:left="157"/>
              <w:rPr>
                <w:sz w:val="22"/>
              </w:rPr>
            </w:pPr>
            <w:r>
              <w:rPr>
                <w:spacing w:val="-2"/>
                <w:sz w:val="22"/>
              </w:rPr>
              <w:t>2.6×10</w:t>
            </w:r>
            <w:r>
              <w:rPr>
                <w:spacing w:val="-2"/>
                <w:sz w:val="22"/>
                <w:vertAlign w:val="superscript"/>
              </w:rPr>
              <w:t>3</w:t>
            </w:r>
          </w:p>
        </w:tc>
        <w:tc>
          <w:tcPr>
            <w:tcW w:w="2009" w:type="dxa"/>
          </w:tcPr>
          <w:p>
            <w:pPr>
              <w:pStyle w:val="TableParagraph"/>
              <w:spacing w:before="146"/>
              <w:ind w:left="183"/>
              <w:rPr>
                <w:sz w:val="22"/>
              </w:rPr>
            </w:pPr>
            <w:r>
              <w:rPr>
                <w:spacing w:val="-2"/>
                <w:sz w:val="22"/>
              </w:rPr>
              <w:t>2.3×10</w:t>
            </w:r>
            <w:r>
              <w:rPr>
                <w:spacing w:val="-2"/>
                <w:sz w:val="22"/>
                <w:vertAlign w:val="superscript"/>
              </w:rPr>
              <w:t>3</w:t>
            </w:r>
          </w:p>
        </w:tc>
        <w:tc>
          <w:tcPr>
            <w:tcW w:w="1422" w:type="dxa"/>
          </w:tcPr>
          <w:p>
            <w:pPr>
              <w:pStyle w:val="TableParagraph"/>
              <w:spacing w:before="146"/>
              <w:ind w:left="169"/>
              <w:rPr>
                <w:sz w:val="22"/>
              </w:rPr>
            </w:pPr>
            <w:r>
              <w:rPr>
                <w:spacing w:val="-2"/>
                <w:sz w:val="22"/>
              </w:rPr>
              <w:t>9.1×10</w:t>
            </w:r>
            <w:r>
              <w:rPr>
                <w:spacing w:val="-2"/>
                <w:sz w:val="22"/>
                <w:vertAlign w:val="superscript"/>
              </w:rPr>
              <w:t>2</w:t>
            </w:r>
          </w:p>
        </w:tc>
        <w:tc>
          <w:tcPr>
            <w:tcW w:w="1230" w:type="dxa"/>
          </w:tcPr>
          <w:p>
            <w:pPr>
              <w:pStyle w:val="TableParagraph"/>
              <w:spacing w:before="146"/>
              <w:ind w:left="106"/>
              <w:rPr>
                <w:sz w:val="22"/>
              </w:rPr>
            </w:pPr>
            <w:r>
              <w:rPr>
                <w:spacing w:val="-2"/>
                <w:sz w:val="22"/>
              </w:rPr>
              <w:t>7.2×10</w:t>
            </w:r>
            <w:r>
              <w:rPr>
                <w:spacing w:val="-2"/>
                <w:sz w:val="22"/>
                <w:vertAlign w:val="superscript"/>
              </w:rPr>
              <w:t>3</w:t>
            </w:r>
          </w:p>
        </w:tc>
        <w:tc>
          <w:tcPr>
            <w:tcW w:w="1399" w:type="dxa"/>
          </w:tcPr>
          <w:p>
            <w:pPr>
              <w:pStyle w:val="TableParagraph"/>
              <w:spacing w:before="146"/>
              <w:ind w:left="145"/>
              <w:rPr>
                <w:sz w:val="22"/>
              </w:rPr>
            </w:pPr>
            <w:r>
              <w:rPr>
                <w:spacing w:val="-2"/>
                <w:sz w:val="22"/>
              </w:rPr>
              <w:t>8.0×10</w:t>
            </w:r>
            <w:r>
              <w:rPr>
                <w:spacing w:val="-2"/>
                <w:sz w:val="22"/>
                <w:vertAlign w:val="superscript"/>
              </w:rPr>
              <w:t>2</w:t>
            </w:r>
          </w:p>
        </w:tc>
      </w:tr>
      <w:tr>
        <w:trPr>
          <w:trHeight w:val="562" w:hRule="atLeast"/>
        </w:trPr>
        <w:tc>
          <w:tcPr>
            <w:tcW w:w="1155" w:type="dxa"/>
          </w:tcPr>
          <w:p>
            <w:pPr>
              <w:pStyle w:val="TableParagraph"/>
              <w:spacing w:before="147"/>
              <w:ind w:left="115"/>
              <w:rPr>
                <w:sz w:val="22"/>
              </w:rPr>
            </w:pPr>
            <w:r>
              <w:rPr>
                <w:spacing w:val="-5"/>
                <w:sz w:val="22"/>
              </w:rPr>
              <w:t>90</w:t>
            </w:r>
          </w:p>
        </w:tc>
        <w:tc>
          <w:tcPr>
            <w:tcW w:w="1698" w:type="dxa"/>
          </w:tcPr>
          <w:p>
            <w:pPr>
              <w:pStyle w:val="TableParagraph"/>
              <w:spacing w:before="147"/>
              <w:ind w:left="157"/>
              <w:rPr>
                <w:sz w:val="22"/>
              </w:rPr>
            </w:pPr>
            <w:r>
              <w:rPr>
                <w:spacing w:val="-2"/>
                <w:sz w:val="22"/>
              </w:rPr>
              <w:t>1.9×10</w:t>
            </w:r>
            <w:r>
              <w:rPr>
                <w:spacing w:val="-2"/>
                <w:sz w:val="22"/>
                <w:vertAlign w:val="superscript"/>
              </w:rPr>
              <w:t>3</w:t>
            </w:r>
          </w:p>
        </w:tc>
        <w:tc>
          <w:tcPr>
            <w:tcW w:w="2009" w:type="dxa"/>
          </w:tcPr>
          <w:p>
            <w:pPr>
              <w:pStyle w:val="TableParagraph"/>
              <w:spacing w:before="147"/>
              <w:ind w:left="183"/>
              <w:rPr>
                <w:sz w:val="22"/>
              </w:rPr>
            </w:pPr>
            <w:r>
              <w:rPr>
                <w:spacing w:val="-2"/>
                <w:sz w:val="22"/>
              </w:rPr>
              <w:t>1.3×10</w:t>
            </w:r>
            <w:r>
              <w:rPr>
                <w:spacing w:val="-2"/>
                <w:sz w:val="22"/>
                <w:vertAlign w:val="superscript"/>
              </w:rPr>
              <w:t>3</w:t>
            </w:r>
          </w:p>
        </w:tc>
        <w:tc>
          <w:tcPr>
            <w:tcW w:w="1422" w:type="dxa"/>
          </w:tcPr>
          <w:p>
            <w:pPr>
              <w:pStyle w:val="TableParagraph"/>
              <w:spacing w:before="147"/>
              <w:ind w:left="169"/>
              <w:rPr>
                <w:sz w:val="22"/>
              </w:rPr>
            </w:pPr>
            <w:r>
              <w:rPr>
                <w:spacing w:val="-2"/>
                <w:sz w:val="22"/>
              </w:rPr>
              <w:t>2.0×10</w:t>
            </w:r>
            <w:r>
              <w:rPr>
                <w:spacing w:val="-2"/>
                <w:sz w:val="22"/>
                <w:vertAlign w:val="superscript"/>
              </w:rPr>
              <w:t>2</w:t>
            </w:r>
          </w:p>
        </w:tc>
        <w:tc>
          <w:tcPr>
            <w:tcW w:w="1230" w:type="dxa"/>
          </w:tcPr>
          <w:p>
            <w:pPr>
              <w:pStyle w:val="TableParagraph"/>
              <w:spacing w:before="147"/>
              <w:ind w:left="106"/>
              <w:rPr>
                <w:sz w:val="22"/>
              </w:rPr>
            </w:pPr>
            <w:r>
              <w:rPr>
                <w:spacing w:val="-2"/>
                <w:sz w:val="22"/>
              </w:rPr>
              <w:t>6.3×10</w:t>
            </w:r>
            <w:r>
              <w:rPr>
                <w:spacing w:val="-2"/>
                <w:sz w:val="22"/>
                <w:vertAlign w:val="superscript"/>
              </w:rPr>
              <w:t>3</w:t>
            </w:r>
          </w:p>
        </w:tc>
        <w:tc>
          <w:tcPr>
            <w:tcW w:w="1399" w:type="dxa"/>
          </w:tcPr>
          <w:p>
            <w:pPr>
              <w:pStyle w:val="TableParagraph"/>
              <w:spacing w:before="147"/>
              <w:ind w:left="145"/>
              <w:rPr>
                <w:sz w:val="22"/>
              </w:rPr>
            </w:pPr>
            <w:r>
              <w:rPr>
                <w:spacing w:val="-2"/>
                <w:sz w:val="22"/>
              </w:rPr>
              <w:t>4.8×10</w:t>
            </w:r>
            <w:r>
              <w:rPr>
                <w:spacing w:val="-2"/>
                <w:sz w:val="22"/>
                <w:vertAlign w:val="superscript"/>
              </w:rPr>
              <w:t>2</w:t>
            </w:r>
          </w:p>
        </w:tc>
      </w:tr>
      <w:tr>
        <w:trPr>
          <w:trHeight w:val="562" w:hRule="atLeast"/>
        </w:trPr>
        <w:tc>
          <w:tcPr>
            <w:tcW w:w="1155" w:type="dxa"/>
          </w:tcPr>
          <w:p>
            <w:pPr>
              <w:pStyle w:val="TableParagraph"/>
              <w:spacing w:before="146"/>
              <w:ind w:left="115"/>
              <w:rPr>
                <w:sz w:val="22"/>
              </w:rPr>
            </w:pPr>
            <w:r>
              <w:rPr>
                <w:spacing w:val="-5"/>
                <w:sz w:val="22"/>
              </w:rPr>
              <w:t>120</w:t>
            </w:r>
          </w:p>
        </w:tc>
        <w:tc>
          <w:tcPr>
            <w:tcW w:w="1698" w:type="dxa"/>
          </w:tcPr>
          <w:p>
            <w:pPr>
              <w:pStyle w:val="TableParagraph"/>
              <w:spacing w:before="146"/>
              <w:ind w:left="157"/>
              <w:rPr>
                <w:sz w:val="22"/>
              </w:rPr>
            </w:pPr>
            <w:r>
              <w:rPr>
                <w:spacing w:val="-2"/>
                <w:sz w:val="22"/>
              </w:rPr>
              <w:t>1.6×10</w:t>
            </w:r>
            <w:r>
              <w:rPr>
                <w:spacing w:val="-2"/>
                <w:sz w:val="22"/>
                <w:vertAlign w:val="superscript"/>
              </w:rPr>
              <w:t>3</w:t>
            </w:r>
          </w:p>
        </w:tc>
        <w:tc>
          <w:tcPr>
            <w:tcW w:w="2009" w:type="dxa"/>
          </w:tcPr>
          <w:p>
            <w:pPr>
              <w:pStyle w:val="TableParagraph"/>
              <w:spacing w:before="146"/>
              <w:ind w:left="183"/>
              <w:rPr>
                <w:sz w:val="22"/>
              </w:rPr>
            </w:pPr>
            <w:r>
              <w:rPr>
                <w:spacing w:val="-2"/>
                <w:sz w:val="22"/>
              </w:rPr>
              <w:t>8.3×10</w:t>
            </w:r>
            <w:r>
              <w:rPr>
                <w:spacing w:val="-2"/>
                <w:sz w:val="22"/>
                <w:vertAlign w:val="superscript"/>
              </w:rPr>
              <w:t>2</w:t>
            </w:r>
          </w:p>
        </w:tc>
        <w:tc>
          <w:tcPr>
            <w:tcW w:w="1422" w:type="dxa"/>
          </w:tcPr>
          <w:p>
            <w:pPr>
              <w:pStyle w:val="TableParagraph"/>
              <w:spacing w:before="146"/>
              <w:ind w:left="169"/>
              <w:rPr>
                <w:sz w:val="22"/>
              </w:rPr>
            </w:pPr>
            <w:r>
              <w:rPr>
                <w:spacing w:val="-2"/>
                <w:sz w:val="22"/>
              </w:rPr>
              <w:t>1.3×10</w:t>
            </w:r>
            <w:r>
              <w:rPr>
                <w:spacing w:val="-2"/>
                <w:sz w:val="22"/>
                <w:vertAlign w:val="superscript"/>
              </w:rPr>
              <w:t>2</w:t>
            </w:r>
          </w:p>
        </w:tc>
        <w:tc>
          <w:tcPr>
            <w:tcW w:w="1230" w:type="dxa"/>
          </w:tcPr>
          <w:p>
            <w:pPr>
              <w:pStyle w:val="TableParagraph"/>
              <w:spacing w:before="146"/>
              <w:ind w:left="106"/>
              <w:rPr>
                <w:sz w:val="22"/>
              </w:rPr>
            </w:pPr>
            <w:r>
              <w:rPr>
                <w:spacing w:val="-2"/>
                <w:sz w:val="22"/>
              </w:rPr>
              <w:t>5.9×10</w:t>
            </w:r>
            <w:r>
              <w:rPr>
                <w:spacing w:val="-2"/>
                <w:sz w:val="22"/>
                <w:vertAlign w:val="superscript"/>
              </w:rPr>
              <w:t>3</w:t>
            </w:r>
          </w:p>
        </w:tc>
        <w:tc>
          <w:tcPr>
            <w:tcW w:w="1399" w:type="dxa"/>
          </w:tcPr>
          <w:p>
            <w:pPr>
              <w:pStyle w:val="TableParagraph"/>
              <w:spacing w:before="146"/>
              <w:ind w:left="145"/>
              <w:rPr>
                <w:sz w:val="22"/>
              </w:rPr>
            </w:pPr>
            <w:r>
              <w:rPr>
                <w:spacing w:val="-2"/>
                <w:sz w:val="22"/>
              </w:rPr>
              <w:t>1.7×10</w:t>
            </w:r>
            <w:r>
              <w:rPr>
                <w:spacing w:val="-2"/>
                <w:sz w:val="22"/>
                <w:vertAlign w:val="superscript"/>
              </w:rPr>
              <w:t>2</w:t>
            </w:r>
          </w:p>
        </w:tc>
      </w:tr>
      <w:tr>
        <w:trPr>
          <w:trHeight w:val="562" w:hRule="atLeast"/>
        </w:trPr>
        <w:tc>
          <w:tcPr>
            <w:tcW w:w="1155" w:type="dxa"/>
          </w:tcPr>
          <w:p>
            <w:pPr>
              <w:pStyle w:val="TableParagraph"/>
              <w:spacing w:before="147"/>
              <w:ind w:left="115"/>
              <w:rPr>
                <w:sz w:val="22"/>
              </w:rPr>
            </w:pPr>
            <w:r>
              <w:rPr>
                <w:spacing w:val="-5"/>
                <w:sz w:val="22"/>
              </w:rPr>
              <w:t>240</w:t>
            </w:r>
          </w:p>
        </w:tc>
        <w:tc>
          <w:tcPr>
            <w:tcW w:w="1698" w:type="dxa"/>
          </w:tcPr>
          <w:p>
            <w:pPr>
              <w:pStyle w:val="TableParagraph"/>
              <w:spacing w:before="147"/>
              <w:ind w:left="157"/>
              <w:rPr>
                <w:sz w:val="22"/>
              </w:rPr>
            </w:pPr>
            <w:r>
              <w:rPr>
                <w:spacing w:val="-2"/>
                <w:sz w:val="22"/>
              </w:rPr>
              <w:t>1.3×10</w:t>
            </w:r>
            <w:r>
              <w:rPr>
                <w:spacing w:val="-2"/>
                <w:sz w:val="22"/>
                <w:vertAlign w:val="superscript"/>
              </w:rPr>
              <w:t>3</w:t>
            </w:r>
          </w:p>
        </w:tc>
        <w:tc>
          <w:tcPr>
            <w:tcW w:w="2009" w:type="dxa"/>
          </w:tcPr>
          <w:p>
            <w:pPr>
              <w:pStyle w:val="TableParagraph"/>
              <w:spacing w:before="147"/>
              <w:ind w:left="183"/>
              <w:rPr>
                <w:sz w:val="22"/>
              </w:rPr>
            </w:pPr>
            <w:r>
              <w:rPr>
                <w:spacing w:val="-2"/>
                <w:sz w:val="22"/>
              </w:rPr>
              <w:t>7.2×10</w:t>
            </w:r>
            <w:r>
              <w:rPr>
                <w:spacing w:val="-2"/>
                <w:sz w:val="22"/>
                <w:vertAlign w:val="superscript"/>
              </w:rPr>
              <w:t>2</w:t>
            </w:r>
          </w:p>
        </w:tc>
        <w:tc>
          <w:tcPr>
            <w:tcW w:w="1422" w:type="dxa"/>
          </w:tcPr>
          <w:p>
            <w:pPr>
              <w:pStyle w:val="TableParagraph"/>
              <w:spacing w:before="147"/>
              <w:ind w:left="169"/>
              <w:rPr>
                <w:sz w:val="22"/>
              </w:rPr>
            </w:pPr>
            <w:r>
              <w:rPr>
                <w:spacing w:val="-10"/>
                <w:sz w:val="22"/>
              </w:rPr>
              <w:t>0</w:t>
            </w:r>
          </w:p>
        </w:tc>
        <w:tc>
          <w:tcPr>
            <w:tcW w:w="1230" w:type="dxa"/>
          </w:tcPr>
          <w:p>
            <w:pPr>
              <w:pStyle w:val="TableParagraph"/>
              <w:spacing w:before="147"/>
              <w:ind w:left="106"/>
              <w:rPr>
                <w:sz w:val="22"/>
              </w:rPr>
            </w:pPr>
            <w:r>
              <w:rPr>
                <w:spacing w:val="-2"/>
                <w:sz w:val="22"/>
              </w:rPr>
              <w:t>3.7×10</w:t>
            </w:r>
            <w:r>
              <w:rPr>
                <w:spacing w:val="-2"/>
                <w:sz w:val="22"/>
                <w:vertAlign w:val="superscript"/>
              </w:rPr>
              <w:t>3</w:t>
            </w:r>
          </w:p>
        </w:tc>
        <w:tc>
          <w:tcPr>
            <w:tcW w:w="1399" w:type="dxa"/>
          </w:tcPr>
          <w:p>
            <w:pPr>
              <w:pStyle w:val="TableParagraph"/>
              <w:spacing w:before="147"/>
              <w:ind w:left="145"/>
              <w:rPr>
                <w:sz w:val="22"/>
              </w:rPr>
            </w:pPr>
            <w:r>
              <w:rPr>
                <w:spacing w:val="-4"/>
                <w:sz w:val="22"/>
              </w:rPr>
              <w:t>4×10</w:t>
            </w:r>
          </w:p>
        </w:tc>
      </w:tr>
      <w:tr>
        <w:trPr>
          <w:trHeight w:val="562" w:hRule="atLeast"/>
        </w:trPr>
        <w:tc>
          <w:tcPr>
            <w:tcW w:w="1155" w:type="dxa"/>
          </w:tcPr>
          <w:p>
            <w:pPr>
              <w:pStyle w:val="TableParagraph"/>
              <w:spacing w:before="146"/>
              <w:ind w:left="115"/>
              <w:rPr>
                <w:sz w:val="22"/>
              </w:rPr>
            </w:pPr>
            <w:r>
              <w:rPr>
                <w:spacing w:val="-5"/>
                <w:sz w:val="22"/>
              </w:rPr>
              <w:t>360</w:t>
            </w:r>
          </w:p>
        </w:tc>
        <w:tc>
          <w:tcPr>
            <w:tcW w:w="1698" w:type="dxa"/>
          </w:tcPr>
          <w:p>
            <w:pPr>
              <w:pStyle w:val="TableParagraph"/>
              <w:spacing w:before="146"/>
              <w:ind w:left="157"/>
              <w:rPr>
                <w:sz w:val="22"/>
              </w:rPr>
            </w:pPr>
            <w:r>
              <w:rPr>
                <w:spacing w:val="-2"/>
                <w:sz w:val="22"/>
              </w:rPr>
              <w:t>9.6×10</w:t>
            </w:r>
            <w:r>
              <w:rPr>
                <w:spacing w:val="-2"/>
                <w:sz w:val="22"/>
                <w:vertAlign w:val="superscript"/>
              </w:rPr>
              <w:t>2</w:t>
            </w:r>
          </w:p>
        </w:tc>
        <w:tc>
          <w:tcPr>
            <w:tcW w:w="2009" w:type="dxa"/>
          </w:tcPr>
          <w:p>
            <w:pPr>
              <w:pStyle w:val="TableParagraph"/>
              <w:spacing w:before="146"/>
              <w:ind w:left="183"/>
              <w:rPr>
                <w:sz w:val="22"/>
              </w:rPr>
            </w:pPr>
            <w:r>
              <w:rPr>
                <w:spacing w:val="-2"/>
                <w:sz w:val="22"/>
              </w:rPr>
              <w:t>5.6×10</w:t>
            </w:r>
            <w:r>
              <w:rPr>
                <w:spacing w:val="-2"/>
                <w:sz w:val="22"/>
                <w:vertAlign w:val="superscript"/>
              </w:rPr>
              <w:t>2</w:t>
            </w:r>
          </w:p>
        </w:tc>
        <w:tc>
          <w:tcPr>
            <w:tcW w:w="1422" w:type="dxa"/>
          </w:tcPr>
          <w:p>
            <w:pPr>
              <w:pStyle w:val="TableParagraph"/>
              <w:spacing w:before="146"/>
              <w:ind w:left="169"/>
              <w:rPr>
                <w:sz w:val="22"/>
              </w:rPr>
            </w:pPr>
            <w:r>
              <w:rPr>
                <w:spacing w:val="-10"/>
                <w:sz w:val="22"/>
              </w:rPr>
              <w:t>0</w:t>
            </w:r>
          </w:p>
        </w:tc>
        <w:tc>
          <w:tcPr>
            <w:tcW w:w="1230" w:type="dxa"/>
          </w:tcPr>
          <w:p>
            <w:pPr>
              <w:pStyle w:val="TableParagraph"/>
              <w:spacing w:before="146"/>
              <w:ind w:left="106"/>
              <w:rPr>
                <w:sz w:val="22"/>
              </w:rPr>
            </w:pPr>
            <w:r>
              <w:rPr>
                <w:spacing w:val="-2"/>
                <w:sz w:val="22"/>
              </w:rPr>
              <w:t>5.6×10</w:t>
            </w:r>
            <w:r>
              <w:rPr>
                <w:spacing w:val="-2"/>
                <w:sz w:val="22"/>
                <w:vertAlign w:val="superscript"/>
              </w:rPr>
              <w:t>2</w:t>
            </w:r>
          </w:p>
        </w:tc>
        <w:tc>
          <w:tcPr>
            <w:tcW w:w="1399" w:type="dxa"/>
          </w:tcPr>
          <w:p>
            <w:pPr>
              <w:pStyle w:val="TableParagraph"/>
              <w:spacing w:before="146"/>
              <w:ind w:left="145"/>
              <w:rPr>
                <w:sz w:val="22"/>
              </w:rPr>
            </w:pPr>
            <w:r>
              <w:rPr>
                <w:spacing w:val="-10"/>
                <w:sz w:val="22"/>
              </w:rPr>
              <w:t>0</w:t>
            </w:r>
          </w:p>
        </w:tc>
      </w:tr>
      <w:tr>
        <w:trPr>
          <w:trHeight w:val="712" w:hRule="atLeast"/>
        </w:trPr>
        <w:tc>
          <w:tcPr>
            <w:tcW w:w="1155" w:type="dxa"/>
            <w:tcBorders>
              <w:bottom w:val="single" w:sz="4" w:space="0" w:color="000000"/>
            </w:tcBorders>
          </w:tcPr>
          <w:p>
            <w:pPr>
              <w:pStyle w:val="TableParagraph"/>
              <w:spacing w:before="147"/>
              <w:ind w:left="115"/>
              <w:rPr>
                <w:sz w:val="22"/>
              </w:rPr>
            </w:pPr>
            <w:r>
              <w:rPr>
                <w:spacing w:val="-4"/>
                <w:sz w:val="22"/>
              </w:rPr>
              <w:t>1440</w:t>
            </w:r>
          </w:p>
        </w:tc>
        <w:tc>
          <w:tcPr>
            <w:tcW w:w="1698" w:type="dxa"/>
            <w:tcBorders>
              <w:bottom w:val="single" w:sz="4" w:space="0" w:color="000000"/>
            </w:tcBorders>
          </w:tcPr>
          <w:p>
            <w:pPr>
              <w:pStyle w:val="TableParagraph"/>
              <w:spacing w:before="147"/>
              <w:ind w:left="157"/>
              <w:rPr>
                <w:sz w:val="22"/>
              </w:rPr>
            </w:pPr>
            <w:r>
              <w:rPr>
                <w:spacing w:val="-2"/>
                <w:sz w:val="22"/>
              </w:rPr>
              <w:t>4.9×10</w:t>
            </w:r>
            <w:r>
              <w:rPr>
                <w:spacing w:val="-2"/>
                <w:sz w:val="22"/>
                <w:vertAlign w:val="superscript"/>
              </w:rPr>
              <w:t>2</w:t>
            </w:r>
          </w:p>
        </w:tc>
        <w:tc>
          <w:tcPr>
            <w:tcW w:w="2009" w:type="dxa"/>
            <w:tcBorders>
              <w:bottom w:val="single" w:sz="4" w:space="0" w:color="000000"/>
            </w:tcBorders>
          </w:tcPr>
          <w:p>
            <w:pPr>
              <w:pStyle w:val="TableParagraph"/>
              <w:spacing w:before="147"/>
              <w:ind w:left="183"/>
              <w:rPr>
                <w:sz w:val="22"/>
              </w:rPr>
            </w:pPr>
            <w:r>
              <w:rPr>
                <w:spacing w:val="-2"/>
                <w:sz w:val="22"/>
              </w:rPr>
              <w:t>3.6×10</w:t>
            </w:r>
            <w:r>
              <w:rPr>
                <w:spacing w:val="-2"/>
                <w:sz w:val="22"/>
                <w:vertAlign w:val="superscript"/>
              </w:rPr>
              <w:t>2</w:t>
            </w:r>
          </w:p>
        </w:tc>
        <w:tc>
          <w:tcPr>
            <w:tcW w:w="1422" w:type="dxa"/>
            <w:tcBorders>
              <w:bottom w:val="single" w:sz="4" w:space="0" w:color="000000"/>
            </w:tcBorders>
          </w:tcPr>
          <w:p>
            <w:pPr>
              <w:pStyle w:val="TableParagraph"/>
              <w:spacing w:before="147"/>
              <w:ind w:left="169"/>
              <w:rPr>
                <w:sz w:val="22"/>
              </w:rPr>
            </w:pPr>
            <w:r>
              <w:rPr>
                <w:spacing w:val="-10"/>
                <w:sz w:val="22"/>
              </w:rPr>
              <w:t>0</w:t>
            </w:r>
          </w:p>
        </w:tc>
        <w:tc>
          <w:tcPr>
            <w:tcW w:w="1230" w:type="dxa"/>
            <w:tcBorders>
              <w:bottom w:val="single" w:sz="4" w:space="0" w:color="000000"/>
            </w:tcBorders>
          </w:tcPr>
          <w:p>
            <w:pPr>
              <w:pStyle w:val="TableParagraph"/>
              <w:spacing w:before="147"/>
              <w:ind w:left="106"/>
              <w:rPr>
                <w:sz w:val="22"/>
              </w:rPr>
            </w:pPr>
            <w:r>
              <w:rPr>
                <w:spacing w:val="-4"/>
                <w:sz w:val="22"/>
              </w:rPr>
              <w:t>9×10</w:t>
            </w:r>
          </w:p>
        </w:tc>
        <w:tc>
          <w:tcPr>
            <w:tcW w:w="1399" w:type="dxa"/>
            <w:tcBorders>
              <w:bottom w:val="single" w:sz="4" w:space="0" w:color="000000"/>
            </w:tcBorders>
          </w:tcPr>
          <w:p>
            <w:pPr>
              <w:pStyle w:val="TableParagraph"/>
              <w:spacing w:before="147"/>
              <w:ind w:left="145"/>
              <w:rPr>
                <w:sz w:val="22"/>
              </w:rPr>
            </w:pPr>
            <w:r>
              <w:rPr>
                <w:spacing w:val="-10"/>
                <w:sz w:val="22"/>
              </w:rPr>
              <w:t>0</w:t>
            </w:r>
          </w:p>
        </w:tc>
      </w:tr>
    </w:tbl>
    <w:p>
      <w:pPr>
        <w:pStyle w:val="BodyText"/>
        <w:spacing w:line="360" w:lineRule="auto" w:before="22"/>
        <w:ind w:left="380" w:right="975"/>
      </w:pPr>
      <w:r>
        <w:rPr>
          <w:b/>
        </w:rPr>
        <w:t>Key:</w:t>
      </w:r>
      <w:r>
        <w:rPr>
          <w:b/>
          <w:spacing w:val="-6"/>
        </w:rPr>
        <w:t> </w:t>
      </w:r>
      <w:r>
        <w:rPr/>
        <w:t>Sp=Sputum,</w:t>
      </w:r>
      <w:r>
        <w:rPr>
          <w:spacing w:val="-7"/>
        </w:rPr>
        <w:t> </w:t>
      </w:r>
      <w:r>
        <w:rPr/>
        <w:t>MIC=Minimum</w:t>
      </w:r>
      <w:r>
        <w:rPr>
          <w:spacing w:val="-7"/>
        </w:rPr>
        <w:t> </w:t>
      </w:r>
      <w:r>
        <w:rPr/>
        <w:t>Inhibitory</w:t>
      </w:r>
      <w:r>
        <w:rPr>
          <w:spacing w:val="-7"/>
        </w:rPr>
        <w:t> </w:t>
      </w:r>
      <w:r>
        <w:rPr/>
        <w:t>Concentration,</w:t>
      </w:r>
      <w:r>
        <w:rPr>
          <w:spacing w:val="-6"/>
        </w:rPr>
        <w:t> </w:t>
      </w:r>
      <w:r>
        <w:rPr/>
        <w:t>LEV=Levofloxacin,</w:t>
      </w:r>
      <w:r>
        <w:rPr>
          <w:spacing w:val="-7"/>
        </w:rPr>
        <w:t> </w:t>
      </w:r>
      <w:r>
        <w:rPr/>
        <w:t>CEF=Ceftriaxone, H=Honey, L=Lemon juice.</w:t>
      </w:r>
    </w:p>
    <w:p>
      <w:pPr>
        <w:spacing w:after="0" w:line="360" w:lineRule="auto"/>
        <w:sectPr>
          <w:pgSz w:w="11910" w:h="16840"/>
          <w:pgMar w:header="0" w:footer="1055" w:top="1400" w:bottom="1240" w:left="1060" w:right="460"/>
        </w:sectPr>
      </w:pPr>
    </w:p>
    <w:p>
      <w:pPr>
        <w:spacing w:before="63"/>
        <w:ind w:left="380" w:right="0" w:firstLine="0"/>
        <w:jc w:val="left"/>
        <w:rPr>
          <w:b/>
          <w:sz w:val="22"/>
        </w:rPr>
      </w:pPr>
      <w:r>
        <w:rPr>
          <w:b/>
          <w:sz w:val="22"/>
        </w:rPr>
        <w:t>Rate</w:t>
      </w:r>
      <w:r>
        <w:rPr>
          <w:b/>
          <w:spacing w:val="-9"/>
          <w:sz w:val="22"/>
        </w:rPr>
        <w:t> </w:t>
      </w:r>
      <w:r>
        <w:rPr>
          <w:b/>
          <w:sz w:val="22"/>
        </w:rPr>
        <w:t>of</w:t>
      </w:r>
      <w:r>
        <w:rPr>
          <w:b/>
          <w:spacing w:val="-5"/>
          <w:sz w:val="22"/>
        </w:rPr>
        <w:t> </w:t>
      </w:r>
      <w:r>
        <w:rPr>
          <w:b/>
          <w:sz w:val="22"/>
        </w:rPr>
        <w:t>Kill</w:t>
      </w:r>
      <w:r>
        <w:rPr>
          <w:b/>
          <w:spacing w:val="-4"/>
          <w:sz w:val="22"/>
        </w:rPr>
        <w:t> </w:t>
      </w:r>
      <w:r>
        <w:rPr>
          <w:b/>
          <w:sz w:val="22"/>
        </w:rPr>
        <w:t>(at</w:t>
      </w:r>
      <w:r>
        <w:rPr>
          <w:b/>
          <w:spacing w:val="-7"/>
          <w:sz w:val="22"/>
        </w:rPr>
        <w:t> </w:t>
      </w:r>
      <w:r>
        <w:rPr>
          <w:b/>
          <w:sz w:val="22"/>
        </w:rPr>
        <w:t>average</w:t>
      </w:r>
      <w:r>
        <w:rPr>
          <w:b/>
          <w:spacing w:val="-6"/>
          <w:sz w:val="22"/>
        </w:rPr>
        <w:t> </w:t>
      </w:r>
      <w:r>
        <w:rPr>
          <w:b/>
          <w:sz w:val="22"/>
        </w:rPr>
        <w:t>MIC</w:t>
      </w:r>
      <w:r>
        <w:rPr>
          <w:b/>
          <w:spacing w:val="-4"/>
          <w:sz w:val="22"/>
        </w:rPr>
        <w:t> </w:t>
      </w:r>
      <w:r>
        <w:rPr>
          <w:b/>
          <w:sz w:val="22"/>
        </w:rPr>
        <w:t>values)</w:t>
      </w:r>
      <w:r>
        <w:rPr>
          <w:b/>
          <w:spacing w:val="-5"/>
          <w:sz w:val="22"/>
        </w:rPr>
        <w:t> </w:t>
      </w:r>
      <w:r>
        <w:rPr>
          <w:b/>
          <w:sz w:val="22"/>
        </w:rPr>
        <w:t>for</w:t>
      </w:r>
      <w:r>
        <w:rPr>
          <w:b/>
          <w:spacing w:val="-3"/>
          <w:sz w:val="22"/>
        </w:rPr>
        <w:t> </w:t>
      </w:r>
      <w:r>
        <w:rPr>
          <w:b/>
          <w:i/>
          <w:sz w:val="22"/>
        </w:rPr>
        <w:t>Klebsiella</w:t>
      </w:r>
      <w:r>
        <w:rPr>
          <w:b/>
          <w:i/>
          <w:spacing w:val="-5"/>
          <w:sz w:val="22"/>
        </w:rPr>
        <w:t> </w:t>
      </w:r>
      <w:r>
        <w:rPr>
          <w:b/>
          <w:i/>
          <w:sz w:val="22"/>
        </w:rPr>
        <w:t>pneumoniae_</w:t>
      </w:r>
      <w:r>
        <w:rPr>
          <w:b/>
          <w:sz w:val="22"/>
        </w:rPr>
        <w:t>Sp270</w:t>
      </w:r>
      <w:r>
        <w:rPr>
          <w:b/>
          <w:spacing w:val="-2"/>
          <w:sz w:val="22"/>
        </w:rPr>
        <w:t> (Susceptible)</w:t>
      </w:r>
    </w:p>
    <w:p>
      <w:pPr>
        <w:pStyle w:val="BodyText"/>
        <w:spacing w:before="51" w:after="1"/>
        <w:rPr>
          <w:b/>
          <w:sz w:val="20"/>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3"/>
        <w:gridCol w:w="1694"/>
        <w:gridCol w:w="2003"/>
        <w:gridCol w:w="1331"/>
        <w:gridCol w:w="1310"/>
        <w:gridCol w:w="1394"/>
      </w:tblGrid>
      <w:tr>
        <w:trPr>
          <w:trHeight w:val="2577" w:hRule="atLeast"/>
        </w:trPr>
        <w:tc>
          <w:tcPr>
            <w:tcW w:w="1153" w:type="dxa"/>
            <w:tcBorders>
              <w:top w:val="single" w:sz="4" w:space="0" w:color="000000"/>
              <w:bottom w:val="single" w:sz="4" w:space="0" w:color="000000"/>
            </w:tcBorders>
          </w:tcPr>
          <w:p>
            <w:pPr>
              <w:pStyle w:val="TableParagraph"/>
              <w:spacing w:line="360" w:lineRule="auto"/>
              <w:ind w:left="115"/>
              <w:rPr>
                <w:b/>
                <w:sz w:val="22"/>
              </w:rPr>
            </w:pPr>
            <w:r>
              <w:rPr>
                <w:b/>
                <w:spacing w:val="-4"/>
                <w:sz w:val="22"/>
              </w:rPr>
              <w:t>Time </w:t>
            </w:r>
            <w:r>
              <w:rPr>
                <w:b/>
                <w:spacing w:val="-2"/>
                <w:sz w:val="22"/>
              </w:rPr>
              <w:t>(minutes)</w:t>
            </w:r>
          </w:p>
        </w:tc>
        <w:tc>
          <w:tcPr>
            <w:tcW w:w="1694" w:type="dxa"/>
            <w:tcBorders>
              <w:top w:val="single" w:sz="4" w:space="0" w:color="000000"/>
              <w:bottom w:val="single" w:sz="4" w:space="0" w:color="000000"/>
            </w:tcBorders>
          </w:tcPr>
          <w:p>
            <w:pPr>
              <w:pStyle w:val="TableParagraph"/>
              <w:spacing w:line="360" w:lineRule="auto"/>
              <w:ind w:left="154"/>
              <w:rPr>
                <w:b/>
                <w:sz w:val="22"/>
              </w:rPr>
            </w:pPr>
            <w:r>
              <w:rPr>
                <w:b/>
                <w:sz w:val="22"/>
              </w:rPr>
              <w:t>No of colonies counted</w:t>
            </w:r>
            <w:r>
              <w:rPr>
                <w:b/>
                <w:spacing w:val="-13"/>
                <w:sz w:val="22"/>
              </w:rPr>
              <w:t> </w:t>
            </w:r>
            <w:r>
              <w:rPr>
                <w:b/>
                <w:sz w:val="22"/>
              </w:rPr>
              <w:t>in</w:t>
            </w:r>
            <w:r>
              <w:rPr>
                <w:b/>
                <w:spacing w:val="-12"/>
                <w:sz w:val="22"/>
              </w:rPr>
              <w:t> </w:t>
            </w:r>
            <w:r>
              <w:rPr>
                <w:b/>
                <w:sz w:val="22"/>
              </w:rPr>
              <w:t>LEV (7.81 µg/ml) </w:t>
            </w:r>
            <w:r>
              <w:rPr>
                <w:b/>
                <w:spacing w:val="-2"/>
                <w:sz w:val="22"/>
              </w:rPr>
              <w:t>plate</w:t>
            </w:r>
          </w:p>
        </w:tc>
        <w:tc>
          <w:tcPr>
            <w:tcW w:w="2003" w:type="dxa"/>
            <w:tcBorders>
              <w:top w:val="single" w:sz="4" w:space="0" w:color="000000"/>
              <w:bottom w:val="single" w:sz="4" w:space="0" w:color="000000"/>
            </w:tcBorders>
          </w:tcPr>
          <w:p>
            <w:pPr>
              <w:pStyle w:val="TableParagraph"/>
              <w:spacing w:line="360" w:lineRule="auto"/>
              <w:ind w:left="179" w:right="34"/>
              <w:rPr>
                <w:b/>
                <w:sz w:val="22"/>
              </w:rPr>
            </w:pPr>
            <w:r>
              <w:rPr>
                <w:b/>
                <w:sz w:val="22"/>
              </w:rPr>
              <w:t>No of colonies counted in CEF (12.5</w:t>
            </w:r>
            <w:r>
              <w:rPr>
                <w:b/>
                <w:spacing w:val="-13"/>
                <w:sz w:val="22"/>
              </w:rPr>
              <w:t> </w:t>
            </w:r>
            <w:r>
              <w:rPr>
                <w:b/>
                <w:sz w:val="22"/>
              </w:rPr>
              <w:t>µg/ml)</w:t>
            </w:r>
            <w:r>
              <w:rPr>
                <w:b/>
                <w:spacing w:val="-12"/>
                <w:sz w:val="22"/>
              </w:rPr>
              <w:t> </w:t>
            </w:r>
            <w:r>
              <w:rPr>
                <w:b/>
                <w:sz w:val="22"/>
              </w:rPr>
              <w:t>plate</w:t>
            </w:r>
          </w:p>
        </w:tc>
        <w:tc>
          <w:tcPr>
            <w:tcW w:w="1331" w:type="dxa"/>
            <w:tcBorders>
              <w:top w:val="single" w:sz="4" w:space="0" w:color="000000"/>
              <w:bottom w:val="single" w:sz="4" w:space="0" w:color="000000"/>
            </w:tcBorders>
          </w:tcPr>
          <w:p>
            <w:pPr>
              <w:pStyle w:val="TableParagraph"/>
              <w:spacing w:line="360" w:lineRule="auto"/>
              <w:ind w:left="164" w:right="186"/>
              <w:rPr>
                <w:b/>
                <w:sz w:val="22"/>
              </w:rPr>
            </w:pPr>
            <w:r>
              <w:rPr>
                <w:b/>
                <w:sz w:val="22"/>
              </w:rPr>
              <w:t>No of </w:t>
            </w:r>
            <w:r>
              <w:rPr>
                <w:b/>
                <w:spacing w:val="-2"/>
                <w:sz w:val="22"/>
              </w:rPr>
              <w:t>colonies </w:t>
            </w:r>
            <w:r>
              <w:rPr>
                <w:b/>
                <w:sz w:val="22"/>
              </w:rPr>
              <w:t>counted</w:t>
            </w:r>
            <w:r>
              <w:rPr>
                <w:b/>
                <w:spacing w:val="-13"/>
                <w:sz w:val="22"/>
              </w:rPr>
              <w:t> </w:t>
            </w:r>
            <w:r>
              <w:rPr>
                <w:b/>
                <w:sz w:val="22"/>
              </w:rPr>
              <w:t>in Lemon</w:t>
            </w:r>
            <w:r>
              <w:rPr>
                <w:b/>
                <w:spacing w:val="-13"/>
                <w:sz w:val="22"/>
              </w:rPr>
              <w:t> </w:t>
            </w:r>
            <w:r>
              <w:rPr>
                <w:b/>
                <w:sz w:val="22"/>
              </w:rPr>
              <w:t>(20 </w:t>
            </w:r>
            <w:r>
              <w:rPr>
                <w:b/>
                <w:spacing w:val="-2"/>
                <w:sz w:val="22"/>
              </w:rPr>
              <w:t>µg/ml) plate</w:t>
            </w:r>
          </w:p>
        </w:tc>
        <w:tc>
          <w:tcPr>
            <w:tcW w:w="1310" w:type="dxa"/>
            <w:tcBorders>
              <w:top w:val="single" w:sz="4" w:space="0" w:color="000000"/>
              <w:bottom w:val="single" w:sz="4" w:space="0" w:color="000000"/>
            </w:tcBorders>
          </w:tcPr>
          <w:p>
            <w:pPr>
              <w:pStyle w:val="TableParagraph"/>
              <w:spacing w:line="360" w:lineRule="auto"/>
              <w:ind w:left="187" w:right="142"/>
              <w:rPr>
                <w:b/>
                <w:sz w:val="22"/>
              </w:rPr>
            </w:pPr>
            <w:r>
              <w:rPr>
                <w:b/>
                <w:sz w:val="22"/>
              </w:rPr>
              <w:t>No of </w:t>
            </w:r>
            <w:r>
              <w:rPr>
                <w:b/>
                <w:spacing w:val="-2"/>
                <w:sz w:val="22"/>
              </w:rPr>
              <w:t>colonies </w:t>
            </w:r>
            <w:r>
              <w:rPr>
                <w:b/>
                <w:sz w:val="22"/>
              </w:rPr>
              <w:t>counted</w:t>
            </w:r>
            <w:r>
              <w:rPr>
                <w:b/>
                <w:spacing w:val="-13"/>
                <w:sz w:val="22"/>
              </w:rPr>
              <w:t> </w:t>
            </w:r>
            <w:r>
              <w:rPr>
                <w:b/>
                <w:sz w:val="22"/>
              </w:rPr>
              <w:t>in Honey (50 </w:t>
            </w:r>
            <w:r>
              <w:rPr>
                <w:b/>
                <w:spacing w:val="-2"/>
                <w:sz w:val="22"/>
              </w:rPr>
              <w:t>µg/ml) plate</w:t>
            </w:r>
          </w:p>
        </w:tc>
        <w:tc>
          <w:tcPr>
            <w:tcW w:w="1394" w:type="dxa"/>
            <w:tcBorders>
              <w:top w:val="single" w:sz="4" w:space="0" w:color="000000"/>
              <w:bottom w:val="single" w:sz="4" w:space="0" w:color="000000"/>
            </w:tcBorders>
          </w:tcPr>
          <w:p>
            <w:pPr>
              <w:pStyle w:val="TableParagraph"/>
              <w:spacing w:line="360" w:lineRule="auto"/>
              <w:ind w:left="142" w:right="271"/>
              <w:rPr>
                <w:b/>
                <w:sz w:val="22"/>
              </w:rPr>
            </w:pPr>
            <w:r>
              <w:rPr>
                <w:b/>
                <w:sz w:val="22"/>
              </w:rPr>
              <w:t>No of </w:t>
            </w:r>
            <w:r>
              <w:rPr>
                <w:b/>
                <w:spacing w:val="-2"/>
                <w:sz w:val="22"/>
              </w:rPr>
              <w:t>colonies </w:t>
            </w:r>
            <w:r>
              <w:rPr>
                <w:b/>
                <w:sz w:val="22"/>
              </w:rPr>
              <w:t>counted</w:t>
            </w:r>
            <w:r>
              <w:rPr>
                <w:b/>
                <w:spacing w:val="-13"/>
                <w:sz w:val="22"/>
              </w:rPr>
              <w:t> </w:t>
            </w:r>
            <w:r>
              <w:rPr>
                <w:b/>
                <w:sz w:val="22"/>
              </w:rPr>
              <w:t>in H/L (20</w:t>
            </w:r>
          </w:p>
          <w:p>
            <w:pPr>
              <w:pStyle w:val="TableParagraph"/>
              <w:spacing w:line="357" w:lineRule="auto"/>
              <w:ind w:left="142" w:right="619"/>
              <w:rPr>
                <w:b/>
                <w:sz w:val="22"/>
              </w:rPr>
            </w:pPr>
            <w:r>
              <w:rPr>
                <w:b/>
                <w:spacing w:val="-2"/>
                <w:sz w:val="22"/>
              </w:rPr>
              <w:t>µg/ml) plate</w:t>
            </w:r>
          </w:p>
        </w:tc>
      </w:tr>
      <w:tr>
        <w:trPr>
          <w:trHeight w:val="413" w:hRule="atLeast"/>
        </w:trPr>
        <w:tc>
          <w:tcPr>
            <w:tcW w:w="1153" w:type="dxa"/>
            <w:tcBorders>
              <w:top w:val="single" w:sz="4" w:space="0" w:color="000000"/>
            </w:tcBorders>
          </w:tcPr>
          <w:p>
            <w:pPr>
              <w:pStyle w:val="TableParagraph"/>
              <w:spacing w:line="265" w:lineRule="exact"/>
              <w:ind w:left="115"/>
              <w:rPr>
                <w:sz w:val="22"/>
              </w:rPr>
            </w:pPr>
            <w:r>
              <w:rPr>
                <w:spacing w:val="-10"/>
                <w:sz w:val="22"/>
              </w:rPr>
              <w:t>0</w:t>
            </w:r>
          </w:p>
        </w:tc>
        <w:tc>
          <w:tcPr>
            <w:tcW w:w="1694" w:type="dxa"/>
            <w:tcBorders>
              <w:top w:val="single" w:sz="4" w:space="0" w:color="000000"/>
            </w:tcBorders>
          </w:tcPr>
          <w:p>
            <w:pPr>
              <w:pStyle w:val="TableParagraph"/>
              <w:spacing w:line="265" w:lineRule="exact"/>
              <w:ind w:left="154"/>
              <w:rPr>
                <w:sz w:val="22"/>
              </w:rPr>
            </w:pPr>
            <w:r>
              <w:rPr>
                <w:spacing w:val="-2"/>
                <w:sz w:val="22"/>
              </w:rPr>
              <w:t>1.3×10</w:t>
            </w:r>
            <w:r>
              <w:rPr>
                <w:spacing w:val="-2"/>
                <w:sz w:val="22"/>
                <w:vertAlign w:val="superscript"/>
              </w:rPr>
              <w:t>3</w:t>
            </w:r>
          </w:p>
        </w:tc>
        <w:tc>
          <w:tcPr>
            <w:tcW w:w="2003" w:type="dxa"/>
            <w:tcBorders>
              <w:top w:val="single" w:sz="4" w:space="0" w:color="000000"/>
            </w:tcBorders>
          </w:tcPr>
          <w:p>
            <w:pPr>
              <w:pStyle w:val="TableParagraph"/>
              <w:spacing w:line="265" w:lineRule="exact"/>
              <w:ind w:left="179"/>
              <w:rPr>
                <w:sz w:val="22"/>
              </w:rPr>
            </w:pPr>
            <w:r>
              <w:rPr>
                <w:spacing w:val="-2"/>
                <w:sz w:val="22"/>
              </w:rPr>
              <w:t>4.0×10</w:t>
            </w:r>
            <w:r>
              <w:rPr>
                <w:spacing w:val="-2"/>
                <w:sz w:val="22"/>
                <w:vertAlign w:val="superscript"/>
              </w:rPr>
              <w:t>3</w:t>
            </w:r>
          </w:p>
        </w:tc>
        <w:tc>
          <w:tcPr>
            <w:tcW w:w="1331" w:type="dxa"/>
            <w:tcBorders>
              <w:top w:val="single" w:sz="4" w:space="0" w:color="000000"/>
            </w:tcBorders>
          </w:tcPr>
          <w:p>
            <w:pPr>
              <w:pStyle w:val="TableParagraph"/>
              <w:spacing w:line="265" w:lineRule="exact"/>
              <w:ind w:left="164"/>
              <w:rPr>
                <w:sz w:val="22"/>
              </w:rPr>
            </w:pPr>
            <w:r>
              <w:rPr>
                <w:spacing w:val="-2"/>
                <w:sz w:val="22"/>
              </w:rPr>
              <w:t>2.0×10</w:t>
            </w:r>
            <w:r>
              <w:rPr>
                <w:spacing w:val="-2"/>
                <w:sz w:val="22"/>
                <w:vertAlign w:val="superscript"/>
              </w:rPr>
              <w:t>3</w:t>
            </w:r>
          </w:p>
        </w:tc>
        <w:tc>
          <w:tcPr>
            <w:tcW w:w="1310" w:type="dxa"/>
            <w:tcBorders>
              <w:top w:val="single" w:sz="4" w:space="0" w:color="000000"/>
            </w:tcBorders>
          </w:tcPr>
          <w:p>
            <w:pPr>
              <w:pStyle w:val="TableParagraph"/>
              <w:spacing w:line="265" w:lineRule="exact"/>
              <w:ind w:left="187"/>
              <w:rPr>
                <w:sz w:val="22"/>
              </w:rPr>
            </w:pPr>
            <w:r>
              <w:rPr>
                <w:spacing w:val="-2"/>
                <w:sz w:val="22"/>
              </w:rPr>
              <w:t>4.3×10</w:t>
            </w:r>
            <w:r>
              <w:rPr>
                <w:spacing w:val="-2"/>
                <w:sz w:val="22"/>
                <w:vertAlign w:val="superscript"/>
              </w:rPr>
              <w:t>3</w:t>
            </w:r>
          </w:p>
        </w:tc>
        <w:tc>
          <w:tcPr>
            <w:tcW w:w="1394" w:type="dxa"/>
            <w:tcBorders>
              <w:top w:val="single" w:sz="4" w:space="0" w:color="000000"/>
            </w:tcBorders>
          </w:tcPr>
          <w:p>
            <w:pPr>
              <w:pStyle w:val="TableParagraph"/>
              <w:spacing w:line="265" w:lineRule="exact"/>
              <w:ind w:left="142"/>
              <w:rPr>
                <w:sz w:val="22"/>
              </w:rPr>
            </w:pPr>
            <w:r>
              <w:rPr>
                <w:spacing w:val="-2"/>
                <w:sz w:val="22"/>
              </w:rPr>
              <w:t>1.0×10</w:t>
            </w:r>
            <w:r>
              <w:rPr>
                <w:spacing w:val="-2"/>
                <w:sz w:val="22"/>
                <w:vertAlign w:val="superscript"/>
              </w:rPr>
              <w:t>3</w:t>
            </w:r>
          </w:p>
        </w:tc>
      </w:tr>
      <w:tr>
        <w:trPr>
          <w:trHeight w:val="562" w:hRule="atLeast"/>
        </w:trPr>
        <w:tc>
          <w:tcPr>
            <w:tcW w:w="1153" w:type="dxa"/>
          </w:tcPr>
          <w:p>
            <w:pPr>
              <w:pStyle w:val="TableParagraph"/>
              <w:spacing w:before="147"/>
              <w:ind w:left="115"/>
              <w:rPr>
                <w:sz w:val="22"/>
              </w:rPr>
            </w:pPr>
            <w:r>
              <w:rPr>
                <w:spacing w:val="-5"/>
                <w:sz w:val="22"/>
              </w:rPr>
              <w:t>30</w:t>
            </w:r>
          </w:p>
        </w:tc>
        <w:tc>
          <w:tcPr>
            <w:tcW w:w="1694" w:type="dxa"/>
          </w:tcPr>
          <w:p>
            <w:pPr>
              <w:pStyle w:val="TableParagraph"/>
              <w:spacing w:before="147"/>
              <w:ind w:left="154"/>
              <w:rPr>
                <w:sz w:val="22"/>
              </w:rPr>
            </w:pPr>
            <w:r>
              <w:rPr>
                <w:spacing w:val="-2"/>
                <w:sz w:val="22"/>
              </w:rPr>
              <w:t>3.5×10</w:t>
            </w:r>
            <w:r>
              <w:rPr>
                <w:spacing w:val="-2"/>
                <w:sz w:val="22"/>
                <w:vertAlign w:val="superscript"/>
              </w:rPr>
              <w:t>2</w:t>
            </w:r>
          </w:p>
        </w:tc>
        <w:tc>
          <w:tcPr>
            <w:tcW w:w="2003" w:type="dxa"/>
          </w:tcPr>
          <w:p>
            <w:pPr>
              <w:pStyle w:val="TableParagraph"/>
              <w:spacing w:before="147"/>
              <w:ind w:left="179"/>
              <w:rPr>
                <w:sz w:val="22"/>
              </w:rPr>
            </w:pPr>
            <w:r>
              <w:rPr>
                <w:spacing w:val="-2"/>
                <w:sz w:val="22"/>
              </w:rPr>
              <w:t>1.5×10</w:t>
            </w:r>
            <w:r>
              <w:rPr>
                <w:spacing w:val="-2"/>
                <w:sz w:val="22"/>
                <w:vertAlign w:val="superscript"/>
              </w:rPr>
              <w:t>3</w:t>
            </w:r>
          </w:p>
        </w:tc>
        <w:tc>
          <w:tcPr>
            <w:tcW w:w="1331" w:type="dxa"/>
          </w:tcPr>
          <w:p>
            <w:pPr>
              <w:pStyle w:val="TableParagraph"/>
              <w:spacing w:before="147"/>
              <w:ind w:left="164"/>
              <w:rPr>
                <w:sz w:val="22"/>
              </w:rPr>
            </w:pPr>
            <w:r>
              <w:rPr>
                <w:spacing w:val="-2"/>
                <w:sz w:val="22"/>
              </w:rPr>
              <w:t>1.2×10</w:t>
            </w:r>
            <w:r>
              <w:rPr>
                <w:spacing w:val="-2"/>
                <w:sz w:val="22"/>
                <w:vertAlign w:val="superscript"/>
              </w:rPr>
              <w:t>3</w:t>
            </w:r>
          </w:p>
        </w:tc>
        <w:tc>
          <w:tcPr>
            <w:tcW w:w="1310" w:type="dxa"/>
          </w:tcPr>
          <w:p>
            <w:pPr>
              <w:pStyle w:val="TableParagraph"/>
              <w:spacing w:before="147"/>
              <w:ind w:left="187"/>
              <w:rPr>
                <w:sz w:val="22"/>
              </w:rPr>
            </w:pPr>
            <w:r>
              <w:rPr>
                <w:spacing w:val="-2"/>
                <w:sz w:val="22"/>
              </w:rPr>
              <w:t>1.8×10</w:t>
            </w:r>
            <w:r>
              <w:rPr>
                <w:spacing w:val="-2"/>
                <w:sz w:val="22"/>
                <w:vertAlign w:val="superscript"/>
              </w:rPr>
              <w:t>3</w:t>
            </w:r>
          </w:p>
        </w:tc>
        <w:tc>
          <w:tcPr>
            <w:tcW w:w="1394" w:type="dxa"/>
          </w:tcPr>
          <w:p>
            <w:pPr>
              <w:pStyle w:val="TableParagraph"/>
              <w:spacing w:before="147"/>
              <w:ind w:left="142"/>
              <w:rPr>
                <w:sz w:val="22"/>
              </w:rPr>
            </w:pPr>
            <w:r>
              <w:rPr>
                <w:spacing w:val="-2"/>
                <w:sz w:val="22"/>
              </w:rPr>
              <w:t>8.0×10</w:t>
            </w:r>
            <w:r>
              <w:rPr>
                <w:spacing w:val="-2"/>
                <w:sz w:val="22"/>
                <w:vertAlign w:val="superscript"/>
              </w:rPr>
              <w:t>2</w:t>
            </w:r>
          </w:p>
        </w:tc>
      </w:tr>
      <w:tr>
        <w:trPr>
          <w:trHeight w:val="562" w:hRule="atLeast"/>
        </w:trPr>
        <w:tc>
          <w:tcPr>
            <w:tcW w:w="1153" w:type="dxa"/>
          </w:tcPr>
          <w:p>
            <w:pPr>
              <w:pStyle w:val="TableParagraph"/>
              <w:spacing w:before="146"/>
              <w:ind w:left="115"/>
              <w:rPr>
                <w:sz w:val="22"/>
              </w:rPr>
            </w:pPr>
            <w:r>
              <w:rPr>
                <w:spacing w:val="-5"/>
                <w:sz w:val="22"/>
              </w:rPr>
              <w:t>60</w:t>
            </w:r>
          </w:p>
        </w:tc>
        <w:tc>
          <w:tcPr>
            <w:tcW w:w="1694" w:type="dxa"/>
          </w:tcPr>
          <w:p>
            <w:pPr>
              <w:pStyle w:val="TableParagraph"/>
              <w:spacing w:before="146"/>
              <w:ind w:left="154"/>
              <w:rPr>
                <w:sz w:val="22"/>
              </w:rPr>
            </w:pPr>
            <w:r>
              <w:rPr>
                <w:spacing w:val="-2"/>
                <w:sz w:val="22"/>
              </w:rPr>
              <w:t>2.7×10</w:t>
            </w:r>
            <w:r>
              <w:rPr>
                <w:spacing w:val="-2"/>
                <w:sz w:val="22"/>
                <w:vertAlign w:val="superscript"/>
              </w:rPr>
              <w:t>2</w:t>
            </w:r>
          </w:p>
        </w:tc>
        <w:tc>
          <w:tcPr>
            <w:tcW w:w="2003" w:type="dxa"/>
          </w:tcPr>
          <w:p>
            <w:pPr>
              <w:pStyle w:val="TableParagraph"/>
              <w:spacing w:before="146"/>
              <w:ind w:left="179"/>
              <w:rPr>
                <w:sz w:val="22"/>
              </w:rPr>
            </w:pPr>
            <w:r>
              <w:rPr>
                <w:spacing w:val="-2"/>
                <w:sz w:val="22"/>
              </w:rPr>
              <w:t>1.3×10</w:t>
            </w:r>
            <w:r>
              <w:rPr>
                <w:spacing w:val="-2"/>
                <w:sz w:val="22"/>
                <w:vertAlign w:val="superscript"/>
              </w:rPr>
              <w:t>3</w:t>
            </w:r>
          </w:p>
        </w:tc>
        <w:tc>
          <w:tcPr>
            <w:tcW w:w="1331" w:type="dxa"/>
          </w:tcPr>
          <w:p>
            <w:pPr>
              <w:pStyle w:val="TableParagraph"/>
              <w:spacing w:before="146"/>
              <w:ind w:left="164"/>
              <w:rPr>
                <w:sz w:val="22"/>
              </w:rPr>
            </w:pPr>
            <w:r>
              <w:rPr>
                <w:spacing w:val="-2"/>
                <w:sz w:val="22"/>
              </w:rPr>
              <w:t>5.0×10</w:t>
            </w:r>
            <w:r>
              <w:rPr>
                <w:spacing w:val="-2"/>
                <w:sz w:val="22"/>
                <w:vertAlign w:val="superscript"/>
              </w:rPr>
              <w:t>2</w:t>
            </w:r>
          </w:p>
        </w:tc>
        <w:tc>
          <w:tcPr>
            <w:tcW w:w="1310" w:type="dxa"/>
          </w:tcPr>
          <w:p>
            <w:pPr>
              <w:pStyle w:val="TableParagraph"/>
              <w:spacing w:before="146"/>
              <w:ind w:left="187"/>
              <w:rPr>
                <w:sz w:val="22"/>
              </w:rPr>
            </w:pPr>
            <w:r>
              <w:rPr>
                <w:spacing w:val="-2"/>
                <w:sz w:val="22"/>
              </w:rPr>
              <w:t>1.6×10</w:t>
            </w:r>
            <w:r>
              <w:rPr>
                <w:spacing w:val="-2"/>
                <w:sz w:val="22"/>
                <w:vertAlign w:val="superscript"/>
              </w:rPr>
              <w:t>3</w:t>
            </w:r>
          </w:p>
        </w:tc>
        <w:tc>
          <w:tcPr>
            <w:tcW w:w="1394" w:type="dxa"/>
          </w:tcPr>
          <w:p>
            <w:pPr>
              <w:pStyle w:val="TableParagraph"/>
              <w:spacing w:before="146"/>
              <w:ind w:left="142"/>
              <w:rPr>
                <w:sz w:val="22"/>
              </w:rPr>
            </w:pPr>
            <w:r>
              <w:rPr>
                <w:spacing w:val="-2"/>
                <w:sz w:val="22"/>
              </w:rPr>
              <w:t>5.9×10</w:t>
            </w:r>
            <w:r>
              <w:rPr>
                <w:spacing w:val="-2"/>
                <w:sz w:val="22"/>
                <w:vertAlign w:val="superscript"/>
              </w:rPr>
              <w:t>2</w:t>
            </w:r>
          </w:p>
        </w:tc>
      </w:tr>
      <w:tr>
        <w:trPr>
          <w:trHeight w:val="562" w:hRule="atLeast"/>
        </w:trPr>
        <w:tc>
          <w:tcPr>
            <w:tcW w:w="1153" w:type="dxa"/>
          </w:tcPr>
          <w:p>
            <w:pPr>
              <w:pStyle w:val="TableParagraph"/>
              <w:spacing w:before="147"/>
              <w:ind w:left="115"/>
              <w:rPr>
                <w:sz w:val="22"/>
              </w:rPr>
            </w:pPr>
            <w:r>
              <w:rPr>
                <w:spacing w:val="-5"/>
                <w:sz w:val="22"/>
              </w:rPr>
              <w:t>90</w:t>
            </w:r>
          </w:p>
        </w:tc>
        <w:tc>
          <w:tcPr>
            <w:tcW w:w="1694" w:type="dxa"/>
          </w:tcPr>
          <w:p>
            <w:pPr>
              <w:pStyle w:val="TableParagraph"/>
              <w:spacing w:before="147"/>
              <w:ind w:left="154"/>
              <w:rPr>
                <w:sz w:val="22"/>
              </w:rPr>
            </w:pPr>
            <w:r>
              <w:rPr>
                <w:spacing w:val="-2"/>
                <w:sz w:val="22"/>
              </w:rPr>
              <w:t>2.3×10</w:t>
            </w:r>
            <w:r>
              <w:rPr>
                <w:spacing w:val="-2"/>
                <w:sz w:val="22"/>
                <w:vertAlign w:val="superscript"/>
              </w:rPr>
              <w:t>2</w:t>
            </w:r>
          </w:p>
        </w:tc>
        <w:tc>
          <w:tcPr>
            <w:tcW w:w="2003" w:type="dxa"/>
          </w:tcPr>
          <w:p>
            <w:pPr>
              <w:pStyle w:val="TableParagraph"/>
              <w:spacing w:before="147"/>
              <w:ind w:left="179"/>
              <w:rPr>
                <w:sz w:val="22"/>
              </w:rPr>
            </w:pPr>
            <w:r>
              <w:rPr>
                <w:spacing w:val="-2"/>
                <w:sz w:val="22"/>
              </w:rPr>
              <w:t>1.1×10</w:t>
            </w:r>
            <w:r>
              <w:rPr>
                <w:spacing w:val="-2"/>
                <w:sz w:val="22"/>
                <w:vertAlign w:val="superscript"/>
              </w:rPr>
              <w:t>3</w:t>
            </w:r>
          </w:p>
        </w:tc>
        <w:tc>
          <w:tcPr>
            <w:tcW w:w="1331" w:type="dxa"/>
          </w:tcPr>
          <w:p>
            <w:pPr>
              <w:pStyle w:val="TableParagraph"/>
              <w:spacing w:before="147"/>
              <w:ind w:left="164"/>
              <w:rPr>
                <w:sz w:val="22"/>
              </w:rPr>
            </w:pPr>
            <w:r>
              <w:rPr>
                <w:spacing w:val="-2"/>
                <w:sz w:val="22"/>
              </w:rPr>
              <w:t>1.0×10</w:t>
            </w:r>
            <w:r>
              <w:rPr>
                <w:spacing w:val="-2"/>
                <w:sz w:val="22"/>
                <w:vertAlign w:val="superscript"/>
              </w:rPr>
              <w:t>2</w:t>
            </w:r>
          </w:p>
        </w:tc>
        <w:tc>
          <w:tcPr>
            <w:tcW w:w="1310" w:type="dxa"/>
          </w:tcPr>
          <w:p>
            <w:pPr>
              <w:pStyle w:val="TableParagraph"/>
              <w:spacing w:before="147"/>
              <w:ind w:left="187"/>
              <w:rPr>
                <w:sz w:val="22"/>
              </w:rPr>
            </w:pPr>
            <w:r>
              <w:rPr>
                <w:spacing w:val="-2"/>
                <w:sz w:val="22"/>
              </w:rPr>
              <w:t>8.4×10</w:t>
            </w:r>
            <w:r>
              <w:rPr>
                <w:spacing w:val="-2"/>
                <w:sz w:val="22"/>
                <w:vertAlign w:val="superscript"/>
              </w:rPr>
              <w:t>2</w:t>
            </w:r>
          </w:p>
        </w:tc>
        <w:tc>
          <w:tcPr>
            <w:tcW w:w="1394" w:type="dxa"/>
          </w:tcPr>
          <w:p>
            <w:pPr>
              <w:pStyle w:val="TableParagraph"/>
              <w:spacing w:before="147"/>
              <w:ind w:left="142"/>
              <w:rPr>
                <w:sz w:val="22"/>
              </w:rPr>
            </w:pPr>
            <w:r>
              <w:rPr>
                <w:spacing w:val="-2"/>
                <w:sz w:val="22"/>
              </w:rPr>
              <w:t>1.0×10</w:t>
            </w:r>
            <w:r>
              <w:rPr>
                <w:spacing w:val="-2"/>
                <w:sz w:val="22"/>
                <w:vertAlign w:val="superscript"/>
              </w:rPr>
              <w:t>2</w:t>
            </w:r>
          </w:p>
        </w:tc>
      </w:tr>
      <w:tr>
        <w:trPr>
          <w:trHeight w:val="562" w:hRule="atLeast"/>
        </w:trPr>
        <w:tc>
          <w:tcPr>
            <w:tcW w:w="1153" w:type="dxa"/>
          </w:tcPr>
          <w:p>
            <w:pPr>
              <w:pStyle w:val="TableParagraph"/>
              <w:spacing w:before="146"/>
              <w:ind w:left="115"/>
              <w:rPr>
                <w:sz w:val="22"/>
              </w:rPr>
            </w:pPr>
            <w:r>
              <w:rPr>
                <w:spacing w:val="-5"/>
                <w:sz w:val="22"/>
              </w:rPr>
              <w:t>120</w:t>
            </w:r>
          </w:p>
        </w:tc>
        <w:tc>
          <w:tcPr>
            <w:tcW w:w="1694" w:type="dxa"/>
          </w:tcPr>
          <w:p>
            <w:pPr>
              <w:pStyle w:val="TableParagraph"/>
              <w:spacing w:before="146"/>
              <w:ind w:left="154"/>
              <w:rPr>
                <w:sz w:val="22"/>
              </w:rPr>
            </w:pPr>
            <w:r>
              <w:rPr>
                <w:spacing w:val="-2"/>
                <w:sz w:val="22"/>
              </w:rPr>
              <w:t>2.0×10</w:t>
            </w:r>
            <w:r>
              <w:rPr>
                <w:spacing w:val="-2"/>
                <w:sz w:val="22"/>
                <w:vertAlign w:val="superscript"/>
              </w:rPr>
              <w:t>2</w:t>
            </w:r>
          </w:p>
        </w:tc>
        <w:tc>
          <w:tcPr>
            <w:tcW w:w="2003" w:type="dxa"/>
          </w:tcPr>
          <w:p>
            <w:pPr>
              <w:pStyle w:val="TableParagraph"/>
              <w:spacing w:before="146"/>
              <w:ind w:left="179"/>
              <w:rPr>
                <w:sz w:val="22"/>
              </w:rPr>
            </w:pPr>
            <w:r>
              <w:rPr>
                <w:spacing w:val="-2"/>
                <w:sz w:val="22"/>
              </w:rPr>
              <w:t>9.0×10</w:t>
            </w:r>
            <w:r>
              <w:rPr>
                <w:spacing w:val="-2"/>
                <w:sz w:val="22"/>
                <w:vertAlign w:val="superscript"/>
              </w:rPr>
              <w:t>2</w:t>
            </w:r>
          </w:p>
        </w:tc>
        <w:tc>
          <w:tcPr>
            <w:tcW w:w="1331" w:type="dxa"/>
          </w:tcPr>
          <w:p>
            <w:pPr>
              <w:pStyle w:val="TableParagraph"/>
              <w:spacing w:before="146"/>
              <w:ind w:left="164"/>
              <w:rPr>
                <w:sz w:val="22"/>
              </w:rPr>
            </w:pPr>
            <w:r>
              <w:rPr>
                <w:spacing w:val="-10"/>
                <w:sz w:val="22"/>
              </w:rPr>
              <w:t>0</w:t>
            </w:r>
          </w:p>
        </w:tc>
        <w:tc>
          <w:tcPr>
            <w:tcW w:w="1310" w:type="dxa"/>
          </w:tcPr>
          <w:p>
            <w:pPr>
              <w:pStyle w:val="TableParagraph"/>
              <w:spacing w:before="146"/>
              <w:ind w:left="187"/>
              <w:rPr>
                <w:sz w:val="22"/>
              </w:rPr>
            </w:pPr>
            <w:r>
              <w:rPr>
                <w:spacing w:val="-2"/>
                <w:sz w:val="22"/>
              </w:rPr>
              <w:t>6.9×10</w:t>
            </w:r>
            <w:r>
              <w:rPr>
                <w:spacing w:val="-2"/>
                <w:sz w:val="22"/>
                <w:vertAlign w:val="superscript"/>
              </w:rPr>
              <w:t>2</w:t>
            </w:r>
          </w:p>
        </w:tc>
        <w:tc>
          <w:tcPr>
            <w:tcW w:w="1394" w:type="dxa"/>
          </w:tcPr>
          <w:p>
            <w:pPr>
              <w:pStyle w:val="TableParagraph"/>
              <w:spacing w:before="146"/>
              <w:ind w:left="142"/>
              <w:rPr>
                <w:sz w:val="22"/>
              </w:rPr>
            </w:pPr>
            <w:r>
              <w:rPr>
                <w:spacing w:val="-4"/>
                <w:sz w:val="22"/>
              </w:rPr>
              <w:t>1×10</w:t>
            </w:r>
          </w:p>
        </w:tc>
      </w:tr>
      <w:tr>
        <w:trPr>
          <w:trHeight w:val="562" w:hRule="atLeast"/>
        </w:trPr>
        <w:tc>
          <w:tcPr>
            <w:tcW w:w="1153" w:type="dxa"/>
          </w:tcPr>
          <w:p>
            <w:pPr>
              <w:pStyle w:val="TableParagraph"/>
              <w:spacing w:before="147"/>
              <w:ind w:left="115"/>
              <w:rPr>
                <w:sz w:val="22"/>
              </w:rPr>
            </w:pPr>
            <w:r>
              <w:rPr>
                <w:spacing w:val="-5"/>
                <w:sz w:val="22"/>
              </w:rPr>
              <w:t>240</w:t>
            </w:r>
          </w:p>
        </w:tc>
        <w:tc>
          <w:tcPr>
            <w:tcW w:w="1694" w:type="dxa"/>
          </w:tcPr>
          <w:p>
            <w:pPr>
              <w:pStyle w:val="TableParagraph"/>
              <w:spacing w:before="147"/>
              <w:ind w:left="154"/>
              <w:rPr>
                <w:sz w:val="22"/>
              </w:rPr>
            </w:pPr>
            <w:r>
              <w:rPr>
                <w:spacing w:val="-2"/>
                <w:sz w:val="22"/>
              </w:rPr>
              <w:t>1.2×10</w:t>
            </w:r>
            <w:r>
              <w:rPr>
                <w:spacing w:val="-2"/>
                <w:sz w:val="22"/>
                <w:vertAlign w:val="superscript"/>
              </w:rPr>
              <w:t>2</w:t>
            </w:r>
          </w:p>
        </w:tc>
        <w:tc>
          <w:tcPr>
            <w:tcW w:w="2003" w:type="dxa"/>
          </w:tcPr>
          <w:p>
            <w:pPr>
              <w:pStyle w:val="TableParagraph"/>
              <w:spacing w:before="147"/>
              <w:ind w:left="179"/>
              <w:rPr>
                <w:sz w:val="22"/>
              </w:rPr>
            </w:pPr>
            <w:r>
              <w:rPr>
                <w:spacing w:val="-2"/>
                <w:sz w:val="22"/>
              </w:rPr>
              <w:t>4.7×10</w:t>
            </w:r>
            <w:r>
              <w:rPr>
                <w:spacing w:val="-2"/>
                <w:sz w:val="22"/>
                <w:vertAlign w:val="superscript"/>
              </w:rPr>
              <w:t>2</w:t>
            </w:r>
          </w:p>
        </w:tc>
        <w:tc>
          <w:tcPr>
            <w:tcW w:w="1331" w:type="dxa"/>
          </w:tcPr>
          <w:p>
            <w:pPr>
              <w:pStyle w:val="TableParagraph"/>
              <w:spacing w:before="147"/>
              <w:ind w:left="164"/>
              <w:rPr>
                <w:sz w:val="22"/>
              </w:rPr>
            </w:pPr>
            <w:r>
              <w:rPr>
                <w:spacing w:val="-10"/>
                <w:sz w:val="22"/>
              </w:rPr>
              <w:t>0</w:t>
            </w:r>
          </w:p>
        </w:tc>
        <w:tc>
          <w:tcPr>
            <w:tcW w:w="1310" w:type="dxa"/>
          </w:tcPr>
          <w:p>
            <w:pPr>
              <w:pStyle w:val="TableParagraph"/>
              <w:spacing w:before="147"/>
              <w:ind w:left="187"/>
              <w:rPr>
                <w:sz w:val="22"/>
              </w:rPr>
            </w:pPr>
            <w:r>
              <w:rPr>
                <w:spacing w:val="-2"/>
                <w:sz w:val="22"/>
              </w:rPr>
              <w:t>3.1×10</w:t>
            </w:r>
            <w:r>
              <w:rPr>
                <w:spacing w:val="-2"/>
                <w:sz w:val="22"/>
                <w:vertAlign w:val="superscript"/>
              </w:rPr>
              <w:t>2</w:t>
            </w:r>
          </w:p>
        </w:tc>
        <w:tc>
          <w:tcPr>
            <w:tcW w:w="1394" w:type="dxa"/>
          </w:tcPr>
          <w:p>
            <w:pPr>
              <w:pStyle w:val="TableParagraph"/>
              <w:spacing w:before="147"/>
              <w:ind w:left="142"/>
              <w:rPr>
                <w:sz w:val="22"/>
              </w:rPr>
            </w:pPr>
            <w:r>
              <w:rPr>
                <w:spacing w:val="-10"/>
                <w:sz w:val="22"/>
              </w:rPr>
              <w:t>0</w:t>
            </w:r>
          </w:p>
        </w:tc>
      </w:tr>
      <w:tr>
        <w:trPr>
          <w:trHeight w:val="582" w:hRule="atLeast"/>
        </w:trPr>
        <w:tc>
          <w:tcPr>
            <w:tcW w:w="1153" w:type="dxa"/>
          </w:tcPr>
          <w:p>
            <w:pPr>
              <w:pStyle w:val="TableParagraph"/>
              <w:spacing w:before="146"/>
              <w:ind w:left="115"/>
              <w:rPr>
                <w:sz w:val="22"/>
              </w:rPr>
            </w:pPr>
            <w:r>
              <w:rPr>
                <w:spacing w:val="-5"/>
                <w:sz w:val="22"/>
              </w:rPr>
              <w:t>360</w:t>
            </w:r>
          </w:p>
        </w:tc>
        <w:tc>
          <w:tcPr>
            <w:tcW w:w="1694" w:type="dxa"/>
          </w:tcPr>
          <w:p>
            <w:pPr>
              <w:pStyle w:val="TableParagraph"/>
              <w:spacing w:before="146"/>
              <w:ind w:left="154"/>
              <w:rPr>
                <w:sz w:val="22"/>
              </w:rPr>
            </w:pPr>
            <w:r>
              <w:rPr>
                <w:spacing w:val="-4"/>
                <w:sz w:val="22"/>
              </w:rPr>
              <w:t>8×10</w:t>
            </w:r>
          </w:p>
        </w:tc>
        <w:tc>
          <w:tcPr>
            <w:tcW w:w="2003" w:type="dxa"/>
          </w:tcPr>
          <w:p>
            <w:pPr>
              <w:pStyle w:val="TableParagraph"/>
              <w:spacing w:before="146"/>
              <w:ind w:left="179"/>
              <w:rPr>
                <w:sz w:val="22"/>
              </w:rPr>
            </w:pPr>
            <w:r>
              <w:rPr>
                <w:spacing w:val="-2"/>
                <w:sz w:val="22"/>
              </w:rPr>
              <w:t>2.1×10</w:t>
            </w:r>
            <w:r>
              <w:rPr>
                <w:spacing w:val="-2"/>
                <w:sz w:val="22"/>
                <w:vertAlign w:val="superscript"/>
              </w:rPr>
              <w:t>2</w:t>
            </w:r>
          </w:p>
        </w:tc>
        <w:tc>
          <w:tcPr>
            <w:tcW w:w="1331" w:type="dxa"/>
          </w:tcPr>
          <w:p>
            <w:pPr>
              <w:pStyle w:val="TableParagraph"/>
              <w:spacing w:before="146"/>
              <w:ind w:left="164"/>
              <w:rPr>
                <w:sz w:val="22"/>
              </w:rPr>
            </w:pPr>
            <w:r>
              <w:rPr>
                <w:spacing w:val="-10"/>
                <w:sz w:val="22"/>
              </w:rPr>
              <w:t>0</w:t>
            </w:r>
          </w:p>
        </w:tc>
        <w:tc>
          <w:tcPr>
            <w:tcW w:w="1310" w:type="dxa"/>
          </w:tcPr>
          <w:p>
            <w:pPr>
              <w:pStyle w:val="TableParagraph"/>
              <w:spacing w:before="146"/>
              <w:ind w:left="187"/>
              <w:rPr>
                <w:sz w:val="22"/>
              </w:rPr>
            </w:pPr>
            <w:r>
              <w:rPr>
                <w:spacing w:val="-2"/>
                <w:sz w:val="22"/>
              </w:rPr>
              <w:t>1.8×10</w:t>
            </w:r>
            <w:r>
              <w:rPr>
                <w:spacing w:val="-2"/>
                <w:sz w:val="22"/>
                <w:vertAlign w:val="superscript"/>
              </w:rPr>
              <w:t>2</w:t>
            </w:r>
          </w:p>
        </w:tc>
        <w:tc>
          <w:tcPr>
            <w:tcW w:w="1394" w:type="dxa"/>
          </w:tcPr>
          <w:p>
            <w:pPr>
              <w:pStyle w:val="TableParagraph"/>
              <w:spacing w:before="146"/>
              <w:ind w:left="142"/>
              <w:rPr>
                <w:sz w:val="22"/>
              </w:rPr>
            </w:pPr>
            <w:r>
              <w:rPr>
                <w:spacing w:val="-10"/>
                <w:sz w:val="22"/>
              </w:rPr>
              <w:t>0</w:t>
            </w:r>
          </w:p>
        </w:tc>
      </w:tr>
      <w:tr>
        <w:trPr>
          <w:trHeight w:val="692" w:hRule="atLeast"/>
        </w:trPr>
        <w:tc>
          <w:tcPr>
            <w:tcW w:w="1153" w:type="dxa"/>
            <w:tcBorders>
              <w:bottom w:val="single" w:sz="4" w:space="0" w:color="000000"/>
            </w:tcBorders>
          </w:tcPr>
          <w:p>
            <w:pPr>
              <w:pStyle w:val="TableParagraph"/>
              <w:spacing w:before="127"/>
              <w:ind w:left="115"/>
              <w:rPr>
                <w:sz w:val="22"/>
              </w:rPr>
            </w:pPr>
            <w:r>
              <w:rPr>
                <w:spacing w:val="-4"/>
                <w:sz w:val="22"/>
              </w:rPr>
              <w:t>1440</w:t>
            </w:r>
          </w:p>
        </w:tc>
        <w:tc>
          <w:tcPr>
            <w:tcW w:w="1694" w:type="dxa"/>
            <w:tcBorders>
              <w:bottom w:val="single" w:sz="4" w:space="0" w:color="000000"/>
            </w:tcBorders>
          </w:tcPr>
          <w:p>
            <w:pPr>
              <w:pStyle w:val="TableParagraph"/>
              <w:spacing w:before="127"/>
              <w:ind w:left="154"/>
              <w:rPr>
                <w:sz w:val="22"/>
              </w:rPr>
            </w:pPr>
            <w:r>
              <w:rPr>
                <w:spacing w:val="-10"/>
                <w:sz w:val="22"/>
              </w:rPr>
              <w:t>0</w:t>
            </w:r>
          </w:p>
        </w:tc>
        <w:tc>
          <w:tcPr>
            <w:tcW w:w="2003" w:type="dxa"/>
            <w:tcBorders>
              <w:bottom w:val="single" w:sz="4" w:space="0" w:color="000000"/>
            </w:tcBorders>
          </w:tcPr>
          <w:p>
            <w:pPr>
              <w:pStyle w:val="TableParagraph"/>
              <w:spacing w:before="127"/>
              <w:ind w:left="179"/>
              <w:rPr>
                <w:sz w:val="22"/>
              </w:rPr>
            </w:pPr>
            <w:r>
              <w:rPr>
                <w:spacing w:val="-10"/>
                <w:sz w:val="22"/>
              </w:rPr>
              <w:t>0</w:t>
            </w:r>
          </w:p>
        </w:tc>
        <w:tc>
          <w:tcPr>
            <w:tcW w:w="1331" w:type="dxa"/>
            <w:tcBorders>
              <w:bottom w:val="single" w:sz="4" w:space="0" w:color="000000"/>
            </w:tcBorders>
          </w:tcPr>
          <w:p>
            <w:pPr>
              <w:pStyle w:val="TableParagraph"/>
              <w:spacing w:before="127"/>
              <w:ind w:left="164"/>
              <w:rPr>
                <w:sz w:val="22"/>
              </w:rPr>
            </w:pPr>
            <w:r>
              <w:rPr>
                <w:spacing w:val="-10"/>
                <w:sz w:val="22"/>
              </w:rPr>
              <w:t>0</w:t>
            </w:r>
          </w:p>
        </w:tc>
        <w:tc>
          <w:tcPr>
            <w:tcW w:w="1310" w:type="dxa"/>
            <w:tcBorders>
              <w:bottom w:val="single" w:sz="4" w:space="0" w:color="000000"/>
            </w:tcBorders>
          </w:tcPr>
          <w:p>
            <w:pPr>
              <w:pStyle w:val="TableParagraph"/>
              <w:spacing w:before="127"/>
              <w:ind w:left="187"/>
              <w:rPr>
                <w:sz w:val="22"/>
              </w:rPr>
            </w:pPr>
            <w:r>
              <w:rPr>
                <w:spacing w:val="-10"/>
                <w:sz w:val="22"/>
              </w:rPr>
              <w:t>0</w:t>
            </w:r>
          </w:p>
        </w:tc>
        <w:tc>
          <w:tcPr>
            <w:tcW w:w="1394" w:type="dxa"/>
            <w:tcBorders>
              <w:bottom w:val="single" w:sz="4" w:space="0" w:color="000000"/>
            </w:tcBorders>
          </w:tcPr>
          <w:p>
            <w:pPr>
              <w:pStyle w:val="TableParagraph"/>
              <w:spacing w:before="127"/>
              <w:ind w:left="142"/>
              <w:rPr>
                <w:sz w:val="22"/>
              </w:rPr>
            </w:pPr>
            <w:r>
              <w:rPr>
                <w:spacing w:val="-10"/>
                <w:sz w:val="22"/>
              </w:rPr>
              <w:t>0</w:t>
            </w:r>
          </w:p>
        </w:tc>
      </w:tr>
    </w:tbl>
    <w:p>
      <w:pPr>
        <w:pStyle w:val="BodyText"/>
        <w:spacing w:line="360" w:lineRule="auto" w:before="2"/>
        <w:ind w:left="380" w:right="975"/>
      </w:pPr>
      <w:r>
        <w:rPr>
          <w:b/>
        </w:rPr>
        <w:t>Key:</w:t>
      </w:r>
      <w:r>
        <w:rPr>
          <w:b/>
          <w:spacing w:val="-6"/>
        </w:rPr>
        <w:t> </w:t>
      </w:r>
      <w:r>
        <w:rPr/>
        <w:t>Sp=Sputum,</w:t>
      </w:r>
      <w:r>
        <w:rPr>
          <w:spacing w:val="-7"/>
        </w:rPr>
        <w:t> </w:t>
      </w:r>
      <w:r>
        <w:rPr/>
        <w:t>MIC=Minimum</w:t>
      </w:r>
      <w:r>
        <w:rPr>
          <w:spacing w:val="-7"/>
        </w:rPr>
        <w:t> </w:t>
      </w:r>
      <w:r>
        <w:rPr/>
        <w:t>Inhibitory</w:t>
      </w:r>
      <w:r>
        <w:rPr>
          <w:spacing w:val="-7"/>
        </w:rPr>
        <w:t> </w:t>
      </w:r>
      <w:r>
        <w:rPr/>
        <w:t>Concentration,</w:t>
      </w:r>
      <w:r>
        <w:rPr>
          <w:spacing w:val="-6"/>
        </w:rPr>
        <w:t> </w:t>
      </w:r>
      <w:r>
        <w:rPr/>
        <w:t>LEV=Levofloxacin,</w:t>
      </w:r>
      <w:r>
        <w:rPr>
          <w:spacing w:val="-7"/>
        </w:rPr>
        <w:t> </w:t>
      </w:r>
      <w:r>
        <w:rPr/>
        <w:t>CEF=Ceftriaxone, H=Honey, L=Lemon juice.</w:t>
      </w:r>
    </w:p>
    <w:p>
      <w:pPr>
        <w:spacing w:after="0" w:line="360"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5"/>
      </w:pPr>
    </w:p>
    <w:p>
      <w:pPr>
        <w:spacing w:before="0"/>
        <w:ind w:left="380" w:right="0" w:firstLine="0"/>
        <w:jc w:val="left"/>
        <w:rPr>
          <w:b/>
          <w:sz w:val="22"/>
        </w:rPr>
      </w:pPr>
      <w:r>
        <w:rPr>
          <w:b/>
          <w:sz w:val="22"/>
        </w:rPr>
        <w:t>Rate</w:t>
      </w:r>
      <w:r>
        <w:rPr>
          <w:b/>
          <w:spacing w:val="-9"/>
          <w:sz w:val="22"/>
        </w:rPr>
        <w:t> </w:t>
      </w:r>
      <w:r>
        <w:rPr>
          <w:b/>
          <w:sz w:val="22"/>
        </w:rPr>
        <w:t>of</w:t>
      </w:r>
      <w:r>
        <w:rPr>
          <w:b/>
          <w:spacing w:val="-4"/>
          <w:sz w:val="22"/>
        </w:rPr>
        <w:t> </w:t>
      </w:r>
      <w:r>
        <w:rPr>
          <w:b/>
          <w:sz w:val="22"/>
        </w:rPr>
        <w:t>Kill</w:t>
      </w:r>
      <w:r>
        <w:rPr>
          <w:b/>
          <w:spacing w:val="-4"/>
          <w:sz w:val="22"/>
        </w:rPr>
        <w:t> </w:t>
      </w:r>
      <w:r>
        <w:rPr>
          <w:b/>
          <w:sz w:val="22"/>
        </w:rPr>
        <w:t>(at</w:t>
      </w:r>
      <w:r>
        <w:rPr>
          <w:b/>
          <w:spacing w:val="-7"/>
          <w:sz w:val="22"/>
        </w:rPr>
        <w:t> </w:t>
      </w:r>
      <w:r>
        <w:rPr>
          <w:b/>
          <w:sz w:val="22"/>
        </w:rPr>
        <w:t>average</w:t>
      </w:r>
      <w:r>
        <w:rPr>
          <w:b/>
          <w:spacing w:val="-5"/>
          <w:sz w:val="22"/>
        </w:rPr>
        <w:t> </w:t>
      </w:r>
      <w:r>
        <w:rPr>
          <w:b/>
          <w:sz w:val="22"/>
        </w:rPr>
        <w:t>MIC</w:t>
      </w:r>
      <w:r>
        <w:rPr>
          <w:b/>
          <w:spacing w:val="-4"/>
          <w:sz w:val="22"/>
        </w:rPr>
        <w:t> </w:t>
      </w:r>
      <w:r>
        <w:rPr>
          <w:b/>
          <w:sz w:val="22"/>
        </w:rPr>
        <w:t>values)</w:t>
      </w:r>
      <w:r>
        <w:rPr>
          <w:b/>
          <w:spacing w:val="-5"/>
          <w:sz w:val="22"/>
        </w:rPr>
        <w:t> </w:t>
      </w:r>
      <w:r>
        <w:rPr>
          <w:b/>
          <w:sz w:val="22"/>
        </w:rPr>
        <w:t>for</w:t>
      </w:r>
      <w:r>
        <w:rPr>
          <w:b/>
          <w:spacing w:val="-2"/>
          <w:sz w:val="22"/>
        </w:rPr>
        <w:t> </w:t>
      </w:r>
      <w:r>
        <w:rPr>
          <w:b/>
          <w:i/>
          <w:sz w:val="22"/>
        </w:rPr>
        <w:t>Streptococcus</w:t>
      </w:r>
      <w:r>
        <w:rPr>
          <w:b/>
          <w:i/>
          <w:spacing w:val="-7"/>
          <w:sz w:val="22"/>
        </w:rPr>
        <w:t> </w:t>
      </w:r>
      <w:r>
        <w:rPr>
          <w:b/>
          <w:i/>
          <w:sz w:val="22"/>
        </w:rPr>
        <w:t>pyogene_</w:t>
      </w:r>
      <w:r>
        <w:rPr>
          <w:b/>
          <w:sz w:val="22"/>
        </w:rPr>
        <w:t>Sp265</w:t>
      </w:r>
      <w:r>
        <w:rPr>
          <w:b/>
          <w:spacing w:val="-5"/>
          <w:sz w:val="22"/>
        </w:rPr>
        <w:t> </w:t>
      </w:r>
      <w:r>
        <w:rPr>
          <w:b/>
          <w:spacing w:val="-2"/>
          <w:sz w:val="22"/>
        </w:rPr>
        <w:t>(Resistant)</w:t>
      </w:r>
    </w:p>
    <w:p>
      <w:pPr>
        <w:pStyle w:val="BodyText"/>
        <w:spacing w:before="52"/>
        <w:rPr>
          <w:b/>
          <w:sz w:val="20"/>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3"/>
        <w:gridCol w:w="1783"/>
        <w:gridCol w:w="1699"/>
        <w:gridCol w:w="1499"/>
        <w:gridCol w:w="1426"/>
        <w:gridCol w:w="1381"/>
      </w:tblGrid>
      <w:tr>
        <w:trPr>
          <w:trHeight w:val="2577" w:hRule="atLeast"/>
        </w:trPr>
        <w:tc>
          <w:tcPr>
            <w:tcW w:w="993" w:type="dxa"/>
            <w:tcBorders>
              <w:top w:val="single" w:sz="4" w:space="0" w:color="000000"/>
              <w:bottom w:val="single" w:sz="4" w:space="0" w:color="000000"/>
            </w:tcBorders>
          </w:tcPr>
          <w:p>
            <w:pPr>
              <w:pStyle w:val="TableParagraph"/>
              <w:spacing w:line="360" w:lineRule="auto"/>
              <w:ind w:left="115" w:right="294"/>
              <w:rPr>
                <w:b/>
                <w:sz w:val="22"/>
              </w:rPr>
            </w:pPr>
            <w:r>
              <w:rPr>
                <w:b/>
                <w:spacing w:val="-4"/>
                <w:sz w:val="22"/>
              </w:rPr>
              <w:t>Time </w:t>
            </w:r>
            <w:r>
              <w:rPr>
                <w:b/>
                <w:spacing w:val="-2"/>
                <w:sz w:val="22"/>
              </w:rPr>
              <w:t>(mins)</w:t>
            </w:r>
          </w:p>
        </w:tc>
        <w:tc>
          <w:tcPr>
            <w:tcW w:w="1783" w:type="dxa"/>
            <w:tcBorders>
              <w:top w:val="single" w:sz="4" w:space="0" w:color="000000"/>
              <w:bottom w:val="single" w:sz="4" w:space="0" w:color="000000"/>
            </w:tcBorders>
          </w:tcPr>
          <w:p>
            <w:pPr>
              <w:pStyle w:val="TableParagraph"/>
              <w:spacing w:line="360" w:lineRule="auto"/>
              <w:ind w:left="300"/>
              <w:rPr>
                <w:b/>
                <w:sz w:val="22"/>
              </w:rPr>
            </w:pPr>
            <w:r>
              <w:rPr>
                <w:b/>
                <w:sz w:val="22"/>
              </w:rPr>
              <w:t>No of colonies counted</w:t>
            </w:r>
            <w:r>
              <w:rPr>
                <w:b/>
                <w:spacing w:val="-13"/>
                <w:sz w:val="22"/>
              </w:rPr>
              <w:t> </w:t>
            </w:r>
            <w:r>
              <w:rPr>
                <w:b/>
                <w:sz w:val="22"/>
              </w:rPr>
              <w:t>in</w:t>
            </w:r>
            <w:r>
              <w:rPr>
                <w:b/>
                <w:spacing w:val="-12"/>
                <w:sz w:val="22"/>
              </w:rPr>
              <w:t> </w:t>
            </w:r>
            <w:r>
              <w:rPr>
                <w:b/>
                <w:sz w:val="22"/>
              </w:rPr>
              <w:t>LEV (7.81 µg/ml) </w:t>
            </w:r>
            <w:r>
              <w:rPr>
                <w:b/>
                <w:spacing w:val="-2"/>
                <w:sz w:val="22"/>
              </w:rPr>
              <w:t>plate</w:t>
            </w:r>
          </w:p>
        </w:tc>
        <w:tc>
          <w:tcPr>
            <w:tcW w:w="1699" w:type="dxa"/>
            <w:tcBorders>
              <w:top w:val="single" w:sz="4" w:space="0" w:color="000000"/>
              <w:bottom w:val="single" w:sz="4" w:space="0" w:color="000000"/>
            </w:tcBorders>
          </w:tcPr>
          <w:p>
            <w:pPr>
              <w:pStyle w:val="TableParagraph"/>
              <w:spacing w:line="360" w:lineRule="auto"/>
              <w:ind w:left="126"/>
              <w:rPr>
                <w:b/>
                <w:sz w:val="22"/>
              </w:rPr>
            </w:pPr>
            <w:r>
              <w:rPr>
                <w:b/>
                <w:sz w:val="22"/>
              </w:rPr>
              <w:t>No of colonies counted</w:t>
            </w:r>
            <w:r>
              <w:rPr>
                <w:b/>
                <w:spacing w:val="-13"/>
                <w:sz w:val="22"/>
              </w:rPr>
              <w:t> </w:t>
            </w:r>
            <w:r>
              <w:rPr>
                <w:b/>
                <w:sz w:val="22"/>
              </w:rPr>
              <w:t>in</w:t>
            </w:r>
            <w:r>
              <w:rPr>
                <w:b/>
                <w:spacing w:val="-12"/>
                <w:sz w:val="22"/>
              </w:rPr>
              <w:t> </w:t>
            </w:r>
            <w:r>
              <w:rPr>
                <w:b/>
                <w:sz w:val="22"/>
              </w:rPr>
              <w:t>CEF (12.5 µg/ml) </w:t>
            </w:r>
            <w:r>
              <w:rPr>
                <w:b/>
                <w:spacing w:val="-2"/>
                <w:sz w:val="22"/>
              </w:rPr>
              <w:t>plate</w:t>
            </w:r>
          </w:p>
        </w:tc>
        <w:tc>
          <w:tcPr>
            <w:tcW w:w="1499" w:type="dxa"/>
            <w:tcBorders>
              <w:top w:val="single" w:sz="4" w:space="0" w:color="000000"/>
              <w:bottom w:val="single" w:sz="4" w:space="0" w:color="000000"/>
            </w:tcBorders>
          </w:tcPr>
          <w:p>
            <w:pPr>
              <w:pStyle w:val="TableParagraph"/>
              <w:spacing w:line="360" w:lineRule="auto"/>
              <w:ind w:left="222" w:right="128"/>
              <w:rPr>
                <w:b/>
                <w:sz w:val="22"/>
              </w:rPr>
            </w:pPr>
            <w:r>
              <w:rPr>
                <w:b/>
                <w:sz w:val="22"/>
              </w:rPr>
              <w:t>No of </w:t>
            </w:r>
            <w:r>
              <w:rPr>
                <w:b/>
                <w:spacing w:val="-2"/>
                <w:sz w:val="22"/>
              </w:rPr>
              <w:t>colonies </w:t>
            </w:r>
            <w:r>
              <w:rPr>
                <w:b/>
                <w:sz w:val="22"/>
              </w:rPr>
              <w:t>counted in Lemon (20 µg/ml)</w:t>
            </w:r>
            <w:r>
              <w:rPr>
                <w:b/>
                <w:spacing w:val="-13"/>
                <w:sz w:val="22"/>
              </w:rPr>
              <w:t> </w:t>
            </w:r>
            <w:r>
              <w:rPr>
                <w:b/>
                <w:sz w:val="22"/>
              </w:rPr>
              <w:t>plate</w:t>
            </w:r>
          </w:p>
        </w:tc>
        <w:tc>
          <w:tcPr>
            <w:tcW w:w="1426" w:type="dxa"/>
            <w:tcBorders>
              <w:top w:val="single" w:sz="4" w:space="0" w:color="000000"/>
              <w:bottom w:val="single" w:sz="4" w:space="0" w:color="000000"/>
            </w:tcBorders>
          </w:tcPr>
          <w:p>
            <w:pPr>
              <w:pStyle w:val="TableParagraph"/>
              <w:spacing w:line="360" w:lineRule="auto"/>
              <w:ind w:left="132" w:right="145"/>
              <w:rPr>
                <w:b/>
                <w:sz w:val="22"/>
              </w:rPr>
            </w:pPr>
            <w:r>
              <w:rPr>
                <w:b/>
                <w:sz w:val="22"/>
              </w:rPr>
              <w:t>No of </w:t>
            </w:r>
            <w:r>
              <w:rPr>
                <w:b/>
                <w:spacing w:val="-2"/>
                <w:sz w:val="22"/>
              </w:rPr>
              <w:t>colonies </w:t>
            </w:r>
            <w:r>
              <w:rPr>
                <w:b/>
                <w:sz w:val="22"/>
              </w:rPr>
              <w:t>counted in Honey (50 µg/ml)</w:t>
            </w:r>
            <w:r>
              <w:rPr>
                <w:b/>
                <w:spacing w:val="-13"/>
                <w:sz w:val="22"/>
              </w:rPr>
              <w:t> </w:t>
            </w:r>
            <w:r>
              <w:rPr>
                <w:b/>
                <w:sz w:val="22"/>
              </w:rPr>
              <w:t>plate</w:t>
            </w:r>
          </w:p>
        </w:tc>
        <w:tc>
          <w:tcPr>
            <w:tcW w:w="1381" w:type="dxa"/>
            <w:tcBorders>
              <w:top w:val="single" w:sz="4" w:space="0" w:color="000000"/>
              <w:bottom w:val="single" w:sz="4" w:space="0" w:color="000000"/>
            </w:tcBorders>
          </w:tcPr>
          <w:p>
            <w:pPr>
              <w:pStyle w:val="TableParagraph"/>
              <w:spacing w:line="360" w:lineRule="auto"/>
              <w:ind w:left="149" w:right="251"/>
              <w:rPr>
                <w:b/>
                <w:sz w:val="22"/>
              </w:rPr>
            </w:pPr>
            <w:r>
              <w:rPr>
                <w:b/>
                <w:sz w:val="22"/>
              </w:rPr>
              <w:t>No of </w:t>
            </w:r>
            <w:r>
              <w:rPr>
                <w:b/>
                <w:spacing w:val="-2"/>
                <w:sz w:val="22"/>
              </w:rPr>
              <w:t>colonies </w:t>
            </w:r>
            <w:r>
              <w:rPr>
                <w:b/>
                <w:sz w:val="22"/>
              </w:rPr>
              <w:t>counted</w:t>
            </w:r>
            <w:r>
              <w:rPr>
                <w:b/>
                <w:spacing w:val="-13"/>
                <w:sz w:val="22"/>
              </w:rPr>
              <w:t> </w:t>
            </w:r>
            <w:r>
              <w:rPr>
                <w:b/>
                <w:sz w:val="22"/>
              </w:rPr>
              <w:t>in H/L (20</w:t>
            </w:r>
          </w:p>
          <w:p>
            <w:pPr>
              <w:pStyle w:val="TableParagraph"/>
              <w:spacing w:line="357" w:lineRule="auto"/>
              <w:ind w:left="149" w:right="599"/>
              <w:rPr>
                <w:b/>
                <w:sz w:val="22"/>
              </w:rPr>
            </w:pPr>
            <w:r>
              <w:rPr>
                <w:b/>
                <w:spacing w:val="-2"/>
                <w:sz w:val="22"/>
              </w:rPr>
              <w:t>µg/ml) plate</w:t>
            </w:r>
          </w:p>
        </w:tc>
      </w:tr>
      <w:tr>
        <w:trPr>
          <w:trHeight w:val="413" w:hRule="atLeast"/>
        </w:trPr>
        <w:tc>
          <w:tcPr>
            <w:tcW w:w="993" w:type="dxa"/>
            <w:tcBorders>
              <w:top w:val="single" w:sz="4" w:space="0" w:color="000000"/>
            </w:tcBorders>
          </w:tcPr>
          <w:p>
            <w:pPr>
              <w:pStyle w:val="TableParagraph"/>
              <w:spacing w:line="265" w:lineRule="exact"/>
              <w:ind w:left="115"/>
              <w:rPr>
                <w:sz w:val="22"/>
              </w:rPr>
            </w:pPr>
            <w:r>
              <w:rPr>
                <w:spacing w:val="-10"/>
                <w:sz w:val="22"/>
              </w:rPr>
              <w:t>0</w:t>
            </w:r>
          </w:p>
        </w:tc>
        <w:tc>
          <w:tcPr>
            <w:tcW w:w="1783" w:type="dxa"/>
            <w:tcBorders>
              <w:top w:val="single" w:sz="4" w:space="0" w:color="000000"/>
            </w:tcBorders>
          </w:tcPr>
          <w:p>
            <w:pPr>
              <w:pStyle w:val="TableParagraph"/>
              <w:spacing w:line="265" w:lineRule="exact"/>
              <w:ind w:left="300"/>
              <w:rPr>
                <w:sz w:val="22"/>
              </w:rPr>
            </w:pPr>
            <w:r>
              <w:rPr>
                <w:spacing w:val="-2"/>
                <w:sz w:val="22"/>
              </w:rPr>
              <w:t>6.0×10</w:t>
            </w:r>
            <w:r>
              <w:rPr>
                <w:spacing w:val="-2"/>
                <w:sz w:val="22"/>
                <w:vertAlign w:val="superscript"/>
              </w:rPr>
              <w:t>3</w:t>
            </w:r>
          </w:p>
        </w:tc>
        <w:tc>
          <w:tcPr>
            <w:tcW w:w="1699" w:type="dxa"/>
            <w:tcBorders>
              <w:top w:val="single" w:sz="4" w:space="0" w:color="000000"/>
            </w:tcBorders>
          </w:tcPr>
          <w:p>
            <w:pPr>
              <w:pStyle w:val="TableParagraph"/>
              <w:spacing w:line="265" w:lineRule="exact"/>
              <w:ind w:left="126"/>
              <w:rPr>
                <w:sz w:val="22"/>
              </w:rPr>
            </w:pPr>
            <w:r>
              <w:rPr>
                <w:spacing w:val="-2"/>
                <w:sz w:val="22"/>
              </w:rPr>
              <w:t>6.1×10</w:t>
            </w:r>
            <w:r>
              <w:rPr>
                <w:spacing w:val="-2"/>
                <w:sz w:val="22"/>
                <w:vertAlign w:val="superscript"/>
              </w:rPr>
              <w:t>3</w:t>
            </w:r>
          </w:p>
        </w:tc>
        <w:tc>
          <w:tcPr>
            <w:tcW w:w="1499" w:type="dxa"/>
            <w:tcBorders>
              <w:top w:val="single" w:sz="4" w:space="0" w:color="000000"/>
            </w:tcBorders>
          </w:tcPr>
          <w:p>
            <w:pPr>
              <w:pStyle w:val="TableParagraph"/>
              <w:spacing w:line="265" w:lineRule="exact"/>
              <w:ind w:left="222"/>
              <w:rPr>
                <w:sz w:val="22"/>
              </w:rPr>
            </w:pPr>
            <w:r>
              <w:rPr>
                <w:spacing w:val="-2"/>
                <w:sz w:val="22"/>
              </w:rPr>
              <w:t>7.5×10</w:t>
            </w:r>
            <w:r>
              <w:rPr>
                <w:spacing w:val="-2"/>
                <w:sz w:val="22"/>
                <w:vertAlign w:val="superscript"/>
              </w:rPr>
              <w:t>3</w:t>
            </w:r>
          </w:p>
        </w:tc>
        <w:tc>
          <w:tcPr>
            <w:tcW w:w="1426" w:type="dxa"/>
            <w:tcBorders>
              <w:top w:val="single" w:sz="4" w:space="0" w:color="000000"/>
            </w:tcBorders>
          </w:tcPr>
          <w:p>
            <w:pPr>
              <w:pStyle w:val="TableParagraph"/>
              <w:spacing w:line="265" w:lineRule="exact"/>
              <w:ind w:left="132"/>
              <w:rPr>
                <w:sz w:val="22"/>
              </w:rPr>
            </w:pPr>
            <w:r>
              <w:rPr>
                <w:spacing w:val="-2"/>
                <w:sz w:val="22"/>
              </w:rPr>
              <w:t>9.4×10</w:t>
            </w:r>
            <w:r>
              <w:rPr>
                <w:spacing w:val="-2"/>
                <w:sz w:val="22"/>
                <w:vertAlign w:val="superscript"/>
              </w:rPr>
              <w:t>3</w:t>
            </w:r>
          </w:p>
        </w:tc>
        <w:tc>
          <w:tcPr>
            <w:tcW w:w="1381" w:type="dxa"/>
            <w:tcBorders>
              <w:top w:val="single" w:sz="4" w:space="0" w:color="000000"/>
            </w:tcBorders>
          </w:tcPr>
          <w:p>
            <w:pPr>
              <w:pStyle w:val="TableParagraph"/>
              <w:spacing w:line="265" w:lineRule="exact"/>
              <w:ind w:left="149"/>
              <w:rPr>
                <w:sz w:val="22"/>
              </w:rPr>
            </w:pPr>
            <w:r>
              <w:rPr>
                <w:spacing w:val="-2"/>
                <w:sz w:val="22"/>
              </w:rPr>
              <w:t>2.7×10</w:t>
            </w:r>
            <w:r>
              <w:rPr>
                <w:spacing w:val="-2"/>
                <w:sz w:val="22"/>
                <w:vertAlign w:val="superscript"/>
              </w:rPr>
              <w:t>3</w:t>
            </w:r>
          </w:p>
        </w:tc>
      </w:tr>
      <w:tr>
        <w:trPr>
          <w:trHeight w:val="562" w:hRule="atLeast"/>
        </w:trPr>
        <w:tc>
          <w:tcPr>
            <w:tcW w:w="993" w:type="dxa"/>
          </w:tcPr>
          <w:p>
            <w:pPr>
              <w:pStyle w:val="TableParagraph"/>
              <w:spacing w:before="147"/>
              <w:ind w:left="115"/>
              <w:rPr>
                <w:sz w:val="22"/>
              </w:rPr>
            </w:pPr>
            <w:r>
              <w:rPr>
                <w:spacing w:val="-5"/>
                <w:sz w:val="22"/>
              </w:rPr>
              <w:t>30</w:t>
            </w:r>
          </w:p>
        </w:tc>
        <w:tc>
          <w:tcPr>
            <w:tcW w:w="1783" w:type="dxa"/>
          </w:tcPr>
          <w:p>
            <w:pPr>
              <w:pStyle w:val="TableParagraph"/>
              <w:spacing w:before="147"/>
              <w:ind w:left="300"/>
              <w:rPr>
                <w:sz w:val="22"/>
              </w:rPr>
            </w:pPr>
            <w:r>
              <w:rPr>
                <w:spacing w:val="-2"/>
                <w:sz w:val="22"/>
              </w:rPr>
              <w:t>2.6×10</w:t>
            </w:r>
            <w:r>
              <w:rPr>
                <w:spacing w:val="-2"/>
                <w:sz w:val="22"/>
                <w:vertAlign w:val="superscript"/>
              </w:rPr>
              <w:t>3</w:t>
            </w:r>
          </w:p>
        </w:tc>
        <w:tc>
          <w:tcPr>
            <w:tcW w:w="1699" w:type="dxa"/>
          </w:tcPr>
          <w:p>
            <w:pPr>
              <w:pStyle w:val="TableParagraph"/>
              <w:spacing w:before="147"/>
              <w:ind w:left="126"/>
              <w:rPr>
                <w:sz w:val="22"/>
              </w:rPr>
            </w:pPr>
            <w:r>
              <w:rPr>
                <w:spacing w:val="-2"/>
                <w:sz w:val="22"/>
              </w:rPr>
              <w:t>3.2×10</w:t>
            </w:r>
            <w:r>
              <w:rPr>
                <w:spacing w:val="-2"/>
                <w:sz w:val="22"/>
                <w:vertAlign w:val="superscript"/>
              </w:rPr>
              <w:t>3</w:t>
            </w:r>
          </w:p>
        </w:tc>
        <w:tc>
          <w:tcPr>
            <w:tcW w:w="1499" w:type="dxa"/>
          </w:tcPr>
          <w:p>
            <w:pPr>
              <w:pStyle w:val="TableParagraph"/>
              <w:spacing w:before="147"/>
              <w:ind w:left="222"/>
              <w:rPr>
                <w:sz w:val="22"/>
              </w:rPr>
            </w:pPr>
            <w:r>
              <w:rPr>
                <w:spacing w:val="-2"/>
                <w:sz w:val="22"/>
              </w:rPr>
              <w:t>2.5×10</w:t>
            </w:r>
            <w:r>
              <w:rPr>
                <w:spacing w:val="-2"/>
                <w:sz w:val="22"/>
                <w:vertAlign w:val="superscript"/>
              </w:rPr>
              <w:t>3</w:t>
            </w:r>
          </w:p>
        </w:tc>
        <w:tc>
          <w:tcPr>
            <w:tcW w:w="1426" w:type="dxa"/>
          </w:tcPr>
          <w:p>
            <w:pPr>
              <w:pStyle w:val="TableParagraph"/>
              <w:spacing w:before="147"/>
              <w:ind w:left="132"/>
              <w:rPr>
                <w:sz w:val="22"/>
              </w:rPr>
            </w:pPr>
            <w:r>
              <w:rPr>
                <w:spacing w:val="-2"/>
                <w:sz w:val="22"/>
              </w:rPr>
              <w:t>3.8×10</w:t>
            </w:r>
            <w:r>
              <w:rPr>
                <w:spacing w:val="-2"/>
                <w:sz w:val="22"/>
                <w:vertAlign w:val="superscript"/>
              </w:rPr>
              <w:t>3</w:t>
            </w:r>
          </w:p>
        </w:tc>
        <w:tc>
          <w:tcPr>
            <w:tcW w:w="1381" w:type="dxa"/>
          </w:tcPr>
          <w:p>
            <w:pPr>
              <w:pStyle w:val="TableParagraph"/>
              <w:spacing w:before="147"/>
              <w:ind w:left="149"/>
              <w:rPr>
                <w:sz w:val="22"/>
              </w:rPr>
            </w:pPr>
            <w:r>
              <w:rPr>
                <w:spacing w:val="-2"/>
                <w:sz w:val="22"/>
              </w:rPr>
              <w:t>2.0×10</w:t>
            </w:r>
            <w:r>
              <w:rPr>
                <w:spacing w:val="-2"/>
                <w:sz w:val="22"/>
                <w:vertAlign w:val="superscript"/>
              </w:rPr>
              <w:t>3</w:t>
            </w:r>
          </w:p>
        </w:tc>
      </w:tr>
      <w:tr>
        <w:trPr>
          <w:trHeight w:val="562" w:hRule="atLeast"/>
        </w:trPr>
        <w:tc>
          <w:tcPr>
            <w:tcW w:w="993" w:type="dxa"/>
          </w:tcPr>
          <w:p>
            <w:pPr>
              <w:pStyle w:val="TableParagraph"/>
              <w:spacing w:before="146"/>
              <w:ind w:left="115"/>
              <w:rPr>
                <w:sz w:val="22"/>
              </w:rPr>
            </w:pPr>
            <w:r>
              <w:rPr>
                <w:spacing w:val="-5"/>
                <w:sz w:val="22"/>
              </w:rPr>
              <w:t>60</w:t>
            </w:r>
          </w:p>
        </w:tc>
        <w:tc>
          <w:tcPr>
            <w:tcW w:w="1783" w:type="dxa"/>
          </w:tcPr>
          <w:p>
            <w:pPr>
              <w:pStyle w:val="TableParagraph"/>
              <w:spacing w:before="146"/>
              <w:ind w:left="300"/>
              <w:rPr>
                <w:sz w:val="22"/>
              </w:rPr>
            </w:pPr>
            <w:r>
              <w:rPr>
                <w:spacing w:val="-2"/>
                <w:sz w:val="22"/>
              </w:rPr>
              <w:t>2.0×10</w:t>
            </w:r>
            <w:r>
              <w:rPr>
                <w:spacing w:val="-2"/>
                <w:sz w:val="22"/>
                <w:vertAlign w:val="superscript"/>
              </w:rPr>
              <w:t>3</w:t>
            </w:r>
          </w:p>
        </w:tc>
        <w:tc>
          <w:tcPr>
            <w:tcW w:w="1699" w:type="dxa"/>
          </w:tcPr>
          <w:p>
            <w:pPr>
              <w:pStyle w:val="TableParagraph"/>
              <w:spacing w:before="146"/>
              <w:ind w:left="126"/>
              <w:rPr>
                <w:sz w:val="22"/>
              </w:rPr>
            </w:pPr>
            <w:r>
              <w:rPr>
                <w:spacing w:val="-2"/>
                <w:sz w:val="22"/>
              </w:rPr>
              <w:t>2.2×10</w:t>
            </w:r>
            <w:r>
              <w:rPr>
                <w:spacing w:val="-2"/>
                <w:sz w:val="22"/>
                <w:vertAlign w:val="superscript"/>
              </w:rPr>
              <w:t>3</w:t>
            </w:r>
          </w:p>
        </w:tc>
        <w:tc>
          <w:tcPr>
            <w:tcW w:w="1499" w:type="dxa"/>
          </w:tcPr>
          <w:p>
            <w:pPr>
              <w:pStyle w:val="TableParagraph"/>
              <w:spacing w:before="146"/>
              <w:ind w:left="222"/>
              <w:rPr>
                <w:sz w:val="22"/>
              </w:rPr>
            </w:pPr>
            <w:r>
              <w:rPr>
                <w:spacing w:val="-2"/>
                <w:sz w:val="22"/>
              </w:rPr>
              <w:t>1.9×10</w:t>
            </w:r>
            <w:r>
              <w:rPr>
                <w:spacing w:val="-2"/>
                <w:sz w:val="22"/>
                <w:vertAlign w:val="superscript"/>
              </w:rPr>
              <w:t>3</w:t>
            </w:r>
          </w:p>
        </w:tc>
        <w:tc>
          <w:tcPr>
            <w:tcW w:w="1426" w:type="dxa"/>
          </w:tcPr>
          <w:p>
            <w:pPr>
              <w:pStyle w:val="TableParagraph"/>
              <w:spacing w:before="146"/>
              <w:ind w:left="132"/>
              <w:rPr>
                <w:sz w:val="22"/>
              </w:rPr>
            </w:pPr>
            <w:r>
              <w:rPr>
                <w:spacing w:val="-2"/>
                <w:sz w:val="22"/>
              </w:rPr>
              <w:t>2.3×10</w:t>
            </w:r>
            <w:r>
              <w:rPr>
                <w:spacing w:val="-2"/>
                <w:sz w:val="22"/>
                <w:vertAlign w:val="superscript"/>
              </w:rPr>
              <w:t>3</w:t>
            </w:r>
          </w:p>
        </w:tc>
        <w:tc>
          <w:tcPr>
            <w:tcW w:w="1381" w:type="dxa"/>
          </w:tcPr>
          <w:p>
            <w:pPr>
              <w:pStyle w:val="TableParagraph"/>
              <w:spacing w:before="146"/>
              <w:ind w:left="149"/>
              <w:rPr>
                <w:sz w:val="22"/>
              </w:rPr>
            </w:pPr>
            <w:r>
              <w:rPr>
                <w:spacing w:val="-2"/>
                <w:sz w:val="22"/>
              </w:rPr>
              <w:t>8.0×10</w:t>
            </w:r>
            <w:r>
              <w:rPr>
                <w:spacing w:val="-2"/>
                <w:sz w:val="22"/>
                <w:vertAlign w:val="superscript"/>
              </w:rPr>
              <w:t>2</w:t>
            </w:r>
          </w:p>
        </w:tc>
      </w:tr>
      <w:tr>
        <w:trPr>
          <w:trHeight w:val="562" w:hRule="atLeast"/>
        </w:trPr>
        <w:tc>
          <w:tcPr>
            <w:tcW w:w="993" w:type="dxa"/>
          </w:tcPr>
          <w:p>
            <w:pPr>
              <w:pStyle w:val="TableParagraph"/>
              <w:spacing w:before="147"/>
              <w:ind w:left="115"/>
              <w:rPr>
                <w:sz w:val="22"/>
              </w:rPr>
            </w:pPr>
            <w:r>
              <w:rPr>
                <w:spacing w:val="-5"/>
                <w:sz w:val="22"/>
              </w:rPr>
              <w:t>90</w:t>
            </w:r>
          </w:p>
        </w:tc>
        <w:tc>
          <w:tcPr>
            <w:tcW w:w="1783" w:type="dxa"/>
          </w:tcPr>
          <w:p>
            <w:pPr>
              <w:pStyle w:val="TableParagraph"/>
              <w:spacing w:before="147"/>
              <w:ind w:left="300"/>
              <w:rPr>
                <w:sz w:val="22"/>
              </w:rPr>
            </w:pPr>
            <w:r>
              <w:rPr>
                <w:spacing w:val="-2"/>
                <w:sz w:val="22"/>
              </w:rPr>
              <w:t>1.6×10</w:t>
            </w:r>
            <w:r>
              <w:rPr>
                <w:spacing w:val="-2"/>
                <w:sz w:val="22"/>
                <w:vertAlign w:val="superscript"/>
              </w:rPr>
              <w:t>3</w:t>
            </w:r>
          </w:p>
        </w:tc>
        <w:tc>
          <w:tcPr>
            <w:tcW w:w="1699" w:type="dxa"/>
          </w:tcPr>
          <w:p>
            <w:pPr>
              <w:pStyle w:val="TableParagraph"/>
              <w:spacing w:before="147"/>
              <w:ind w:left="126"/>
              <w:rPr>
                <w:sz w:val="22"/>
              </w:rPr>
            </w:pPr>
            <w:r>
              <w:rPr>
                <w:spacing w:val="-2"/>
                <w:sz w:val="22"/>
              </w:rPr>
              <w:t>1.8×10</w:t>
            </w:r>
            <w:r>
              <w:rPr>
                <w:spacing w:val="-2"/>
                <w:sz w:val="22"/>
                <w:vertAlign w:val="superscript"/>
              </w:rPr>
              <w:t>3</w:t>
            </w:r>
          </w:p>
        </w:tc>
        <w:tc>
          <w:tcPr>
            <w:tcW w:w="1499" w:type="dxa"/>
          </w:tcPr>
          <w:p>
            <w:pPr>
              <w:pStyle w:val="TableParagraph"/>
              <w:spacing w:before="147"/>
              <w:ind w:left="222"/>
              <w:rPr>
                <w:sz w:val="22"/>
              </w:rPr>
            </w:pPr>
            <w:r>
              <w:rPr>
                <w:spacing w:val="-2"/>
                <w:sz w:val="22"/>
              </w:rPr>
              <w:t>1.4×10</w:t>
            </w:r>
            <w:r>
              <w:rPr>
                <w:spacing w:val="-2"/>
                <w:sz w:val="22"/>
                <w:vertAlign w:val="superscript"/>
              </w:rPr>
              <w:t>3</w:t>
            </w:r>
          </w:p>
        </w:tc>
        <w:tc>
          <w:tcPr>
            <w:tcW w:w="1426" w:type="dxa"/>
          </w:tcPr>
          <w:p>
            <w:pPr>
              <w:pStyle w:val="TableParagraph"/>
              <w:spacing w:before="147"/>
              <w:ind w:left="132"/>
              <w:rPr>
                <w:sz w:val="22"/>
              </w:rPr>
            </w:pPr>
            <w:r>
              <w:rPr>
                <w:spacing w:val="-2"/>
                <w:sz w:val="22"/>
              </w:rPr>
              <w:t>1.6×10</w:t>
            </w:r>
            <w:r>
              <w:rPr>
                <w:spacing w:val="-2"/>
                <w:sz w:val="22"/>
                <w:vertAlign w:val="superscript"/>
              </w:rPr>
              <w:t>3</w:t>
            </w:r>
          </w:p>
        </w:tc>
        <w:tc>
          <w:tcPr>
            <w:tcW w:w="1381" w:type="dxa"/>
          </w:tcPr>
          <w:p>
            <w:pPr>
              <w:pStyle w:val="TableParagraph"/>
              <w:spacing w:before="147"/>
              <w:ind w:left="149"/>
              <w:rPr>
                <w:sz w:val="22"/>
              </w:rPr>
            </w:pPr>
            <w:r>
              <w:rPr>
                <w:spacing w:val="-2"/>
                <w:sz w:val="22"/>
              </w:rPr>
              <w:t>3.7×10</w:t>
            </w:r>
            <w:r>
              <w:rPr>
                <w:spacing w:val="-2"/>
                <w:sz w:val="22"/>
                <w:vertAlign w:val="superscript"/>
              </w:rPr>
              <w:t>2</w:t>
            </w:r>
          </w:p>
        </w:tc>
      </w:tr>
      <w:tr>
        <w:trPr>
          <w:trHeight w:val="562" w:hRule="atLeast"/>
        </w:trPr>
        <w:tc>
          <w:tcPr>
            <w:tcW w:w="993" w:type="dxa"/>
          </w:tcPr>
          <w:p>
            <w:pPr>
              <w:pStyle w:val="TableParagraph"/>
              <w:spacing w:before="146"/>
              <w:ind w:left="115"/>
              <w:rPr>
                <w:sz w:val="22"/>
              </w:rPr>
            </w:pPr>
            <w:r>
              <w:rPr>
                <w:spacing w:val="-5"/>
                <w:sz w:val="22"/>
              </w:rPr>
              <w:t>120</w:t>
            </w:r>
          </w:p>
        </w:tc>
        <w:tc>
          <w:tcPr>
            <w:tcW w:w="1783" w:type="dxa"/>
          </w:tcPr>
          <w:p>
            <w:pPr>
              <w:pStyle w:val="TableParagraph"/>
              <w:spacing w:before="146"/>
              <w:ind w:left="300"/>
              <w:rPr>
                <w:sz w:val="22"/>
              </w:rPr>
            </w:pPr>
            <w:r>
              <w:rPr>
                <w:spacing w:val="-2"/>
                <w:sz w:val="22"/>
              </w:rPr>
              <w:t>1.1×10</w:t>
            </w:r>
            <w:r>
              <w:rPr>
                <w:spacing w:val="-2"/>
                <w:sz w:val="22"/>
                <w:vertAlign w:val="superscript"/>
              </w:rPr>
              <w:t>3</w:t>
            </w:r>
          </w:p>
        </w:tc>
        <w:tc>
          <w:tcPr>
            <w:tcW w:w="1699" w:type="dxa"/>
          </w:tcPr>
          <w:p>
            <w:pPr>
              <w:pStyle w:val="TableParagraph"/>
              <w:spacing w:before="146"/>
              <w:ind w:left="126"/>
              <w:rPr>
                <w:sz w:val="22"/>
              </w:rPr>
            </w:pPr>
            <w:r>
              <w:rPr>
                <w:spacing w:val="-2"/>
                <w:sz w:val="22"/>
              </w:rPr>
              <w:t>1.0×10</w:t>
            </w:r>
            <w:r>
              <w:rPr>
                <w:spacing w:val="-2"/>
                <w:sz w:val="22"/>
                <w:vertAlign w:val="superscript"/>
              </w:rPr>
              <w:t>3</w:t>
            </w:r>
          </w:p>
        </w:tc>
        <w:tc>
          <w:tcPr>
            <w:tcW w:w="1499" w:type="dxa"/>
          </w:tcPr>
          <w:p>
            <w:pPr>
              <w:pStyle w:val="TableParagraph"/>
              <w:spacing w:before="146"/>
              <w:ind w:left="222"/>
              <w:rPr>
                <w:sz w:val="22"/>
              </w:rPr>
            </w:pPr>
            <w:r>
              <w:rPr>
                <w:spacing w:val="-2"/>
                <w:sz w:val="22"/>
              </w:rPr>
              <w:t>9.1×10</w:t>
            </w:r>
            <w:r>
              <w:rPr>
                <w:spacing w:val="-2"/>
                <w:sz w:val="22"/>
                <w:vertAlign w:val="superscript"/>
              </w:rPr>
              <w:t>2</w:t>
            </w:r>
          </w:p>
        </w:tc>
        <w:tc>
          <w:tcPr>
            <w:tcW w:w="1426" w:type="dxa"/>
          </w:tcPr>
          <w:p>
            <w:pPr>
              <w:pStyle w:val="TableParagraph"/>
              <w:spacing w:before="146"/>
              <w:ind w:left="132"/>
              <w:rPr>
                <w:sz w:val="22"/>
              </w:rPr>
            </w:pPr>
            <w:r>
              <w:rPr>
                <w:spacing w:val="-2"/>
                <w:sz w:val="22"/>
              </w:rPr>
              <w:t>8.1×10</w:t>
            </w:r>
            <w:r>
              <w:rPr>
                <w:spacing w:val="-2"/>
                <w:sz w:val="22"/>
                <w:vertAlign w:val="superscript"/>
              </w:rPr>
              <w:t>2</w:t>
            </w:r>
          </w:p>
        </w:tc>
        <w:tc>
          <w:tcPr>
            <w:tcW w:w="1381" w:type="dxa"/>
          </w:tcPr>
          <w:p>
            <w:pPr>
              <w:pStyle w:val="TableParagraph"/>
              <w:spacing w:before="146"/>
              <w:ind w:left="149"/>
              <w:rPr>
                <w:sz w:val="22"/>
              </w:rPr>
            </w:pPr>
            <w:r>
              <w:rPr>
                <w:spacing w:val="-2"/>
                <w:sz w:val="22"/>
              </w:rPr>
              <w:t>1.8×10</w:t>
            </w:r>
            <w:r>
              <w:rPr>
                <w:spacing w:val="-2"/>
                <w:sz w:val="22"/>
                <w:vertAlign w:val="superscript"/>
              </w:rPr>
              <w:t>2</w:t>
            </w:r>
          </w:p>
        </w:tc>
      </w:tr>
      <w:tr>
        <w:trPr>
          <w:trHeight w:val="562" w:hRule="atLeast"/>
        </w:trPr>
        <w:tc>
          <w:tcPr>
            <w:tcW w:w="993" w:type="dxa"/>
          </w:tcPr>
          <w:p>
            <w:pPr>
              <w:pStyle w:val="TableParagraph"/>
              <w:spacing w:before="147"/>
              <w:ind w:left="115"/>
              <w:rPr>
                <w:sz w:val="22"/>
              </w:rPr>
            </w:pPr>
            <w:r>
              <w:rPr>
                <w:spacing w:val="-5"/>
                <w:sz w:val="22"/>
              </w:rPr>
              <w:t>240</w:t>
            </w:r>
          </w:p>
        </w:tc>
        <w:tc>
          <w:tcPr>
            <w:tcW w:w="1783" w:type="dxa"/>
          </w:tcPr>
          <w:p>
            <w:pPr>
              <w:pStyle w:val="TableParagraph"/>
              <w:spacing w:before="147"/>
              <w:ind w:left="300"/>
              <w:rPr>
                <w:sz w:val="22"/>
              </w:rPr>
            </w:pPr>
            <w:r>
              <w:rPr>
                <w:spacing w:val="-2"/>
                <w:sz w:val="22"/>
              </w:rPr>
              <w:t>8.0×10</w:t>
            </w:r>
            <w:r>
              <w:rPr>
                <w:spacing w:val="-2"/>
                <w:sz w:val="22"/>
                <w:vertAlign w:val="superscript"/>
              </w:rPr>
              <w:t>2</w:t>
            </w:r>
          </w:p>
        </w:tc>
        <w:tc>
          <w:tcPr>
            <w:tcW w:w="1699" w:type="dxa"/>
          </w:tcPr>
          <w:p>
            <w:pPr>
              <w:pStyle w:val="TableParagraph"/>
              <w:spacing w:before="147"/>
              <w:ind w:left="126"/>
              <w:rPr>
                <w:sz w:val="22"/>
              </w:rPr>
            </w:pPr>
            <w:r>
              <w:rPr>
                <w:spacing w:val="-2"/>
                <w:sz w:val="22"/>
              </w:rPr>
              <w:t>8.7×10</w:t>
            </w:r>
            <w:r>
              <w:rPr>
                <w:spacing w:val="-2"/>
                <w:sz w:val="22"/>
                <w:vertAlign w:val="superscript"/>
              </w:rPr>
              <w:t>2</w:t>
            </w:r>
          </w:p>
        </w:tc>
        <w:tc>
          <w:tcPr>
            <w:tcW w:w="1499" w:type="dxa"/>
          </w:tcPr>
          <w:p>
            <w:pPr>
              <w:pStyle w:val="TableParagraph"/>
              <w:spacing w:before="147"/>
              <w:ind w:left="222"/>
              <w:rPr>
                <w:sz w:val="22"/>
              </w:rPr>
            </w:pPr>
            <w:r>
              <w:rPr>
                <w:spacing w:val="-2"/>
                <w:sz w:val="22"/>
              </w:rPr>
              <w:t>4.5×10</w:t>
            </w:r>
            <w:r>
              <w:rPr>
                <w:spacing w:val="-2"/>
                <w:sz w:val="22"/>
                <w:vertAlign w:val="superscript"/>
              </w:rPr>
              <w:t>2</w:t>
            </w:r>
          </w:p>
        </w:tc>
        <w:tc>
          <w:tcPr>
            <w:tcW w:w="1426" w:type="dxa"/>
          </w:tcPr>
          <w:p>
            <w:pPr>
              <w:pStyle w:val="TableParagraph"/>
              <w:spacing w:before="147"/>
              <w:ind w:left="132"/>
              <w:rPr>
                <w:sz w:val="22"/>
              </w:rPr>
            </w:pPr>
            <w:r>
              <w:rPr>
                <w:spacing w:val="-2"/>
                <w:sz w:val="22"/>
              </w:rPr>
              <w:t>6.5×10</w:t>
            </w:r>
            <w:r>
              <w:rPr>
                <w:spacing w:val="-2"/>
                <w:sz w:val="22"/>
                <w:vertAlign w:val="superscript"/>
              </w:rPr>
              <w:t>2</w:t>
            </w:r>
          </w:p>
        </w:tc>
        <w:tc>
          <w:tcPr>
            <w:tcW w:w="1381" w:type="dxa"/>
          </w:tcPr>
          <w:p>
            <w:pPr>
              <w:pStyle w:val="TableParagraph"/>
              <w:spacing w:before="147"/>
              <w:ind w:left="149"/>
              <w:rPr>
                <w:sz w:val="22"/>
              </w:rPr>
            </w:pPr>
            <w:r>
              <w:rPr>
                <w:spacing w:val="-4"/>
                <w:sz w:val="22"/>
              </w:rPr>
              <w:t>6×10</w:t>
            </w:r>
          </w:p>
        </w:tc>
      </w:tr>
      <w:tr>
        <w:trPr>
          <w:trHeight w:val="562" w:hRule="atLeast"/>
        </w:trPr>
        <w:tc>
          <w:tcPr>
            <w:tcW w:w="993" w:type="dxa"/>
          </w:tcPr>
          <w:p>
            <w:pPr>
              <w:pStyle w:val="TableParagraph"/>
              <w:spacing w:before="146"/>
              <w:ind w:left="115"/>
              <w:rPr>
                <w:sz w:val="22"/>
              </w:rPr>
            </w:pPr>
            <w:r>
              <w:rPr>
                <w:spacing w:val="-5"/>
                <w:sz w:val="22"/>
              </w:rPr>
              <w:t>360</w:t>
            </w:r>
          </w:p>
        </w:tc>
        <w:tc>
          <w:tcPr>
            <w:tcW w:w="1783" w:type="dxa"/>
          </w:tcPr>
          <w:p>
            <w:pPr>
              <w:pStyle w:val="TableParagraph"/>
              <w:spacing w:before="146"/>
              <w:ind w:left="300"/>
              <w:rPr>
                <w:sz w:val="22"/>
              </w:rPr>
            </w:pPr>
            <w:r>
              <w:rPr>
                <w:spacing w:val="-2"/>
                <w:sz w:val="22"/>
              </w:rPr>
              <w:t>4.3×10</w:t>
            </w:r>
            <w:r>
              <w:rPr>
                <w:spacing w:val="-2"/>
                <w:sz w:val="22"/>
                <w:vertAlign w:val="superscript"/>
              </w:rPr>
              <w:t>2</w:t>
            </w:r>
          </w:p>
        </w:tc>
        <w:tc>
          <w:tcPr>
            <w:tcW w:w="1699" w:type="dxa"/>
          </w:tcPr>
          <w:p>
            <w:pPr>
              <w:pStyle w:val="TableParagraph"/>
              <w:spacing w:before="146"/>
              <w:ind w:left="126"/>
              <w:rPr>
                <w:sz w:val="22"/>
              </w:rPr>
            </w:pPr>
            <w:r>
              <w:rPr>
                <w:spacing w:val="-2"/>
                <w:sz w:val="22"/>
              </w:rPr>
              <w:t>3.1×10</w:t>
            </w:r>
            <w:r>
              <w:rPr>
                <w:spacing w:val="-2"/>
                <w:sz w:val="22"/>
                <w:vertAlign w:val="superscript"/>
              </w:rPr>
              <w:t>2</w:t>
            </w:r>
          </w:p>
        </w:tc>
        <w:tc>
          <w:tcPr>
            <w:tcW w:w="1499" w:type="dxa"/>
          </w:tcPr>
          <w:p>
            <w:pPr>
              <w:pStyle w:val="TableParagraph"/>
              <w:spacing w:before="146"/>
              <w:ind w:left="222"/>
              <w:rPr>
                <w:sz w:val="22"/>
              </w:rPr>
            </w:pPr>
            <w:r>
              <w:rPr>
                <w:spacing w:val="-2"/>
                <w:sz w:val="22"/>
              </w:rPr>
              <w:t>2.9×10</w:t>
            </w:r>
            <w:r>
              <w:rPr>
                <w:spacing w:val="-2"/>
                <w:sz w:val="22"/>
                <w:vertAlign w:val="superscript"/>
              </w:rPr>
              <w:t>2</w:t>
            </w:r>
          </w:p>
        </w:tc>
        <w:tc>
          <w:tcPr>
            <w:tcW w:w="1426" w:type="dxa"/>
          </w:tcPr>
          <w:p>
            <w:pPr>
              <w:pStyle w:val="TableParagraph"/>
              <w:spacing w:before="146"/>
              <w:ind w:left="132"/>
              <w:rPr>
                <w:sz w:val="22"/>
              </w:rPr>
            </w:pPr>
            <w:r>
              <w:rPr>
                <w:spacing w:val="-2"/>
                <w:sz w:val="22"/>
              </w:rPr>
              <w:t>4.5×10</w:t>
            </w:r>
            <w:r>
              <w:rPr>
                <w:spacing w:val="-2"/>
                <w:sz w:val="22"/>
                <w:vertAlign w:val="superscript"/>
              </w:rPr>
              <w:t>2</w:t>
            </w:r>
          </w:p>
        </w:tc>
        <w:tc>
          <w:tcPr>
            <w:tcW w:w="1381" w:type="dxa"/>
          </w:tcPr>
          <w:p>
            <w:pPr>
              <w:pStyle w:val="TableParagraph"/>
              <w:spacing w:before="146"/>
              <w:ind w:left="149"/>
              <w:rPr>
                <w:sz w:val="22"/>
              </w:rPr>
            </w:pPr>
            <w:r>
              <w:rPr>
                <w:spacing w:val="-4"/>
                <w:sz w:val="22"/>
              </w:rPr>
              <w:t>1×10</w:t>
            </w:r>
          </w:p>
        </w:tc>
      </w:tr>
      <w:tr>
        <w:trPr>
          <w:trHeight w:val="712" w:hRule="atLeast"/>
        </w:trPr>
        <w:tc>
          <w:tcPr>
            <w:tcW w:w="993" w:type="dxa"/>
            <w:tcBorders>
              <w:bottom w:val="single" w:sz="4" w:space="0" w:color="000000"/>
            </w:tcBorders>
          </w:tcPr>
          <w:p>
            <w:pPr>
              <w:pStyle w:val="TableParagraph"/>
              <w:spacing w:before="147"/>
              <w:ind w:left="115"/>
              <w:rPr>
                <w:sz w:val="22"/>
              </w:rPr>
            </w:pPr>
            <w:r>
              <w:rPr>
                <w:spacing w:val="-4"/>
                <w:sz w:val="22"/>
              </w:rPr>
              <w:t>1440</w:t>
            </w:r>
          </w:p>
        </w:tc>
        <w:tc>
          <w:tcPr>
            <w:tcW w:w="1783" w:type="dxa"/>
            <w:tcBorders>
              <w:bottom w:val="single" w:sz="4" w:space="0" w:color="000000"/>
            </w:tcBorders>
          </w:tcPr>
          <w:p>
            <w:pPr>
              <w:pStyle w:val="TableParagraph"/>
              <w:spacing w:before="147"/>
              <w:ind w:left="300"/>
              <w:rPr>
                <w:sz w:val="22"/>
              </w:rPr>
            </w:pPr>
            <w:r>
              <w:rPr>
                <w:spacing w:val="-2"/>
                <w:sz w:val="22"/>
              </w:rPr>
              <w:t>1.1×10</w:t>
            </w:r>
            <w:r>
              <w:rPr>
                <w:spacing w:val="-2"/>
                <w:sz w:val="22"/>
                <w:vertAlign w:val="superscript"/>
              </w:rPr>
              <w:t>2</w:t>
            </w:r>
          </w:p>
        </w:tc>
        <w:tc>
          <w:tcPr>
            <w:tcW w:w="1699" w:type="dxa"/>
            <w:tcBorders>
              <w:bottom w:val="single" w:sz="4" w:space="0" w:color="000000"/>
            </w:tcBorders>
          </w:tcPr>
          <w:p>
            <w:pPr>
              <w:pStyle w:val="TableParagraph"/>
              <w:spacing w:before="147"/>
              <w:ind w:left="126"/>
              <w:rPr>
                <w:sz w:val="22"/>
              </w:rPr>
            </w:pPr>
            <w:r>
              <w:rPr>
                <w:spacing w:val="-2"/>
                <w:sz w:val="22"/>
              </w:rPr>
              <w:t>1.9×10</w:t>
            </w:r>
            <w:r>
              <w:rPr>
                <w:spacing w:val="-2"/>
                <w:sz w:val="22"/>
                <w:vertAlign w:val="superscript"/>
              </w:rPr>
              <w:t>2</w:t>
            </w:r>
          </w:p>
        </w:tc>
        <w:tc>
          <w:tcPr>
            <w:tcW w:w="1499" w:type="dxa"/>
            <w:tcBorders>
              <w:bottom w:val="single" w:sz="4" w:space="0" w:color="000000"/>
            </w:tcBorders>
          </w:tcPr>
          <w:p>
            <w:pPr>
              <w:pStyle w:val="TableParagraph"/>
              <w:spacing w:before="147"/>
              <w:ind w:left="222"/>
              <w:rPr>
                <w:sz w:val="22"/>
              </w:rPr>
            </w:pPr>
            <w:r>
              <w:rPr>
                <w:spacing w:val="-4"/>
                <w:sz w:val="22"/>
              </w:rPr>
              <w:t>7×10</w:t>
            </w:r>
          </w:p>
        </w:tc>
        <w:tc>
          <w:tcPr>
            <w:tcW w:w="1426" w:type="dxa"/>
            <w:tcBorders>
              <w:bottom w:val="single" w:sz="4" w:space="0" w:color="000000"/>
            </w:tcBorders>
          </w:tcPr>
          <w:p>
            <w:pPr>
              <w:pStyle w:val="TableParagraph"/>
              <w:spacing w:before="147"/>
              <w:ind w:left="132"/>
              <w:rPr>
                <w:sz w:val="22"/>
              </w:rPr>
            </w:pPr>
            <w:r>
              <w:rPr>
                <w:spacing w:val="-2"/>
                <w:sz w:val="22"/>
              </w:rPr>
              <w:t>2.8×10</w:t>
            </w:r>
            <w:r>
              <w:rPr>
                <w:spacing w:val="-2"/>
                <w:sz w:val="22"/>
                <w:vertAlign w:val="superscript"/>
              </w:rPr>
              <w:t>2</w:t>
            </w:r>
          </w:p>
        </w:tc>
        <w:tc>
          <w:tcPr>
            <w:tcW w:w="1381" w:type="dxa"/>
            <w:tcBorders>
              <w:bottom w:val="single" w:sz="4" w:space="0" w:color="000000"/>
            </w:tcBorders>
          </w:tcPr>
          <w:p>
            <w:pPr>
              <w:pStyle w:val="TableParagraph"/>
              <w:spacing w:before="147"/>
              <w:ind w:left="149"/>
              <w:rPr>
                <w:sz w:val="22"/>
              </w:rPr>
            </w:pPr>
            <w:r>
              <w:rPr>
                <w:spacing w:val="-10"/>
                <w:sz w:val="22"/>
              </w:rPr>
              <w:t>0</w:t>
            </w:r>
          </w:p>
        </w:tc>
      </w:tr>
    </w:tbl>
    <w:p>
      <w:pPr>
        <w:pStyle w:val="BodyText"/>
        <w:spacing w:line="360" w:lineRule="auto" w:before="3"/>
        <w:ind w:left="380" w:right="975"/>
      </w:pPr>
      <w:r>
        <w:rPr>
          <w:b/>
        </w:rPr>
        <w:t>Key:</w:t>
      </w:r>
      <w:r>
        <w:rPr>
          <w:b/>
          <w:spacing w:val="-6"/>
        </w:rPr>
        <w:t> </w:t>
      </w:r>
      <w:r>
        <w:rPr/>
        <w:t>Sp=Sputum,</w:t>
      </w:r>
      <w:r>
        <w:rPr>
          <w:spacing w:val="-7"/>
        </w:rPr>
        <w:t> </w:t>
      </w:r>
      <w:r>
        <w:rPr/>
        <w:t>MIC=Minimum</w:t>
      </w:r>
      <w:r>
        <w:rPr>
          <w:spacing w:val="-7"/>
        </w:rPr>
        <w:t> </w:t>
      </w:r>
      <w:r>
        <w:rPr/>
        <w:t>Inhibitory</w:t>
      </w:r>
      <w:r>
        <w:rPr>
          <w:spacing w:val="-7"/>
        </w:rPr>
        <w:t> </w:t>
      </w:r>
      <w:r>
        <w:rPr/>
        <w:t>Concentration,</w:t>
      </w:r>
      <w:r>
        <w:rPr>
          <w:spacing w:val="-6"/>
        </w:rPr>
        <w:t> </w:t>
      </w:r>
      <w:r>
        <w:rPr/>
        <w:t>LEV=Levofloxacin,</w:t>
      </w:r>
      <w:r>
        <w:rPr>
          <w:spacing w:val="-7"/>
        </w:rPr>
        <w:t> </w:t>
      </w:r>
      <w:r>
        <w:rPr/>
        <w:t>CEF=Ceftriaxone, H=Honey, L=Lemon juice.</w:t>
      </w:r>
    </w:p>
    <w:p>
      <w:pPr>
        <w:spacing w:after="0" w:line="360"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
      </w:pPr>
    </w:p>
    <w:p>
      <w:pPr>
        <w:spacing w:before="1"/>
        <w:ind w:left="941" w:right="0" w:firstLine="0"/>
        <w:jc w:val="left"/>
        <w:rPr>
          <w:b/>
          <w:sz w:val="22"/>
        </w:rPr>
      </w:pPr>
      <w:r>
        <w:rPr>
          <w:b/>
          <w:sz w:val="22"/>
        </w:rPr>
        <w:t>Rate</w:t>
      </w:r>
      <w:r>
        <w:rPr>
          <w:b/>
          <w:spacing w:val="-9"/>
          <w:sz w:val="22"/>
        </w:rPr>
        <w:t> </w:t>
      </w:r>
      <w:r>
        <w:rPr>
          <w:b/>
          <w:sz w:val="22"/>
        </w:rPr>
        <w:t>of</w:t>
      </w:r>
      <w:r>
        <w:rPr>
          <w:b/>
          <w:spacing w:val="-4"/>
          <w:sz w:val="22"/>
        </w:rPr>
        <w:t> </w:t>
      </w:r>
      <w:r>
        <w:rPr>
          <w:b/>
          <w:sz w:val="22"/>
        </w:rPr>
        <w:t>Kill</w:t>
      </w:r>
      <w:r>
        <w:rPr>
          <w:b/>
          <w:spacing w:val="-5"/>
          <w:sz w:val="22"/>
        </w:rPr>
        <w:t> </w:t>
      </w:r>
      <w:r>
        <w:rPr>
          <w:b/>
          <w:sz w:val="22"/>
        </w:rPr>
        <w:t>(at</w:t>
      </w:r>
      <w:r>
        <w:rPr>
          <w:b/>
          <w:spacing w:val="-6"/>
          <w:sz w:val="22"/>
        </w:rPr>
        <w:t> </w:t>
      </w:r>
      <w:r>
        <w:rPr>
          <w:b/>
          <w:sz w:val="22"/>
        </w:rPr>
        <w:t>average</w:t>
      </w:r>
      <w:r>
        <w:rPr>
          <w:b/>
          <w:spacing w:val="-5"/>
          <w:sz w:val="22"/>
        </w:rPr>
        <w:t> </w:t>
      </w:r>
      <w:r>
        <w:rPr>
          <w:b/>
          <w:sz w:val="22"/>
        </w:rPr>
        <w:t>MIC</w:t>
      </w:r>
      <w:r>
        <w:rPr>
          <w:b/>
          <w:spacing w:val="-5"/>
          <w:sz w:val="22"/>
        </w:rPr>
        <w:t> </w:t>
      </w:r>
      <w:r>
        <w:rPr>
          <w:b/>
          <w:sz w:val="22"/>
        </w:rPr>
        <w:t>values)</w:t>
      </w:r>
      <w:r>
        <w:rPr>
          <w:b/>
          <w:spacing w:val="-4"/>
          <w:sz w:val="22"/>
        </w:rPr>
        <w:t> </w:t>
      </w:r>
      <w:r>
        <w:rPr>
          <w:b/>
          <w:sz w:val="22"/>
        </w:rPr>
        <w:t>for</w:t>
      </w:r>
      <w:r>
        <w:rPr>
          <w:b/>
          <w:spacing w:val="-3"/>
          <w:sz w:val="22"/>
        </w:rPr>
        <w:t> </w:t>
      </w:r>
      <w:r>
        <w:rPr>
          <w:b/>
          <w:i/>
          <w:sz w:val="22"/>
        </w:rPr>
        <w:t>Streptococcus</w:t>
      </w:r>
      <w:r>
        <w:rPr>
          <w:b/>
          <w:i/>
          <w:spacing w:val="-7"/>
          <w:sz w:val="22"/>
        </w:rPr>
        <w:t> </w:t>
      </w:r>
      <w:r>
        <w:rPr>
          <w:b/>
          <w:i/>
          <w:sz w:val="22"/>
        </w:rPr>
        <w:t>pneumoniae_</w:t>
      </w:r>
      <w:r>
        <w:rPr>
          <w:b/>
          <w:sz w:val="22"/>
        </w:rPr>
        <w:t>Sp232</w:t>
      </w:r>
      <w:r>
        <w:rPr>
          <w:b/>
          <w:spacing w:val="-5"/>
          <w:sz w:val="22"/>
        </w:rPr>
        <w:t> </w:t>
      </w:r>
      <w:r>
        <w:rPr>
          <w:b/>
          <w:spacing w:val="-2"/>
          <w:sz w:val="22"/>
        </w:rPr>
        <w:t>(Susceptible)</w:t>
      </w:r>
    </w:p>
    <w:p>
      <w:pPr>
        <w:pStyle w:val="BodyText"/>
        <w:spacing w:before="54"/>
        <w:rPr>
          <w:b/>
          <w:sz w:val="20"/>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5"/>
        <w:gridCol w:w="1857"/>
        <w:gridCol w:w="1774"/>
        <w:gridCol w:w="1662"/>
        <w:gridCol w:w="1248"/>
        <w:gridCol w:w="1410"/>
      </w:tblGrid>
      <w:tr>
        <w:trPr>
          <w:trHeight w:val="2577" w:hRule="atLeast"/>
        </w:trPr>
        <w:tc>
          <w:tcPr>
            <w:tcW w:w="1005" w:type="dxa"/>
            <w:tcBorders>
              <w:top w:val="single" w:sz="4" w:space="0" w:color="000000"/>
              <w:bottom w:val="single" w:sz="4" w:space="0" w:color="000000"/>
            </w:tcBorders>
          </w:tcPr>
          <w:p>
            <w:pPr>
              <w:pStyle w:val="TableParagraph"/>
              <w:spacing w:line="360" w:lineRule="auto"/>
              <w:ind w:left="115" w:right="306"/>
              <w:rPr>
                <w:b/>
                <w:sz w:val="22"/>
              </w:rPr>
            </w:pPr>
            <w:r>
              <w:rPr>
                <w:b/>
                <w:spacing w:val="-4"/>
                <w:sz w:val="22"/>
              </w:rPr>
              <w:t>Time </w:t>
            </w:r>
            <w:r>
              <w:rPr>
                <w:b/>
                <w:spacing w:val="-2"/>
                <w:sz w:val="22"/>
              </w:rPr>
              <w:t>(mins)</w:t>
            </w:r>
          </w:p>
        </w:tc>
        <w:tc>
          <w:tcPr>
            <w:tcW w:w="1857" w:type="dxa"/>
            <w:tcBorders>
              <w:top w:val="single" w:sz="4" w:space="0" w:color="000000"/>
              <w:bottom w:val="single" w:sz="4" w:space="0" w:color="000000"/>
            </w:tcBorders>
          </w:tcPr>
          <w:p>
            <w:pPr>
              <w:pStyle w:val="TableParagraph"/>
              <w:spacing w:line="360" w:lineRule="auto"/>
              <w:ind w:left="312"/>
              <w:rPr>
                <w:b/>
                <w:sz w:val="22"/>
              </w:rPr>
            </w:pPr>
            <w:r>
              <w:rPr>
                <w:b/>
                <w:sz w:val="22"/>
              </w:rPr>
              <w:t>No of colonies counted</w:t>
            </w:r>
            <w:r>
              <w:rPr>
                <w:b/>
                <w:spacing w:val="-13"/>
                <w:sz w:val="22"/>
              </w:rPr>
              <w:t> </w:t>
            </w:r>
            <w:r>
              <w:rPr>
                <w:b/>
                <w:sz w:val="22"/>
              </w:rPr>
              <w:t>in</w:t>
            </w:r>
            <w:r>
              <w:rPr>
                <w:b/>
                <w:spacing w:val="-12"/>
                <w:sz w:val="22"/>
              </w:rPr>
              <w:t> </w:t>
            </w:r>
            <w:r>
              <w:rPr>
                <w:b/>
                <w:sz w:val="22"/>
              </w:rPr>
              <w:t>LEV (7.81 µg/ml) </w:t>
            </w:r>
            <w:r>
              <w:rPr>
                <w:b/>
                <w:spacing w:val="-2"/>
                <w:sz w:val="22"/>
              </w:rPr>
              <w:t>plate</w:t>
            </w:r>
          </w:p>
        </w:tc>
        <w:tc>
          <w:tcPr>
            <w:tcW w:w="1774" w:type="dxa"/>
            <w:tcBorders>
              <w:top w:val="single" w:sz="4" w:space="0" w:color="000000"/>
              <w:bottom w:val="single" w:sz="4" w:space="0" w:color="000000"/>
            </w:tcBorders>
          </w:tcPr>
          <w:p>
            <w:pPr>
              <w:pStyle w:val="TableParagraph"/>
              <w:spacing w:line="360" w:lineRule="auto"/>
              <w:ind w:left="188" w:right="12"/>
              <w:rPr>
                <w:b/>
                <w:sz w:val="22"/>
              </w:rPr>
            </w:pPr>
            <w:r>
              <w:rPr>
                <w:b/>
                <w:sz w:val="22"/>
              </w:rPr>
              <w:t>No of colonies counted</w:t>
            </w:r>
            <w:r>
              <w:rPr>
                <w:b/>
                <w:spacing w:val="-13"/>
                <w:sz w:val="22"/>
              </w:rPr>
              <w:t> </w:t>
            </w:r>
            <w:r>
              <w:rPr>
                <w:b/>
                <w:sz w:val="22"/>
              </w:rPr>
              <w:t>in</w:t>
            </w:r>
            <w:r>
              <w:rPr>
                <w:b/>
                <w:spacing w:val="-12"/>
                <w:sz w:val="22"/>
              </w:rPr>
              <w:t> </w:t>
            </w:r>
            <w:r>
              <w:rPr>
                <w:b/>
                <w:sz w:val="22"/>
              </w:rPr>
              <w:t>CEF (12.5 µg/ml) </w:t>
            </w:r>
            <w:r>
              <w:rPr>
                <w:b/>
                <w:spacing w:val="-2"/>
                <w:sz w:val="22"/>
              </w:rPr>
              <w:t>plate</w:t>
            </w:r>
          </w:p>
        </w:tc>
        <w:tc>
          <w:tcPr>
            <w:tcW w:w="1662" w:type="dxa"/>
            <w:tcBorders>
              <w:top w:val="single" w:sz="4" w:space="0" w:color="000000"/>
              <w:bottom w:val="single" w:sz="4" w:space="0" w:color="000000"/>
            </w:tcBorders>
          </w:tcPr>
          <w:p>
            <w:pPr>
              <w:pStyle w:val="TableParagraph"/>
              <w:spacing w:line="360" w:lineRule="auto"/>
              <w:ind w:left="236"/>
              <w:rPr>
                <w:b/>
                <w:sz w:val="22"/>
              </w:rPr>
            </w:pPr>
            <w:r>
              <w:rPr>
                <w:b/>
                <w:sz w:val="22"/>
              </w:rPr>
              <w:t>No</w:t>
            </w:r>
            <w:r>
              <w:rPr>
                <w:b/>
                <w:spacing w:val="-13"/>
                <w:sz w:val="22"/>
              </w:rPr>
              <w:t> </w:t>
            </w:r>
            <w:r>
              <w:rPr>
                <w:b/>
                <w:sz w:val="22"/>
              </w:rPr>
              <w:t>of</w:t>
            </w:r>
            <w:r>
              <w:rPr>
                <w:b/>
                <w:spacing w:val="-12"/>
                <w:sz w:val="22"/>
              </w:rPr>
              <w:t> </w:t>
            </w:r>
            <w:r>
              <w:rPr>
                <w:b/>
                <w:sz w:val="22"/>
              </w:rPr>
              <w:t>colonies counted in Lemon (20 µg/ml) plate</w:t>
            </w:r>
          </w:p>
        </w:tc>
        <w:tc>
          <w:tcPr>
            <w:tcW w:w="1248" w:type="dxa"/>
            <w:tcBorders>
              <w:top w:val="single" w:sz="4" w:space="0" w:color="000000"/>
              <w:bottom w:val="single" w:sz="4" w:space="0" w:color="000000"/>
            </w:tcBorders>
          </w:tcPr>
          <w:p>
            <w:pPr>
              <w:pStyle w:val="TableParagraph"/>
              <w:spacing w:line="360" w:lineRule="auto"/>
              <w:ind w:left="125" w:right="142"/>
              <w:rPr>
                <w:b/>
                <w:sz w:val="22"/>
              </w:rPr>
            </w:pPr>
            <w:r>
              <w:rPr>
                <w:b/>
                <w:sz w:val="22"/>
              </w:rPr>
              <w:t>No of </w:t>
            </w:r>
            <w:r>
              <w:rPr>
                <w:b/>
                <w:spacing w:val="-2"/>
                <w:sz w:val="22"/>
              </w:rPr>
              <w:t>colonies </w:t>
            </w:r>
            <w:r>
              <w:rPr>
                <w:b/>
                <w:sz w:val="22"/>
              </w:rPr>
              <w:t>counted</w:t>
            </w:r>
            <w:r>
              <w:rPr>
                <w:b/>
                <w:spacing w:val="-13"/>
                <w:sz w:val="22"/>
              </w:rPr>
              <w:t> </w:t>
            </w:r>
            <w:r>
              <w:rPr>
                <w:b/>
                <w:sz w:val="22"/>
              </w:rPr>
              <w:t>in Honey (50 </w:t>
            </w:r>
            <w:r>
              <w:rPr>
                <w:b/>
                <w:spacing w:val="-2"/>
                <w:sz w:val="22"/>
              </w:rPr>
              <w:t>µg/ml) plate</w:t>
            </w:r>
          </w:p>
        </w:tc>
        <w:tc>
          <w:tcPr>
            <w:tcW w:w="1410" w:type="dxa"/>
            <w:tcBorders>
              <w:top w:val="single" w:sz="4" w:space="0" w:color="000000"/>
              <w:bottom w:val="single" w:sz="4" w:space="0" w:color="000000"/>
            </w:tcBorders>
          </w:tcPr>
          <w:p>
            <w:pPr>
              <w:pStyle w:val="TableParagraph"/>
              <w:spacing w:line="360" w:lineRule="auto"/>
              <w:ind w:left="154" w:right="275"/>
              <w:rPr>
                <w:b/>
                <w:sz w:val="22"/>
              </w:rPr>
            </w:pPr>
            <w:r>
              <w:rPr>
                <w:b/>
                <w:sz w:val="22"/>
              </w:rPr>
              <w:t>No of </w:t>
            </w:r>
            <w:r>
              <w:rPr>
                <w:b/>
                <w:spacing w:val="-2"/>
                <w:sz w:val="22"/>
              </w:rPr>
              <w:t>colonies </w:t>
            </w:r>
            <w:r>
              <w:rPr>
                <w:b/>
                <w:sz w:val="22"/>
              </w:rPr>
              <w:t>counted</w:t>
            </w:r>
            <w:r>
              <w:rPr>
                <w:b/>
                <w:spacing w:val="-13"/>
                <w:sz w:val="22"/>
              </w:rPr>
              <w:t> </w:t>
            </w:r>
            <w:r>
              <w:rPr>
                <w:b/>
                <w:sz w:val="22"/>
              </w:rPr>
              <w:t>in H/L (20</w:t>
            </w:r>
          </w:p>
          <w:p>
            <w:pPr>
              <w:pStyle w:val="TableParagraph"/>
              <w:spacing w:line="268" w:lineRule="exact"/>
              <w:ind w:left="154"/>
              <w:rPr>
                <w:b/>
                <w:sz w:val="22"/>
              </w:rPr>
            </w:pPr>
            <w:r>
              <w:rPr>
                <w:b/>
                <w:sz w:val="22"/>
              </w:rPr>
              <w:t>µg/ml)</w:t>
            </w:r>
            <w:r>
              <w:rPr>
                <w:b/>
                <w:spacing w:val="-5"/>
                <w:sz w:val="22"/>
              </w:rPr>
              <w:t> </w:t>
            </w:r>
            <w:r>
              <w:rPr>
                <w:b/>
                <w:spacing w:val="-2"/>
                <w:sz w:val="22"/>
              </w:rPr>
              <w:t>plate</w:t>
            </w:r>
          </w:p>
        </w:tc>
      </w:tr>
      <w:tr>
        <w:trPr>
          <w:trHeight w:val="411" w:hRule="atLeast"/>
        </w:trPr>
        <w:tc>
          <w:tcPr>
            <w:tcW w:w="1005" w:type="dxa"/>
            <w:tcBorders>
              <w:top w:val="single" w:sz="4" w:space="0" w:color="000000"/>
            </w:tcBorders>
          </w:tcPr>
          <w:p>
            <w:pPr>
              <w:pStyle w:val="TableParagraph"/>
              <w:spacing w:line="265" w:lineRule="exact"/>
              <w:ind w:left="115"/>
              <w:rPr>
                <w:sz w:val="22"/>
              </w:rPr>
            </w:pPr>
            <w:r>
              <w:rPr>
                <w:spacing w:val="-10"/>
                <w:sz w:val="22"/>
              </w:rPr>
              <w:t>0</w:t>
            </w:r>
          </w:p>
        </w:tc>
        <w:tc>
          <w:tcPr>
            <w:tcW w:w="1857" w:type="dxa"/>
            <w:tcBorders>
              <w:top w:val="single" w:sz="4" w:space="0" w:color="000000"/>
            </w:tcBorders>
          </w:tcPr>
          <w:p>
            <w:pPr>
              <w:pStyle w:val="TableParagraph"/>
              <w:spacing w:line="265" w:lineRule="exact"/>
              <w:ind w:left="312"/>
              <w:rPr>
                <w:sz w:val="22"/>
              </w:rPr>
            </w:pPr>
            <w:r>
              <w:rPr>
                <w:spacing w:val="-2"/>
                <w:sz w:val="22"/>
              </w:rPr>
              <w:t>2.5×10</w:t>
            </w:r>
            <w:r>
              <w:rPr>
                <w:spacing w:val="-2"/>
                <w:sz w:val="22"/>
                <w:vertAlign w:val="superscript"/>
              </w:rPr>
              <w:t>3</w:t>
            </w:r>
          </w:p>
        </w:tc>
        <w:tc>
          <w:tcPr>
            <w:tcW w:w="1774" w:type="dxa"/>
            <w:tcBorders>
              <w:top w:val="single" w:sz="4" w:space="0" w:color="000000"/>
            </w:tcBorders>
          </w:tcPr>
          <w:p>
            <w:pPr>
              <w:pStyle w:val="TableParagraph"/>
              <w:spacing w:line="265" w:lineRule="exact"/>
              <w:ind w:left="188"/>
              <w:rPr>
                <w:sz w:val="22"/>
              </w:rPr>
            </w:pPr>
            <w:r>
              <w:rPr>
                <w:spacing w:val="-2"/>
                <w:sz w:val="22"/>
              </w:rPr>
              <w:t>9.6×10</w:t>
            </w:r>
            <w:r>
              <w:rPr>
                <w:spacing w:val="-2"/>
                <w:sz w:val="22"/>
                <w:vertAlign w:val="superscript"/>
              </w:rPr>
              <w:t>3</w:t>
            </w:r>
          </w:p>
        </w:tc>
        <w:tc>
          <w:tcPr>
            <w:tcW w:w="1662" w:type="dxa"/>
            <w:tcBorders>
              <w:top w:val="single" w:sz="4" w:space="0" w:color="000000"/>
            </w:tcBorders>
          </w:tcPr>
          <w:p>
            <w:pPr>
              <w:pStyle w:val="TableParagraph"/>
              <w:spacing w:line="265" w:lineRule="exact"/>
              <w:ind w:left="236"/>
              <w:rPr>
                <w:sz w:val="22"/>
              </w:rPr>
            </w:pPr>
            <w:r>
              <w:rPr>
                <w:spacing w:val="-2"/>
                <w:sz w:val="22"/>
              </w:rPr>
              <w:t>5.8×10</w:t>
            </w:r>
            <w:r>
              <w:rPr>
                <w:spacing w:val="-2"/>
                <w:sz w:val="22"/>
                <w:vertAlign w:val="superscript"/>
              </w:rPr>
              <w:t>3</w:t>
            </w:r>
          </w:p>
        </w:tc>
        <w:tc>
          <w:tcPr>
            <w:tcW w:w="1248" w:type="dxa"/>
            <w:tcBorders>
              <w:top w:val="single" w:sz="4" w:space="0" w:color="000000"/>
            </w:tcBorders>
          </w:tcPr>
          <w:p>
            <w:pPr>
              <w:pStyle w:val="TableParagraph"/>
              <w:spacing w:line="265" w:lineRule="exact"/>
              <w:ind w:left="125"/>
              <w:rPr>
                <w:sz w:val="22"/>
              </w:rPr>
            </w:pPr>
            <w:r>
              <w:rPr>
                <w:spacing w:val="-2"/>
                <w:sz w:val="22"/>
              </w:rPr>
              <w:t>6.6×10</w:t>
            </w:r>
            <w:r>
              <w:rPr>
                <w:spacing w:val="-2"/>
                <w:sz w:val="22"/>
                <w:vertAlign w:val="superscript"/>
              </w:rPr>
              <w:t>3</w:t>
            </w:r>
          </w:p>
        </w:tc>
        <w:tc>
          <w:tcPr>
            <w:tcW w:w="1410" w:type="dxa"/>
            <w:tcBorders>
              <w:top w:val="single" w:sz="4" w:space="0" w:color="000000"/>
            </w:tcBorders>
          </w:tcPr>
          <w:p>
            <w:pPr>
              <w:pStyle w:val="TableParagraph"/>
              <w:spacing w:line="265" w:lineRule="exact"/>
              <w:ind w:left="154"/>
              <w:rPr>
                <w:sz w:val="22"/>
              </w:rPr>
            </w:pPr>
            <w:r>
              <w:rPr>
                <w:spacing w:val="-2"/>
                <w:sz w:val="22"/>
              </w:rPr>
              <w:t>1.9×10</w:t>
            </w:r>
            <w:r>
              <w:rPr>
                <w:spacing w:val="-2"/>
                <w:sz w:val="22"/>
                <w:vertAlign w:val="superscript"/>
              </w:rPr>
              <w:t>3</w:t>
            </w:r>
          </w:p>
        </w:tc>
      </w:tr>
      <w:tr>
        <w:trPr>
          <w:trHeight w:val="562" w:hRule="atLeast"/>
        </w:trPr>
        <w:tc>
          <w:tcPr>
            <w:tcW w:w="1005" w:type="dxa"/>
          </w:tcPr>
          <w:p>
            <w:pPr>
              <w:pStyle w:val="TableParagraph"/>
              <w:spacing w:before="146"/>
              <w:ind w:left="115"/>
              <w:rPr>
                <w:sz w:val="22"/>
              </w:rPr>
            </w:pPr>
            <w:r>
              <w:rPr>
                <w:spacing w:val="-5"/>
                <w:sz w:val="22"/>
              </w:rPr>
              <w:t>30</w:t>
            </w:r>
          </w:p>
        </w:tc>
        <w:tc>
          <w:tcPr>
            <w:tcW w:w="1857" w:type="dxa"/>
          </w:tcPr>
          <w:p>
            <w:pPr>
              <w:pStyle w:val="TableParagraph"/>
              <w:spacing w:before="146"/>
              <w:ind w:left="312"/>
              <w:rPr>
                <w:sz w:val="22"/>
              </w:rPr>
            </w:pPr>
            <w:r>
              <w:rPr>
                <w:spacing w:val="-2"/>
                <w:sz w:val="22"/>
              </w:rPr>
              <w:t>1.8×10</w:t>
            </w:r>
            <w:r>
              <w:rPr>
                <w:spacing w:val="-2"/>
                <w:sz w:val="22"/>
                <w:vertAlign w:val="superscript"/>
              </w:rPr>
              <w:t>3</w:t>
            </w:r>
          </w:p>
        </w:tc>
        <w:tc>
          <w:tcPr>
            <w:tcW w:w="1774" w:type="dxa"/>
          </w:tcPr>
          <w:p>
            <w:pPr>
              <w:pStyle w:val="TableParagraph"/>
              <w:spacing w:before="146"/>
              <w:ind w:left="188"/>
              <w:rPr>
                <w:sz w:val="22"/>
              </w:rPr>
            </w:pPr>
            <w:r>
              <w:rPr>
                <w:spacing w:val="-2"/>
                <w:sz w:val="22"/>
              </w:rPr>
              <w:t>8.1×10</w:t>
            </w:r>
            <w:r>
              <w:rPr>
                <w:spacing w:val="-2"/>
                <w:sz w:val="22"/>
                <w:vertAlign w:val="superscript"/>
              </w:rPr>
              <w:t>3</w:t>
            </w:r>
          </w:p>
        </w:tc>
        <w:tc>
          <w:tcPr>
            <w:tcW w:w="1662" w:type="dxa"/>
          </w:tcPr>
          <w:p>
            <w:pPr>
              <w:pStyle w:val="TableParagraph"/>
              <w:spacing w:before="146"/>
              <w:ind w:left="236"/>
              <w:rPr>
                <w:sz w:val="22"/>
              </w:rPr>
            </w:pPr>
            <w:r>
              <w:rPr>
                <w:spacing w:val="-2"/>
                <w:sz w:val="22"/>
              </w:rPr>
              <w:t>1.4×10</w:t>
            </w:r>
            <w:r>
              <w:rPr>
                <w:spacing w:val="-2"/>
                <w:sz w:val="22"/>
                <w:vertAlign w:val="superscript"/>
              </w:rPr>
              <w:t>3</w:t>
            </w:r>
          </w:p>
        </w:tc>
        <w:tc>
          <w:tcPr>
            <w:tcW w:w="1248" w:type="dxa"/>
          </w:tcPr>
          <w:p>
            <w:pPr>
              <w:pStyle w:val="TableParagraph"/>
              <w:spacing w:before="146"/>
              <w:ind w:left="125"/>
              <w:rPr>
                <w:sz w:val="22"/>
              </w:rPr>
            </w:pPr>
            <w:r>
              <w:rPr>
                <w:spacing w:val="-2"/>
                <w:sz w:val="22"/>
              </w:rPr>
              <w:t>3.4×10</w:t>
            </w:r>
            <w:r>
              <w:rPr>
                <w:spacing w:val="-2"/>
                <w:sz w:val="22"/>
                <w:vertAlign w:val="superscript"/>
              </w:rPr>
              <w:t>3</w:t>
            </w:r>
          </w:p>
        </w:tc>
        <w:tc>
          <w:tcPr>
            <w:tcW w:w="1410" w:type="dxa"/>
          </w:tcPr>
          <w:p>
            <w:pPr>
              <w:pStyle w:val="TableParagraph"/>
              <w:spacing w:before="146"/>
              <w:ind w:left="154"/>
              <w:rPr>
                <w:sz w:val="22"/>
              </w:rPr>
            </w:pPr>
            <w:r>
              <w:rPr>
                <w:spacing w:val="-2"/>
                <w:sz w:val="22"/>
              </w:rPr>
              <w:t>1.4×10</w:t>
            </w:r>
            <w:r>
              <w:rPr>
                <w:spacing w:val="-2"/>
                <w:sz w:val="22"/>
                <w:vertAlign w:val="superscript"/>
              </w:rPr>
              <w:t>3</w:t>
            </w:r>
          </w:p>
        </w:tc>
      </w:tr>
      <w:tr>
        <w:trPr>
          <w:trHeight w:val="563" w:hRule="atLeast"/>
        </w:trPr>
        <w:tc>
          <w:tcPr>
            <w:tcW w:w="1005" w:type="dxa"/>
          </w:tcPr>
          <w:p>
            <w:pPr>
              <w:pStyle w:val="TableParagraph"/>
              <w:spacing w:before="147"/>
              <w:ind w:left="115"/>
              <w:rPr>
                <w:sz w:val="22"/>
              </w:rPr>
            </w:pPr>
            <w:r>
              <w:rPr>
                <w:spacing w:val="-5"/>
                <w:sz w:val="22"/>
              </w:rPr>
              <w:t>60</w:t>
            </w:r>
          </w:p>
        </w:tc>
        <w:tc>
          <w:tcPr>
            <w:tcW w:w="1857" w:type="dxa"/>
          </w:tcPr>
          <w:p>
            <w:pPr>
              <w:pStyle w:val="TableParagraph"/>
              <w:spacing w:before="147"/>
              <w:ind w:left="312"/>
              <w:rPr>
                <w:sz w:val="22"/>
              </w:rPr>
            </w:pPr>
            <w:r>
              <w:rPr>
                <w:spacing w:val="-2"/>
                <w:sz w:val="22"/>
              </w:rPr>
              <w:t>1.1×10</w:t>
            </w:r>
            <w:r>
              <w:rPr>
                <w:spacing w:val="-2"/>
                <w:sz w:val="22"/>
                <w:vertAlign w:val="superscript"/>
              </w:rPr>
              <w:t>3</w:t>
            </w:r>
          </w:p>
        </w:tc>
        <w:tc>
          <w:tcPr>
            <w:tcW w:w="1774" w:type="dxa"/>
          </w:tcPr>
          <w:p>
            <w:pPr>
              <w:pStyle w:val="TableParagraph"/>
              <w:spacing w:before="147"/>
              <w:ind w:left="188"/>
              <w:rPr>
                <w:sz w:val="22"/>
              </w:rPr>
            </w:pPr>
            <w:r>
              <w:rPr>
                <w:spacing w:val="-2"/>
                <w:sz w:val="22"/>
              </w:rPr>
              <w:t>7.6×10</w:t>
            </w:r>
            <w:r>
              <w:rPr>
                <w:spacing w:val="-2"/>
                <w:sz w:val="22"/>
                <w:vertAlign w:val="superscript"/>
              </w:rPr>
              <w:t>3</w:t>
            </w:r>
          </w:p>
        </w:tc>
        <w:tc>
          <w:tcPr>
            <w:tcW w:w="1662" w:type="dxa"/>
          </w:tcPr>
          <w:p>
            <w:pPr>
              <w:pStyle w:val="TableParagraph"/>
              <w:spacing w:before="147"/>
              <w:ind w:left="236"/>
              <w:rPr>
                <w:sz w:val="22"/>
              </w:rPr>
            </w:pPr>
            <w:r>
              <w:rPr>
                <w:spacing w:val="-2"/>
                <w:sz w:val="22"/>
              </w:rPr>
              <w:t>8.0×10</w:t>
            </w:r>
            <w:r>
              <w:rPr>
                <w:spacing w:val="-2"/>
                <w:sz w:val="22"/>
                <w:vertAlign w:val="superscript"/>
              </w:rPr>
              <w:t>2</w:t>
            </w:r>
          </w:p>
        </w:tc>
        <w:tc>
          <w:tcPr>
            <w:tcW w:w="1248" w:type="dxa"/>
          </w:tcPr>
          <w:p>
            <w:pPr>
              <w:pStyle w:val="TableParagraph"/>
              <w:spacing w:before="147"/>
              <w:ind w:left="125"/>
              <w:rPr>
                <w:sz w:val="22"/>
              </w:rPr>
            </w:pPr>
            <w:r>
              <w:rPr>
                <w:spacing w:val="-2"/>
                <w:sz w:val="22"/>
              </w:rPr>
              <w:t>2.1×10</w:t>
            </w:r>
            <w:r>
              <w:rPr>
                <w:spacing w:val="-2"/>
                <w:sz w:val="22"/>
                <w:vertAlign w:val="superscript"/>
              </w:rPr>
              <w:t>3</w:t>
            </w:r>
          </w:p>
        </w:tc>
        <w:tc>
          <w:tcPr>
            <w:tcW w:w="1410" w:type="dxa"/>
          </w:tcPr>
          <w:p>
            <w:pPr>
              <w:pStyle w:val="TableParagraph"/>
              <w:spacing w:before="147"/>
              <w:ind w:left="154"/>
              <w:rPr>
                <w:sz w:val="22"/>
              </w:rPr>
            </w:pPr>
            <w:r>
              <w:rPr>
                <w:spacing w:val="-2"/>
                <w:sz w:val="22"/>
              </w:rPr>
              <w:t>7.5×10</w:t>
            </w:r>
            <w:r>
              <w:rPr>
                <w:spacing w:val="-2"/>
                <w:sz w:val="22"/>
                <w:vertAlign w:val="superscript"/>
              </w:rPr>
              <w:t>2</w:t>
            </w:r>
          </w:p>
        </w:tc>
      </w:tr>
      <w:tr>
        <w:trPr>
          <w:trHeight w:val="563" w:hRule="atLeast"/>
        </w:trPr>
        <w:tc>
          <w:tcPr>
            <w:tcW w:w="1005" w:type="dxa"/>
          </w:tcPr>
          <w:p>
            <w:pPr>
              <w:pStyle w:val="TableParagraph"/>
              <w:spacing w:before="146"/>
              <w:ind w:left="115"/>
              <w:rPr>
                <w:sz w:val="22"/>
              </w:rPr>
            </w:pPr>
            <w:r>
              <w:rPr>
                <w:spacing w:val="-5"/>
                <w:sz w:val="22"/>
              </w:rPr>
              <w:t>90</w:t>
            </w:r>
          </w:p>
        </w:tc>
        <w:tc>
          <w:tcPr>
            <w:tcW w:w="1857" w:type="dxa"/>
          </w:tcPr>
          <w:p>
            <w:pPr>
              <w:pStyle w:val="TableParagraph"/>
              <w:spacing w:before="146"/>
              <w:ind w:left="312"/>
              <w:rPr>
                <w:sz w:val="22"/>
              </w:rPr>
            </w:pPr>
            <w:r>
              <w:rPr>
                <w:spacing w:val="-2"/>
                <w:sz w:val="22"/>
              </w:rPr>
              <w:t>6.9×10</w:t>
            </w:r>
            <w:r>
              <w:rPr>
                <w:spacing w:val="-2"/>
                <w:sz w:val="22"/>
                <w:vertAlign w:val="superscript"/>
              </w:rPr>
              <w:t>3</w:t>
            </w:r>
          </w:p>
        </w:tc>
        <w:tc>
          <w:tcPr>
            <w:tcW w:w="1774" w:type="dxa"/>
          </w:tcPr>
          <w:p>
            <w:pPr>
              <w:pStyle w:val="TableParagraph"/>
              <w:spacing w:before="146"/>
              <w:ind w:left="188"/>
              <w:rPr>
                <w:sz w:val="22"/>
              </w:rPr>
            </w:pPr>
            <w:r>
              <w:rPr>
                <w:spacing w:val="-2"/>
                <w:sz w:val="22"/>
              </w:rPr>
              <w:t>5.5×10</w:t>
            </w:r>
            <w:r>
              <w:rPr>
                <w:spacing w:val="-2"/>
                <w:sz w:val="22"/>
                <w:vertAlign w:val="superscript"/>
              </w:rPr>
              <w:t>3</w:t>
            </w:r>
          </w:p>
        </w:tc>
        <w:tc>
          <w:tcPr>
            <w:tcW w:w="1662" w:type="dxa"/>
          </w:tcPr>
          <w:p>
            <w:pPr>
              <w:pStyle w:val="TableParagraph"/>
              <w:spacing w:before="146"/>
              <w:ind w:left="236"/>
              <w:rPr>
                <w:sz w:val="22"/>
              </w:rPr>
            </w:pPr>
            <w:r>
              <w:rPr>
                <w:spacing w:val="-4"/>
                <w:sz w:val="22"/>
              </w:rPr>
              <w:t>2×10</w:t>
            </w:r>
          </w:p>
        </w:tc>
        <w:tc>
          <w:tcPr>
            <w:tcW w:w="1248" w:type="dxa"/>
          </w:tcPr>
          <w:p>
            <w:pPr>
              <w:pStyle w:val="TableParagraph"/>
              <w:spacing w:before="146"/>
              <w:ind w:left="125"/>
              <w:rPr>
                <w:sz w:val="22"/>
              </w:rPr>
            </w:pPr>
            <w:r>
              <w:rPr>
                <w:spacing w:val="-2"/>
                <w:sz w:val="22"/>
              </w:rPr>
              <w:t>1.6×10</w:t>
            </w:r>
            <w:r>
              <w:rPr>
                <w:spacing w:val="-2"/>
                <w:sz w:val="22"/>
                <w:vertAlign w:val="superscript"/>
              </w:rPr>
              <w:t>3</w:t>
            </w:r>
          </w:p>
        </w:tc>
        <w:tc>
          <w:tcPr>
            <w:tcW w:w="1410" w:type="dxa"/>
          </w:tcPr>
          <w:p>
            <w:pPr>
              <w:pStyle w:val="TableParagraph"/>
              <w:spacing w:before="146"/>
              <w:ind w:left="154"/>
              <w:rPr>
                <w:sz w:val="22"/>
              </w:rPr>
            </w:pPr>
            <w:r>
              <w:rPr>
                <w:spacing w:val="-2"/>
                <w:sz w:val="22"/>
              </w:rPr>
              <w:t>1.6×10</w:t>
            </w:r>
            <w:r>
              <w:rPr>
                <w:spacing w:val="-2"/>
                <w:sz w:val="22"/>
                <w:vertAlign w:val="superscript"/>
              </w:rPr>
              <w:t>2</w:t>
            </w:r>
          </w:p>
        </w:tc>
      </w:tr>
      <w:tr>
        <w:trPr>
          <w:trHeight w:val="562" w:hRule="atLeast"/>
        </w:trPr>
        <w:tc>
          <w:tcPr>
            <w:tcW w:w="1005" w:type="dxa"/>
          </w:tcPr>
          <w:p>
            <w:pPr>
              <w:pStyle w:val="TableParagraph"/>
              <w:spacing w:before="147"/>
              <w:ind w:left="115"/>
              <w:rPr>
                <w:sz w:val="22"/>
              </w:rPr>
            </w:pPr>
            <w:r>
              <w:rPr>
                <w:spacing w:val="-5"/>
                <w:sz w:val="22"/>
              </w:rPr>
              <w:t>120</w:t>
            </w:r>
          </w:p>
        </w:tc>
        <w:tc>
          <w:tcPr>
            <w:tcW w:w="1857" w:type="dxa"/>
          </w:tcPr>
          <w:p>
            <w:pPr>
              <w:pStyle w:val="TableParagraph"/>
              <w:spacing w:before="147"/>
              <w:ind w:left="312"/>
              <w:rPr>
                <w:sz w:val="22"/>
              </w:rPr>
            </w:pPr>
            <w:r>
              <w:rPr>
                <w:spacing w:val="-2"/>
                <w:sz w:val="22"/>
              </w:rPr>
              <w:t>3.2×10</w:t>
            </w:r>
            <w:r>
              <w:rPr>
                <w:spacing w:val="-2"/>
                <w:sz w:val="22"/>
                <w:vertAlign w:val="superscript"/>
              </w:rPr>
              <w:t>2</w:t>
            </w:r>
          </w:p>
        </w:tc>
        <w:tc>
          <w:tcPr>
            <w:tcW w:w="1774" w:type="dxa"/>
          </w:tcPr>
          <w:p>
            <w:pPr>
              <w:pStyle w:val="TableParagraph"/>
              <w:spacing w:before="147"/>
              <w:ind w:left="188"/>
              <w:rPr>
                <w:sz w:val="22"/>
              </w:rPr>
            </w:pPr>
            <w:r>
              <w:rPr>
                <w:spacing w:val="-2"/>
                <w:sz w:val="22"/>
              </w:rPr>
              <w:t>4.3×10</w:t>
            </w:r>
            <w:r>
              <w:rPr>
                <w:spacing w:val="-2"/>
                <w:sz w:val="22"/>
                <w:vertAlign w:val="superscript"/>
              </w:rPr>
              <w:t>3</w:t>
            </w:r>
          </w:p>
        </w:tc>
        <w:tc>
          <w:tcPr>
            <w:tcW w:w="1662" w:type="dxa"/>
          </w:tcPr>
          <w:p>
            <w:pPr>
              <w:pStyle w:val="TableParagraph"/>
              <w:spacing w:before="147"/>
              <w:ind w:left="236"/>
              <w:rPr>
                <w:sz w:val="22"/>
              </w:rPr>
            </w:pPr>
            <w:r>
              <w:rPr>
                <w:spacing w:val="-10"/>
                <w:sz w:val="22"/>
              </w:rPr>
              <w:t>0</w:t>
            </w:r>
          </w:p>
        </w:tc>
        <w:tc>
          <w:tcPr>
            <w:tcW w:w="1248" w:type="dxa"/>
          </w:tcPr>
          <w:p>
            <w:pPr>
              <w:pStyle w:val="TableParagraph"/>
              <w:spacing w:before="147"/>
              <w:ind w:left="125"/>
              <w:rPr>
                <w:sz w:val="22"/>
              </w:rPr>
            </w:pPr>
            <w:r>
              <w:rPr>
                <w:spacing w:val="-2"/>
                <w:sz w:val="22"/>
              </w:rPr>
              <w:t>7.8×10</w:t>
            </w:r>
            <w:r>
              <w:rPr>
                <w:spacing w:val="-2"/>
                <w:sz w:val="22"/>
                <w:vertAlign w:val="superscript"/>
              </w:rPr>
              <w:t>2</w:t>
            </w:r>
          </w:p>
        </w:tc>
        <w:tc>
          <w:tcPr>
            <w:tcW w:w="1410" w:type="dxa"/>
          </w:tcPr>
          <w:p>
            <w:pPr>
              <w:pStyle w:val="TableParagraph"/>
              <w:spacing w:before="147"/>
              <w:ind w:left="154"/>
              <w:rPr>
                <w:sz w:val="22"/>
              </w:rPr>
            </w:pPr>
            <w:r>
              <w:rPr>
                <w:spacing w:val="-10"/>
                <w:sz w:val="22"/>
              </w:rPr>
              <w:t>0</w:t>
            </w:r>
          </w:p>
        </w:tc>
      </w:tr>
      <w:tr>
        <w:trPr>
          <w:trHeight w:val="562" w:hRule="atLeast"/>
        </w:trPr>
        <w:tc>
          <w:tcPr>
            <w:tcW w:w="1005" w:type="dxa"/>
          </w:tcPr>
          <w:p>
            <w:pPr>
              <w:pStyle w:val="TableParagraph"/>
              <w:spacing w:before="146"/>
              <w:ind w:left="115"/>
              <w:rPr>
                <w:sz w:val="22"/>
              </w:rPr>
            </w:pPr>
            <w:r>
              <w:rPr>
                <w:spacing w:val="-5"/>
                <w:sz w:val="22"/>
              </w:rPr>
              <w:t>240</w:t>
            </w:r>
          </w:p>
        </w:tc>
        <w:tc>
          <w:tcPr>
            <w:tcW w:w="1857" w:type="dxa"/>
          </w:tcPr>
          <w:p>
            <w:pPr>
              <w:pStyle w:val="TableParagraph"/>
              <w:spacing w:before="146"/>
              <w:ind w:left="312"/>
              <w:rPr>
                <w:sz w:val="22"/>
              </w:rPr>
            </w:pPr>
            <w:r>
              <w:rPr>
                <w:spacing w:val="-2"/>
                <w:sz w:val="22"/>
              </w:rPr>
              <w:t>2.6×10</w:t>
            </w:r>
            <w:r>
              <w:rPr>
                <w:spacing w:val="-2"/>
                <w:sz w:val="22"/>
                <w:vertAlign w:val="superscript"/>
              </w:rPr>
              <w:t>2</w:t>
            </w:r>
          </w:p>
        </w:tc>
        <w:tc>
          <w:tcPr>
            <w:tcW w:w="1774" w:type="dxa"/>
          </w:tcPr>
          <w:p>
            <w:pPr>
              <w:pStyle w:val="TableParagraph"/>
              <w:spacing w:before="146"/>
              <w:ind w:left="188"/>
              <w:rPr>
                <w:sz w:val="22"/>
              </w:rPr>
            </w:pPr>
            <w:r>
              <w:rPr>
                <w:spacing w:val="-2"/>
                <w:sz w:val="22"/>
              </w:rPr>
              <w:t>3.8×10</w:t>
            </w:r>
            <w:r>
              <w:rPr>
                <w:spacing w:val="-2"/>
                <w:sz w:val="22"/>
                <w:vertAlign w:val="superscript"/>
              </w:rPr>
              <w:t>3</w:t>
            </w:r>
          </w:p>
        </w:tc>
        <w:tc>
          <w:tcPr>
            <w:tcW w:w="1662" w:type="dxa"/>
          </w:tcPr>
          <w:p>
            <w:pPr>
              <w:pStyle w:val="TableParagraph"/>
              <w:spacing w:before="146"/>
              <w:ind w:left="236"/>
              <w:rPr>
                <w:sz w:val="22"/>
              </w:rPr>
            </w:pPr>
            <w:r>
              <w:rPr>
                <w:spacing w:val="-10"/>
                <w:sz w:val="22"/>
              </w:rPr>
              <w:t>0</w:t>
            </w:r>
          </w:p>
        </w:tc>
        <w:tc>
          <w:tcPr>
            <w:tcW w:w="1248" w:type="dxa"/>
          </w:tcPr>
          <w:p>
            <w:pPr>
              <w:pStyle w:val="TableParagraph"/>
              <w:spacing w:before="146"/>
              <w:ind w:left="125"/>
              <w:rPr>
                <w:sz w:val="22"/>
              </w:rPr>
            </w:pPr>
            <w:r>
              <w:rPr>
                <w:spacing w:val="-2"/>
                <w:sz w:val="22"/>
              </w:rPr>
              <w:t>4.8×10</w:t>
            </w:r>
            <w:r>
              <w:rPr>
                <w:spacing w:val="-2"/>
                <w:sz w:val="22"/>
                <w:vertAlign w:val="superscript"/>
              </w:rPr>
              <w:t>2</w:t>
            </w:r>
          </w:p>
        </w:tc>
        <w:tc>
          <w:tcPr>
            <w:tcW w:w="1410" w:type="dxa"/>
          </w:tcPr>
          <w:p>
            <w:pPr>
              <w:pStyle w:val="TableParagraph"/>
              <w:spacing w:before="146"/>
              <w:ind w:left="154"/>
              <w:rPr>
                <w:sz w:val="22"/>
              </w:rPr>
            </w:pPr>
            <w:r>
              <w:rPr>
                <w:spacing w:val="-10"/>
                <w:sz w:val="22"/>
              </w:rPr>
              <w:t>0</w:t>
            </w:r>
          </w:p>
        </w:tc>
      </w:tr>
      <w:tr>
        <w:trPr>
          <w:trHeight w:val="582" w:hRule="atLeast"/>
        </w:trPr>
        <w:tc>
          <w:tcPr>
            <w:tcW w:w="1005" w:type="dxa"/>
          </w:tcPr>
          <w:p>
            <w:pPr>
              <w:pStyle w:val="TableParagraph"/>
              <w:spacing w:before="147"/>
              <w:ind w:left="115"/>
              <w:rPr>
                <w:sz w:val="22"/>
              </w:rPr>
            </w:pPr>
            <w:r>
              <w:rPr>
                <w:spacing w:val="-5"/>
                <w:sz w:val="22"/>
              </w:rPr>
              <w:t>360</w:t>
            </w:r>
          </w:p>
        </w:tc>
        <w:tc>
          <w:tcPr>
            <w:tcW w:w="1857" w:type="dxa"/>
          </w:tcPr>
          <w:p>
            <w:pPr>
              <w:pStyle w:val="TableParagraph"/>
              <w:spacing w:before="147"/>
              <w:ind w:left="312"/>
              <w:rPr>
                <w:sz w:val="22"/>
              </w:rPr>
            </w:pPr>
            <w:r>
              <w:rPr>
                <w:spacing w:val="-4"/>
                <w:sz w:val="22"/>
              </w:rPr>
              <w:t>5×10</w:t>
            </w:r>
          </w:p>
        </w:tc>
        <w:tc>
          <w:tcPr>
            <w:tcW w:w="1774" w:type="dxa"/>
          </w:tcPr>
          <w:p>
            <w:pPr>
              <w:pStyle w:val="TableParagraph"/>
              <w:spacing w:before="147"/>
              <w:ind w:left="188"/>
              <w:rPr>
                <w:sz w:val="22"/>
              </w:rPr>
            </w:pPr>
            <w:r>
              <w:rPr>
                <w:spacing w:val="-2"/>
                <w:sz w:val="22"/>
              </w:rPr>
              <w:t>5.8×10</w:t>
            </w:r>
            <w:r>
              <w:rPr>
                <w:spacing w:val="-2"/>
                <w:sz w:val="22"/>
                <w:vertAlign w:val="superscript"/>
              </w:rPr>
              <w:t>2</w:t>
            </w:r>
          </w:p>
        </w:tc>
        <w:tc>
          <w:tcPr>
            <w:tcW w:w="1662" w:type="dxa"/>
          </w:tcPr>
          <w:p>
            <w:pPr>
              <w:pStyle w:val="TableParagraph"/>
              <w:spacing w:before="147"/>
              <w:ind w:left="236"/>
              <w:rPr>
                <w:sz w:val="22"/>
              </w:rPr>
            </w:pPr>
            <w:r>
              <w:rPr>
                <w:spacing w:val="-10"/>
                <w:sz w:val="22"/>
              </w:rPr>
              <w:t>0</w:t>
            </w:r>
          </w:p>
        </w:tc>
        <w:tc>
          <w:tcPr>
            <w:tcW w:w="1248" w:type="dxa"/>
          </w:tcPr>
          <w:p>
            <w:pPr>
              <w:pStyle w:val="TableParagraph"/>
              <w:spacing w:before="147"/>
              <w:ind w:left="125"/>
              <w:rPr>
                <w:sz w:val="22"/>
              </w:rPr>
            </w:pPr>
            <w:r>
              <w:rPr>
                <w:spacing w:val="-2"/>
                <w:sz w:val="22"/>
              </w:rPr>
              <w:t>3.4×10</w:t>
            </w:r>
            <w:r>
              <w:rPr>
                <w:spacing w:val="-2"/>
                <w:sz w:val="22"/>
                <w:vertAlign w:val="superscript"/>
              </w:rPr>
              <w:t>2</w:t>
            </w:r>
          </w:p>
        </w:tc>
        <w:tc>
          <w:tcPr>
            <w:tcW w:w="1410" w:type="dxa"/>
          </w:tcPr>
          <w:p>
            <w:pPr>
              <w:pStyle w:val="TableParagraph"/>
              <w:spacing w:before="147"/>
              <w:ind w:left="154"/>
              <w:rPr>
                <w:sz w:val="22"/>
              </w:rPr>
            </w:pPr>
            <w:r>
              <w:rPr>
                <w:spacing w:val="-10"/>
                <w:sz w:val="22"/>
              </w:rPr>
              <w:t>0</w:t>
            </w:r>
          </w:p>
        </w:tc>
      </w:tr>
      <w:tr>
        <w:trPr>
          <w:trHeight w:val="693" w:hRule="atLeast"/>
        </w:trPr>
        <w:tc>
          <w:tcPr>
            <w:tcW w:w="1005" w:type="dxa"/>
            <w:tcBorders>
              <w:bottom w:val="single" w:sz="4" w:space="0" w:color="000000"/>
            </w:tcBorders>
          </w:tcPr>
          <w:p>
            <w:pPr>
              <w:pStyle w:val="TableParagraph"/>
              <w:spacing w:before="126"/>
              <w:ind w:left="115"/>
              <w:rPr>
                <w:sz w:val="22"/>
              </w:rPr>
            </w:pPr>
            <w:r>
              <w:rPr>
                <w:spacing w:val="-4"/>
                <w:sz w:val="22"/>
              </w:rPr>
              <w:t>1440</w:t>
            </w:r>
          </w:p>
        </w:tc>
        <w:tc>
          <w:tcPr>
            <w:tcW w:w="1857" w:type="dxa"/>
            <w:tcBorders>
              <w:bottom w:val="single" w:sz="4" w:space="0" w:color="000000"/>
            </w:tcBorders>
          </w:tcPr>
          <w:p>
            <w:pPr>
              <w:pStyle w:val="TableParagraph"/>
              <w:spacing w:before="126"/>
              <w:ind w:left="312"/>
              <w:rPr>
                <w:sz w:val="22"/>
              </w:rPr>
            </w:pPr>
            <w:r>
              <w:rPr>
                <w:spacing w:val="-10"/>
                <w:sz w:val="22"/>
              </w:rPr>
              <w:t>0</w:t>
            </w:r>
          </w:p>
        </w:tc>
        <w:tc>
          <w:tcPr>
            <w:tcW w:w="1774" w:type="dxa"/>
            <w:tcBorders>
              <w:bottom w:val="single" w:sz="4" w:space="0" w:color="000000"/>
            </w:tcBorders>
          </w:tcPr>
          <w:p>
            <w:pPr>
              <w:pStyle w:val="TableParagraph"/>
              <w:spacing w:before="126"/>
              <w:ind w:left="188"/>
              <w:rPr>
                <w:sz w:val="22"/>
              </w:rPr>
            </w:pPr>
            <w:r>
              <w:rPr>
                <w:spacing w:val="-10"/>
                <w:sz w:val="22"/>
              </w:rPr>
              <w:t>0</w:t>
            </w:r>
          </w:p>
        </w:tc>
        <w:tc>
          <w:tcPr>
            <w:tcW w:w="1662" w:type="dxa"/>
            <w:tcBorders>
              <w:bottom w:val="single" w:sz="4" w:space="0" w:color="000000"/>
            </w:tcBorders>
          </w:tcPr>
          <w:p>
            <w:pPr>
              <w:pStyle w:val="TableParagraph"/>
              <w:spacing w:before="126"/>
              <w:ind w:left="236"/>
              <w:rPr>
                <w:sz w:val="22"/>
              </w:rPr>
            </w:pPr>
            <w:r>
              <w:rPr>
                <w:spacing w:val="-10"/>
                <w:sz w:val="22"/>
              </w:rPr>
              <w:t>0</w:t>
            </w:r>
          </w:p>
        </w:tc>
        <w:tc>
          <w:tcPr>
            <w:tcW w:w="1248" w:type="dxa"/>
            <w:tcBorders>
              <w:bottom w:val="single" w:sz="4" w:space="0" w:color="000000"/>
            </w:tcBorders>
          </w:tcPr>
          <w:p>
            <w:pPr>
              <w:pStyle w:val="TableParagraph"/>
              <w:spacing w:before="126"/>
              <w:ind w:left="125"/>
              <w:rPr>
                <w:sz w:val="22"/>
              </w:rPr>
            </w:pPr>
            <w:r>
              <w:rPr>
                <w:spacing w:val="-10"/>
                <w:sz w:val="22"/>
              </w:rPr>
              <w:t>0</w:t>
            </w:r>
          </w:p>
        </w:tc>
        <w:tc>
          <w:tcPr>
            <w:tcW w:w="1410" w:type="dxa"/>
            <w:tcBorders>
              <w:bottom w:val="single" w:sz="4" w:space="0" w:color="000000"/>
            </w:tcBorders>
          </w:tcPr>
          <w:p>
            <w:pPr>
              <w:pStyle w:val="TableParagraph"/>
              <w:spacing w:before="126"/>
              <w:ind w:left="154"/>
              <w:rPr>
                <w:sz w:val="22"/>
              </w:rPr>
            </w:pPr>
            <w:r>
              <w:rPr>
                <w:spacing w:val="-10"/>
                <w:sz w:val="22"/>
              </w:rPr>
              <w:t>0</w:t>
            </w:r>
          </w:p>
        </w:tc>
      </w:tr>
    </w:tbl>
    <w:p>
      <w:pPr>
        <w:spacing w:after="0"/>
        <w:rPr>
          <w:sz w:val="22"/>
        </w:rPr>
        <w:sectPr>
          <w:pgSz w:w="11910" w:h="16840"/>
          <w:pgMar w:header="0" w:footer="1055" w:top="1920" w:bottom="1240" w:left="1060" w:right="460"/>
        </w:sectPr>
      </w:pPr>
    </w:p>
    <w:p>
      <w:pPr>
        <w:pStyle w:val="BodyText"/>
        <w:spacing w:line="360" w:lineRule="auto" w:before="38"/>
        <w:ind w:left="380" w:right="975"/>
      </w:pPr>
      <w:r>
        <w:rPr>
          <w:b/>
        </w:rPr>
        <w:t>Key:</w:t>
      </w:r>
      <w:r>
        <w:rPr>
          <w:b/>
          <w:spacing w:val="-6"/>
        </w:rPr>
        <w:t> </w:t>
      </w:r>
      <w:r>
        <w:rPr/>
        <w:t>Sp=Sputum,</w:t>
      </w:r>
      <w:r>
        <w:rPr>
          <w:spacing w:val="-7"/>
        </w:rPr>
        <w:t> </w:t>
      </w:r>
      <w:r>
        <w:rPr/>
        <w:t>MIC=Minimum</w:t>
      </w:r>
      <w:r>
        <w:rPr>
          <w:spacing w:val="-7"/>
        </w:rPr>
        <w:t> </w:t>
      </w:r>
      <w:r>
        <w:rPr/>
        <w:t>Inhibitory</w:t>
      </w:r>
      <w:r>
        <w:rPr>
          <w:spacing w:val="-7"/>
        </w:rPr>
        <w:t> </w:t>
      </w:r>
      <w:r>
        <w:rPr/>
        <w:t>Concentration,</w:t>
      </w:r>
      <w:r>
        <w:rPr>
          <w:spacing w:val="-6"/>
        </w:rPr>
        <w:t> </w:t>
      </w:r>
      <w:r>
        <w:rPr/>
        <w:t>LEV=Levofloxacin,</w:t>
      </w:r>
      <w:r>
        <w:rPr>
          <w:spacing w:val="-7"/>
        </w:rPr>
        <w:t> </w:t>
      </w:r>
      <w:r>
        <w:rPr/>
        <w:t>CEF=Ceftriaxone, H=Honey, L=Lemon juice.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7"/>
      </w:pPr>
    </w:p>
    <w:p>
      <w:pPr>
        <w:spacing w:before="0"/>
        <w:ind w:left="380" w:right="0" w:firstLine="0"/>
        <w:jc w:val="left"/>
        <w:rPr>
          <w:b/>
          <w:sz w:val="22"/>
        </w:rPr>
      </w:pPr>
      <w:r>
        <w:rPr>
          <w:b/>
          <w:sz w:val="22"/>
        </w:rPr>
        <w:t>Rate</w:t>
      </w:r>
      <w:r>
        <w:rPr>
          <w:b/>
          <w:spacing w:val="-6"/>
          <w:sz w:val="22"/>
        </w:rPr>
        <w:t> </w:t>
      </w:r>
      <w:r>
        <w:rPr>
          <w:b/>
          <w:sz w:val="22"/>
        </w:rPr>
        <w:t>of</w:t>
      </w:r>
      <w:r>
        <w:rPr>
          <w:b/>
          <w:spacing w:val="-5"/>
          <w:sz w:val="22"/>
        </w:rPr>
        <w:t> </w:t>
      </w:r>
      <w:r>
        <w:rPr>
          <w:b/>
          <w:sz w:val="22"/>
        </w:rPr>
        <w:t>kill</w:t>
      </w:r>
      <w:r>
        <w:rPr>
          <w:b/>
          <w:spacing w:val="-5"/>
          <w:sz w:val="22"/>
        </w:rPr>
        <w:t> </w:t>
      </w:r>
      <w:r>
        <w:rPr>
          <w:b/>
          <w:sz w:val="22"/>
        </w:rPr>
        <w:t>(below</w:t>
      </w:r>
      <w:r>
        <w:rPr>
          <w:b/>
          <w:spacing w:val="-4"/>
          <w:sz w:val="22"/>
        </w:rPr>
        <w:t> </w:t>
      </w:r>
      <w:r>
        <w:rPr>
          <w:b/>
          <w:sz w:val="22"/>
        </w:rPr>
        <w:t>average</w:t>
      </w:r>
      <w:r>
        <w:rPr>
          <w:b/>
          <w:spacing w:val="-7"/>
          <w:sz w:val="22"/>
        </w:rPr>
        <w:t> </w:t>
      </w:r>
      <w:r>
        <w:rPr>
          <w:b/>
          <w:sz w:val="22"/>
        </w:rPr>
        <w:t>MIC</w:t>
      </w:r>
      <w:r>
        <w:rPr>
          <w:b/>
          <w:spacing w:val="-6"/>
          <w:sz w:val="22"/>
        </w:rPr>
        <w:t> </w:t>
      </w:r>
      <w:r>
        <w:rPr>
          <w:b/>
          <w:sz w:val="22"/>
        </w:rPr>
        <w:t>values)</w:t>
      </w:r>
      <w:r>
        <w:rPr>
          <w:b/>
          <w:spacing w:val="-4"/>
          <w:sz w:val="22"/>
        </w:rPr>
        <w:t> </w:t>
      </w:r>
      <w:r>
        <w:rPr>
          <w:b/>
          <w:sz w:val="22"/>
        </w:rPr>
        <w:t>for</w:t>
      </w:r>
      <w:r>
        <w:rPr>
          <w:b/>
          <w:spacing w:val="-5"/>
          <w:sz w:val="22"/>
        </w:rPr>
        <w:t> </w:t>
      </w:r>
      <w:r>
        <w:rPr>
          <w:b/>
          <w:i/>
          <w:sz w:val="22"/>
        </w:rPr>
        <w:t>Streptococcus</w:t>
      </w:r>
      <w:r>
        <w:rPr>
          <w:b/>
          <w:i/>
          <w:spacing w:val="-7"/>
          <w:sz w:val="22"/>
        </w:rPr>
        <w:t> </w:t>
      </w:r>
      <w:r>
        <w:rPr>
          <w:b/>
          <w:i/>
          <w:sz w:val="22"/>
        </w:rPr>
        <w:t>pyogenes_</w:t>
      </w:r>
      <w:r>
        <w:rPr>
          <w:b/>
          <w:sz w:val="22"/>
        </w:rPr>
        <w:t>Sp265</w:t>
      </w:r>
      <w:r>
        <w:rPr>
          <w:b/>
          <w:spacing w:val="-2"/>
          <w:sz w:val="22"/>
        </w:rPr>
        <w:t> (Resistant)</w:t>
      </w:r>
    </w:p>
    <w:p>
      <w:pPr>
        <w:pStyle w:val="BodyText"/>
        <w:spacing w:before="55"/>
        <w:rPr>
          <w:b/>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0"/>
        <w:gridCol w:w="1838"/>
        <w:gridCol w:w="1686"/>
        <w:gridCol w:w="1451"/>
        <w:gridCol w:w="1460"/>
        <w:gridCol w:w="1409"/>
      </w:tblGrid>
      <w:tr>
        <w:trPr>
          <w:trHeight w:val="2575" w:hRule="atLeast"/>
        </w:trPr>
        <w:tc>
          <w:tcPr>
            <w:tcW w:w="990" w:type="dxa"/>
            <w:tcBorders>
              <w:top w:val="single" w:sz="4" w:space="0" w:color="000000"/>
              <w:bottom w:val="single" w:sz="4" w:space="0" w:color="000000"/>
            </w:tcBorders>
          </w:tcPr>
          <w:p>
            <w:pPr>
              <w:pStyle w:val="TableParagraph"/>
              <w:spacing w:line="360" w:lineRule="auto"/>
              <w:ind w:left="108" w:right="298"/>
              <w:rPr>
                <w:b/>
                <w:sz w:val="22"/>
              </w:rPr>
            </w:pPr>
            <w:r>
              <w:rPr>
                <w:b/>
                <w:spacing w:val="-4"/>
                <w:sz w:val="22"/>
              </w:rPr>
              <w:t>Time </w:t>
            </w:r>
            <w:r>
              <w:rPr>
                <w:b/>
                <w:spacing w:val="-2"/>
                <w:sz w:val="22"/>
              </w:rPr>
              <w:t>(mins)</w:t>
            </w:r>
          </w:p>
        </w:tc>
        <w:tc>
          <w:tcPr>
            <w:tcW w:w="1838" w:type="dxa"/>
            <w:tcBorders>
              <w:top w:val="single" w:sz="4" w:space="0" w:color="000000"/>
              <w:bottom w:val="single" w:sz="4" w:space="0" w:color="000000"/>
            </w:tcBorders>
          </w:tcPr>
          <w:p>
            <w:pPr>
              <w:pStyle w:val="TableParagraph"/>
              <w:spacing w:line="360" w:lineRule="auto"/>
              <w:ind w:left="303" w:right="33"/>
              <w:rPr>
                <w:b/>
                <w:sz w:val="22"/>
              </w:rPr>
            </w:pPr>
            <w:r>
              <w:rPr>
                <w:b/>
                <w:sz w:val="22"/>
              </w:rPr>
              <w:t>No of colonies counted</w:t>
            </w:r>
            <w:r>
              <w:rPr>
                <w:b/>
                <w:spacing w:val="-13"/>
                <w:sz w:val="22"/>
              </w:rPr>
              <w:t> </w:t>
            </w:r>
            <w:r>
              <w:rPr>
                <w:b/>
                <w:sz w:val="22"/>
              </w:rPr>
              <w:t>in</w:t>
            </w:r>
            <w:r>
              <w:rPr>
                <w:b/>
                <w:spacing w:val="-12"/>
                <w:sz w:val="22"/>
              </w:rPr>
              <w:t> </w:t>
            </w:r>
            <w:r>
              <w:rPr>
                <w:b/>
                <w:sz w:val="22"/>
              </w:rPr>
              <w:t>LEV </w:t>
            </w:r>
            <w:r>
              <w:rPr>
                <w:b/>
                <w:spacing w:val="-2"/>
                <w:sz w:val="22"/>
              </w:rPr>
              <w:t>(3.91µg/ml) plate</w:t>
            </w:r>
          </w:p>
        </w:tc>
        <w:tc>
          <w:tcPr>
            <w:tcW w:w="1686" w:type="dxa"/>
            <w:tcBorders>
              <w:top w:val="single" w:sz="4" w:space="0" w:color="000000"/>
              <w:bottom w:val="single" w:sz="4" w:space="0" w:color="000000"/>
            </w:tcBorders>
          </w:tcPr>
          <w:p>
            <w:pPr>
              <w:pStyle w:val="TableParagraph"/>
              <w:spacing w:line="360" w:lineRule="auto"/>
              <w:ind w:left="174"/>
              <w:rPr>
                <w:b/>
                <w:sz w:val="22"/>
              </w:rPr>
            </w:pPr>
            <w:r>
              <w:rPr>
                <w:b/>
                <w:sz w:val="22"/>
              </w:rPr>
              <w:t>No of colonies counted</w:t>
            </w:r>
            <w:r>
              <w:rPr>
                <w:b/>
                <w:spacing w:val="-13"/>
                <w:sz w:val="22"/>
              </w:rPr>
              <w:t> </w:t>
            </w:r>
            <w:r>
              <w:rPr>
                <w:b/>
                <w:sz w:val="22"/>
              </w:rPr>
              <w:t>in</w:t>
            </w:r>
            <w:r>
              <w:rPr>
                <w:b/>
                <w:spacing w:val="-12"/>
                <w:sz w:val="22"/>
              </w:rPr>
              <w:t> </w:t>
            </w:r>
            <w:r>
              <w:rPr>
                <w:b/>
                <w:sz w:val="22"/>
              </w:rPr>
              <w:t>CEF (6.25 µg/ml) </w:t>
            </w:r>
            <w:r>
              <w:rPr>
                <w:b/>
                <w:spacing w:val="-2"/>
                <w:sz w:val="22"/>
              </w:rPr>
              <w:t>plate</w:t>
            </w:r>
          </w:p>
        </w:tc>
        <w:tc>
          <w:tcPr>
            <w:tcW w:w="1451" w:type="dxa"/>
            <w:tcBorders>
              <w:top w:val="single" w:sz="4" w:space="0" w:color="000000"/>
              <w:bottom w:val="single" w:sz="4" w:space="0" w:color="000000"/>
            </w:tcBorders>
          </w:tcPr>
          <w:p>
            <w:pPr>
              <w:pStyle w:val="TableParagraph"/>
              <w:spacing w:line="360" w:lineRule="auto"/>
              <w:ind w:left="154" w:right="148"/>
              <w:rPr>
                <w:b/>
                <w:sz w:val="22"/>
              </w:rPr>
            </w:pPr>
            <w:r>
              <w:rPr>
                <w:b/>
                <w:sz w:val="22"/>
              </w:rPr>
              <w:t>No of </w:t>
            </w:r>
            <w:r>
              <w:rPr>
                <w:b/>
                <w:spacing w:val="-2"/>
                <w:sz w:val="22"/>
              </w:rPr>
              <w:t>colonies </w:t>
            </w:r>
            <w:r>
              <w:rPr>
                <w:b/>
                <w:sz w:val="22"/>
              </w:rPr>
              <w:t>counted in Lemon (10 µg/ml)</w:t>
            </w:r>
            <w:r>
              <w:rPr>
                <w:b/>
                <w:spacing w:val="-13"/>
                <w:sz w:val="22"/>
              </w:rPr>
              <w:t> </w:t>
            </w:r>
            <w:r>
              <w:rPr>
                <w:b/>
                <w:sz w:val="22"/>
              </w:rPr>
              <w:t>plate</w:t>
            </w:r>
          </w:p>
        </w:tc>
        <w:tc>
          <w:tcPr>
            <w:tcW w:w="1460" w:type="dxa"/>
            <w:tcBorders>
              <w:top w:val="single" w:sz="4" w:space="0" w:color="000000"/>
              <w:bottom w:val="single" w:sz="4" w:space="0" w:color="000000"/>
            </w:tcBorders>
          </w:tcPr>
          <w:p>
            <w:pPr>
              <w:pStyle w:val="TableParagraph"/>
              <w:spacing w:line="360" w:lineRule="auto"/>
              <w:ind w:left="143" w:right="168"/>
              <w:rPr>
                <w:b/>
                <w:sz w:val="22"/>
              </w:rPr>
            </w:pPr>
            <w:r>
              <w:rPr>
                <w:b/>
                <w:sz w:val="22"/>
              </w:rPr>
              <w:t>No of </w:t>
            </w:r>
            <w:r>
              <w:rPr>
                <w:b/>
                <w:spacing w:val="-2"/>
                <w:sz w:val="22"/>
              </w:rPr>
              <w:t>colonies </w:t>
            </w:r>
            <w:r>
              <w:rPr>
                <w:b/>
                <w:sz w:val="22"/>
              </w:rPr>
              <w:t>counted in Honey (25 µg/ml)</w:t>
            </w:r>
            <w:r>
              <w:rPr>
                <w:b/>
                <w:spacing w:val="-13"/>
                <w:sz w:val="22"/>
              </w:rPr>
              <w:t> </w:t>
            </w:r>
            <w:r>
              <w:rPr>
                <w:b/>
                <w:sz w:val="22"/>
              </w:rPr>
              <w:t>plate</w:t>
            </w:r>
          </w:p>
        </w:tc>
        <w:tc>
          <w:tcPr>
            <w:tcW w:w="1409" w:type="dxa"/>
            <w:tcBorders>
              <w:top w:val="single" w:sz="4" w:space="0" w:color="000000"/>
              <w:bottom w:val="single" w:sz="4" w:space="0" w:color="000000"/>
            </w:tcBorders>
          </w:tcPr>
          <w:p>
            <w:pPr>
              <w:pStyle w:val="TableParagraph"/>
              <w:spacing w:line="360" w:lineRule="auto"/>
              <w:ind w:left="160" w:right="268"/>
              <w:rPr>
                <w:b/>
                <w:sz w:val="22"/>
              </w:rPr>
            </w:pPr>
            <w:r>
              <w:rPr>
                <w:b/>
                <w:sz w:val="22"/>
              </w:rPr>
              <w:t>No of </w:t>
            </w:r>
            <w:r>
              <w:rPr>
                <w:b/>
                <w:spacing w:val="-2"/>
                <w:sz w:val="22"/>
              </w:rPr>
              <w:t>colonies </w:t>
            </w:r>
            <w:r>
              <w:rPr>
                <w:b/>
                <w:sz w:val="22"/>
              </w:rPr>
              <w:t>counted</w:t>
            </w:r>
            <w:r>
              <w:rPr>
                <w:b/>
                <w:spacing w:val="-13"/>
                <w:sz w:val="22"/>
              </w:rPr>
              <w:t> </w:t>
            </w:r>
            <w:r>
              <w:rPr>
                <w:b/>
                <w:sz w:val="22"/>
              </w:rPr>
              <w:t>in H/L (10</w:t>
            </w:r>
          </w:p>
          <w:p>
            <w:pPr>
              <w:pStyle w:val="TableParagraph"/>
              <w:spacing w:line="360" w:lineRule="auto"/>
              <w:ind w:left="160" w:right="616"/>
              <w:rPr>
                <w:b/>
                <w:sz w:val="22"/>
              </w:rPr>
            </w:pPr>
            <w:r>
              <w:rPr>
                <w:b/>
                <w:spacing w:val="-2"/>
                <w:sz w:val="22"/>
              </w:rPr>
              <w:t>µg/ml) plate</w:t>
            </w:r>
          </w:p>
        </w:tc>
      </w:tr>
      <w:tr>
        <w:trPr>
          <w:trHeight w:val="414" w:hRule="atLeast"/>
        </w:trPr>
        <w:tc>
          <w:tcPr>
            <w:tcW w:w="990" w:type="dxa"/>
            <w:tcBorders>
              <w:top w:val="single" w:sz="4" w:space="0" w:color="000000"/>
            </w:tcBorders>
          </w:tcPr>
          <w:p>
            <w:pPr>
              <w:pStyle w:val="TableParagraph"/>
              <w:spacing w:line="268" w:lineRule="exact"/>
              <w:ind w:left="108"/>
              <w:rPr>
                <w:sz w:val="22"/>
              </w:rPr>
            </w:pPr>
            <w:r>
              <w:rPr>
                <w:spacing w:val="-10"/>
                <w:sz w:val="22"/>
              </w:rPr>
              <w:t>0</w:t>
            </w:r>
          </w:p>
        </w:tc>
        <w:tc>
          <w:tcPr>
            <w:tcW w:w="1838" w:type="dxa"/>
            <w:tcBorders>
              <w:top w:val="single" w:sz="4" w:space="0" w:color="000000"/>
            </w:tcBorders>
          </w:tcPr>
          <w:p>
            <w:pPr>
              <w:pStyle w:val="TableParagraph"/>
              <w:spacing w:line="268" w:lineRule="exact"/>
              <w:ind w:left="303"/>
              <w:rPr>
                <w:sz w:val="22"/>
              </w:rPr>
            </w:pPr>
            <w:r>
              <w:rPr>
                <w:spacing w:val="-2"/>
                <w:sz w:val="22"/>
              </w:rPr>
              <w:t>1.6×10</w:t>
            </w:r>
            <w:r>
              <w:rPr>
                <w:spacing w:val="-2"/>
                <w:sz w:val="22"/>
                <w:vertAlign w:val="superscript"/>
              </w:rPr>
              <w:t>4</w:t>
            </w:r>
          </w:p>
        </w:tc>
        <w:tc>
          <w:tcPr>
            <w:tcW w:w="1686" w:type="dxa"/>
            <w:tcBorders>
              <w:top w:val="single" w:sz="4" w:space="0" w:color="000000"/>
            </w:tcBorders>
          </w:tcPr>
          <w:p>
            <w:pPr>
              <w:pStyle w:val="TableParagraph"/>
              <w:spacing w:line="268" w:lineRule="exact"/>
              <w:ind w:left="174"/>
              <w:rPr>
                <w:sz w:val="22"/>
              </w:rPr>
            </w:pPr>
            <w:r>
              <w:rPr>
                <w:spacing w:val="-2"/>
                <w:sz w:val="22"/>
              </w:rPr>
              <w:t>2.1×10</w:t>
            </w:r>
            <w:r>
              <w:rPr>
                <w:spacing w:val="-2"/>
                <w:sz w:val="22"/>
                <w:vertAlign w:val="superscript"/>
              </w:rPr>
              <w:t>5</w:t>
            </w:r>
          </w:p>
        </w:tc>
        <w:tc>
          <w:tcPr>
            <w:tcW w:w="1451" w:type="dxa"/>
            <w:tcBorders>
              <w:top w:val="single" w:sz="4" w:space="0" w:color="000000"/>
            </w:tcBorders>
          </w:tcPr>
          <w:p>
            <w:pPr>
              <w:pStyle w:val="TableParagraph"/>
              <w:spacing w:line="268" w:lineRule="exact"/>
              <w:ind w:left="154"/>
              <w:rPr>
                <w:sz w:val="22"/>
              </w:rPr>
            </w:pPr>
            <w:r>
              <w:rPr>
                <w:spacing w:val="-2"/>
                <w:sz w:val="22"/>
              </w:rPr>
              <w:t>6.7×10</w:t>
            </w:r>
            <w:r>
              <w:rPr>
                <w:spacing w:val="-2"/>
                <w:sz w:val="22"/>
                <w:vertAlign w:val="superscript"/>
              </w:rPr>
              <w:t>4</w:t>
            </w:r>
          </w:p>
        </w:tc>
        <w:tc>
          <w:tcPr>
            <w:tcW w:w="1460" w:type="dxa"/>
            <w:tcBorders>
              <w:top w:val="single" w:sz="4" w:space="0" w:color="000000"/>
            </w:tcBorders>
          </w:tcPr>
          <w:p>
            <w:pPr>
              <w:pStyle w:val="TableParagraph"/>
              <w:spacing w:line="268" w:lineRule="exact"/>
              <w:ind w:left="143"/>
              <w:rPr>
                <w:sz w:val="22"/>
              </w:rPr>
            </w:pPr>
            <w:r>
              <w:rPr>
                <w:spacing w:val="-2"/>
                <w:sz w:val="22"/>
              </w:rPr>
              <w:t>8.1×10</w:t>
            </w:r>
            <w:r>
              <w:rPr>
                <w:spacing w:val="-2"/>
                <w:sz w:val="22"/>
                <w:vertAlign w:val="superscript"/>
              </w:rPr>
              <w:t>5</w:t>
            </w:r>
          </w:p>
        </w:tc>
        <w:tc>
          <w:tcPr>
            <w:tcW w:w="1409" w:type="dxa"/>
            <w:tcBorders>
              <w:top w:val="single" w:sz="4" w:space="0" w:color="000000"/>
            </w:tcBorders>
          </w:tcPr>
          <w:p>
            <w:pPr>
              <w:pStyle w:val="TableParagraph"/>
              <w:spacing w:line="268" w:lineRule="exact"/>
              <w:ind w:left="160"/>
              <w:rPr>
                <w:sz w:val="22"/>
              </w:rPr>
            </w:pPr>
            <w:r>
              <w:rPr>
                <w:spacing w:val="-2"/>
                <w:sz w:val="22"/>
              </w:rPr>
              <w:t>5.6×10</w:t>
            </w:r>
            <w:r>
              <w:rPr>
                <w:spacing w:val="-2"/>
                <w:sz w:val="22"/>
                <w:vertAlign w:val="superscript"/>
              </w:rPr>
              <w:t>4</w:t>
            </w:r>
          </w:p>
        </w:tc>
      </w:tr>
      <w:tr>
        <w:trPr>
          <w:trHeight w:val="562" w:hRule="atLeast"/>
        </w:trPr>
        <w:tc>
          <w:tcPr>
            <w:tcW w:w="990" w:type="dxa"/>
          </w:tcPr>
          <w:p>
            <w:pPr>
              <w:pStyle w:val="TableParagraph"/>
              <w:spacing w:before="146"/>
              <w:ind w:left="108"/>
              <w:rPr>
                <w:sz w:val="22"/>
              </w:rPr>
            </w:pPr>
            <w:r>
              <w:rPr>
                <w:spacing w:val="-5"/>
                <w:sz w:val="22"/>
              </w:rPr>
              <w:t>30</w:t>
            </w:r>
          </w:p>
        </w:tc>
        <w:tc>
          <w:tcPr>
            <w:tcW w:w="1838" w:type="dxa"/>
          </w:tcPr>
          <w:p>
            <w:pPr>
              <w:pStyle w:val="TableParagraph"/>
              <w:spacing w:before="146"/>
              <w:ind w:left="303"/>
              <w:rPr>
                <w:sz w:val="22"/>
              </w:rPr>
            </w:pPr>
            <w:r>
              <w:rPr>
                <w:spacing w:val="-2"/>
                <w:sz w:val="22"/>
              </w:rPr>
              <w:t>1.3.×10</w:t>
            </w:r>
            <w:r>
              <w:rPr>
                <w:spacing w:val="-2"/>
                <w:sz w:val="22"/>
                <w:vertAlign w:val="superscript"/>
              </w:rPr>
              <w:t>4</w:t>
            </w:r>
          </w:p>
        </w:tc>
        <w:tc>
          <w:tcPr>
            <w:tcW w:w="1686" w:type="dxa"/>
          </w:tcPr>
          <w:p>
            <w:pPr>
              <w:pStyle w:val="TableParagraph"/>
              <w:spacing w:before="146"/>
              <w:ind w:left="174"/>
              <w:rPr>
                <w:sz w:val="22"/>
              </w:rPr>
            </w:pPr>
            <w:r>
              <w:rPr>
                <w:spacing w:val="-2"/>
                <w:sz w:val="22"/>
              </w:rPr>
              <w:t>1.6×10</w:t>
            </w:r>
            <w:r>
              <w:rPr>
                <w:spacing w:val="-2"/>
                <w:sz w:val="22"/>
                <w:vertAlign w:val="superscript"/>
              </w:rPr>
              <w:t>5</w:t>
            </w:r>
          </w:p>
        </w:tc>
        <w:tc>
          <w:tcPr>
            <w:tcW w:w="1451" w:type="dxa"/>
          </w:tcPr>
          <w:p>
            <w:pPr>
              <w:pStyle w:val="TableParagraph"/>
              <w:spacing w:before="146"/>
              <w:ind w:left="154"/>
              <w:rPr>
                <w:sz w:val="22"/>
              </w:rPr>
            </w:pPr>
            <w:r>
              <w:rPr>
                <w:spacing w:val="-2"/>
                <w:sz w:val="22"/>
              </w:rPr>
              <w:t>5.3×10</w:t>
            </w:r>
            <w:r>
              <w:rPr>
                <w:spacing w:val="-2"/>
                <w:sz w:val="22"/>
                <w:vertAlign w:val="superscript"/>
              </w:rPr>
              <w:t>4</w:t>
            </w:r>
          </w:p>
        </w:tc>
        <w:tc>
          <w:tcPr>
            <w:tcW w:w="1460" w:type="dxa"/>
          </w:tcPr>
          <w:p>
            <w:pPr>
              <w:pStyle w:val="TableParagraph"/>
              <w:spacing w:before="146"/>
              <w:ind w:left="143"/>
              <w:rPr>
                <w:sz w:val="22"/>
              </w:rPr>
            </w:pPr>
            <w:r>
              <w:rPr>
                <w:spacing w:val="-2"/>
                <w:sz w:val="22"/>
              </w:rPr>
              <w:t>6.4×10</w:t>
            </w:r>
            <w:r>
              <w:rPr>
                <w:spacing w:val="-2"/>
                <w:sz w:val="22"/>
                <w:vertAlign w:val="superscript"/>
              </w:rPr>
              <w:t>5</w:t>
            </w:r>
          </w:p>
        </w:tc>
        <w:tc>
          <w:tcPr>
            <w:tcW w:w="1409" w:type="dxa"/>
          </w:tcPr>
          <w:p>
            <w:pPr>
              <w:pStyle w:val="TableParagraph"/>
              <w:spacing w:before="146"/>
              <w:ind w:left="160"/>
              <w:rPr>
                <w:sz w:val="22"/>
              </w:rPr>
            </w:pPr>
            <w:r>
              <w:rPr>
                <w:spacing w:val="-2"/>
                <w:sz w:val="22"/>
              </w:rPr>
              <w:t>4.1×10</w:t>
            </w:r>
            <w:r>
              <w:rPr>
                <w:spacing w:val="-2"/>
                <w:sz w:val="22"/>
                <w:vertAlign w:val="superscript"/>
              </w:rPr>
              <w:t>4</w:t>
            </w:r>
          </w:p>
        </w:tc>
      </w:tr>
      <w:tr>
        <w:trPr>
          <w:trHeight w:val="562" w:hRule="atLeast"/>
        </w:trPr>
        <w:tc>
          <w:tcPr>
            <w:tcW w:w="990" w:type="dxa"/>
          </w:tcPr>
          <w:p>
            <w:pPr>
              <w:pStyle w:val="TableParagraph"/>
              <w:spacing w:before="147"/>
              <w:ind w:left="108"/>
              <w:rPr>
                <w:sz w:val="22"/>
              </w:rPr>
            </w:pPr>
            <w:r>
              <w:rPr>
                <w:spacing w:val="-5"/>
                <w:sz w:val="22"/>
              </w:rPr>
              <w:t>60</w:t>
            </w:r>
          </w:p>
        </w:tc>
        <w:tc>
          <w:tcPr>
            <w:tcW w:w="1838" w:type="dxa"/>
          </w:tcPr>
          <w:p>
            <w:pPr>
              <w:pStyle w:val="TableParagraph"/>
              <w:spacing w:before="147"/>
              <w:ind w:left="303"/>
              <w:rPr>
                <w:sz w:val="22"/>
              </w:rPr>
            </w:pPr>
            <w:r>
              <w:rPr>
                <w:spacing w:val="-2"/>
                <w:sz w:val="22"/>
              </w:rPr>
              <w:t>3.8×10</w:t>
            </w:r>
            <w:r>
              <w:rPr>
                <w:spacing w:val="-2"/>
                <w:sz w:val="22"/>
                <w:vertAlign w:val="superscript"/>
              </w:rPr>
              <w:t>3</w:t>
            </w:r>
          </w:p>
        </w:tc>
        <w:tc>
          <w:tcPr>
            <w:tcW w:w="1686" w:type="dxa"/>
          </w:tcPr>
          <w:p>
            <w:pPr>
              <w:pStyle w:val="TableParagraph"/>
              <w:spacing w:before="147"/>
              <w:ind w:left="174"/>
              <w:rPr>
                <w:sz w:val="22"/>
              </w:rPr>
            </w:pPr>
            <w:r>
              <w:rPr>
                <w:spacing w:val="-2"/>
                <w:sz w:val="22"/>
              </w:rPr>
              <w:t>6.3×10</w:t>
            </w:r>
            <w:r>
              <w:rPr>
                <w:spacing w:val="-2"/>
                <w:sz w:val="22"/>
                <w:vertAlign w:val="superscript"/>
              </w:rPr>
              <w:t>4</w:t>
            </w:r>
          </w:p>
        </w:tc>
        <w:tc>
          <w:tcPr>
            <w:tcW w:w="1451" w:type="dxa"/>
          </w:tcPr>
          <w:p>
            <w:pPr>
              <w:pStyle w:val="TableParagraph"/>
              <w:spacing w:before="147"/>
              <w:ind w:left="154"/>
              <w:rPr>
                <w:sz w:val="22"/>
              </w:rPr>
            </w:pPr>
            <w:r>
              <w:rPr>
                <w:spacing w:val="-2"/>
                <w:sz w:val="22"/>
              </w:rPr>
              <w:t>2.9×10</w:t>
            </w:r>
            <w:r>
              <w:rPr>
                <w:spacing w:val="-2"/>
                <w:sz w:val="22"/>
                <w:vertAlign w:val="superscript"/>
              </w:rPr>
              <w:t>4</w:t>
            </w:r>
          </w:p>
        </w:tc>
        <w:tc>
          <w:tcPr>
            <w:tcW w:w="1460" w:type="dxa"/>
          </w:tcPr>
          <w:p>
            <w:pPr>
              <w:pStyle w:val="TableParagraph"/>
              <w:spacing w:before="147"/>
              <w:ind w:left="143"/>
              <w:rPr>
                <w:sz w:val="22"/>
              </w:rPr>
            </w:pPr>
            <w:r>
              <w:rPr>
                <w:spacing w:val="-2"/>
                <w:sz w:val="22"/>
              </w:rPr>
              <w:t>3.2×10</w:t>
            </w:r>
            <w:r>
              <w:rPr>
                <w:spacing w:val="-2"/>
                <w:sz w:val="22"/>
                <w:vertAlign w:val="superscript"/>
              </w:rPr>
              <w:t>5</w:t>
            </w:r>
          </w:p>
        </w:tc>
        <w:tc>
          <w:tcPr>
            <w:tcW w:w="1409" w:type="dxa"/>
          </w:tcPr>
          <w:p>
            <w:pPr>
              <w:pStyle w:val="TableParagraph"/>
              <w:spacing w:before="147"/>
              <w:ind w:left="160"/>
              <w:rPr>
                <w:sz w:val="22"/>
              </w:rPr>
            </w:pPr>
            <w:r>
              <w:rPr>
                <w:spacing w:val="-2"/>
                <w:sz w:val="22"/>
              </w:rPr>
              <w:t>1.3×10</w:t>
            </w:r>
            <w:r>
              <w:rPr>
                <w:spacing w:val="-2"/>
                <w:sz w:val="22"/>
                <w:vertAlign w:val="superscript"/>
              </w:rPr>
              <w:t>4</w:t>
            </w:r>
          </w:p>
        </w:tc>
      </w:tr>
      <w:tr>
        <w:trPr>
          <w:trHeight w:val="411" w:hRule="atLeast"/>
        </w:trPr>
        <w:tc>
          <w:tcPr>
            <w:tcW w:w="990" w:type="dxa"/>
          </w:tcPr>
          <w:p>
            <w:pPr>
              <w:pStyle w:val="TableParagraph"/>
              <w:spacing w:line="245" w:lineRule="exact" w:before="146"/>
              <w:ind w:left="108"/>
              <w:rPr>
                <w:sz w:val="22"/>
              </w:rPr>
            </w:pPr>
            <w:r>
              <w:rPr>
                <w:spacing w:val="-5"/>
                <w:sz w:val="22"/>
              </w:rPr>
              <w:t>90</w:t>
            </w:r>
          </w:p>
        </w:tc>
        <w:tc>
          <w:tcPr>
            <w:tcW w:w="1838" w:type="dxa"/>
          </w:tcPr>
          <w:p>
            <w:pPr>
              <w:pStyle w:val="TableParagraph"/>
              <w:spacing w:line="245" w:lineRule="exact" w:before="146"/>
              <w:ind w:left="303"/>
              <w:rPr>
                <w:sz w:val="22"/>
              </w:rPr>
            </w:pPr>
            <w:r>
              <w:rPr>
                <w:spacing w:val="-2"/>
                <w:sz w:val="22"/>
              </w:rPr>
              <w:t>2.0×10</w:t>
            </w:r>
            <w:r>
              <w:rPr>
                <w:spacing w:val="-2"/>
                <w:sz w:val="22"/>
                <w:vertAlign w:val="superscript"/>
              </w:rPr>
              <w:t>3</w:t>
            </w:r>
          </w:p>
        </w:tc>
        <w:tc>
          <w:tcPr>
            <w:tcW w:w="1686" w:type="dxa"/>
          </w:tcPr>
          <w:p>
            <w:pPr>
              <w:pStyle w:val="TableParagraph"/>
              <w:spacing w:line="245" w:lineRule="exact" w:before="146"/>
              <w:ind w:left="174"/>
              <w:rPr>
                <w:sz w:val="22"/>
              </w:rPr>
            </w:pPr>
            <w:r>
              <w:rPr>
                <w:spacing w:val="-2"/>
                <w:sz w:val="22"/>
              </w:rPr>
              <w:t>5.9×10</w:t>
            </w:r>
            <w:r>
              <w:rPr>
                <w:spacing w:val="-2"/>
                <w:sz w:val="22"/>
                <w:vertAlign w:val="superscript"/>
              </w:rPr>
              <w:t>3</w:t>
            </w:r>
          </w:p>
        </w:tc>
        <w:tc>
          <w:tcPr>
            <w:tcW w:w="1451" w:type="dxa"/>
          </w:tcPr>
          <w:p>
            <w:pPr>
              <w:pStyle w:val="TableParagraph"/>
              <w:spacing w:line="245" w:lineRule="exact" w:before="146"/>
              <w:ind w:left="154"/>
              <w:rPr>
                <w:sz w:val="22"/>
              </w:rPr>
            </w:pPr>
            <w:r>
              <w:rPr>
                <w:spacing w:val="-2"/>
                <w:sz w:val="22"/>
              </w:rPr>
              <w:t>7.0×10</w:t>
            </w:r>
            <w:r>
              <w:rPr>
                <w:spacing w:val="-2"/>
                <w:sz w:val="22"/>
                <w:vertAlign w:val="superscript"/>
              </w:rPr>
              <w:t>3</w:t>
            </w:r>
          </w:p>
        </w:tc>
        <w:tc>
          <w:tcPr>
            <w:tcW w:w="1460" w:type="dxa"/>
          </w:tcPr>
          <w:p>
            <w:pPr>
              <w:pStyle w:val="TableParagraph"/>
              <w:spacing w:line="245" w:lineRule="exact" w:before="146"/>
              <w:ind w:left="143"/>
              <w:rPr>
                <w:sz w:val="22"/>
              </w:rPr>
            </w:pPr>
            <w:r>
              <w:rPr>
                <w:spacing w:val="-2"/>
                <w:sz w:val="22"/>
              </w:rPr>
              <w:t>8.3×10</w:t>
            </w:r>
            <w:r>
              <w:rPr>
                <w:spacing w:val="-2"/>
                <w:sz w:val="22"/>
                <w:vertAlign w:val="superscript"/>
              </w:rPr>
              <w:t>4</w:t>
            </w:r>
          </w:p>
        </w:tc>
        <w:tc>
          <w:tcPr>
            <w:tcW w:w="1409" w:type="dxa"/>
          </w:tcPr>
          <w:p>
            <w:pPr>
              <w:pStyle w:val="TableParagraph"/>
              <w:spacing w:line="245" w:lineRule="exact" w:before="146"/>
              <w:ind w:left="160"/>
              <w:rPr>
                <w:sz w:val="22"/>
              </w:rPr>
            </w:pPr>
            <w:r>
              <w:rPr>
                <w:spacing w:val="-2"/>
                <w:sz w:val="22"/>
              </w:rPr>
              <w:t>9.1×10</w:t>
            </w:r>
            <w:r>
              <w:rPr>
                <w:spacing w:val="-2"/>
                <w:sz w:val="22"/>
                <w:vertAlign w:val="superscript"/>
              </w:rPr>
              <w:t>3</w:t>
            </w:r>
          </w:p>
        </w:tc>
      </w:tr>
    </w:tbl>
    <w:p>
      <w:pPr>
        <w:spacing w:after="0" w:line="245" w:lineRule="exact"/>
        <w:rPr>
          <w:sz w:val="22"/>
        </w:rPr>
        <w:sectPr>
          <w:pgSz w:w="11910" w:h="16840"/>
          <w:pgMar w:header="0" w:footer="1055" w:top="1380" w:bottom="1820" w:left="1060" w:right="460"/>
        </w:sect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7"/>
        <w:gridCol w:w="1567"/>
        <w:gridCol w:w="1689"/>
        <w:gridCol w:w="1554"/>
        <w:gridCol w:w="1460"/>
        <w:gridCol w:w="1132"/>
      </w:tblGrid>
      <w:tr>
        <w:trPr>
          <w:trHeight w:val="412" w:hRule="atLeast"/>
        </w:trPr>
        <w:tc>
          <w:tcPr>
            <w:tcW w:w="867" w:type="dxa"/>
          </w:tcPr>
          <w:p>
            <w:pPr>
              <w:pStyle w:val="TableParagraph"/>
              <w:spacing w:line="264" w:lineRule="exact"/>
              <w:ind w:left="50"/>
              <w:rPr>
                <w:sz w:val="22"/>
              </w:rPr>
            </w:pPr>
            <w:r>
              <w:rPr>
                <w:spacing w:val="-5"/>
                <w:sz w:val="22"/>
              </w:rPr>
              <w:t>120</w:t>
            </w:r>
          </w:p>
        </w:tc>
        <w:tc>
          <w:tcPr>
            <w:tcW w:w="1567" w:type="dxa"/>
          </w:tcPr>
          <w:p>
            <w:pPr>
              <w:pStyle w:val="TableParagraph"/>
              <w:spacing w:line="264" w:lineRule="exact"/>
              <w:ind w:left="368"/>
              <w:rPr>
                <w:sz w:val="22"/>
              </w:rPr>
            </w:pPr>
            <w:r>
              <w:rPr>
                <w:spacing w:val="-2"/>
                <w:sz w:val="22"/>
              </w:rPr>
              <w:t>1.7×10</w:t>
            </w:r>
            <w:r>
              <w:rPr>
                <w:spacing w:val="-2"/>
                <w:sz w:val="22"/>
                <w:vertAlign w:val="superscript"/>
              </w:rPr>
              <w:t>3</w:t>
            </w:r>
          </w:p>
        </w:tc>
        <w:tc>
          <w:tcPr>
            <w:tcW w:w="1689" w:type="dxa"/>
          </w:tcPr>
          <w:p>
            <w:pPr>
              <w:pStyle w:val="TableParagraph"/>
              <w:spacing w:line="264" w:lineRule="exact"/>
              <w:ind w:left="17"/>
              <w:jc w:val="center"/>
              <w:rPr>
                <w:sz w:val="22"/>
              </w:rPr>
            </w:pPr>
            <w:r>
              <w:rPr>
                <w:spacing w:val="-2"/>
                <w:sz w:val="22"/>
              </w:rPr>
              <w:t>3.7×10</w:t>
            </w:r>
            <w:r>
              <w:rPr>
                <w:spacing w:val="-2"/>
                <w:sz w:val="22"/>
                <w:vertAlign w:val="superscript"/>
              </w:rPr>
              <w:t>3</w:t>
            </w:r>
          </w:p>
        </w:tc>
        <w:tc>
          <w:tcPr>
            <w:tcW w:w="1554" w:type="dxa"/>
          </w:tcPr>
          <w:p>
            <w:pPr>
              <w:pStyle w:val="TableParagraph"/>
              <w:spacing w:line="264" w:lineRule="exact"/>
              <w:ind w:right="379"/>
              <w:jc w:val="right"/>
              <w:rPr>
                <w:sz w:val="22"/>
              </w:rPr>
            </w:pPr>
            <w:r>
              <w:rPr>
                <w:spacing w:val="-2"/>
                <w:sz w:val="22"/>
              </w:rPr>
              <w:t>6.3×10</w:t>
            </w:r>
            <w:r>
              <w:rPr>
                <w:spacing w:val="-2"/>
                <w:sz w:val="22"/>
                <w:vertAlign w:val="superscript"/>
              </w:rPr>
              <w:t>3</w:t>
            </w:r>
          </w:p>
        </w:tc>
        <w:tc>
          <w:tcPr>
            <w:tcW w:w="1460" w:type="dxa"/>
          </w:tcPr>
          <w:p>
            <w:pPr>
              <w:pStyle w:val="TableParagraph"/>
              <w:spacing w:line="264" w:lineRule="exact"/>
              <w:ind w:right="24"/>
              <w:jc w:val="center"/>
              <w:rPr>
                <w:sz w:val="22"/>
              </w:rPr>
            </w:pPr>
            <w:r>
              <w:rPr>
                <w:spacing w:val="-2"/>
                <w:sz w:val="22"/>
              </w:rPr>
              <w:t>3.7×10</w:t>
            </w:r>
            <w:r>
              <w:rPr>
                <w:spacing w:val="-2"/>
                <w:sz w:val="22"/>
                <w:vertAlign w:val="superscript"/>
              </w:rPr>
              <w:t>4</w:t>
            </w:r>
          </w:p>
        </w:tc>
        <w:tc>
          <w:tcPr>
            <w:tcW w:w="1132" w:type="dxa"/>
          </w:tcPr>
          <w:p>
            <w:pPr>
              <w:pStyle w:val="TableParagraph"/>
              <w:spacing w:line="264" w:lineRule="exact"/>
              <w:ind w:right="54"/>
              <w:jc w:val="right"/>
              <w:rPr>
                <w:sz w:val="22"/>
              </w:rPr>
            </w:pPr>
            <w:r>
              <w:rPr>
                <w:spacing w:val="-2"/>
                <w:sz w:val="22"/>
              </w:rPr>
              <w:t>8.0×10</w:t>
            </w:r>
            <w:r>
              <w:rPr>
                <w:spacing w:val="-2"/>
                <w:sz w:val="22"/>
                <w:vertAlign w:val="superscript"/>
              </w:rPr>
              <w:t>3</w:t>
            </w:r>
          </w:p>
        </w:tc>
      </w:tr>
      <w:tr>
        <w:trPr>
          <w:trHeight w:val="562" w:hRule="atLeast"/>
        </w:trPr>
        <w:tc>
          <w:tcPr>
            <w:tcW w:w="867" w:type="dxa"/>
          </w:tcPr>
          <w:p>
            <w:pPr>
              <w:pStyle w:val="TableParagraph"/>
              <w:spacing w:before="147"/>
              <w:ind w:left="50"/>
              <w:rPr>
                <w:sz w:val="22"/>
              </w:rPr>
            </w:pPr>
            <w:r>
              <w:rPr>
                <w:spacing w:val="-5"/>
                <w:sz w:val="22"/>
              </w:rPr>
              <w:t>240</w:t>
            </w:r>
          </w:p>
        </w:tc>
        <w:tc>
          <w:tcPr>
            <w:tcW w:w="1567" w:type="dxa"/>
          </w:tcPr>
          <w:p>
            <w:pPr>
              <w:pStyle w:val="TableParagraph"/>
              <w:spacing w:before="147"/>
              <w:ind w:left="368"/>
              <w:rPr>
                <w:sz w:val="22"/>
              </w:rPr>
            </w:pPr>
            <w:r>
              <w:rPr>
                <w:spacing w:val="-2"/>
                <w:sz w:val="22"/>
              </w:rPr>
              <w:t>1.4×10</w:t>
            </w:r>
            <w:r>
              <w:rPr>
                <w:spacing w:val="-2"/>
                <w:sz w:val="22"/>
                <w:vertAlign w:val="superscript"/>
              </w:rPr>
              <w:t>4</w:t>
            </w:r>
          </w:p>
        </w:tc>
        <w:tc>
          <w:tcPr>
            <w:tcW w:w="1689" w:type="dxa"/>
          </w:tcPr>
          <w:p>
            <w:pPr>
              <w:pStyle w:val="TableParagraph"/>
              <w:spacing w:before="147"/>
              <w:ind w:left="17"/>
              <w:jc w:val="center"/>
              <w:rPr>
                <w:sz w:val="22"/>
              </w:rPr>
            </w:pPr>
            <w:r>
              <w:rPr>
                <w:spacing w:val="-2"/>
                <w:sz w:val="22"/>
              </w:rPr>
              <w:t>5.2×10</w:t>
            </w:r>
            <w:r>
              <w:rPr>
                <w:spacing w:val="-2"/>
                <w:sz w:val="22"/>
                <w:vertAlign w:val="superscript"/>
              </w:rPr>
              <w:t>4</w:t>
            </w:r>
          </w:p>
        </w:tc>
        <w:tc>
          <w:tcPr>
            <w:tcW w:w="1554" w:type="dxa"/>
          </w:tcPr>
          <w:p>
            <w:pPr>
              <w:pStyle w:val="TableParagraph"/>
              <w:spacing w:before="147"/>
              <w:ind w:right="379"/>
              <w:jc w:val="right"/>
              <w:rPr>
                <w:sz w:val="22"/>
              </w:rPr>
            </w:pPr>
            <w:r>
              <w:rPr>
                <w:spacing w:val="-2"/>
                <w:sz w:val="22"/>
              </w:rPr>
              <w:t>7.2×10</w:t>
            </w:r>
            <w:r>
              <w:rPr>
                <w:spacing w:val="-2"/>
                <w:sz w:val="22"/>
                <w:vertAlign w:val="superscript"/>
              </w:rPr>
              <w:t>4</w:t>
            </w:r>
          </w:p>
        </w:tc>
        <w:tc>
          <w:tcPr>
            <w:tcW w:w="1460" w:type="dxa"/>
          </w:tcPr>
          <w:p>
            <w:pPr>
              <w:pStyle w:val="TableParagraph"/>
              <w:spacing w:before="147"/>
              <w:ind w:right="24"/>
              <w:jc w:val="center"/>
              <w:rPr>
                <w:sz w:val="22"/>
              </w:rPr>
            </w:pPr>
            <w:r>
              <w:rPr>
                <w:spacing w:val="-2"/>
                <w:sz w:val="22"/>
              </w:rPr>
              <w:t>8.0×10</w:t>
            </w:r>
            <w:r>
              <w:rPr>
                <w:spacing w:val="-2"/>
                <w:sz w:val="22"/>
                <w:vertAlign w:val="superscript"/>
              </w:rPr>
              <w:t>4</w:t>
            </w:r>
          </w:p>
        </w:tc>
        <w:tc>
          <w:tcPr>
            <w:tcW w:w="1132" w:type="dxa"/>
          </w:tcPr>
          <w:p>
            <w:pPr>
              <w:pStyle w:val="TableParagraph"/>
              <w:spacing w:before="147"/>
              <w:ind w:right="54"/>
              <w:jc w:val="right"/>
              <w:rPr>
                <w:sz w:val="22"/>
              </w:rPr>
            </w:pPr>
            <w:r>
              <w:rPr>
                <w:spacing w:val="-2"/>
                <w:sz w:val="22"/>
              </w:rPr>
              <w:t>5.1×10</w:t>
            </w:r>
            <w:r>
              <w:rPr>
                <w:spacing w:val="-2"/>
                <w:sz w:val="22"/>
                <w:vertAlign w:val="superscript"/>
              </w:rPr>
              <w:t>3</w:t>
            </w:r>
          </w:p>
        </w:tc>
      </w:tr>
      <w:tr>
        <w:trPr>
          <w:trHeight w:val="562" w:hRule="atLeast"/>
        </w:trPr>
        <w:tc>
          <w:tcPr>
            <w:tcW w:w="867" w:type="dxa"/>
          </w:tcPr>
          <w:p>
            <w:pPr>
              <w:pStyle w:val="TableParagraph"/>
              <w:spacing w:before="146"/>
              <w:ind w:left="50"/>
              <w:rPr>
                <w:sz w:val="22"/>
              </w:rPr>
            </w:pPr>
            <w:r>
              <w:rPr>
                <w:spacing w:val="-5"/>
                <w:sz w:val="22"/>
              </w:rPr>
              <w:t>360</w:t>
            </w:r>
          </w:p>
        </w:tc>
        <w:tc>
          <w:tcPr>
            <w:tcW w:w="1567" w:type="dxa"/>
          </w:tcPr>
          <w:p>
            <w:pPr>
              <w:pStyle w:val="TableParagraph"/>
              <w:spacing w:before="146"/>
              <w:ind w:left="368"/>
              <w:rPr>
                <w:sz w:val="22"/>
              </w:rPr>
            </w:pPr>
            <w:r>
              <w:rPr>
                <w:spacing w:val="-2"/>
                <w:sz w:val="22"/>
              </w:rPr>
              <w:t>3.4×10</w:t>
            </w:r>
            <w:r>
              <w:rPr>
                <w:spacing w:val="-2"/>
                <w:sz w:val="22"/>
                <w:vertAlign w:val="superscript"/>
              </w:rPr>
              <w:t>4</w:t>
            </w:r>
          </w:p>
        </w:tc>
        <w:tc>
          <w:tcPr>
            <w:tcW w:w="1689" w:type="dxa"/>
          </w:tcPr>
          <w:p>
            <w:pPr>
              <w:pStyle w:val="TableParagraph"/>
              <w:spacing w:before="146"/>
              <w:ind w:left="17"/>
              <w:jc w:val="center"/>
              <w:rPr>
                <w:sz w:val="22"/>
              </w:rPr>
            </w:pPr>
            <w:r>
              <w:rPr>
                <w:spacing w:val="-2"/>
                <w:sz w:val="22"/>
              </w:rPr>
              <w:t>3.0×10</w:t>
            </w:r>
            <w:r>
              <w:rPr>
                <w:spacing w:val="-2"/>
                <w:sz w:val="22"/>
                <w:vertAlign w:val="superscript"/>
              </w:rPr>
              <w:t>5</w:t>
            </w:r>
          </w:p>
        </w:tc>
        <w:tc>
          <w:tcPr>
            <w:tcW w:w="1554" w:type="dxa"/>
          </w:tcPr>
          <w:p>
            <w:pPr>
              <w:pStyle w:val="TableParagraph"/>
              <w:spacing w:before="146"/>
              <w:ind w:right="379"/>
              <w:jc w:val="right"/>
              <w:rPr>
                <w:sz w:val="22"/>
              </w:rPr>
            </w:pPr>
            <w:r>
              <w:rPr>
                <w:spacing w:val="-2"/>
                <w:sz w:val="22"/>
              </w:rPr>
              <w:t>1.4×10</w:t>
            </w:r>
            <w:r>
              <w:rPr>
                <w:spacing w:val="-2"/>
                <w:sz w:val="22"/>
                <w:vertAlign w:val="superscript"/>
              </w:rPr>
              <w:t>4</w:t>
            </w:r>
          </w:p>
        </w:tc>
        <w:tc>
          <w:tcPr>
            <w:tcW w:w="1460" w:type="dxa"/>
          </w:tcPr>
          <w:p>
            <w:pPr>
              <w:pStyle w:val="TableParagraph"/>
              <w:spacing w:before="146"/>
              <w:ind w:right="24"/>
              <w:jc w:val="center"/>
              <w:rPr>
                <w:sz w:val="22"/>
              </w:rPr>
            </w:pPr>
            <w:r>
              <w:rPr>
                <w:spacing w:val="-2"/>
                <w:sz w:val="22"/>
              </w:rPr>
              <w:t>4.1×10</w:t>
            </w:r>
            <w:r>
              <w:rPr>
                <w:spacing w:val="-2"/>
                <w:sz w:val="22"/>
                <w:vertAlign w:val="superscript"/>
              </w:rPr>
              <w:t>5</w:t>
            </w:r>
          </w:p>
        </w:tc>
        <w:tc>
          <w:tcPr>
            <w:tcW w:w="1132" w:type="dxa"/>
          </w:tcPr>
          <w:p>
            <w:pPr>
              <w:pStyle w:val="TableParagraph"/>
              <w:spacing w:before="146"/>
              <w:ind w:right="54"/>
              <w:jc w:val="right"/>
              <w:rPr>
                <w:sz w:val="22"/>
              </w:rPr>
            </w:pPr>
            <w:r>
              <w:rPr>
                <w:spacing w:val="-2"/>
                <w:sz w:val="22"/>
              </w:rPr>
              <w:t>3.3×10</w:t>
            </w:r>
            <w:r>
              <w:rPr>
                <w:spacing w:val="-2"/>
                <w:sz w:val="22"/>
                <w:vertAlign w:val="superscript"/>
              </w:rPr>
              <w:t>4</w:t>
            </w:r>
          </w:p>
        </w:tc>
      </w:tr>
      <w:tr>
        <w:trPr>
          <w:trHeight w:val="412" w:hRule="atLeast"/>
        </w:trPr>
        <w:tc>
          <w:tcPr>
            <w:tcW w:w="867" w:type="dxa"/>
          </w:tcPr>
          <w:p>
            <w:pPr>
              <w:pStyle w:val="TableParagraph"/>
              <w:spacing w:line="245" w:lineRule="exact" w:before="147"/>
              <w:ind w:left="50"/>
              <w:rPr>
                <w:sz w:val="22"/>
              </w:rPr>
            </w:pPr>
            <w:r>
              <w:rPr>
                <w:spacing w:val="-4"/>
                <w:sz w:val="22"/>
              </w:rPr>
              <w:t>1440</w:t>
            </w:r>
          </w:p>
        </w:tc>
        <w:tc>
          <w:tcPr>
            <w:tcW w:w="1567" w:type="dxa"/>
          </w:tcPr>
          <w:p>
            <w:pPr>
              <w:pStyle w:val="TableParagraph"/>
              <w:spacing w:line="245" w:lineRule="exact" w:before="147"/>
              <w:ind w:left="368"/>
              <w:rPr>
                <w:sz w:val="22"/>
              </w:rPr>
            </w:pPr>
            <w:r>
              <w:rPr>
                <w:spacing w:val="-2"/>
                <w:sz w:val="22"/>
              </w:rPr>
              <w:t>1.7×10</w:t>
            </w:r>
            <w:r>
              <w:rPr>
                <w:spacing w:val="-2"/>
                <w:sz w:val="22"/>
                <w:vertAlign w:val="superscript"/>
              </w:rPr>
              <w:t>5</w:t>
            </w:r>
          </w:p>
        </w:tc>
        <w:tc>
          <w:tcPr>
            <w:tcW w:w="1689" w:type="dxa"/>
          </w:tcPr>
          <w:p>
            <w:pPr>
              <w:pStyle w:val="TableParagraph"/>
              <w:spacing w:line="245" w:lineRule="exact" w:before="147"/>
              <w:ind w:left="17"/>
              <w:jc w:val="center"/>
              <w:rPr>
                <w:sz w:val="22"/>
              </w:rPr>
            </w:pPr>
            <w:r>
              <w:rPr>
                <w:spacing w:val="-2"/>
                <w:sz w:val="22"/>
              </w:rPr>
              <w:t>3.4×10</w:t>
            </w:r>
            <w:r>
              <w:rPr>
                <w:spacing w:val="-2"/>
                <w:sz w:val="22"/>
                <w:vertAlign w:val="superscript"/>
              </w:rPr>
              <w:t>5</w:t>
            </w:r>
          </w:p>
        </w:tc>
        <w:tc>
          <w:tcPr>
            <w:tcW w:w="1554" w:type="dxa"/>
          </w:tcPr>
          <w:p>
            <w:pPr>
              <w:pStyle w:val="TableParagraph"/>
              <w:spacing w:line="245" w:lineRule="exact" w:before="147"/>
              <w:ind w:right="379"/>
              <w:jc w:val="right"/>
              <w:rPr>
                <w:sz w:val="22"/>
              </w:rPr>
            </w:pPr>
            <w:r>
              <w:rPr>
                <w:spacing w:val="-2"/>
                <w:sz w:val="22"/>
              </w:rPr>
              <w:t>1.0×10</w:t>
            </w:r>
            <w:r>
              <w:rPr>
                <w:spacing w:val="-2"/>
                <w:sz w:val="22"/>
                <w:vertAlign w:val="superscript"/>
              </w:rPr>
              <w:t>5</w:t>
            </w:r>
          </w:p>
        </w:tc>
        <w:tc>
          <w:tcPr>
            <w:tcW w:w="1460" w:type="dxa"/>
          </w:tcPr>
          <w:p>
            <w:pPr>
              <w:pStyle w:val="TableParagraph"/>
              <w:spacing w:line="245" w:lineRule="exact" w:before="147"/>
              <w:ind w:right="24"/>
              <w:jc w:val="center"/>
              <w:rPr>
                <w:sz w:val="22"/>
              </w:rPr>
            </w:pPr>
            <w:r>
              <w:rPr>
                <w:spacing w:val="-2"/>
                <w:sz w:val="22"/>
              </w:rPr>
              <w:t>3.1×10</w:t>
            </w:r>
            <w:r>
              <w:rPr>
                <w:spacing w:val="-2"/>
                <w:sz w:val="22"/>
                <w:vertAlign w:val="superscript"/>
              </w:rPr>
              <w:t>6</w:t>
            </w:r>
          </w:p>
        </w:tc>
        <w:tc>
          <w:tcPr>
            <w:tcW w:w="1132" w:type="dxa"/>
          </w:tcPr>
          <w:p>
            <w:pPr>
              <w:pStyle w:val="TableParagraph"/>
              <w:spacing w:line="245" w:lineRule="exact" w:before="147"/>
              <w:ind w:right="54"/>
              <w:jc w:val="right"/>
              <w:rPr>
                <w:sz w:val="22"/>
              </w:rPr>
            </w:pPr>
            <w:r>
              <w:rPr>
                <w:spacing w:val="-2"/>
                <w:sz w:val="22"/>
              </w:rPr>
              <w:t>5.8×10</w:t>
            </w:r>
            <w:r>
              <w:rPr>
                <w:spacing w:val="-2"/>
                <w:sz w:val="22"/>
                <w:vertAlign w:val="superscript"/>
              </w:rPr>
              <w:t>4</w:t>
            </w:r>
          </w:p>
        </w:tc>
      </w:tr>
    </w:tbl>
    <w:p>
      <w:pPr>
        <w:pStyle w:val="BodyText"/>
        <w:spacing w:before="57"/>
        <w:rPr>
          <w:b/>
          <w:sz w:val="20"/>
        </w:rPr>
      </w:pPr>
      <w:r>
        <w:rPr/>
        <mc:AlternateContent>
          <mc:Choice Requires="wps">
            <w:drawing>
              <wp:anchor distT="0" distB="0" distL="0" distR="0" allowOverlap="1" layoutInCell="1" locked="0" behindDoc="1" simplePos="0" relativeHeight="487677440">
                <wp:simplePos x="0" y="0"/>
                <wp:positionH relativeFrom="page">
                  <wp:posOffset>836980</wp:posOffset>
                </wp:positionH>
                <wp:positionV relativeFrom="paragraph">
                  <wp:posOffset>206501</wp:posOffset>
                </wp:positionV>
                <wp:extent cx="5614670" cy="6350"/>
                <wp:effectExtent l="0" t="0" r="0" b="0"/>
                <wp:wrapTopAndBottom/>
                <wp:docPr id="495" name="Graphic 495"/>
                <wp:cNvGraphicFramePr>
                  <a:graphicFrameLocks/>
                </wp:cNvGraphicFramePr>
                <a:graphic>
                  <a:graphicData uri="http://schemas.microsoft.com/office/word/2010/wordprocessingShape">
                    <wps:wsp>
                      <wps:cNvPr id="495" name="Graphic 495"/>
                      <wps:cNvSpPr/>
                      <wps:spPr>
                        <a:xfrm>
                          <a:off x="0" y="0"/>
                          <a:ext cx="5614670" cy="6350"/>
                        </a:xfrm>
                        <a:custGeom>
                          <a:avLst/>
                          <a:gdLst/>
                          <a:ahLst/>
                          <a:cxnLst/>
                          <a:rect l="l" t="t" r="r" b="b"/>
                          <a:pathLst>
                            <a:path w="5614670" h="6350">
                              <a:moveTo>
                                <a:pt x="5614162" y="0"/>
                              </a:moveTo>
                              <a:lnTo>
                                <a:pt x="5614162" y="0"/>
                              </a:lnTo>
                              <a:lnTo>
                                <a:pt x="0" y="0"/>
                              </a:lnTo>
                              <a:lnTo>
                                <a:pt x="0" y="6096"/>
                              </a:lnTo>
                              <a:lnTo>
                                <a:pt x="5614162" y="6096"/>
                              </a:lnTo>
                              <a:lnTo>
                                <a:pt x="56141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903999pt;margin-top:16.25997pt;width:442.060021pt;height:.48pt;mso-position-horizontal-relative:page;mso-position-vertical-relative:paragraph;z-index:-15639040;mso-wrap-distance-left:0;mso-wrap-distance-right:0" id="docshape440" filled="true" fillcolor="#000000" stroked="false">
                <v:fill type="solid"/>
                <w10:wrap type="topAndBottom"/>
              </v:rect>
            </w:pict>
          </mc:Fallback>
        </mc:AlternateContent>
      </w:r>
    </w:p>
    <w:p>
      <w:pPr>
        <w:pStyle w:val="BodyText"/>
        <w:spacing w:line="360" w:lineRule="auto"/>
        <w:ind w:left="380" w:right="975"/>
      </w:pPr>
      <w:r>
        <w:rPr>
          <w:b/>
        </w:rPr>
        <w:t>Key:</w:t>
      </w:r>
      <w:r>
        <w:rPr>
          <w:b/>
          <w:spacing w:val="-6"/>
        </w:rPr>
        <w:t> </w:t>
      </w:r>
      <w:r>
        <w:rPr/>
        <w:t>Sp=Sputum,</w:t>
      </w:r>
      <w:r>
        <w:rPr>
          <w:spacing w:val="-7"/>
        </w:rPr>
        <w:t> </w:t>
      </w:r>
      <w:r>
        <w:rPr/>
        <w:t>MIC=Minimum</w:t>
      </w:r>
      <w:r>
        <w:rPr>
          <w:spacing w:val="-7"/>
        </w:rPr>
        <w:t> </w:t>
      </w:r>
      <w:r>
        <w:rPr/>
        <w:t>Inhibitory</w:t>
      </w:r>
      <w:r>
        <w:rPr>
          <w:spacing w:val="-7"/>
        </w:rPr>
        <w:t> </w:t>
      </w:r>
      <w:r>
        <w:rPr/>
        <w:t>Concentration,</w:t>
      </w:r>
      <w:r>
        <w:rPr>
          <w:spacing w:val="-6"/>
        </w:rPr>
        <w:t> </w:t>
      </w:r>
      <w:r>
        <w:rPr/>
        <w:t>LEV=Levofloxacin,</w:t>
      </w:r>
      <w:r>
        <w:rPr>
          <w:spacing w:val="-7"/>
        </w:rPr>
        <w:t> </w:t>
      </w:r>
      <w:r>
        <w:rPr/>
        <w:t>CEF=Ceftriaxone, H=Honey, L=Lemon juice.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1"/>
      </w:pPr>
    </w:p>
    <w:p>
      <w:pPr>
        <w:spacing w:before="0"/>
        <w:ind w:left="757" w:right="0" w:firstLine="0"/>
        <w:jc w:val="left"/>
        <w:rPr>
          <w:b/>
          <w:sz w:val="22"/>
        </w:rPr>
      </w:pPr>
      <w:r>
        <w:rPr>
          <w:b/>
          <w:sz w:val="22"/>
        </w:rPr>
        <w:t>Rate</w:t>
      </w:r>
      <w:r>
        <w:rPr>
          <w:b/>
          <w:spacing w:val="-9"/>
          <w:sz w:val="22"/>
        </w:rPr>
        <w:t> </w:t>
      </w:r>
      <w:r>
        <w:rPr>
          <w:b/>
          <w:sz w:val="22"/>
        </w:rPr>
        <w:t>of</w:t>
      </w:r>
      <w:r>
        <w:rPr>
          <w:b/>
          <w:spacing w:val="-4"/>
          <w:sz w:val="22"/>
        </w:rPr>
        <w:t> </w:t>
      </w:r>
      <w:r>
        <w:rPr>
          <w:b/>
          <w:sz w:val="22"/>
        </w:rPr>
        <w:t>kill</w:t>
      </w:r>
      <w:r>
        <w:rPr>
          <w:b/>
          <w:spacing w:val="-6"/>
          <w:sz w:val="22"/>
        </w:rPr>
        <w:t> </w:t>
      </w:r>
      <w:r>
        <w:rPr>
          <w:b/>
          <w:sz w:val="22"/>
        </w:rPr>
        <w:t>(below</w:t>
      </w:r>
      <w:r>
        <w:rPr>
          <w:b/>
          <w:spacing w:val="-4"/>
          <w:sz w:val="22"/>
        </w:rPr>
        <w:t> </w:t>
      </w:r>
      <w:r>
        <w:rPr>
          <w:b/>
          <w:sz w:val="22"/>
        </w:rPr>
        <w:t>average</w:t>
      </w:r>
      <w:r>
        <w:rPr>
          <w:b/>
          <w:spacing w:val="-4"/>
          <w:sz w:val="22"/>
        </w:rPr>
        <w:t> </w:t>
      </w:r>
      <w:r>
        <w:rPr>
          <w:b/>
          <w:sz w:val="22"/>
        </w:rPr>
        <w:t>MIC</w:t>
      </w:r>
      <w:r>
        <w:rPr>
          <w:b/>
          <w:spacing w:val="-6"/>
          <w:sz w:val="22"/>
        </w:rPr>
        <w:t> </w:t>
      </w:r>
      <w:r>
        <w:rPr>
          <w:b/>
          <w:sz w:val="22"/>
        </w:rPr>
        <w:t>values)</w:t>
      </w:r>
      <w:r>
        <w:rPr>
          <w:b/>
          <w:spacing w:val="-5"/>
          <w:sz w:val="22"/>
        </w:rPr>
        <w:t> </w:t>
      </w:r>
      <w:r>
        <w:rPr>
          <w:b/>
          <w:sz w:val="22"/>
        </w:rPr>
        <w:t>for</w:t>
      </w:r>
      <w:r>
        <w:rPr>
          <w:b/>
          <w:spacing w:val="-4"/>
          <w:sz w:val="22"/>
        </w:rPr>
        <w:t> </w:t>
      </w:r>
      <w:r>
        <w:rPr>
          <w:b/>
          <w:i/>
          <w:sz w:val="22"/>
        </w:rPr>
        <w:t>Streptococcus</w:t>
      </w:r>
      <w:r>
        <w:rPr>
          <w:b/>
          <w:i/>
          <w:spacing w:val="-7"/>
          <w:sz w:val="22"/>
        </w:rPr>
        <w:t> </w:t>
      </w:r>
      <w:r>
        <w:rPr>
          <w:b/>
          <w:i/>
          <w:sz w:val="22"/>
        </w:rPr>
        <w:t>pneumoniae_</w:t>
      </w:r>
      <w:r>
        <w:rPr>
          <w:b/>
          <w:sz w:val="22"/>
        </w:rPr>
        <w:t>Sp232</w:t>
      </w:r>
      <w:r>
        <w:rPr>
          <w:b/>
          <w:spacing w:val="-5"/>
          <w:sz w:val="22"/>
        </w:rPr>
        <w:t> </w:t>
      </w:r>
      <w:r>
        <w:rPr>
          <w:b/>
          <w:spacing w:val="-2"/>
          <w:sz w:val="22"/>
        </w:rPr>
        <w:t>(Susceptible)</w:t>
      </w:r>
    </w:p>
    <w:p>
      <w:pPr>
        <w:spacing w:after="0"/>
        <w:jc w:val="left"/>
        <w:rPr>
          <w:sz w:val="22"/>
        </w:rPr>
        <w:sectPr>
          <w:type w:val="continuous"/>
          <w:pgSz w:w="11910" w:h="16840"/>
          <w:pgMar w:header="0" w:footer="1055" w:top="1400" w:bottom="1240" w:left="1060" w:right="460"/>
        </w:sect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9"/>
        <w:gridCol w:w="1865"/>
        <w:gridCol w:w="2028"/>
        <w:gridCol w:w="1440"/>
        <w:gridCol w:w="1243"/>
        <w:gridCol w:w="1419"/>
      </w:tblGrid>
      <w:tr>
        <w:trPr>
          <w:trHeight w:val="2577" w:hRule="atLeast"/>
        </w:trPr>
        <w:tc>
          <w:tcPr>
            <w:tcW w:w="1009" w:type="dxa"/>
            <w:tcBorders>
              <w:top w:val="single" w:sz="4" w:space="0" w:color="000000"/>
              <w:bottom w:val="single" w:sz="4" w:space="0" w:color="000000"/>
            </w:tcBorders>
          </w:tcPr>
          <w:p>
            <w:pPr>
              <w:pStyle w:val="TableParagraph"/>
              <w:spacing w:line="360" w:lineRule="auto"/>
              <w:ind w:left="115" w:right="310"/>
              <w:rPr>
                <w:b/>
                <w:sz w:val="22"/>
              </w:rPr>
            </w:pPr>
            <w:r>
              <w:rPr>
                <w:b/>
                <w:spacing w:val="-4"/>
                <w:sz w:val="22"/>
              </w:rPr>
              <w:t>Time </w:t>
            </w:r>
            <w:r>
              <w:rPr>
                <w:b/>
                <w:spacing w:val="-2"/>
                <w:sz w:val="22"/>
              </w:rPr>
              <w:t>(mins)</w:t>
            </w:r>
          </w:p>
        </w:tc>
        <w:tc>
          <w:tcPr>
            <w:tcW w:w="1865" w:type="dxa"/>
            <w:tcBorders>
              <w:top w:val="single" w:sz="4" w:space="0" w:color="000000"/>
              <w:bottom w:val="single" w:sz="4" w:space="0" w:color="000000"/>
            </w:tcBorders>
          </w:tcPr>
          <w:p>
            <w:pPr>
              <w:pStyle w:val="TableParagraph"/>
              <w:spacing w:line="360" w:lineRule="auto"/>
              <w:ind w:left="315" w:right="48"/>
              <w:rPr>
                <w:b/>
                <w:sz w:val="22"/>
              </w:rPr>
            </w:pPr>
            <w:r>
              <w:rPr>
                <w:b/>
                <w:sz w:val="22"/>
              </w:rPr>
              <w:t>No of colonies counted</w:t>
            </w:r>
            <w:r>
              <w:rPr>
                <w:b/>
                <w:spacing w:val="-13"/>
                <w:sz w:val="22"/>
              </w:rPr>
              <w:t> </w:t>
            </w:r>
            <w:r>
              <w:rPr>
                <w:b/>
                <w:sz w:val="22"/>
              </w:rPr>
              <w:t>in</w:t>
            </w:r>
            <w:r>
              <w:rPr>
                <w:b/>
                <w:spacing w:val="-12"/>
                <w:sz w:val="22"/>
              </w:rPr>
              <w:t> </w:t>
            </w:r>
            <w:r>
              <w:rPr>
                <w:b/>
                <w:sz w:val="22"/>
              </w:rPr>
              <w:t>LEV </w:t>
            </w:r>
            <w:r>
              <w:rPr>
                <w:b/>
                <w:spacing w:val="-2"/>
                <w:sz w:val="22"/>
              </w:rPr>
              <w:t>(3.91µg/ml) plate</w:t>
            </w:r>
          </w:p>
        </w:tc>
        <w:tc>
          <w:tcPr>
            <w:tcW w:w="2028" w:type="dxa"/>
            <w:tcBorders>
              <w:top w:val="single" w:sz="4" w:space="0" w:color="000000"/>
              <w:bottom w:val="single" w:sz="4" w:space="0" w:color="000000"/>
            </w:tcBorders>
          </w:tcPr>
          <w:p>
            <w:pPr>
              <w:pStyle w:val="TableParagraph"/>
              <w:spacing w:line="360" w:lineRule="auto"/>
              <w:ind w:left="191" w:right="47"/>
              <w:rPr>
                <w:b/>
                <w:sz w:val="22"/>
              </w:rPr>
            </w:pPr>
            <w:r>
              <w:rPr>
                <w:b/>
                <w:sz w:val="22"/>
              </w:rPr>
              <w:t>No of colonies counted in CEF (6.25</w:t>
            </w:r>
            <w:r>
              <w:rPr>
                <w:b/>
                <w:spacing w:val="-13"/>
                <w:sz w:val="22"/>
              </w:rPr>
              <w:t> </w:t>
            </w:r>
            <w:r>
              <w:rPr>
                <w:b/>
                <w:sz w:val="22"/>
              </w:rPr>
              <w:t>µg/ml)</w:t>
            </w:r>
            <w:r>
              <w:rPr>
                <w:b/>
                <w:spacing w:val="-12"/>
                <w:sz w:val="22"/>
              </w:rPr>
              <w:t> </w:t>
            </w:r>
            <w:r>
              <w:rPr>
                <w:b/>
                <w:sz w:val="22"/>
              </w:rPr>
              <w:t>plate</w:t>
            </w:r>
          </w:p>
        </w:tc>
        <w:tc>
          <w:tcPr>
            <w:tcW w:w="1440" w:type="dxa"/>
            <w:tcBorders>
              <w:top w:val="single" w:sz="4" w:space="0" w:color="000000"/>
              <w:bottom w:val="single" w:sz="4" w:space="0" w:color="000000"/>
            </w:tcBorders>
          </w:tcPr>
          <w:p>
            <w:pPr>
              <w:pStyle w:val="TableParagraph"/>
              <w:spacing w:line="360" w:lineRule="auto"/>
              <w:ind w:left="179" w:right="112"/>
              <w:rPr>
                <w:b/>
                <w:sz w:val="22"/>
              </w:rPr>
            </w:pPr>
            <w:r>
              <w:rPr>
                <w:b/>
                <w:sz w:val="22"/>
              </w:rPr>
              <w:t>No of </w:t>
            </w:r>
            <w:r>
              <w:rPr>
                <w:b/>
                <w:spacing w:val="-2"/>
                <w:sz w:val="22"/>
              </w:rPr>
              <w:t>colonies </w:t>
            </w:r>
            <w:r>
              <w:rPr>
                <w:b/>
                <w:sz w:val="22"/>
              </w:rPr>
              <w:t>counted in Lemon (10 µg/ml)</w:t>
            </w:r>
            <w:r>
              <w:rPr>
                <w:b/>
                <w:spacing w:val="-13"/>
                <w:sz w:val="22"/>
              </w:rPr>
              <w:t> </w:t>
            </w:r>
            <w:r>
              <w:rPr>
                <w:b/>
                <w:sz w:val="22"/>
              </w:rPr>
              <w:t>plate</w:t>
            </w:r>
          </w:p>
        </w:tc>
        <w:tc>
          <w:tcPr>
            <w:tcW w:w="1243" w:type="dxa"/>
            <w:tcBorders>
              <w:top w:val="single" w:sz="4" w:space="0" w:color="000000"/>
              <w:bottom w:val="single" w:sz="4" w:space="0" w:color="000000"/>
            </w:tcBorders>
          </w:tcPr>
          <w:p>
            <w:pPr>
              <w:pStyle w:val="TableParagraph"/>
              <w:spacing w:line="360" w:lineRule="auto"/>
              <w:ind w:left="113" w:right="149"/>
              <w:rPr>
                <w:b/>
                <w:sz w:val="22"/>
              </w:rPr>
            </w:pPr>
            <w:r>
              <w:rPr>
                <w:b/>
                <w:sz w:val="22"/>
              </w:rPr>
              <w:t>No of </w:t>
            </w:r>
            <w:r>
              <w:rPr>
                <w:b/>
                <w:spacing w:val="-2"/>
                <w:sz w:val="22"/>
              </w:rPr>
              <w:t>colonies </w:t>
            </w:r>
            <w:r>
              <w:rPr>
                <w:b/>
                <w:sz w:val="22"/>
              </w:rPr>
              <w:t>counted</w:t>
            </w:r>
            <w:r>
              <w:rPr>
                <w:b/>
                <w:spacing w:val="-13"/>
                <w:sz w:val="22"/>
              </w:rPr>
              <w:t> </w:t>
            </w:r>
            <w:r>
              <w:rPr>
                <w:b/>
                <w:sz w:val="22"/>
              </w:rPr>
              <w:t>in Honey (25 </w:t>
            </w:r>
            <w:r>
              <w:rPr>
                <w:b/>
                <w:spacing w:val="-2"/>
                <w:sz w:val="22"/>
              </w:rPr>
              <w:t>µg/ml) plate</w:t>
            </w:r>
          </w:p>
        </w:tc>
        <w:tc>
          <w:tcPr>
            <w:tcW w:w="1419" w:type="dxa"/>
            <w:tcBorders>
              <w:top w:val="single" w:sz="4" w:space="0" w:color="000000"/>
              <w:bottom w:val="single" w:sz="4" w:space="0" w:color="000000"/>
            </w:tcBorders>
          </w:tcPr>
          <w:p>
            <w:pPr>
              <w:pStyle w:val="TableParagraph"/>
              <w:spacing w:line="360" w:lineRule="auto"/>
              <w:ind w:left="151" w:right="287"/>
              <w:rPr>
                <w:b/>
                <w:sz w:val="22"/>
              </w:rPr>
            </w:pPr>
            <w:r>
              <w:rPr>
                <w:b/>
                <w:sz w:val="22"/>
              </w:rPr>
              <w:t>No of </w:t>
            </w:r>
            <w:r>
              <w:rPr>
                <w:b/>
                <w:spacing w:val="-2"/>
                <w:sz w:val="22"/>
              </w:rPr>
              <w:t>colonies </w:t>
            </w:r>
            <w:r>
              <w:rPr>
                <w:b/>
                <w:sz w:val="22"/>
              </w:rPr>
              <w:t>counted</w:t>
            </w:r>
            <w:r>
              <w:rPr>
                <w:b/>
                <w:spacing w:val="-13"/>
                <w:sz w:val="22"/>
              </w:rPr>
              <w:t> </w:t>
            </w:r>
            <w:r>
              <w:rPr>
                <w:b/>
                <w:sz w:val="22"/>
              </w:rPr>
              <w:t>in H/L (10</w:t>
            </w:r>
          </w:p>
          <w:p>
            <w:pPr>
              <w:pStyle w:val="TableParagraph"/>
              <w:ind w:left="151"/>
              <w:rPr>
                <w:b/>
                <w:sz w:val="22"/>
              </w:rPr>
            </w:pPr>
            <w:r>
              <w:rPr>
                <w:b/>
                <w:sz w:val="22"/>
              </w:rPr>
              <w:t>µg/ml)</w:t>
            </w:r>
            <w:r>
              <w:rPr>
                <w:b/>
                <w:spacing w:val="-4"/>
                <w:sz w:val="22"/>
              </w:rPr>
              <w:t> </w:t>
            </w:r>
            <w:r>
              <w:rPr>
                <w:b/>
                <w:spacing w:val="-2"/>
                <w:sz w:val="22"/>
              </w:rPr>
              <w:t>plate</w:t>
            </w:r>
          </w:p>
        </w:tc>
      </w:tr>
      <w:tr>
        <w:trPr>
          <w:trHeight w:val="413" w:hRule="atLeast"/>
        </w:trPr>
        <w:tc>
          <w:tcPr>
            <w:tcW w:w="1009" w:type="dxa"/>
            <w:tcBorders>
              <w:top w:val="single" w:sz="4" w:space="0" w:color="000000"/>
            </w:tcBorders>
          </w:tcPr>
          <w:p>
            <w:pPr>
              <w:pStyle w:val="TableParagraph"/>
              <w:spacing w:line="265" w:lineRule="exact"/>
              <w:ind w:left="115"/>
              <w:rPr>
                <w:sz w:val="22"/>
              </w:rPr>
            </w:pPr>
            <w:r>
              <w:rPr>
                <w:spacing w:val="-10"/>
                <w:sz w:val="22"/>
              </w:rPr>
              <w:t>0</w:t>
            </w:r>
          </w:p>
        </w:tc>
        <w:tc>
          <w:tcPr>
            <w:tcW w:w="1865" w:type="dxa"/>
            <w:tcBorders>
              <w:top w:val="single" w:sz="4" w:space="0" w:color="000000"/>
            </w:tcBorders>
          </w:tcPr>
          <w:p>
            <w:pPr>
              <w:pStyle w:val="TableParagraph"/>
              <w:spacing w:line="265" w:lineRule="exact"/>
              <w:ind w:left="315"/>
              <w:rPr>
                <w:sz w:val="22"/>
              </w:rPr>
            </w:pPr>
            <w:r>
              <w:rPr>
                <w:spacing w:val="-2"/>
                <w:sz w:val="22"/>
              </w:rPr>
              <w:t>4.8×10</w:t>
            </w:r>
            <w:r>
              <w:rPr>
                <w:spacing w:val="-2"/>
                <w:sz w:val="22"/>
                <w:vertAlign w:val="superscript"/>
              </w:rPr>
              <w:t>3</w:t>
            </w:r>
          </w:p>
        </w:tc>
        <w:tc>
          <w:tcPr>
            <w:tcW w:w="2028" w:type="dxa"/>
            <w:tcBorders>
              <w:top w:val="single" w:sz="4" w:space="0" w:color="000000"/>
            </w:tcBorders>
          </w:tcPr>
          <w:p>
            <w:pPr>
              <w:pStyle w:val="TableParagraph"/>
              <w:spacing w:line="265" w:lineRule="exact"/>
              <w:ind w:left="191"/>
              <w:rPr>
                <w:sz w:val="22"/>
              </w:rPr>
            </w:pPr>
            <w:r>
              <w:rPr>
                <w:spacing w:val="-2"/>
                <w:sz w:val="22"/>
              </w:rPr>
              <w:t>6.5×10</w:t>
            </w:r>
            <w:r>
              <w:rPr>
                <w:spacing w:val="-2"/>
                <w:sz w:val="22"/>
                <w:vertAlign w:val="superscript"/>
              </w:rPr>
              <w:t>3</w:t>
            </w:r>
          </w:p>
        </w:tc>
        <w:tc>
          <w:tcPr>
            <w:tcW w:w="1440" w:type="dxa"/>
            <w:tcBorders>
              <w:top w:val="single" w:sz="4" w:space="0" w:color="000000"/>
            </w:tcBorders>
          </w:tcPr>
          <w:p>
            <w:pPr>
              <w:pStyle w:val="TableParagraph"/>
              <w:spacing w:line="265" w:lineRule="exact"/>
              <w:ind w:left="179"/>
              <w:rPr>
                <w:sz w:val="22"/>
              </w:rPr>
            </w:pPr>
            <w:r>
              <w:rPr>
                <w:spacing w:val="-2"/>
                <w:sz w:val="22"/>
              </w:rPr>
              <w:t>2.7×10</w:t>
            </w:r>
            <w:r>
              <w:rPr>
                <w:spacing w:val="-2"/>
                <w:sz w:val="22"/>
                <w:vertAlign w:val="superscript"/>
              </w:rPr>
              <w:t>3</w:t>
            </w:r>
          </w:p>
        </w:tc>
        <w:tc>
          <w:tcPr>
            <w:tcW w:w="1243" w:type="dxa"/>
            <w:tcBorders>
              <w:top w:val="single" w:sz="4" w:space="0" w:color="000000"/>
            </w:tcBorders>
          </w:tcPr>
          <w:p>
            <w:pPr>
              <w:pStyle w:val="TableParagraph"/>
              <w:spacing w:line="265" w:lineRule="exact"/>
              <w:ind w:left="113"/>
              <w:rPr>
                <w:sz w:val="22"/>
              </w:rPr>
            </w:pPr>
            <w:r>
              <w:rPr>
                <w:spacing w:val="-2"/>
                <w:sz w:val="22"/>
              </w:rPr>
              <w:t>1.1×10</w:t>
            </w:r>
            <w:r>
              <w:rPr>
                <w:spacing w:val="-2"/>
                <w:sz w:val="22"/>
                <w:vertAlign w:val="superscript"/>
              </w:rPr>
              <w:t>5</w:t>
            </w:r>
          </w:p>
        </w:tc>
        <w:tc>
          <w:tcPr>
            <w:tcW w:w="1419" w:type="dxa"/>
            <w:tcBorders>
              <w:top w:val="single" w:sz="4" w:space="0" w:color="000000"/>
            </w:tcBorders>
          </w:tcPr>
          <w:p>
            <w:pPr>
              <w:pStyle w:val="TableParagraph"/>
              <w:spacing w:line="265" w:lineRule="exact"/>
              <w:ind w:left="151"/>
              <w:rPr>
                <w:sz w:val="22"/>
              </w:rPr>
            </w:pPr>
            <w:r>
              <w:rPr>
                <w:spacing w:val="-2"/>
                <w:sz w:val="22"/>
              </w:rPr>
              <w:t>1.2×10</w:t>
            </w:r>
            <w:r>
              <w:rPr>
                <w:spacing w:val="-2"/>
                <w:sz w:val="22"/>
                <w:vertAlign w:val="superscript"/>
              </w:rPr>
              <w:t>4</w:t>
            </w:r>
          </w:p>
        </w:tc>
      </w:tr>
      <w:tr>
        <w:trPr>
          <w:trHeight w:val="563" w:hRule="atLeast"/>
        </w:trPr>
        <w:tc>
          <w:tcPr>
            <w:tcW w:w="1009" w:type="dxa"/>
          </w:tcPr>
          <w:p>
            <w:pPr>
              <w:pStyle w:val="TableParagraph"/>
              <w:spacing w:before="147"/>
              <w:ind w:left="115"/>
              <w:rPr>
                <w:sz w:val="22"/>
              </w:rPr>
            </w:pPr>
            <w:r>
              <w:rPr>
                <w:spacing w:val="-5"/>
                <w:sz w:val="22"/>
              </w:rPr>
              <w:t>30</w:t>
            </w:r>
          </w:p>
        </w:tc>
        <w:tc>
          <w:tcPr>
            <w:tcW w:w="1865" w:type="dxa"/>
          </w:tcPr>
          <w:p>
            <w:pPr>
              <w:pStyle w:val="TableParagraph"/>
              <w:spacing w:before="147"/>
              <w:ind w:left="315"/>
              <w:rPr>
                <w:sz w:val="22"/>
              </w:rPr>
            </w:pPr>
            <w:r>
              <w:rPr>
                <w:spacing w:val="-2"/>
                <w:sz w:val="22"/>
              </w:rPr>
              <w:t>3.4×10</w:t>
            </w:r>
            <w:r>
              <w:rPr>
                <w:spacing w:val="-2"/>
                <w:sz w:val="22"/>
                <w:vertAlign w:val="superscript"/>
              </w:rPr>
              <w:t>3</w:t>
            </w:r>
          </w:p>
        </w:tc>
        <w:tc>
          <w:tcPr>
            <w:tcW w:w="2028" w:type="dxa"/>
          </w:tcPr>
          <w:p>
            <w:pPr>
              <w:pStyle w:val="TableParagraph"/>
              <w:spacing w:before="147"/>
              <w:ind w:left="191"/>
              <w:rPr>
                <w:sz w:val="22"/>
              </w:rPr>
            </w:pPr>
            <w:r>
              <w:rPr>
                <w:spacing w:val="-2"/>
                <w:sz w:val="22"/>
              </w:rPr>
              <w:t>2.5×10</w:t>
            </w:r>
            <w:r>
              <w:rPr>
                <w:spacing w:val="-2"/>
                <w:sz w:val="22"/>
                <w:vertAlign w:val="superscript"/>
              </w:rPr>
              <w:t>3</w:t>
            </w:r>
          </w:p>
        </w:tc>
        <w:tc>
          <w:tcPr>
            <w:tcW w:w="1440" w:type="dxa"/>
          </w:tcPr>
          <w:p>
            <w:pPr>
              <w:pStyle w:val="TableParagraph"/>
              <w:spacing w:before="147"/>
              <w:ind w:left="179"/>
              <w:rPr>
                <w:sz w:val="22"/>
              </w:rPr>
            </w:pPr>
            <w:r>
              <w:rPr>
                <w:spacing w:val="-2"/>
                <w:sz w:val="22"/>
              </w:rPr>
              <w:t>1.3×10</w:t>
            </w:r>
            <w:r>
              <w:rPr>
                <w:spacing w:val="-2"/>
                <w:sz w:val="22"/>
                <w:vertAlign w:val="superscript"/>
              </w:rPr>
              <w:t>3</w:t>
            </w:r>
          </w:p>
        </w:tc>
        <w:tc>
          <w:tcPr>
            <w:tcW w:w="1243" w:type="dxa"/>
          </w:tcPr>
          <w:p>
            <w:pPr>
              <w:pStyle w:val="TableParagraph"/>
              <w:spacing w:before="147"/>
              <w:ind w:left="113"/>
              <w:rPr>
                <w:sz w:val="22"/>
              </w:rPr>
            </w:pPr>
            <w:r>
              <w:rPr>
                <w:spacing w:val="-2"/>
                <w:sz w:val="22"/>
              </w:rPr>
              <w:t>8.9×10</w:t>
            </w:r>
            <w:r>
              <w:rPr>
                <w:spacing w:val="-2"/>
                <w:sz w:val="22"/>
                <w:vertAlign w:val="superscript"/>
              </w:rPr>
              <w:t>4</w:t>
            </w:r>
          </w:p>
        </w:tc>
        <w:tc>
          <w:tcPr>
            <w:tcW w:w="1419" w:type="dxa"/>
          </w:tcPr>
          <w:p>
            <w:pPr>
              <w:pStyle w:val="TableParagraph"/>
              <w:spacing w:before="147"/>
              <w:ind w:left="151"/>
              <w:rPr>
                <w:sz w:val="22"/>
              </w:rPr>
            </w:pPr>
            <w:r>
              <w:rPr>
                <w:spacing w:val="-2"/>
                <w:sz w:val="22"/>
              </w:rPr>
              <w:t>8.7×10</w:t>
            </w:r>
            <w:r>
              <w:rPr>
                <w:spacing w:val="-2"/>
                <w:sz w:val="22"/>
                <w:vertAlign w:val="superscript"/>
              </w:rPr>
              <w:t>3</w:t>
            </w:r>
          </w:p>
        </w:tc>
      </w:tr>
      <w:tr>
        <w:trPr>
          <w:trHeight w:val="563" w:hRule="atLeast"/>
        </w:trPr>
        <w:tc>
          <w:tcPr>
            <w:tcW w:w="1009" w:type="dxa"/>
          </w:tcPr>
          <w:p>
            <w:pPr>
              <w:pStyle w:val="TableParagraph"/>
              <w:spacing w:before="146"/>
              <w:ind w:left="115"/>
              <w:rPr>
                <w:sz w:val="22"/>
              </w:rPr>
            </w:pPr>
            <w:r>
              <w:rPr>
                <w:spacing w:val="-5"/>
                <w:sz w:val="22"/>
              </w:rPr>
              <w:t>60</w:t>
            </w:r>
          </w:p>
        </w:tc>
        <w:tc>
          <w:tcPr>
            <w:tcW w:w="1865" w:type="dxa"/>
          </w:tcPr>
          <w:p>
            <w:pPr>
              <w:pStyle w:val="TableParagraph"/>
              <w:spacing w:before="146"/>
              <w:ind w:left="315"/>
              <w:rPr>
                <w:sz w:val="22"/>
              </w:rPr>
            </w:pPr>
            <w:r>
              <w:rPr>
                <w:spacing w:val="-2"/>
                <w:sz w:val="22"/>
              </w:rPr>
              <w:t>3.3×10</w:t>
            </w:r>
            <w:r>
              <w:rPr>
                <w:spacing w:val="-2"/>
                <w:sz w:val="22"/>
                <w:vertAlign w:val="superscript"/>
              </w:rPr>
              <w:t>3</w:t>
            </w:r>
          </w:p>
        </w:tc>
        <w:tc>
          <w:tcPr>
            <w:tcW w:w="2028" w:type="dxa"/>
          </w:tcPr>
          <w:p>
            <w:pPr>
              <w:pStyle w:val="TableParagraph"/>
              <w:spacing w:before="146"/>
              <w:ind w:left="191"/>
              <w:rPr>
                <w:sz w:val="22"/>
              </w:rPr>
            </w:pPr>
            <w:r>
              <w:rPr>
                <w:spacing w:val="-2"/>
                <w:sz w:val="22"/>
              </w:rPr>
              <w:t>2.3×10</w:t>
            </w:r>
            <w:r>
              <w:rPr>
                <w:spacing w:val="-2"/>
                <w:sz w:val="22"/>
                <w:vertAlign w:val="superscript"/>
              </w:rPr>
              <w:t>3</w:t>
            </w:r>
          </w:p>
        </w:tc>
        <w:tc>
          <w:tcPr>
            <w:tcW w:w="1440" w:type="dxa"/>
          </w:tcPr>
          <w:p>
            <w:pPr>
              <w:pStyle w:val="TableParagraph"/>
              <w:spacing w:before="146"/>
              <w:ind w:left="179"/>
              <w:rPr>
                <w:sz w:val="22"/>
              </w:rPr>
            </w:pPr>
            <w:r>
              <w:rPr>
                <w:spacing w:val="-2"/>
                <w:sz w:val="22"/>
              </w:rPr>
              <w:t>9.1×10</w:t>
            </w:r>
            <w:r>
              <w:rPr>
                <w:spacing w:val="-2"/>
                <w:sz w:val="22"/>
                <w:vertAlign w:val="superscript"/>
              </w:rPr>
              <w:t>2</w:t>
            </w:r>
          </w:p>
        </w:tc>
        <w:tc>
          <w:tcPr>
            <w:tcW w:w="1243" w:type="dxa"/>
          </w:tcPr>
          <w:p>
            <w:pPr>
              <w:pStyle w:val="TableParagraph"/>
              <w:spacing w:before="146"/>
              <w:ind w:left="113"/>
              <w:rPr>
                <w:sz w:val="22"/>
              </w:rPr>
            </w:pPr>
            <w:r>
              <w:rPr>
                <w:spacing w:val="-2"/>
                <w:sz w:val="22"/>
              </w:rPr>
              <w:t>7.2×10</w:t>
            </w:r>
            <w:r>
              <w:rPr>
                <w:spacing w:val="-2"/>
                <w:sz w:val="22"/>
                <w:vertAlign w:val="superscript"/>
              </w:rPr>
              <w:t>3</w:t>
            </w:r>
          </w:p>
        </w:tc>
        <w:tc>
          <w:tcPr>
            <w:tcW w:w="1419" w:type="dxa"/>
          </w:tcPr>
          <w:p>
            <w:pPr>
              <w:pStyle w:val="TableParagraph"/>
              <w:spacing w:before="146"/>
              <w:ind w:left="151"/>
              <w:rPr>
                <w:sz w:val="22"/>
              </w:rPr>
            </w:pPr>
            <w:r>
              <w:rPr>
                <w:spacing w:val="-2"/>
                <w:sz w:val="22"/>
              </w:rPr>
              <w:t>4.9×10</w:t>
            </w:r>
            <w:r>
              <w:rPr>
                <w:spacing w:val="-2"/>
                <w:sz w:val="22"/>
                <w:vertAlign w:val="superscript"/>
              </w:rPr>
              <w:t>3</w:t>
            </w:r>
          </w:p>
        </w:tc>
      </w:tr>
      <w:tr>
        <w:trPr>
          <w:trHeight w:val="562" w:hRule="atLeast"/>
        </w:trPr>
        <w:tc>
          <w:tcPr>
            <w:tcW w:w="1009" w:type="dxa"/>
          </w:tcPr>
          <w:p>
            <w:pPr>
              <w:pStyle w:val="TableParagraph"/>
              <w:spacing w:before="147"/>
              <w:ind w:left="115"/>
              <w:rPr>
                <w:sz w:val="22"/>
              </w:rPr>
            </w:pPr>
            <w:r>
              <w:rPr>
                <w:spacing w:val="-5"/>
                <w:sz w:val="22"/>
              </w:rPr>
              <w:t>90</w:t>
            </w:r>
          </w:p>
        </w:tc>
        <w:tc>
          <w:tcPr>
            <w:tcW w:w="1865" w:type="dxa"/>
          </w:tcPr>
          <w:p>
            <w:pPr>
              <w:pStyle w:val="TableParagraph"/>
              <w:spacing w:before="147"/>
              <w:ind w:left="315"/>
              <w:rPr>
                <w:sz w:val="22"/>
              </w:rPr>
            </w:pPr>
            <w:r>
              <w:rPr>
                <w:spacing w:val="-2"/>
                <w:sz w:val="22"/>
              </w:rPr>
              <w:t>2.3×10</w:t>
            </w:r>
            <w:r>
              <w:rPr>
                <w:spacing w:val="-2"/>
                <w:sz w:val="22"/>
                <w:vertAlign w:val="superscript"/>
              </w:rPr>
              <w:t>3</w:t>
            </w:r>
          </w:p>
        </w:tc>
        <w:tc>
          <w:tcPr>
            <w:tcW w:w="2028" w:type="dxa"/>
          </w:tcPr>
          <w:p>
            <w:pPr>
              <w:pStyle w:val="TableParagraph"/>
              <w:spacing w:before="147"/>
              <w:ind w:left="191"/>
              <w:rPr>
                <w:sz w:val="22"/>
              </w:rPr>
            </w:pPr>
            <w:r>
              <w:rPr>
                <w:spacing w:val="-2"/>
                <w:sz w:val="22"/>
              </w:rPr>
              <w:t>1.3×10</w:t>
            </w:r>
            <w:r>
              <w:rPr>
                <w:spacing w:val="-2"/>
                <w:sz w:val="22"/>
                <w:vertAlign w:val="superscript"/>
              </w:rPr>
              <w:t>3</w:t>
            </w:r>
          </w:p>
        </w:tc>
        <w:tc>
          <w:tcPr>
            <w:tcW w:w="1440" w:type="dxa"/>
          </w:tcPr>
          <w:p>
            <w:pPr>
              <w:pStyle w:val="TableParagraph"/>
              <w:spacing w:before="147"/>
              <w:ind w:left="179"/>
              <w:rPr>
                <w:sz w:val="22"/>
              </w:rPr>
            </w:pPr>
            <w:r>
              <w:rPr>
                <w:spacing w:val="-2"/>
                <w:sz w:val="22"/>
              </w:rPr>
              <w:t>2.0×10</w:t>
            </w:r>
            <w:r>
              <w:rPr>
                <w:spacing w:val="-2"/>
                <w:sz w:val="22"/>
                <w:vertAlign w:val="superscript"/>
              </w:rPr>
              <w:t>2</w:t>
            </w:r>
          </w:p>
        </w:tc>
        <w:tc>
          <w:tcPr>
            <w:tcW w:w="1243" w:type="dxa"/>
          </w:tcPr>
          <w:p>
            <w:pPr>
              <w:pStyle w:val="TableParagraph"/>
              <w:spacing w:before="147"/>
              <w:ind w:left="113"/>
              <w:rPr>
                <w:sz w:val="22"/>
              </w:rPr>
            </w:pPr>
            <w:r>
              <w:rPr>
                <w:spacing w:val="-2"/>
                <w:sz w:val="22"/>
              </w:rPr>
              <w:t>6.3×10</w:t>
            </w:r>
            <w:r>
              <w:rPr>
                <w:spacing w:val="-2"/>
                <w:sz w:val="22"/>
                <w:vertAlign w:val="superscript"/>
              </w:rPr>
              <w:t>3</w:t>
            </w:r>
          </w:p>
        </w:tc>
        <w:tc>
          <w:tcPr>
            <w:tcW w:w="1419" w:type="dxa"/>
          </w:tcPr>
          <w:p>
            <w:pPr>
              <w:pStyle w:val="TableParagraph"/>
              <w:spacing w:before="147"/>
              <w:ind w:left="151"/>
              <w:rPr>
                <w:sz w:val="22"/>
              </w:rPr>
            </w:pPr>
            <w:r>
              <w:rPr>
                <w:spacing w:val="-2"/>
                <w:sz w:val="22"/>
              </w:rPr>
              <w:t>4.1×10</w:t>
            </w:r>
            <w:r>
              <w:rPr>
                <w:spacing w:val="-2"/>
                <w:sz w:val="22"/>
                <w:vertAlign w:val="superscript"/>
              </w:rPr>
              <w:t>3</w:t>
            </w:r>
          </w:p>
        </w:tc>
      </w:tr>
      <w:tr>
        <w:trPr>
          <w:trHeight w:val="562" w:hRule="atLeast"/>
        </w:trPr>
        <w:tc>
          <w:tcPr>
            <w:tcW w:w="1009" w:type="dxa"/>
          </w:tcPr>
          <w:p>
            <w:pPr>
              <w:pStyle w:val="TableParagraph"/>
              <w:spacing w:before="146"/>
              <w:ind w:left="115"/>
              <w:rPr>
                <w:sz w:val="22"/>
              </w:rPr>
            </w:pPr>
            <w:r>
              <w:rPr>
                <w:spacing w:val="-5"/>
                <w:sz w:val="22"/>
              </w:rPr>
              <w:t>120</w:t>
            </w:r>
          </w:p>
        </w:tc>
        <w:tc>
          <w:tcPr>
            <w:tcW w:w="1865" w:type="dxa"/>
          </w:tcPr>
          <w:p>
            <w:pPr>
              <w:pStyle w:val="TableParagraph"/>
              <w:spacing w:before="146"/>
              <w:ind w:left="315"/>
              <w:rPr>
                <w:sz w:val="22"/>
              </w:rPr>
            </w:pPr>
            <w:r>
              <w:rPr>
                <w:spacing w:val="-2"/>
                <w:sz w:val="22"/>
              </w:rPr>
              <w:t>1.5×10</w:t>
            </w:r>
            <w:r>
              <w:rPr>
                <w:spacing w:val="-2"/>
                <w:sz w:val="22"/>
                <w:vertAlign w:val="superscript"/>
              </w:rPr>
              <w:t>3</w:t>
            </w:r>
          </w:p>
        </w:tc>
        <w:tc>
          <w:tcPr>
            <w:tcW w:w="2028" w:type="dxa"/>
          </w:tcPr>
          <w:p>
            <w:pPr>
              <w:pStyle w:val="TableParagraph"/>
              <w:spacing w:before="146"/>
              <w:ind w:left="191"/>
              <w:rPr>
                <w:sz w:val="22"/>
              </w:rPr>
            </w:pPr>
            <w:r>
              <w:rPr>
                <w:spacing w:val="-2"/>
                <w:sz w:val="22"/>
              </w:rPr>
              <w:t>8.3×10</w:t>
            </w:r>
            <w:r>
              <w:rPr>
                <w:spacing w:val="-2"/>
                <w:sz w:val="22"/>
                <w:vertAlign w:val="superscript"/>
              </w:rPr>
              <w:t>2</w:t>
            </w:r>
          </w:p>
        </w:tc>
        <w:tc>
          <w:tcPr>
            <w:tcW w:w="1440" w:type="dxa"/>
          </w:tcPr>
          <w:p>
            <w:pPr>
              <w:pStyle w:val="TableParagraph"/>
              <w:spacing w:before="146"/>
              <w:ind w:left="179"/>
              <w:rPr>
                <w:sz w:val="22"/>
              </w:rPr>
            </w:pPr>
            <w:r>
              <w:rPr>
                <w:spacing w:val="-2"/>
                <w:sz w:val="22"/>
              </w:rPr>
              <w:t>1.3×10</w:t>
            </w:r>
            <w:r>
              <w:rPr>
                <w:spacing w:val="-2"/>
                <w:sz w:val="22"/>
                <w:vertAlign w:val="superscript"/>
              </w:rPr>
              <w:t>2</w:t>
            </w:r>
          </w:p>
        </w:tc>
        <w:tc>
          <w:tcPr>
            <w:tcW w:w="1243" w:type="dxa"/>
          </w:tcPr>
          <w:p>
            <w:pPr>
              <w:pStyle w:val="TableParagraph"/>
              <w:spacing w:before="146"/>
              <w:ind w:left="113"/>
              <w:rPr>
                <w:sz w:val="22"/>
              </w:rPr>
            </w:pPr>
            <w:r>
              <w:rPr>
                <w:spacing w:val="-2"/>
                <w:sz w:val="22"/>
              </w:rPr>
              <w:t>5.9×10</w:t>
            </w:r>
            <w:r>
              <w:rPr>
                <w:spacing w:val="-2"/>
                <w:sz w:val="22"/>
                <w:vertAlign w:val="superscript"/>
              </w:rPr>
              <w:t>3</w:t>
            </w:r>
          </w:p>
        </w:tc>
        <w:tc>
          <w:tcPr>
            <w:tcW w:w="1419" w:type="dxa"/>
          </w:tcPr>
          <w:p>
            <w:pPr>
              <w:pStyle w:val="TableParagraph"/>
              <w:spacing w:before="146"/>
              <w:ind w:left="151"/>
              <w:rPr>
                <w:sz w:val="22"/>
              </w:rPr>
            </w:pPr>
            <w:r>
              <w:rPr>
                <w:spacing w:val="-2"/>
                <w:sz w:val="22"/>
              </w:rPr>
              <w:t>2.4×10</w:t>
            </w:r>
            <w:r>
              <w:rPr>
                <w:spacing w:val="-2"/>
                <w:sz w:val="22"/>
                <w:vertAlign w:val="superscript"/>
              </w:rPr>
              <w:t>3</w:t>
            </w:r>
          </w:p>
        </w:tc>
      </w:tr>
      <w:tr>
        <w:trPr>
          <w:trHeight w:val="562" w:hRule="atLeast"/>
        </w:trPr>
        <w:tc>
          <w:tcPr>
            <w:tcW w:w="1009" w:type="dxa"/>
          </w:tcPr>
          <w:p>
            <w:pPr>
              <w:pStyle w:val="TableParagraph"/>
              <w:spacing w:before="147"/>
              <w:ind w:left="115"/>
              <w:rPr>
                <w:sz w:val="22"/>
              </w:rPr>
            </w:pPr>
            <w:r>
              <w:rPr>
                <w:spacing w:val="-5"/>
                <w:sz w:val="22"/>
              </w:rPr>
              <w:t>240</w:t>
            </w:r>
          </w:p>
        </w:tc>
        <w:tc>
          <w:tcPr>
            <w:tcW w:w="1865" w:type="dxa"/>
          </w:tcPr>
          <w:p>
            <w:pPr>
              <w:pStyle w:val="TableParagraph"/>
              <w:spacing w:before="147"/>
              <w:ind w:left="315"/>
              <w:rPr>
                <w:sz w:val="22"/>
              </w:rPr>
            </w:pPr>
            <w:r>
              <w:rPr>
                <w:spacing w:val="-2"/>
                <w:sz w:val="22"/>
              </w:rPr>
              <w:t>7.0×10</w:t>
            </w:r>
            <w:r>
              <w:rPr>
                <w:spacing w:val="-2"/>
                <w:sz w:val="22"/>
                <w:vertAlign w:val="superscript"/>
              </w:rPr>
              <w:t>2</w:t>
            </w:r>
          </w:p>
        </w:tc>
        <w:tc>
          <w:tcPr>
            <w:tcW w:w="2028" w:type="dxa"/>
          </w:tcPr>
          <w:p>
            <w:pPr>
              <w:pStyle w:val="TableParagraph"/>
              <w:spacing w:before="147"/>
              <w:ind w:left="191"/>
              <w:rPr>
                <w:sz w:val="22"/>
              </w:rPr>
            </w:pPr>
            <w:r>
              <w:rPr>
                <w:spacing w:val="-2"/>
                <w:sz w:val="22"/>
              </w:rPr>
              <w:t>7.2×10</w:t>
            </w:r>
            <w:r>
              <w:rPr>
                <w:spacing w:val="-2"/>
                <w:sz w:val="22"/>
                <w:vertAlign w:val="superscript"/>
              </w:rPr>
              <w:t>2</w:t>
            </w:r>
          </w:p>
        </w:tc>
        <w:tc>
          <w:tcPr>
            <w:tcW w:w="1440" w:type="dxa"/>
          </w:tcPr>
          <w:p>
            <w:pPr>
              <w:pStyle w:val="TableParagraph"/>
              <w:spacing w:before="147"/>
              <w:ind w:left="179"/>
              <w:rPr>
                <w:sz w:val="22"/>
              </w:rPr>
            </w:pPr>
            <w:r>
              <w:rPr>
                <w:spacing w:val="-2"/>
                <w:sz w:val="22"/>
              </w:rPr>
              <w:t>2.6×10</w:t>
            </w:r>
            <w:r>
              <w:rPr>
                <w:spacing w:val="-2"/>
                <w:sz w:val="22"/>
                <w:vertAlign w:val="superscript"/>
              </w:rPr>
              <w:t>2</w:t>
            </w:r>
          </w:p>
        </w:tc>
        <w:tc>
          <w:tcPr>
            <w:tcW w:w="1243" w:type="dxa"/>
          </w:tcPr>
          <w:p>
            <w:pPr>
              <w:pStyle w:val="TableParagraph"/>
              <w:spacing w:before="147"/>
              <w:ind w:left="113"/>
              <w:rPr>
                <w:sz w:val="22"/>
              </w:rPr>
            </w:pPr>
            <w:r>
              <w:rPr>
                <w:spacing w:val="-2"/>
                <w:sz w:val="22"/>
              </w:rPr>
              <w:t>3.7×10</w:t>
            </w:r>
            <w:r>
              <w:rPr>
                <w:spacing w:val="-2"/>
                <w:sz w:val="22"/>
                <w:vertAlign w:val="superscript"/>
              </w:rPr>
              <w:t>3</w:t>
            </w:r>
          </w:p>
        </w:tc>
        <w:tc>
          <w:tcPr>
            <w:tcW w:w="1419" w:type="dxa"/>
          </w:tcPr>
          <w:p>
            <w:pPr>
              <w:pStyle w:val="TableParagraph"/>
              <w:spacing w:before="147"/>
              <w:ind w:left="151"/>
              <w:rPr>
                <w:sz w:val="22"/>
              </w:rPr>
            </w:pPr>
            <w:r>
              <w:rPr>
                <w:spacing w:val="-2"/>
                <w:sz w:val="22"/>
              </w:rPr>
              <w:t>1.7×10</w:t>
            </w:r>
            <w:r>
              <w:rPr>
                <w:spacing w:val="-2"/>
                <w:sz w:val="22"/>
                <w:vertAlign w:val="superscript"/>
              </w:rPr>
              <w:t>3</w:t>
            </w:r>
          </w:p>
        </w:tc>
      </w:tr>
      <w:tr>
        <w:trPr>
          <w:trHeight w:val="562" w:hRule="atLeast"/>
        </w:trPr>
        <w:tc>
          <w:tcPr>
            <w:tcW w:w="1009" w:type="dxa"/>
          </w:tcPr>
          <w:p>
            <w:pPr>
              <w:pStyle w:val="TableParagraph"/>
              <w:spacing w:before="146"/>
              <w:ind w:left="115"/>
              <w:rPr>
                <w:sz w:val="22"/>
              </w:rPr>
            </w:pPr>
            <w:r>
              <w:rPr>
                <w:spacing w:val="-5"/>
                <w:sz w:val="22"/>
              </w:rPr>
              <w:t>360</w:t>
            </w:r>
          </w:p>
        </w:tc>
        <w:tc>
          <w:tcPr>
            <w:tcW w:w="1865" w:type="dxa"/>
          </w:tcPr>
          <w:p>
            <w:pPr>
              <w:pStyle w:val="TableParagraph"/>
              <w:spacing w:before="146"/>
              <w:ind w:left="315"/>
              <w:rPr>
                <w:sz w:val="22"/>
              </w:rPr>
            </w:pPr>
            <w:r>
              <w:rPr>
                <w:spacing w:val="-2"/>
                <w:sz w:val="22"/>
              </w:rPr>
              <w:t>3.4×10</w:t>
            </w:r>
            <w:r>
              <w:rPr>
                <w:spacing w:val="-2"/>
                <w:sz w:val="22"/>
                <w:vertAlign w:val="superscript"/>
              </w:rPr>
              <w:t>2</w:t>
            </w:r>
          </w:p>
        </w:tc>
        <w:tc>
          <w:tcPr>
            <w:tcW w:w="2028" w:type="dxa"/>
          </w:tcPr>
          <w:p>
            <w:pPr>
              <w:pStyle w:val="TableParagraph"/>
              <w:spacing w:before="146"/>
              <w:ind w:left="191"/>
              <w:rPr>
                <w:sz w:val="22"/>
              </w:rPr>
            </w:pPr>
            <w:r>
              <w:rPr>
                <w:spacing w:val="-2"/>
                <w:sz w:val="22"/>
              </w:rPr>
              <w:t>5.6×10</w:t>
            </w:r>
            <w:r>
              <w:rPr>
                <w:spacing w:val="-2"/>
                <w:sz w:val="22"/>
                <w:vertAlign w:val="superscript"/>
              </w:rPr>
              <w:t>2</w:t>
            </w:r>
          </w:p>
        </w:tc>
        <w:tc>
          <w:tcPr>
            <w:tcW w:w="1440" w:type="dxa"/>
          </w:tcPr>
          <w:p>
            <w:pPr>
              <w:pStyle w:val="TableParagraph"/>
              <w:spacing w:before="146"/>
              <w:ind w:left="179"/>
              <w:rPr>
                <w:sz w:val="22"/>
              </w:rPr>
            </w:pPr>
            <w:r>
              <w:rPr>
                <w:spacing w:val="-2"/>
                <w:sz w:val="22"/>
              </w:rPr>
              <w:t>2.4×10</w:t>
            </w:r>
            <w:r>
              <w:rPr>
                <w:spacing w:val="-2"/>
                <w:sz w:val="22"/>
                <w:vertAlign w:val="superscript"/>
              </w:rPr>
              <w:t>2</w:t>
            </w:r>
          </w:p>
        </w:tc>
        <w:tc>
          <w:tcPr>
            <w:tcW w:w="1243" w:type="dxa"/>
          </w:tcPr>
          <w:p>
            <w:pPr>
              <w:pStyle w:val="TableParagraph"/>
              <w:spacing w:before="146"/>
              <w:ind w:left="113"/>
              <w:rPr>
                <w:sz w:val="22"/>
              </w:rPr>
            </w:pPr>
            <w:r>
              <w:rPr>
                <w:spacing w:val="-2"/>
                <w:sz w:val="22"/>
              </w:rPr>
              <w:t>5.6×10</w:t>
            </w:r>
            <w:r>
              <w:rPr>
                <w:spacing w:val="-2"/>
                <w:sz w:val="22"/>
                <w:vertAlign w:val="superscript"/>
              </w:rPr>
              <w:t>4</w:t>
            </w:r>
          </w:p>
        </w:tc>
        <w:tc>
          <w:tcPr>
            <w:tcW w:w="1419" w:type="dxa"/>
          </w:tcPr>
          <w:p>
            <w:pPr>
              <w:pStyle w:val="TableParagraph"/>
              <w:spacing w:before="146"/>
              <w:ind w:left="151"/>
              <w:rPr>
                <w:sz w:val="22"/>
              </w:rPr>
            </w:pPr>
            <w:r>
              <w:rPr>
                <w:spacing w:val="-2"/>
                <w:sz w:val="22"/>
              </w:rPr>
              <w:t>1.1×10</w:t>
            </w:r>
            <w:r>
              <w:rPr>
                <w:spacing w:val="-2"/>
                <w:sz w:val="22"/>
                <w:vertAlign w:val="superscript"/>
              </w:rPr>
              <w:t>3</w:t>
            </w:r>
          </w:p>
        </w:tc>
      </w:tr>
      <w:tr>
        <w:trPr>
          <w:trHeight w:val="712" w:hRule="atLeast"/>
        </w:trPr>
        <w:tc>
          <w:tcPr>
            <w:tcW w:w="1009" w:type="dxa"/>
            <w:tcBorders>
              <w:bottom w:val="single" w:sz="4" w:space="0" w:color="000000"/>
            </w:tcBorders>
          </w:tcPr>
          <w:p>
            <w:pPr>
              <w:pStyle w:val="TableParagraph"/>
              <w:spacing w:before="147"/>
              <w:ind w:left="115"/>
              <w:rPr>
                <w:sz w:val="22"/>
              </w:rPr>
            </w:pPr>
            <w:r>
              <w:rPr>
                <w:spacing w:val="-4"/>
                <w:sz w:val="22"/>
              </w:rPr>
              <w:t>1440</w:t>
            </w:r>
          </w:p>
        </w:tc>
        <w:tc>
          <w:tcPr>
            <w:tcW w:w="1865" w:type="dxa"/>
            <w:tcBorders>
              <w:bottom w:val="single" w:sz="4" w:space="0" w:color="000000"/>
            </w:tcBorders>
          </w:tcPr>
          <w:p>
            <w:pPr>
              <w:pStyle w:val="TableParagraph"/>
              <w:spacing w:before="147"/>
              <w:ind w:left="315"/>
              <w:rPr>
                <w:sz w:val="22"/>
              </w:rPr>
            </w:pPr>
            <w:r>
              <w:rPr>
                <w:spacing w:val="-2"/>
                <w:sz w:val="22"/>
              </w:rPr>
              <w:t>1.7×10</w:t>
            </w:r>
            <w:r>
              <w:rPr>
                <w:spacing w:val="-2"/>
                <w:sz w:val="22"/>
                <w:vertAlign w:val="superscript"/>
              </w:rPr>
              <w:t>2</w:t>
            </w:r>
          </w:p>
        </w:tc>
        <w:tc>
          <w:tcPr>
            <w:tcW w:w="2028" w:type="dxa"/>
            <w:tcBorders>
              <w:bottom w:val="single" w:sz="4" w:space="0" w:color="000000"/>
            </w:tcBorders>
          </w:tcPr>
          <w:p>
            <w:pPr>
              <w:pStyle w:val="TableParagraph"/>
              <w:spacing w:before="147"/>
              <w:ind w:left="191"/>
              <w:rPr>
                <w:sz w:val="22"/>
              </w:rPr>
            </w:pPr>
            <w:r>
              <w:rPr>
                <w:spacing w:val="-2"/>
                <w:sz w:val="22"/>
              </w:rPr>
              <w:t>3.6×10</w:t>
            </w:r>
            <w:r>
              <w:rPr>
                <w:spacing w:val="-2"/>
                <w:sz w:val="22"/>
                <w:vertAlign w:val="superscript"/>
              </w:rPr>
              <w:t>2</w:t>
            </w:r>
          </w:p>
        </w:tc>
        <w:tc>
          <w:tcPr>
            <w:tcW w:w="1440" w:type="dxa"/>
            <w:tcBorders>
              <w:bottom w:val="single" w:sz="4" w:space="0" w:color="000000"/>
            </w:tcBorders>
          </w:tcPr>
          <w:p>
            <w:pPr>
              <w:pStyle w:val="TableParagraph"/>
              <w:spacing w:before="147"/>
              <w:ind w:left="179"/>
              <w:rPr>
                <w:sz w:val="22"/>
              </w:rPr>
            </w:pPr>
            <w:r>
              <w:rPr>
                <w:spacing w:val="-2"/>
                <w:sz w:val="22"/>
              </w:rPr>
              <w:t>1.9×10</w:t>
            </w:r>
            <w:r>
              <w:rPr>
                <w:spacing w:val="-2"/>
                <w:sz w:val="22"/>
                <w:vertAlign w:val="superscript"/>
              </w:rPr>
              <w:t>2</w:t>
            </w:r>
          </w:p>
        </w:tc>
        <w:tc>
          <w:tcPr>
            <w:tcW w:w="1243" w:type="dxa"/>
            <w:tcBorders>
              <w:bottom w:val="single" w:sz="4" w:space="0" w:color="000000"/>
            </w:tcBorders>
          </w:tcPr>
          <w:p>
            <w:pPr>
              <w:pStyle w:val="TableParagraph"/>
              <w:spacing w:before="147"/>
              <w:ind w:left="113"/>
              <w:rPr>
                <w:sz w:val="22"/>
              </w:rPr>
            </w:pPr>
            <w:r>
              <w:rPr>
                <w:spacing w:val="-2"/>
                <w:sz w:val="22"/>
              </w:rPr>
              <w:t>9.0×10</w:t>
            </w:r>
            <w:r>
              <w:rPr>
                <w:spacing w:val="-2"/>
                <w:sz w:val="22"/>
                <w:vertAlign w:val="superscript"/>
              </w:rPr>
              <w:t>4</w:t>
            </w:r>
          </w:p>
        </w:tc>
        <w:tc>
          <w:tcPr>
            <w:tcW w:w="1419" w:type="dxa"/>
            <w:tcBorders>
              <w:bottom w:val="single" w:sz="4" w:space="0" w:color="000000"/>
            </w:tcBorders>
          </w:tcPr>
          <w:p>
            <w:pPr>
              <w:pStyle w:val="TableParagraph"/>
              <w:spacing w:before="147"/>
              <w:ind w:left="151"/>
              <w:rPr>
                <w:sz w:val="22"/>
              </w:rPr>
            </w:pPr>
            <w:r>
              <w:rPr>
                <w:spacing w:val="-2"/>
                <w:sz w:val="22"/>
              </w:rPr>
              <w:t>1.1×10</w:t>
            </w:r>
            <w:r>
              <w:rPr>
                <w:spacing w:val="-2"/>
                <w:sz w:val="22"/>
                <w:vertAlign w:val="superscript"/>
              </w:rPr>
              <w:t>3</w:t>
            </w:r>
          </w:p>
        </w:tc>
      </w:tr>
    </w:tbl>
    <w:p>
      <w:pPr>
        <w:pStyle w:val="BodyText"/>
        <w:spacing w:line="360" w:lineRule="auto" w:before="22"/>
        <w:ind w:left="380" w:right="975"/>
      </w:pPr>
      <w:r>
        <w:rPr>
          <w:b/>
        </w:rPr>
        <w:t>Key:</w:t>
      </w:r>
      <w:r>
        <w:rPr>
          <w:b/>
          <w:spacing w:val="-5"/>
        </w:rPr>
        <w:t> </w:t>
      </w:r>
      <w:r>
        <w:rPr/>
        <w:t>Sp=Sputum,</w:t>
      </w:r>
      <w:r>
        <w:rPr>
          <w:spacing w:val="-7"/>
        </w:rPr>
        <w:t> </w:t>
      </w:r>
      <w:r>
        <w:rPr/>
        <w:t>MIC=Minimum</w:t>
      </w:r>
      <w:r>
        <w:rPr>
          <w:spacing w:val="-7"/>
        </w:rPr>
        <w:t> </w:t>
      </w:r>
      <w:r>
        <w:rPr/>
        <w:t>Inhibitory</w:t>
      </w:r>
      <w:r>
        <w:rPr>
          <w:spacing w:val="-7"/>
        </w:rPr>
        <w:t> </w:t>
      </w:r>
      <w:r>
        <w:rPr/>
        <w:t>Concentration,</w:t>
      </w:r>
      <w:r>
        <w:rPr>
          <w:spacing w:val="-5"/>
        </w:rPr>
        <w:t> </w:t>
      </w:r>
      <w:r>
        <w:rPr/>
        <w:t>LEV=Levofloxacin,</w:t>
      </w:r>
      <w:r>
        <w:rPr>
          <w:spacing w:val="-7"/>
        </w:rPr>
        <w:t> </w:t>
      </w:r>
      <w:r>
        <w:rPr/>
        <w:t>CEF=Ceftriaxone, H=Honey, L=Lemon juice.</w:t>
      </w:r>
    </w:p>
    <w:p>
      <w:pPr>
        <w:spacing w:after="0" w:line="360" w:lineRule="auto"/>
        <w:sectPr>
          <w:pgSz w:w="11910" w:h="16840"/>
          <w:pgMar w:header="0" w:footer="1055" w:top="1400" w:bottom="1240" w:left="1060" w:right="460"/>
        </w:sectPr>
      </w:pPr>
    </w:p>
    <w:p>
      <w:pPr>
        <w:pStyle w:val="BodyText"/>
      </w:pPr>
    </w:p>
    <w:p>
      <w:pPr>
        <w:pStyle w:val="BodyText"/>
      </w:pPr>
    </w:p>
    <w:p>
      <w:pPr>
        <w:pStyle w:val="BodyText"/>
      </w:pPr>
    </w:p>
    <w:p>
      <w:pPr>
        <w:pStyle w:val="BodyText"/>
        <w:spacing w:before="114"/>
      </w:pPr>
    </w:p>
    <w:p>
      <w:pPr>
        <w:spacing w:before="0"/>
        <w:ind w:left="380" w:right="0" w:firstLine="0"/>
        <w:jc w:val="left"/>
        <w:rPr>
          <w:b/>
          <w:sz w:val="22"/>
        </w:rPr>
      </w:pPr>
      <w:r>
        <w:rPr>
          <w:b/>
          <w:sz w:val="22"/>
        </w:rPr>
        <w:t>Rate</w:t>
      </w:r>
      <w:r>
        <w:rPr>
          <w:b/>
          <w:spacing w:val="-8"/>
          <w:sz w:val="22"/>
        </w:rPr>
        <w:t> </w:t>
      </w:r>
      <w:r>
        <w:rPr>
          <w:b/>
          <w:sz w:val="22"/>
        </w:rPr>
        <w:t>of</w:t>
      </w:r>
      <w:r>
        <w:rPr>
          <w:b/>
          <w:spacing w:val="-4"/>
          <w:sz w:val="22"/>
        </w:rPr>
        <w:t> </w:t>
      </w:r>
      <w:r>
        <w:rPr>
          <w:b/>
          <w:sz w:val="22"/>
        </w:rPr>
        <w:t>kill</w:t>
      </w:r>
      <w:r>
        <w:rPr>
          <w:b/>
          <w:spacing w:val="-6"/>
          <w:sz w:val="22"/>
        </w:rPr>
        <w:t> </w:t>
      </w:r>
      <w:r>
        <w:rPr>
          <w:b/>
          <w:sz w:val="22"/>
        </w:rPr>
        <w:t>(below</w:t>
      </w:r>
      <w:r>
        <w:rPr>
          <w:b/>
          <w:spacing w:val="-3"/>
          <w:sz w:val="22"/>
        </w:rPr>
        <w:t> </w:t>
      </w:r>
      <w:r>
        <w:rPr>
          <w:b/>
          <w:sz w:val="22"/>
        </w:rPr>
        <w:t>average</w:t>
      </w:r>
      <w:r>
        <w:rPr>
          <w:b/>
          <w:spacing w:val="-8"/>
          <w:sz w:val="22"/>
        </w:rPr>
        <w:t> </w:t>
      </w:r>
      <w:r>
        <w:rPr>
          <w:b/>
          <w:sz w:val="22"/>
        </w:rPr>
        <w:t>MIC</w:t>
      </w:r>
      <w:r>
        <w:rPr>
          <w:b/>
          <w:spacing w:val="-6"/>
          <w:sz w:val="22"/>
        </w:rPr>
        <w:t> </w:t>
      </w:r>
      <w:r>
        <w:rPr>
          <w:b/>
          <w:sz w:val="22"/>
        </w:rPr>
        <w:t>values)</w:t>
      </w:r>
      <w:r>
        <w:rPr>
          <w:b/>
          <w:spacing w:val="-4"/>
          <w:sz w:val="22"/>
        </w:rPr>
        <w:t> </w:t>
      </w:r>
      <w:r>
        <w:rPr>
          <w:b/>
          <w:sz w:val="22"/>
        </w:rPr>
        <w:t>for</w:t>
      </w:r>
      <w:r>
        <w:rPr>
          <w:b/>
          <w:spacing w:val="-5"/>
          <w:sz w:val="22"/>
        </w:rPr>
        <w:t> </w:t>
      </w:r>
      <w:r>
        <w:rPr>
          <w:b/>
          <w:i/>
          <w:sz w:val="22"/>
        </w:rPr>
        <w:t>Klebsiella</w:t>
      </w:r>
      <w:r>
        <w:rPr>
          <w:b/>
          <w:i/>
          <w:spacing w:val="-8"/>
          <w:sz w:val="22"/>
        </w:rPr>
        <w:t> </w:t>
      </w:r>
      <w:r>
        <w:rPr>
          <w:b/>
          <w:i/>
          <w:sz w:val="22"/>
        </w:rPr>
        <w:t>pneumoniae_</w:t>
      </w:r>
      <w:r>
        <w:rPr>
          <w:b/>
          <w:sz w:val="22"/>
        </w:rPr>
        <w:t>Sp894</w:t>
      </w:r>
      <w:r>
        <w:rPr>
          <w:b/>
          <w:spacing w:val="-4"/>
          <w:sz w:val="22"/>
        </w:rPr>
        <w:t> </w:t>
      </w:r>
      <w:r>
        <w:rPr>
          <w:b/>
          <w:spacing w:val="-2"/>
          <w:sz w:val="22"/>
        </w:rPr>
        <w:t>(Resistant)</w:t>
      </w:r>
    </w:p>
    <w:p>
      <w:pPr>
        <w:pStyle w:val="BodyText"/>
        <w:spacing w:before="52"/>
        <w:rPr>
          <w:b/>
          <w:sz w:val="20"/>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9"/>
        <w:gridCol w:w="1865"/>
        <w:gridCol w:w="1757"/>
        <w:gridCol w:w="1509"/>
        <w:gridCol w:w="1448"/>
        <w:gridCol w:w="1421"/>
      </w:tblGrid>
      <w:tr>
        <w:trPr>
          <w:trHeight w:val="2174" w:hRule="atLeast"/>
        </w:trPr>
        <w:tc>
          <w:tcPr>
            <w:tcW w:w="1009" w:type="dxa"/>
            <w:tcBorders>
              <w:top w:val="single" w:sz="4" w:space="0" w:color="000000"/>
              <w:bottom w:val="single" w:sz="4" w:space="0" w:color="000000"/>
            </w:tcBorders>
          </w:tcPr>
          <w:p>
            <w:pPr>
              <w:pStyle w:val="TableParagraph"/>
              <w:spacing w:line="360" w:lineRule="auto"/>
              <w:ind w:left="115" w:right="310"/>
              <w:rPr>
                <w:b/>
                <w:sz w:val="22"/>
              </w:rPr>
            </w:pPr>
            <w:r>
              <w:rPr>
                <w:b/>
                <w:spacing w:val="-4"/>
                <w:sz w:val="22"/>
              </w:rPr>
              <w:t>Time </w:t>
            </w:r>
            <w:r>
              <w:rPr>
                <w:b/>
                <w:spacing w:val="-2"/>
                <w:sz w:val="22"/>
              </w:rPr>
              <w:t>(mins)</w:t>
            </w:r>
          </w:p>
        </w:tc>
        <w:tc>
          <w:tcPr>
            <w:tcW w:w="1865" w:type="dxa"/>
            <w:tcBorders>
              <w:top w:val="single" w:sz="4" w:space="0" w:color="000000"/>
              <w:bottom w:val="single" w:sz="4" w:space="0" w:color="000000"/>
            </w:tcBorders>
          </w:tcPr>
          <w:p>
            <w:pPr>
              <w:pStyle w:val="TableParagraph"/>
              <w:spacing w:line="360" w:lineRule="auto"/>
              <w:ind w:left="315" w:right="48"/>
              <w:rPr>
                <w:b/>
                <w:sz w:val="22"/>
              </w:rPr>
            </w:pPr>
            <w:r>
              <w:rPr>
                <w:b/>
                <w:sz w:val="22"/>
              </w:rPr>
              <w:t>No of colonies counted</w:t>
            </w:r>
            <w:r>
              <w:rPr>
                <w:b/>
                <w:spacing w:val="-13"/>
                <w:sz w:val="22"/>
              </w:rPr>
              <w:t> </w:t>
            </w:r>
            <w:r>
              <w:rPr>
                <w:b/>
                <w:sz w:val="22"/>
              </w:rPr>
              <w:t>in</w:t>
            </w:r>
            <w:r>
              <w:rPr>
                <w:b/>
                <w:spacing w:val="-12"/>
                <w:sz w:val="22"/>
              </w:rPr>
              <w:t> </w:t>
            </w:r>
            <w:r>
              <w:rPr>
                <w:b/>
                <w:sz w:val="22"/>
              </w:rPr>
              <w:t>LEV </w:t>
            </w:r>
            <w:r>
              <w:rPr>
                <w:b/>
                <w:spacing w:val="-2"/>
                <w:sz w:val="22"/>
              </w:rPr>
              <w:t>(3.91µg/ml) plate</w:t>
            </w:r>
          </w:p>
        </w:tc>
        <w:tc>
          <w:tcPr>
            <w:tcW w:w="1757" w:type="dxa"/>
            <w:tcBorders>
              <w:top w:val="single" w:sz="4" w:space="0" w:color="000000"/>
              <w:bottom w:val="single" w:sz="4" w:space="0" w:color="000000"/>
            </w:tcBorders>
          </w:tcPr>
          <w:p>
            <w:pPr>
              <w:pStyle w:val="TableParagraph"/>
              <w:spacing w:line="360" w:lineRule="auto"/>
              <w:ind w:left="191"/>
              <w:rPr>
                <w:b/>
                <w:sz w:val="22"/>
              </w:rPr>
            </w:pPr>
            <w:r>
              <w:rPr>
                <w:b/>
                <w:sz w:val="22"/>
              </w:rPr>
              <w:t>No of colonies counted</w:t>
            </w:r>
            <w:r>
              <w:rPr>
                <w:b/>
                <w:spacing w:val="-13"/>
                <w:sz w:val="22"/>
              </w:rPr>
              <w:t> </w:t>
            </w:r>
            <w:r>
              <w:rPr>
                <w:b/>
                <w:sz w:val="22"/>
              </w:rPr>
              <w:t>in</w:t>
            </w:r>
            <w:r>
              <w:rPr>
                <w:b/>
                <w:spacing w:val="-12"/>
                <w:sz w:val="22"/>
              </w:rPr>
              <w:t> </w:t>
            </w:r>
            <w:r>
              <w:rPr>
                <w:b/>
                <w:sz w:val="22"/>
              </w:rPr>
              <w:t>CEF (6.25 µg/ml) </w:t>
            </w:r>
            <w:r>
              <w:rPr>
                <w:b/>
                <w:spacing w:val="-2"/>
                <w:sz w:val="22"/>
              </w:rPr>
              <w:t>plate</w:t>
            </w:r>
          </w:p>
        </w:tc>
        <w:tc>
          <w:tcPr>
            <w:tcW w:w="1509" w:type="dxa"/>
            <w:tcBorders>
              <w:top w:val="single" w:sz="4" w:space="0" w:color="000000"/>
              <w:bottom w:val="single" w:sz="4" w:space="0" w:color="000000"/>
            </w:tcBorders>
          </w:tcPr>
          <w:p>
            <w:pPr>
              <w:pStyle w:val="TableParagraph"/>
              <w:spacing w:line="360" w:lineRule="auto"/>
              <w:ind w:left="213" w:right="147"/>
              <w:rPr>
                <w:b/>
                <w:sz w:val="22"/>
              </w:rPr>
            </w:pPr>
            <w:r>
              <w:rPr>
                <w:b/>
                <w:sz w:val="22"/>
              </w:rPr>
              <w:t>No of </w:t>
            </w:r>
            <w:r>
              <w:rPr>
                <w:b/>
                <w:spacing w:val="-2"/>
                <w:sz w:val="22"/>
              </w:rPr>
              <w:t>colonies </w:t>
            </w:r>
            <w:r>
              <w:rPr>
                <w:b/>
                <w:sz w:val="22"/>
              </w:rPr>
              <w:t>counted in Lemon (10 µg/ml)</w:t>
            </w:r>
            <w:r>
              <w:rPr>
                <w:b/>
                <w:spacing w:val="-13"/>
                <w:sz w:val="22"/>
              </w:rPr>
              <w:t> </w:t>
            </w:r>
            <w:r>
              <w:rPr>
                <w:b/>
                <w:sz w:val="22"/>
              </w:rPr>
              <w:t>plate</w:t>
            </w:r>
          </w:p>
        </w:tc>
        <w:tc>
          <w:tcPr>
            <w:tcW w:w="1448" w:type="dxa"/>
            <w:tcBorders>
              <w:top w:val="single" w:sz="4" w:space="0" w:color="000000"/>
              <w:bottom w:val="single" w:sz="4" w:space="0" w:color="000000"/>
            </w:tcBorders>
          </w:tcPr>
          <w:p>
            <w:pPr>
              <w:pStyle w:val="TableParagraph"/>
              <w:spacing w:line="360" w:lineRule="auto"/>
              <w:ind w:left="148" w:right="151"/>
              <w:rPr>
                <w:b/>
                <w:sz w:val="22"/>
              </w:rPr>
            </w:pPr>
            <w:r>
              <w:rPr>
                <w:b/>
                <w:sz w:val="22"/>
              </w:rPr>
              <w:t>No of </w:t>
            </w:r>
            <w:r>
              <w:rPr>
                <w:b/>
                <w:spacing w:val="-2"/>
                <w:sz w:val="22"/>
              </w:rPr>
              <w:t>colonies </w:t>
            </w:r>
            <w:r>
              <w:rPr>
                <w:b/>
                <w:sz w:val="22"/>
              </w:rPr>
              <w:t>counted in Honey (25 µg/ml)</w:t>
            </w:r>
            <w:r>
              <w:rPr>
                <w:b/>
                <w:spacing w:val="-13"/>
                <w:sz w:val="22"/>
              </w:rPr>
              <w:t> </w:t>
            </w:r>
            <w:r>
              <w:rPr>
                <w:b/>
                <w:sz w:val="22"/>
              </w:rPr>
              <w:t>plate</w:t>
            </w:r>
          </w:p>
        </w:tc>
        <w:tc>
          <w:tcPr>
            <w:tcW w:w="1421" w:type="dxa"/>
            <w:tcBorders>
              <w:top w:val="single" w:sz="4" w:space="0" w:color="000000"/>
              <w:bottom w:val="single" w:sz="4" w:space="0" w:color="000000"/>
            </w:tcBorders>
          </w:tcPr>
          <w:p>
            <w:pPr>
              <w:pStyle w:val="TableParagraph"/>
              <w:spacing w:line="360" w:lineRule="auto"/>
              <w:ind w:left="151" w:right="289"/>
              <w:rPr>
                <w:b/>
                <w:sz w:val="22"/>
              </w:rPr>
            </w:pPr>
            <w:r>
              <w:rPr>
                <w:b/>
                <w:sz w:val="22"/>
              </w:rPr>
              <w:t>No of </w:t>
            </w:r>
            <w:r>
              <w:rPr>
                <w:b/>
                <w:spacing w:val="-2"/>
                <w:sz w:val="22"/>
              </w:rPr>
              <w:t>colonies </w:t>
            </w:r>
            <w:r>
              <w:rPr>
                <w:b/>
                <w:sz w:val="22"/>
              </w:rPr>
              <w:t>counted</w:t>
            </w:r>
            <w:r>
              <w:rPr>
                <w:b/>
                <w:spacing w:val="-13"/>
                <w:sz w:val="22"/>
              </w:rPr>
              <w:t> </w:t>
            </w:r>
            <w:r>
              <w:rPr>
                <w:b/>
                <w:sz w:val="22"/>
              </w:rPr>
              <w:t>in H/L (10</w:t>
            </w:r>
          </w:p>
          <w:p>
            <w:pPr>
              <w:pStyle w:val="TableParagraph"/>
              <w:ind w:left="151"/>
              <w:rPr>
                <w:b/>
                <w:sz w:val="22"/>
              </w:rPr>
            </w:pPr>
            <w:r>
              <w:rPr>
                <w:b/>
                <w:sz w:val="22"/>
              </w:rPr>
              <w:t>µg/ml)</w:t>
            </w:r>
            <w:r>
              <w:rPr>
                <w:b/>
                <w:spacing w:val="-4"/>
                <w:sz w:val="22"/>
              </w:rPr>
              <w:t> </w:t>
            </w:r>
            <w:r>
              <w:rPr>
                <w:b/>
                <w:spacing w:val="-2"/>
                <w:sz w:val="22"/>
              </w:rPr>
              <w:t>plate</w:t>
            </w:r>
          </w:p>
        </w:tc>
      </w:tr>
      <w:tr>
        <w:trPr>
          <w:trHeight w:val="413" w:hRule="atLeast"/>
        </w:trPr>
        <w:tc>
          <w:tcPr>
            <w:tcW w:w="1009" w:type="dxa"/>
            <w:tcBorders>
              <w:top w:val="single" w:sz="4" w:space="0" w:color="000000"/>
            </w:tcBorders>
          </w:tcPr>
          <w:p>
            <w:pPr>
              <w:pStyle w:val="TableParagraph"/>
              <w:spacing w:line="265" w:lineRule="exact"/>
              <w:ind w:left="115"/>
              <w:rPr>
                <w:sz w:val="22"/>
              </w:rPr>
            </w:pPr>
            <w:r>
              <w:rPr>
                <w:spacing w:val="-10"/>
                <w:sz w:val="22"/>
              </w:rPr>
              <w:t>0</w:t>
            </w:r>
          </w:p>
        </w:tc>
        <w:tc>
          <w:tcPr>
            <w:tcW w:w="1865" w:type="dxa"/>
            <w:tcBorders>
              <w:top w:val="single" w:sz="4" w:space="0" w:color="000000"/>
            </w:tcBorders>
          </w:tcPr>
          <w:p>
            <w:pPr>
              <w:pStyle w:val="TableParagraph"/>
              <w:spacing w:line="265" w:lineRule="exact"/>
              <w:ind w:left="315"/>
              <w:rPr>
                <w:sz w:val="22"/>
              </w:rPr>
            </w:pPr>
            <w:r>
              <w:rPr>
                <w:spacing w:val="-2"/>
                <w:sz w:val="22"/>
              </w:rPr>
              <w:t>9.2×10</w:t>
            </w:r>
            <w:r>
              <w:rPr>
                <w:spacing w:val="-2"/>
                <w:sz w:val="22"/>
                <w:vertAlign w:val="superscript"/>
              </w:rPr>
              <w:t>5</w:t>
            </w:r>
          </w:p>
        </w:tc>
        <w:tc>
          <w:tcPr>
            <w:tcW w:w="1757" w:type="dxa"/>
            <w:tcBorders>
              <w:top w:val="single" w:sz="4" w:space="0" w:color="000000"/>
            </w:tcBorders>
          </w:tcPr>
          <w:p>
            <w:pPr>
              <w:pStyle w:val="TableParagraph"/>
              <w:spacing w:line="265" w:lineRule="exact"/>
              <w:ind w:left="191"/>
              <w:rPr>
                <w:sz w:val="22"/>
              </w:rPr>
            </w:pPr>
            <w:r>
              <w:rPr>
                <w:spacing w:val="-2"/>
                <w:sz w:val="22"/>
              </w:rPr>
              <w:t>2.6×10</w:t>
            </w:r>
            <w:r>
              <w:rPr>
                <w:spacing w:val="-2"/>
                <w:sz w:val="22"/>
                <w:vertAlign w:val="superscript"/>
              </w:rPr>
              <w:t>6</w:t>
            </w:r>
          </w:p>
        </w:tc>
        <w:tc>
          <w:tcPr>
            <w:tcW w:w="1509" w:type="dxa"/>
            <w:tcBorders>
              <w:top w:val="single" w:sz="4" w:space="0" w:color="000000"/>
            </w:tcBorders>
          </w:tcPr>
          <w:p>
            <w:pPr>
              <w:pStyle w:val="TableParagraph"/>
              <w:spacing w:line="265" w:lineRule="exact"/>
              <w:ind w:left="213"/>
              <w:rPr>
                <w:sz w:val="22"/>
              </w:rPr>
            </w:pPr>
            <w:r>
              <w:rPr>
                <w:spacing w:val="-2"/>
                <w:sz w:val="22"/>
              </w:rPr>
              <w:t>7.1×10</w:t>
            </w:r>
            <w:r>
              <w:rPr>
                <w:spacing w:val="-2"/>
                <w:sz w:val="22"/>
                <w:vertAlign w:val="superscript"/>
              </w:rPr>
              <w:t>4</w:t>
            </w:r>
          </w:p>
        </w:tc>
        <w:tc>
          <w:tcPr>
            <w:tcW w:w="1448" w:type="dxa"/>
            <w:tcBorders>
              <w:top w:val="single" w:sz="4" w:space="0" w:color="000000"/>
            </w:tcBorders>
          </w:tcPr>
          <w:p>
            <w:pPr>
              <w:pStyle w:val="TableParagraph"/>
              <w:spacing w:line="265" w:lineRule="exact"/>
              <w:ind w:left="148"/>
              <w:rPr>
                <w:sz w:val="22"/>
              </w:rPr>
            </w:pPr>
            <w:r>
              <w:rPr>
                <w:spacing w:val="-2"/>
                <w:sz w:val="22"/>
              </w:rPr>
              <w:t>3.4×10</w:t>
            </w:r>
            <w:r>
              <w:rPr>
                <w:spacing w:val="-2"/>
                <w:sz w:val="22"/>
                <w:vertAlign w:val="superscript"/>
              </w:rPr>
              <w:t>6</w:t>
            </w:r>
          </w:p>
        </w:tc>
        <w:tc>
          <w:tcPr>
            <w:tcW w:w="1421" w:type="dxa"/>
            <w:tcBorders>
              <w:top w:val="single" w:sz="4" w:space="0" w:color="000000"/>
            </w:tcBorders>
          </w:tcPr>
          <w:p>
            <w:pPr>
              <w:pStyle w:val="TableParagraph"/>
              <w:spacing w:line="265" w:lineRule="exact"/>
              <w:ind w:left="151"/>
              <w:rPr>
                <w:sz w:val="22"/>
              </w:rPr>
            </w:pPr>
            <w:r>
              <w:rPr>
                <w:spacing w:val="-2"/>
                <w:sz w:val="22"/>
              </w:rPr>
              <w:t>9.5×10</w:t>
            </w:r>
            <w:r>
              <w:rPr>
                <w:spacing w:val="-2"/>
                <w:sz w:val="22"/>
                <w:vertAlign w:val="superscript"/>
              </w:rPr>
              <w:t>4</w:t>
            </w:r>
          </w:p>
        </w:tc>
      </w:tr>
      <w:tr>
        <w:trPr>
          <w:trHeight w:val="562" w:hRule="atLeast"/>
        </w:trPr>
        <w:tc>
          <w:tcPr>
            <w:tcW w:w="1009" w:type="dxa"/>
          </w:tcPr>
          <w:p>
            <w:pPr>
              <w:pStyle w:val="TableParagraph"/>
              <w:spacing w:before="147"/>
              <w:ind w:left="115"/>
              <w:rPr>
                <w:sz w:val="22"/>
              </w:rPr>
            </w:pPr>
            <w:r>
              <w:rPr>
                <w:spacing w:val="-5"/>
                <w:sz w:val="22"/>
              </w:rPr>
              <w:t>30</w:t>
            </w:r>
          </w:p>
        </w:tc>
        <w:tc>
          <w:tcPr>
            <w:tcW w:w="1865" w:type="dxa"/>
          </w:tcPr>
          <w:p>
            <w:pPr>
              <w:pStyle w:val="TableParagraph"/>
              <w:spacing w:before="147"/>
              <w:ind w:left="315"/>
              <w:rPr>
                <w:sz w:val="22"/>
              </w:rPr>
            </w:pPr>
            <w:r>
              <w:rPr>
                <w:spacing w:val="-2"/>
                <w:sz w:val="22"/>
              </w:rPr>
              <w:t>6.3.×10</w:t>
            </w:r>
            <w:r>
              <w:rPr>
                <w:spacing w:val="-2"/>
                <w:sz w:val="22"/>
                <w:vertAlign w:val="superscript"/>
              </w:rPr>
              <w:t>4</w:t>
            </w:r>
          </w:p>
        </w:tc>
        <w:tc>
          <w:tcPr>
            <w:tcW w:w="1757" w:type="dxa"/>
          </w:tcPr>
          <w:p>
            <w:pPr>
              <w:pStyle w:val="TableParagraph"/>
              <w:spacing w:before="147"/>
              <w:ind w:left="191"/>
              <w:rPr>
                <w:sz w:val="22"/>
              </w:rPr>
            </w:pPr>
            <w:r>
              <w:rPr>
                <w:spacing w:val="-2"/>
                <w:sz w:val="22"/>
              </w:rPr>
              <w:t>1.6×10</w:t>
            </w:r>
            <w:r>
              <w:rPr>
                <w:spacing w:val="-2"/>
                <w:sz w:val="22"/>
                <w:vertAlign w:val="superscript"/>
              </w:rPr>
              <w:t>5</w:t>
            </w:r>
          </w:p>
        </w:tc>
        <w:tc>
          <w:tcPr>
            <w:tcW w:w="1509" w:type="dxa"/>
          </w:tcPr>
          <w:p>
            <w:pPr>
              <w:pStyle w:val="TableParagraph"/>
              <w:spacing w:before="147"/>
              <w:ind w:left="213"/>
              <w:rPr>
                <w:sz w:val="22"/>
              </w:rPr>
            </w:pPr>
            <w:r>
              <w:rPr>
                <w:spacing w:val="-2"/>
                <w:sz w:val="22"/>
              </w:rPr>
              <w:t>6.0×10</w:t>
            </w:r>
            <w:r>
              <w:rPr>
                <w:spacing w:val="-2"/>
                <w:sz w:val="22"/>
                <w:vertAlign w:val="superscript"/>
              </w:rPr>
              <w:t>4</w:t>
            </w:r>
          </w:p>
        </w:tc>
        <w:tc>
          <w:tcPr>
            <w:tcW w:w="1448" w:type="dxa"/>
          </w:tcPr>
          <w:p>
            <w:pPr>
              <w:pStyle w:val="TableParagraph"/>
              <w:spacing w:before="147"/>
              <w:ind w:left="148"/>
              <w:rPr>
                <w:sz w:val="22"/>
              </w:rPr>
            </w:pPr>
            <w:r>
              <w:rPr>
                <w:spacing w:val="-2"/>
                <w:sz w:val="22"/>
              </w:rPr>
              <w:t>9.2×10</w:t>
            </w:r>
            <w:r>
              <w:rPr>
                <w:spacing w:val="-2"/>
                <w:sz w:val="22"/>
                <w:vertAlign w:val="superscript"/>
              </w:rPr>
              <w:t>5</w:t>
            </w:r>
          </w:p>
        </w:tc>
        <w:tc>
          <w:tcPr>
            <w:tcW w:w="1421" w:type="dxa"/>
          </w:tcPr>
          <w:p>
            <w:pPr>
              <w:pStyle w:val="TableParagraph"/>
              <w:spacing w:before="147"/>
              <w:ind w:left="151"/>
              <w:rPr>
                <w:sz w:val="22"/>
              </w:rPr>
            </w:pPr>
            <w:r>
              <w:rPr>
                <w:spacing w:val="-2"/>
                <w:sz w:val="22"/>
              </w:rPr>
              <w:t>9.2×10</w:t>
            </w:r>
            <w:r>
              <w:rPr>
                <w:spacing w:val="-2"/>
                <w:sz w:val="22"/>
                <w:vertAlign w:val="superscript"/>
              </w:rPr>
              <w:t>4</w:t>
            </w:r>
          </w:p>
        </w:tc>
      </w:tr>
      <w:tr>
        <w:trPr>
          <w:trHeight w:val="562" w:hRule="atLeast"/>
        </w:trPr>
        <w:tc>
          <w:tcPr>
            <w:tcW w:w="1009" w:type="dxa"/>
          </w:tcPr>
          <w:p>
            <w:pPr>
              <w:pStyle w:val="TableParagraph"/>
              <w:spacing w:before="146"/>
              <w:ind w:left="115"/>
              <w:rPr>
                <w:sz w:val="22"/>
              </w:rPr>
            </w:pPr>
            <w:r>
              <w:rPr>
                <w:spacing w:val="-5"/>
                <w:sz w:val="22"/>
              </w:rPr>
              <w:t>60</w:t>
            </w:r>
          </w:p>
        </w:tc>
        <w:tc>
          <w:tcPr>
            <w:tcW w:w="1865" w:type="dxa"/>
          </w:tcPr>
          <w:p>
            <w:pPr>
              <w:pStyle w:val="TableParagraph"/>
              <w:spacing w:before="146"/>
              <w:ind w:left="315"/>
              <w:rPr>
                <w:sz w:val="22"/>
              </w:rPr>
            </w:pPr>
            <w:r>
              <w:rPr>
                <w:spacing w:val="-2"/>
                <w:sz w:val="22"/>
              </w:rPr>
              <w:t>2.8×10</w:t>
            </w:r>
            <w:r>
              <w:rPr>
                <w:spacing w:val="-2"/>
                <w:sz w:val="22"/>
                <w:vertAlign w:val="superscript"/>
              </w:rPr>
              <w:t>4</w:t>
            </w:r>
          </w:p>
        </w:tc>
        <w:tc>
          <w:tcPr>
            <w:tcW w:w="1757" w:type="dxa"/>
          </w:tcPr>
          <w:p>
            <w:pPr>
              <w:pStyle w:val="TableParagraph"/>
              <w:spacing w:before="146"/>
              <w:ind w:left="191"/>
              <w:rPr>
                <w:sz w:val="22"/>
              </w:rPr>
            </w:pPr>
            <w:r>
              <w:rPr>
                <w:spacing w:val="-2"/>
                <w:sz w:val="22"/>
              </w:rPr>
              <w:t>8.3×10</w:t>
            </w:r>
            <w:r>
              <w:rPr>
                <w:spacing w:val="-2"/>
                <w:sz w:val="22"/>
                <w:vertAlign w:val="superscript"/>
              </w:rPr>
              <w:t>4</w:t>
            </w:r>
          </w:p>
        </w:tc>
        <w:tc>
          <w:tcPr>
            <w:tcW w:w="1509" w:type="dxa"/>
          </w:tcPr>
          <w:p>
            <w:pPr>
              <w:pStyle w:val="TableParagraph"/>
              <w:spacing w:before="146"/>
              <w:ind w:left="213"/>
              <w:rPr>
                <w:sz w:val="22"/>
              </w:rPr>
            </w:pPr>
            <w:r>
              <w:rPr>
                <w:spacing w:val="-2"/>
                <w:sz w:val="22"/>
              </w:rPr>
              <w:t>4.2×10</w:t>
            </w:r>
            <w:r>
              <w:rPr>
                <w:spacing w:val="-2"/>
                <w:sz w:val="22"/>
                <w:vertAlign w:val="superscript"/>
              </w:rPr>
              <w:t>4</w:t>
            </w:r>
          </w:p>
        </w:tc>
        <w:tc>
          <w:tcPr>
            <w:tcW w:w="1448" w:type="dxa"/>
          </w:tcPr>
          <w:p>
            <w:pPr>
              <w:pStyle w:val="TableParagraph"/>
              <w:spacing w:before="146"/>
              <w:ind w:left="148"/>
              <w:rPr>
                <w:sz w:val="22"/>
              </w:rPr>
            </w:pPr>
            <w:r>
              <w:rPr>
                <w:spacing w:val="-2"/>
                <w:sz w:val="22"/>
              </w:rPr>
              <w:t>5.3×10</w:t>
            </w:r>
            <w:r>
              <w:rPr>
                <w:spacing w:val="-2"/>
                <w:sz w:val="22"/>
                <w:vertAlign w:val="superscript"/>
              </w:rPr>
              <w:t>5</w:t>
            </w:r>
          </w:p>
        </w:tc>
        <w:tc>
          <w:tcPr>
            <w:tcW w:w="1421" w:type="dxa"/>
          </w:tcPr>
          <w:p>
            <w:pPr>
              <w:pStyle w:val="TableParagraph"/>
              <w:spacing w:before="146"/>
              <w:ind w:left="151"/>
              <w:rPr>
                <w:sz w:val="22"/>
              </w:rPr>
            </w:pPr>
            <w:r>
              <w:rPr>
                <w:spacing w:val="-2"/>
                <w:sz w:val="22"/>
              </w:rPr>
              <w:t>8.9×10</w:t>
            </w:r>
            <w:r>
              <w:rPr>
                <w:spacing w:val="-2"/>
                <w:sz w:val="22"/>
                <w:vertAlign w:val="superscript"/>
              </w:rPr>
              <w:t>3</w:t>
            </w:r>
          </w:p>
        </w:tc>
      </w:tr>
      <w:tr>
        <w:trPr>
          <w:trHeight w:val="562" w:hRule="atLeast"/>
        </w:trPr>
        <w:tc>
          <w:tcPr>
            <w:tcW w:w="1009" w:type="dxa"/>
          </w:tcPr>
          <w:p>
            <w:pPr>
              <w:pStyle w:val="TableParagraph"/>
              <w:spacing w:before="147"/>
              <w:ind w:left="115"/>
              <w:rPr>
                <w:sz w:val="22"/>
              </w:rPr>
            </w:pPr>
            <w:r>
              <w:rPr>
                <w:spacing w:val="-5"/>
                <w:sz w:val="22"/>
              </w:rPr>
              <w:t>90</w:t>
            </w:r>
          </w:p>
        </w:tc>
        <w:tc>
          <w:tcPr>
            <w:tcW w:w="1865" w:type="dxa"/>
          </w:tcPr>
          <w:p>
            <w:pPr>
              <w:pStyle w:val="TableParagraph"/>
              <w:spacing w:before="147"/>
              <w:ind w:left="315"/>
              <w:rPr>
                <w:sz w:val="22"/>
              </w:rPr>
            </w:pPr>
            <w:r>
              <w:rPr>
                <w:spacing w:val="-2"/>
                <w:sz w:val="22"/>
              </w:rPr>
              <w:t>1.5×10</w:t>
            </w:r>
            <w:r>
              <w:rPr>
                <w:spacing w:val="-2"/>
                <w:sz w:val="22"/>
                <w:vertAlign w:val="superscript"/>
              </w:rPr>
              <w:t>3</w:t>
            </w:r>
          </w:p>
        </w:tc>
        <w:tc>
          <w:tcPr>
            <w:tcW w:w="1757" w:type="dxa"/>
          </w:tcPr>
          <w:p>
            <w:pPr>
              <w:pStyle w:val="TableParagraph"/>
              <w:spacing w:before="147"/>
              <w:ind w:left="191"/>
              <w:rPr>
                <w:sz w:val="22"/>
              </w:rPr>
            </w:pPr>
            <w:r>
              <w:rPr>
                <w:spacing w:val="-2"/>
                <w:sz w:val="22"/>
              </w:rPr>
              <w:t>4.5×10</w:t>
            </w:r>
            <w:r>
              <w:rPr>
                <w:spacing w:val="-2"/>
                <w:sz w:val="22"/>
                <w:vertAlign w:val="superscript"/>
              </w:rPr>
              <w:t>3</w:t>
            </w:r>
          </w:p>
        </w:tc>
        <w:tc>
          <w:tcPr>
            <w:tcW w:w="1509" w:type="dxa"/>
          </w:tcPr>
          <w:p>
            <w:pPr>
              <w:pStyle w:val="TableParagraph"/>
              <w:spacing w:before="147"/>
              <w:ind w:left="213"/>
              <w:rPr>
                <w:sz w:val="22"/>
              </w:rPr>
            </w:pPr>
            <w:r>
              <w:rPr>
                <w:spacing w:val="-2"/>
                <w:sz w:val="22"/>
              </w:rPr>
              <w:t>8.3×10</w:t>
            </w:r>
            <w:r>
              <w:rPr>
                <w:spacing w:val="-2"/>
                <w:sz w:val="22"/>
                <w:vertAlign w:val="superscript"/>
              </w:rPr>
              <w:t>3</w:t>
            </w:r>
          </w:p>
        </w:tc>
        <w:tc>
          <w:tcPr>
            <w:tcW w:w="1448" w:type="dxa"/>
          </w:tcPr>
          <w:p>
            <w:pPr>
              <w:pStyle w:val="TableParagraph"/>
              <w:spacing w:before="147"/>
              <w:ind w:left="148"/>
              <w:rPr>
                <w:sz w:val="22"/>
              </w:rPr>
            </w:pPr>
            <w:r>
              <w:rPr>
                <w:spacing w:val="-2"/>
                <w:sz w:val="22"/>
              </w:rPr>
              <w:t>1.3×10</w:t>
            </w:r>
            <w:r>
              <w:rPr>
                <w:spacing w:val="-2"/>
                <w:sz w:val="22"/>
                <w:vertAlign w:val="superscript"/>
              </w:rPr>
              <w:t>5</w:t>
            </w:r>
          </w:p>
        </w:tc>
        <w:tc>
          <w:tcPr>
            <w:tcW w:w="1421" w:type="dxa"/>
          </w:tcPr>
          <w:p>
            <w:pPr>
              <w:pStyle w:val="TableParagraph"/>
              <w:spacing w:before="147"/>
              <w:ind w:left="151"/>
              <w:rPr>
                <w:sz w:val="22"/>
              </w:rPr>
            </w:pPr>
            <w:r>
              <w:rPr>
                <w:spacing w:val="-2"/>
                <w:sz w:val="22"/>
              </w:rPr>
              <w:t>6.8×10</w:t>
            </w:r>
            <w:r>
              <w:rPr>
                <w:spacing w:val="-2"/>
                <w:sz w:val="22"/>
                <w:vertAlign w:val="superscript"/>
              </w:rPr>
              <w:t>3</w:t>
            </w:r>
          </w:p>
        </w:tc>
      </w:tr>
      <w:tr>
        <w:trPr>
          <w:trHeight w:val="563" w:hRule="atLeast"/>
        </w:trPr>
        <w:tc>
          <w:tcPr>
            <w:tcW w:w="1009" w:type="dxa"/>
          </w:tcPr>
          <w:p>
            <w:pPr>
              <w:pStyle w:val="TableParagraph"/>
              <w:spacing w:before="146"/>
              <w:ind w:left="115"/>
              <w:rPr>
                <w:sz w:val="22"/>
              </w:rPr>
            </w:pPr>
            <w:r>
              <w:rPr>
                <w:spacing w:val="-5"/>
                <w:sz w:val="22"/>
              </w:rPr>
              <w:t>120</w:t>
            </w:r>
          </w:p>
        </w:tc>
        <w:tc>
          <w:tcPr>
            <w:tcW w:w="1865" w:type="dxa"/>
          </w:tcPr>
          <w:p>
            <w:pPr>
              <w:pStyle w:val="TableParagraph"/>
              <w:spacing w:before="146"/>
              <w:ind w:left="315"/>
              <w:rPr>
                <w:sz w:val="22"/>
              </w:rPr>
            </w:pPr>
            <w:r>
              <w:rPr>
                <w:spacing w:val="-2"/>
                <w:sz w:val="22"/>
              </w:rPr>
              <w:t>3.9×10</w:t>
            </w:r>
            <w:r>
              <w:rPr>
                <w:spacing w:val="-2"/>
                <w:sz w:val="22"/>
                <w:vertAlign w:val="superscript"/>
              </w:rPr>
              <w:t>3</w:t>
            </w:r>
          </w:p>
        </w:tc>
        <w:tc>
          <w:tcPr>
            <w:tcW w:w="1757" w:type="dxa"/>
          </w:tcPr>
          <w:p>
            <w:pPr>
              <w:pStyle w:val="TableParagraph"/>
              <w:spacing w:before="146"/>
              <w:ind w:left="191"/>
              <w:rPr>
                <w:sz w:val="22"/>
              </w:rPr>
            </w:pPr>
            <w:r>
              <w:rPr>
                <w:spacing w:val="-2"/>
                <w:sz w:val="22"/>
              </w:rPr>
              <w:t>7.3×10</w:t>
            </w:r>
            <w:r>
              <w:rPr>
                <w:spacing w:val="-2"/>
                <w:sz w:val="22"/>
                <w:vertAlign w:val="superscript"/>
              </w:rPr>
              <w:t>3</w:t>
            </w:r>
          </w:p>
        </w:tc>
        <w:tc>
          <w:tcPr>
            <w:tcW w:w="1509" w:type="dxa"/>
          </w:tcPr>
          <w:p>
            <w:pPr>
              <w:pStyle w:val="TableParagraph"/>
              <w:spacing w:before="146"/>
              <w:ind w:left="213"/>
              <w:rPr>
                <w:sz w:val="22"/>
              </w:rPr>
            </w:pPr>
            <w:r>
              <w:rPr>
                <w:spacing w:val="-2"/>
                <w:sz w:val="22"/>
              </w:rPr>
              <w:t>5.9×10</w:t>
            </w:r>
            <w:r>
              <w:rPr>
                <w:spacing w:val="-2"/>
                <w:sz w:val="22"/>
                <w:vertAlign w:val="superscript"/>
              </w:rPr>
              <w:t>2</w:t>
            </w:r>
          </w:p>
        </w:tc>
        <w:tc>
          <w:tcPr>
            <w:tcW w:w="1448" w:type="dxa"/>
          </w:tcPr>
          <w:p>
            <w:pPr>
              <w:pStyle w:val="TableParagraph"/>
              <w:spacing w:before="146"/>
              <w:ind w:left="148"/>
              <w:rPr>
                <w:sz w:val="22"/>
              </w:rPr>
            </w:pPr>
            <w:r>
              <w:rPr>
                <w:spacing w:val="-2"/>
                <w:sz w:val="22"/>
              </w:rPr>
              <w:t>7.4×10</w:t>
            </w:r>
            <w:r>
              <w:rPr>
                <w:spacing w:val="-2"/>
                <w:sz w:val="22"/>
                <w:vertAlign w:val="superscript"/>
              </w:rPr>
              <w:t>4</w:t>
            </w:r>
          </w:p>
        </w:tc>
        <w:tc>
          <w:tcPr>
            <w:tcW w:w="1421" w:type="dxa"/>
          </w:tcPr>
          <w:p>
            <w:pPr>
              <w:pStyle w:val="TableParagraph"/>
              <w:spacing w:before="146"/>
              <w:ind w:left="151"/>
              <w:rPr>
                <w:sz w:val="22"/>
              </w:rPr>
            </w:pPr>
            <w:r>
              <w:rPr>
                <w:spacing w:val="-2"/>
                <w:sz w:val="22"/>
              </w:rPr>
              <w:t>7.5×10</w:t>
            </w:r>
            <w:r>
              <w:rPr>
                <w:spacing w:val="-2"/>
                <w:sz w:val="22"/>
                <w:vertAlign w:val="superscript"/>
              </w:rPr>
              <w:t>2</w:t>
            </w:r>
          </w:p>
        </w:tc>
      </w:tr>
      <w:tr>
        <w:trPr>
          <w:trHeight w:val="562" w:hRule="atLeast"/>
        </w:trPr>
        <w:tc>
          <w:tcPr>
            <w:tcW w:w="1009" w:type="dxa"/>
          </w:tcPr>
          <w:p>
            <w:pPr>
              <w:pStyle w:val="TableParagraph"/>
              <w:spacing w:before="147"/>
              <w:ind w:left="115"/>
              <w:rPr>
                <w:sz w:val="22"/>
              </w:rPr>
            </w:pPr>
            <w:r>
              <w:rPr>
                <w:spacing w:val="-5"/>
                <w:sz w:val="22"/>
              </w:rPr>
              <w:t>240</w:t>
            </w:r>
          </w:p>
        </w:tc>
        <w:tc>
          <w:tcPr>
            <w:tcW w:w="1865" w:type="dxa"/>
          </w:tcPr>
          <w:p>
            <w:pPr>
              <w:pStyle w:val="TableParagraph"/>
              <w:spacing w:before="147"/>
              <w:ind w:left="315"/>
              <w:rPr>
                <w:sz w:val="22"/>
              </w:rPr>
            </w:pPr>
            <w:r>
              <w:rPr>
                <w:spacing w:val="-2"/>
                <w:sz w:val="22"/>
              </w:rPr>
              <w:t>4.3×10</w:t>
            </w:r>
            <w:r>
              <w:rPr>
                <w:spacing w:val="-2"/>
                <w:sz w:val="22"/>
                <w:vertAlign w:val="superscript"/>
              </w:rPr>
              <w:t>4</w:t>
            </w:r>
          </w:p>
        </w:tc>
        <w:tc>
          <w:tcPr>
            <w:tcW w:w="1757" w:type="dxa"/>
          </w:tcPr>
          <w:p>
            <w:pPr>
              <w:pStyle w:val="TableParagraph"/>
              <w:spacing w:before="147"/>
              <w:ind w:left="191"/>
              <w:rPr>
                <w:sz w:val="22"/>
              </w:rPr>
            </w:pPr>
            <w:r>
              <w:rPr>
                <w:spacing w:val="-2"/>
                <w:sz w:val="22"/>
              </w:rPr>
              <w:t>7.0×10</w:t>
            </w:r>
            <w:r>
              <w:rPr>
                <w:spacing w:val="-2"/>
                <w:sz w:val="22"/>
                <w:vertAlign w:val="superscript"/>
              </w:rPr>
              <w:t>4</w:t>
            </w:r>
          </w:p>
        </w:tc>
        <w:tc>
          <w:tcPr>
            <w:tcW w:w="1509" w:type="dxa"/>
          </w:tcPr>
          <w:p>
            <w:pPr>
              <w:pStyle w:val="TableParagraph"/>
              <w:spacing w:before="147"/>
              <w:ind w:left="213"/>
              <w:rPr>
                <w:sz w:val="22"/>
              </w:rPr>
            </w:pPr>
            <w:r>
              <w:rPr>
                <w:spacing w:val="-2"/>
                <w:sz w:val="22"/>
              </w:rPr>
              <w:t>5.1×10</w:t>
            </w:r>
            <w:r>
              <w:rPr>
                <w:spacing w:val="-2"/>
                <w:sz w:val="22"/>
                <w:vertAlign w:val="superscript"/>
              </w:rPr>
              <w:t>3</w:t>
            </w:r>
          </w:p>
        </w:tc>
        <w:tc>
          <w:tcPr>
            <w:tcW w:w="1448" w:type="dxa"/>
          </w:tcPr>
          <w:p>
            <w:pPr>
              <w:pStyle w:val="TableParagraph"/>
              <w:spacing w:before="147"/>
              <w:ind w:left="148"/>
              <w:rPr>
                <w:sz w:val="22"/>
              </w:rPr>
            </w:pPr>
            <w:r>
              <w:rPr>
                <w:spacing w:val="-2"/>
                <w:sz w:val="22"/>
              </w:rPr>
              <w:t>7.9×10</w:t>
            </w:r>
            <w:r>
              <w:rPr>
                <w:spacing w:val="-2"/>
                <w:sz w:val="22"/>
                <w:vertAlign w:val="superscript"/>
              </w:rPr>
              <w:t>4</w:t>
            </w:r>
          </w:p>
        </w:tc>
        <w:tc>
          <w:tcPr>
            <w:tcW w:w="1421" w:type="dxa"/>
          </w:tcPr>
          <w:p>
            <w:pPr>
              <w:pStyle w:val="TableParagraph"/>
              <w:spacing w:before="147"/>
              <w:ind w:left="151"/>
              <w:rPr>
                <w:sz w:val="22"/>
              </w:rPr>
            </w:pPr>
            <w:r>
              <w:rPr>
                <w:spacing w:val="-2"/>
                <w:sz w:val="22"/>
              </w:rPr>
              <w:t>6.2×10</w:t>
            </w:r>
            <w:r>
              <w:rPr>
                <w:spacing w:val="-2"/>
                <w:sz w:val="22"/>
                <w:vertAlign w:val="superscript"/>
              </w:rPr>
              <w:t>2</w:t>
            </w:r>
          </w:p>
        </w:tc>
      </w:tr>
      <w:tr>
        <w:trPr>
          <w:trHeight w:val="562" w:hRule="atLeast"/>
        </w:trPr>
        <w:tc>
          <w:tcPr>
            <w:tcW w:w="1009" w:type="dxa"/>
          </w:tcPr>
          <w:p>
            <w:pPr>
              <w:pStyle w:val="TableParagraph"/>
              <w:spacing w:before="146"/>
              <w:ind w:left="115"/>
              <w:rPr>
                <w:sz w:val="22"/>
              </w:rPr>
            </w:pPr>
            <w:r>
              <w:rPr>
                <w:spacing w:val="-5"/>
                <w:sz w:val="22"/>
              </w:rPr>
              <w:t>360</w:t>
            </w:r>
          </w:p>
        </w:tc>
        <w:tc>
          <w:tcPr>
            <w:tcW w:w="1865" w:type="dxa"/>
          </w:tcPr>
          <w:p>
            <w:pPr>
              <w:pStyle w:val="TableParagraph"/>
              <w:spacing w:before="146"/>
              <w:ind w:left="315"/>
              <w:rPr>
                <w:sz w:val="22"/>
              </w:rPr>
            </w:pPr>
            <w:r>
              <w:rPr>
                <w:spacing w:val="-2"/>
                <w:sz w:val="22"/>
              </w:rPr>
              <w:t>6.1×10</w:t>
            </w:r>
            <w:r>
              <w:rPr>
                <w:spacing w:val="-2"/>
                <w:sz w:val="22"/>
                <w:vertAlign w:val="superscript"/>
              </w:rPr>
              <w:t>5</w:t>
            </w:r>
          </w:p>
        </w:tc>
        <w:tc>
          <w:tcPr>
            <w:tcW w:w="1757" w:type="dxa"/>
          </w:tcPr>
          <w:p>
            <w:pPr>
              <w:pStyle w:val="TableParagraph"/>
              <w:spacing w:before="146"/>
              <w:ind w:left="191"/>
              <w:rPr>
                <w:sz w:val="22"/>
              </w:rPr>
            </w:pPr>
            <w:r>
              <w:rPr>
                <w:spacing w:val="-2"/>
                <w:sz w:val="22"/>
              </w:rPr>
              <w:t>1.3×10</w:t>
            </w:r>
            <w:r>
              <w:rPr>
                <w:spacing w:val="-2"/>
                <w:sz w:val="22"/>
                <w:vertAlign w:val="superscript"/>
              </w:rPr>
              <w:t>4</w:t>
            </w:r>
          </w:p>
        </w:tc>
        <w:tc>
          <w:tcPr>
            <w:tcW w:w="1509" w:type="dxa"/>
          </w:tcPr>
          <w:p>
            <w:pPr>
              <w:pStyle w:val="TableParagraph"/>
              <w:spacing w:before="146"/>
              <w:ind w:left="213"/>
              <w:rPr>
                <w:sz w:val="22"/>
              </w:rPr>
            </w:pPr>
            <w:r>
              <w:rPr>
                <w:spacing w:val="-2"/>
                <w:sz w:val="22"/>
              </w:rPr>
              <w:t>2.7×10</w:t>
            </w:r>
            <w:r>
              <w:rPr>
                <w:spacing w:val="-2"/>
                <w:sz w:val="22"/>
                <w:vertAlign w:val="superscript"/>
              </w:rPr>
              <w:t>4</w:t>
            </w:r>
          </w:p>
        </w:tc>
        <w:tc>
          <w:tcPr>
            <w:tcW w:w="1448" w:type="dxa"/>
          </w:tcPr>
          <w:p>
            <w:pPr>
              <w:pStyle w:val="TableParagraph"/>
              <w:spacing w:before="146"/>
              <w:ind w:left="148"/>
              <w:rPr>
                <w:sz w:val="22"/>
              </w:rPr>
            </w:pPr>
            <w:r>
              <w:rPr>
                <w:spacing w:val="-2"/>
                <w:sz w:val="22"/>
              </w:rPr>
              <w:t>3.3×10</w:t>
            </w:r>
            <w:r>
              <w:rPr>
                <w:spacing w:val="-2"/>
                <w:sz w:val="22"/>
                <w:vertAlign w:val="superscript"/>
              </w:rPr>
              <w:t>5</w:t>
            </w:r>
          </w:p>
        </w:tc>
        <w:tc>
          <w:tcPr>
            <w:tcW w:w="1421" w:type="dxa"/>
          </w:tcPr>
          <w:p>
            <w:pPr>
              <w:pStyle w:val="TableParagraph"/>
              <w:spacing w:before="146"/>
              <w:ind w:left="151"/>
              <w:rPr>
                <w:sz w:val="22"/>
              </w:rPr>
            </w:pPr>
            <w:r>
              <w:rPr>
                <w:spacing w:val="-2"/>
                <w:sz w:val="22"/>
              </w:rPr>
              <w:t>4.8×10</w:t>
            </w:r>
            <w:r>
              <w:rPr>
                <w:spacing w:val="-2"/>
                <w:sz w:val="22"/>
                <w:vertAlign w:val="superscript"/>
              </w:rPr>
              <w:t>3</w:t>
            </w:r>
          </w:p>
        </w:tc>
      </w:tr>
      <w:tr>
        <w:trPr>
          <w:trHeight w:val="714" w:hRule="atLeast"/>
        </w:trPr>
        <w:tc>
          <w:tcPr>
            <w:tcW w:w="1009" w:type="dxa"/>
            <w:tcBorders>
              <w:bottom w:val="single" w:sz="4" w:space="0" w:color="000000"/>
            </w:tcBorders>
          </w:tcPr>
          <w:p>
            <w:pPr>
              <w:pStyle w:val="TableParagraph"/>
              <w:spacing w:before="147"/>
              <w:ind w:left="115"/>
              <w:rPr>
                <w:sz w:val="22"/>
              </w:rPr>
            </w:pPr>
            <w:r>
              <w:rPr>
                <w:spacing w:val="-4"/>
                <w:sz w:val="22"/>
              </w:rPr>
              <w:t>1440</w:t>
            </w:r>
          </w:p>
        </w:tc>
        <w:tc>
          <w:tcPr>
            <w:tcW w:w="1865" w:type="dxa"/>
            <w:tcBorders>
              <w:bottom w:val="single" w:sz="4" w:space="0" w:color="000000"/>
            </w:tcBorders>
          </w:tcPr>
          <w:p>
            <w:pPr>
              <w:pStyle w:val="TableParagraph"/>
              <w:spacing w:before="147"/>
              <w:ind w:left="315"/>
              <w:rPr>
                <w:sz w:val="22"/>
              </w:rPr>
            </w:pPr>
            <w:r>
              <w:rPr>
                <w:spacing w:val="-2"/>
                <w:sz w:val="22"/>
              </w:rPr>
              <w:t>5.3×10</w:t>
            </w:r>
            <w:r>
              <w:rPr>
                <w:spacing w:val="-2"/>
                <w:sz w:val="22"/>
                <w:vertAlign w:val="superscript"/>
              </w:rPr>
              <w:t>5</w:t>
            </w:r>
          </w:p>
        </w:tc>
        <w:tc>
          <w:tcPr>
            <w:tcW w:w="1757" w:type="dxa"/>
            <w:tcBorders>
              <w:bottom w:val="single" w:sz="4" w:space="0" w:color="000000"/>
            </w:tcBorders>
          </w:tcPr>
          <w:p>
            <w:pPr>
              <w:pStyle w:val="TableParagraph"/>
              <w:spacing w:before="147"/>
              <w:ind w:left="191"/>
              <w:rPr>
                <w:sz w:val="22"/>
              </w:rPr>
            </w:pPr>
            <w:r>
              <w:rPr>
                <w:spacing w:val="-2"/>
                <w:sz w:val="22"/>
              </w:rPr>
              <w:t>1.7×10</w:t>
            </w:r>
            <w:r>
              <w:rPr>
                <w:spacing w:val="-2"/>
                <w:sz w:val="22"/>
                <w:vertAlign w:val="superscript"/>
              </w:rPr>
              <w:t>5</w:t>
            </w:r>
          </w:p>
        </w:tc>
        <w:tc>
          <w:tcPr>
            <w:tcW w:w="1509" w:type="dxa"/>
            <w:tcBorders>
              <w:bottom w:val="single" w:sz="4" w:space="0" w:color="000000"/>
            </w:tcBorders>
          </w:tcPr>
          <w:p>
            <w:pPr>
              <w:pStyle w:val="TableParagraph"/>
              <w:spacing w:before="147"/>
              <w:ind w:left="213"/>
              <w:rPr>
                <w:sz w:val="22"/>
              </w:rPr>
            </w:pPr>
            <w:r>
              <w:rPr>
                <w:spacing w:val="-2"/>
                <w:sz w:val="22"/>
              </w:rPr>
              <w:t>1.8×10</w:t>
            </w:r>
            <w:r>
              <w:rPr>
                <w:spacing w:val="-2"/>
                <w:sz w:val="22"/>
                <w:vertAlign w:val="superscript"/>
              </w:rPr>
              <w:t>5</w:t>
            </w:r>
          </w:p>
        </w:tc>
        <w:tc>
          <w:tcPr>
            <w:tcW w:w="1448" w:type="dxa"/>
            <w:tcBorders>
              <w:bottom w:val="single" w:sz="4" w:space="0" w:color="000000"/>
            </w:tcBorders>
          </w:tcPr>
          <w:p>
            <w:pPr>
              <w:pStyle w:val="TableParagraph"/>
              <w:spacing w:before="147"/>
              <w:ind w:left="148"/>
              <w:rPr>
                <w:sz w:val="22"/>
              </w:rPr>
            </w:pPr>
            <w:r>
              <w:rPr>
                <w:spacing w:val="-2"/>
                <w:sz w:val="22"/>
              </w:rPr>
              <w:t>2.9×10</w:t>
            </w:r>
            <w:r>
              <w:rPr>
                <w:spacing w:val="-2"/>
                <w:sz w:val="22"/>
                <w:vertAlign w:val="superscript"/>
              </w:rPr>
              <w:t>6</w:t>
            </w:r>
          </w:p>
        </w:tc>
        <w:tc>
          <w:tcPr>
            <w:tcW w:w="1421" w:type="dxa"/>
            <w:tcBorders>
              <w:bottom w:val="single" w:sz="4" w:space="0" w:color="000000"/>
            </w:tcBorders>
          </w:tcPr>
          <w:p>
            <w:pPr>
              <w:pStyle w:val="TableParagraph"/>
              <w:spacing w:before="147"/>
              <w:ind w:left="151"/>
              <w:rPr>
                <w:sz w:val="22"/>
              </w:rPr>
            </w:pPr>
            <w:r>
              <w:rPr>
                <w:spacing w:val="-2"/>
                <w:sz w:val="22"/>
              </w:rPr>
              <w:t>3.0×10</w:t>
            </w:r>
            <w:r>
              <w:rPr>
                <w:spacing w:val="-2"/>
                <w:sz w:val="22"/>
                <w:vertAlign w:val="superscript"/>
              </w:rPr>
              <w:t>4</w:t>
            </w:r>
          </w:p>
        </w:tc>
      </w:tr>
    </w:tbl>
    <w:p>
      <w:pPr>
        <w:pStyle w:val="BodyText"/>
        <w:spacing w:line="357" w:lineRule="auto" w:before="2"/>
        <w:ind w:left="380" w:right="975"/>
      </w:pPr>
      <w:r>
        <w:rPr>
          <w:b/>
        </w:rPr>
        <w:t>Key:</w:t>
      </w:r>
      <w:r>
        <w:rPr>
          <w:b/>
          <w:spacing w:val="-6"/>
        </w:rPr>
        <w:t> </w:t>
      </w:r>
      <w:r>
        <w:rPr/>
        <w:t>Sp=Sputum,</w:t>
      </w:r>
      <w:r>
        <w:rPr>
          <w:spacing w:val="-7"/>
        </w:rPr>
        <w:t> </w:t>
      </w:r>
      <w:r>
        <w:rPr/>
        <w:t>MIC=Minimum</w:t>
      </w:r>
      <w:r>
        <w:rPr>
          <w:spacing w:val="-7"/>
        </w:rPr>
        <w:t> </w:t>
      </w:r>
      <w:r>
        <w:rPr/>
        <w:t>Inhibitory</w:t>
      </w:r>
      <w:r>
        <w:rPr>
          <w:spacing w:val="-7"/>
        </w:rPr>
        <w:t> </w:t>
      </w:r>
      <w:r>
        <w:rPr/>
        <w:t>Concentration,</w:t>
      </w:r>
      <w:r>
        <w:rPr>
          <w:spacing w:val="-6"/>
        </w:rPr>
        <w:t> </w:t>
      </w:r>
      <w:r>
        <w:rPr/>
        <w:t>LEV=Levofloxacin,</w:t>
      </w:r>
      <w:r>
        <w:rPr>
          <w:spacing w:val="-7"/>
        </w:rPr>
        <w:t> </w:t>
      </w:r>
      <w:r>
        <w:rPr/>
        <w:t>CEF=Ceftriaxone, H=Honey, L=Lemon juice.</w:t>
      </w:r>
    </w:p>
    <w:p>
      <w:pPr>
        <w:spacing w:after="0" w:line="357"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7"/>
      </w:pPr>
    </w:p>
    <w:p>
      <w:pPr>
        <w:spacing w:before="0"/>
        <w:ind w:left="954" w:right="0" w:firstLine="0"/>
        <w:jc w:val="left"/>
        <w:rPr>
          <w:b/>
          <w:sz w:val="22"/>
        </w:rPr>
      </w:pPr>
      <w:r>
        <w:rPr>
          <w:b/>
          <w:sz w:val="22"/>
        </w:rPr>
        <w:t>Rate</w:t>
      </w:r>
      <w:r>
        <w:rPr>
          <w:b/>
          <w:spacing w:val="-8"/>
          <w:sz w:val="22"/>
        </w:rPr>
        <w:t> </w:t>
      </w:r>
      <w:r>
        <w:rPr>
          <w:b/>
          <w:sz w:val="22"/>
        </w:rPr>
        <w:t>of</w:t>
      </w:r>
      <w:r>
        <w:rPr>
          <w:b/>
          <w:spacing w:val="-4"/>
          <w:sz w:val="22"/>
        </w:rPr>
        <w:t> </w:t>
      </w:r>
      <w:r>
        <w:rPr>
          <w:b/>
          <w:sz w:val="22"/>
        </w:rPr>
        <w:t>kill</w:t>
      </w:r>
      <w:r>
        <w:rPr>
          <w:b/>
          <w:spacing w:val="-6"/>
          <w:sz w:val="22"/>
        </w:rPr>
        <w:t> </w:t>
      </w:r>
      <w:r>
        <w:rPr>
          <w:b/>
          <w:sz w:val="22"/>
        </w:rPr>
        <w:t>(below</w:t>
      </w:r>
      <w:r>
        <w:rPr>
          <w:b/>
          <w:spacing w:val="-3"/>
          <w:sz w:val="22"/>
        </w:rPr>
        <w:t> </w:t>
      </w:r>
      <w:r>
        <w:rPr>
          <w:b/>
          <w:sz w:val="22"/>
        </w:rPr>
        <w:t>average</w:t>
      </w:r>
      <w:r>
        <w:rPr>
          <w:b/>
          <w:spacing w:val="-7"/>
          <w:sz w:val="22"/>
        </w:rPr>
        <w:t> </w:t>
      </w:r>
      <w:r>
        <w:rPr>
          <w:b/>
          <w:sz w:val="22"/>
        </w:rPr>
        <w:t>MIC</w:t>
      </w:r>
      <w:r>
        <w:rPr>
          <w:b/>
          <w:spacing w:val="-6"/>
          <w:sz w:val="22"/>
        </w:rPr>
        <w:t> </w:t>
      </w:r>
      <w:r>
        <w:rPr>
          <w:b/>
          <w:sz w:val="22"/>
        </w:rPr>
        <w:t>values)</w:t>
      </w:r>
      <w:r>
        <w:rPr>
          <w:b/>
          <w:spacing w:val="-4"/>
          <w:sz w:val="22"/>
        </w:rPr>
        <w:t> </w:t>
      </w:r>
      <w:r>
        <w:rPr>
          <w:b/>
          <w:sz w:val="22"/>
        </w:rPr>
        <w:t>for</w:t>
      </w:r>
      <w:r>
        <w:rPr>
          <w:b/>
          <w:spacing w:val="-4"/>
          <w:sz w:val="22"/>
        </w:rPr>
        <w:t> </w:t>
      </w:r>
      <w:r>
        <w:rPr>
          <w:b/>
          <w:i/>
          <w:sz w:val="22"/>
        </w:rPr>
        <w:t>Klebsiella</w:t>
      </w:r>
      <w:r>
        <w:rPr>
          <w:b/>
          <w:i/>
          <w:spacing w:val="-8"/>
          <w:sz w:val="22"/>
        </w:rPr>
        <w:t> </w:t>
      </w:r>
      <w:r>
        <w:rPr>
          <w:b/>
          <w:i/>
          <w:sz w:val="22"/>
        </w:rPr>
        <w:t>pneumoniae_</w:t>
      </w:r>
      <w:r>
        <w:rPr>
          <w:b/>
          <w:sz w:val="22"/>
        </w:rPr>
        <w:t>Sp270</w:t>
      </w:r>
      <w:r>
        <w:rPr>
          <w:b/>
          <w:spacing w:val="-4"/>
          <w:sz w:val="22"/>
        </w:rPr>
        <w:t> </w:t>
      </w:r>
      <w:r>
        <w:rPr>
          <w:b/>
          <w:spacing w:val="-2"/>
          <w:sz w:val="22"/>
        </w:rPr>
        <w:t>(Susceptible)</w:t>
      </w:r>
    </w:p>
    <w:p>
      <w:pPr>
        <w:pStyle w:val="BodyText"/>
        <w:spacing w:before="52"/>
        <w:rPr>
          <w:b/>
          <w:sz w:val="20"/>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2"/>
        <w:gridCol w:w="1875"/>
        <w:gridCol w:w="1770"/>
        <w:gridCol w:w="1518"/>
        <w:gridCol w:w="1457"/>
        <w:gridCol w:w="1436"/>
      </w:tblGrid>
      <w:tr>
        <w:trPr>
          <w:trHeight w:val="2174" w:hRule="atLeast"/>
        </w:trPr>
        <w:tc>
          <w:tcPr>
            <w:tcW w:w="1012" w:type="dxa"/>
            <w:tcBorders>
              <w:top w:val="single" w:sz="4" w:space="0" w:color="000000"/>
              <w:bottom w:val="single" w:sz="4" w:space="0" w:color="000000"/>
            </w:tcBorders>
          </w:tcPr>
          <w:p>
            <w:pPr>
              <w:pStyle w:val="TableParagraph"/>
              <w:spacing w:line="360" w:lineRule="auto"/>
              <w:ind w:left="115" w:right="313"/>
              <w:rPr>
                <w:b/>
                <w:sz w:val="22"/>
              </w:rPr>
            </w:pPr>
            <w:r>
              <w:rPr>
                <w:b/>
                <w:spacing w:val="-4"/>
                <w:sz w:val="22"/>
              </w:rPr>
              <w:t>Time </w:t>
            </w:r>
            <w:r>
              <w:rPr>
                <w:b/>
                <w:spacing w:val="-2"/>
                <w:sz w:val="22"/>
              </w:rPr>
              <w:t>(mins)</w:t>
            </w:r>
          </w:p>
        </w:tc>
        <w:tc>
          <w:tcPr>
            <w:tcW w:w="1875" w:type="dxa"/>
            <w:tcBorders>
              <w:top w:val="single" w:sz="4" w:space="0" w:color="000000"/>
              <w:bottom w:val="single" w:sz="4" w:space="0" w:color="000000"/>
            </w:tcBorders>
          </w:tcPr>
          <w:p>
            <w:pPr>
              <w:pStyle w:val="TableParagraph"/>
              <w:spacing w:line="360" w:lineRule="auto"/>
              <w:ind w:left="319" w:right="54"/>
              <w:rPr>
                <w:b/>
                <w:sz w:val="22"/>
              </w:rPr>
            </w:pPr>
            <w:r>
              <w:rPr>
                <w:b/>
                <w:sz w:val="22"/>
              </w:rPr>
              <w:t>No of colonies counted</w:t>
            </w:r>
            <w:r>
              <w:rPr>
                <w:b/>
                <w:spacing w:val="-13"/>
                <w:sz w:val="22"/>
              </w:rPr>
              <w:t> </w:t>
            </w:r>
            <w:r>
              <w:rPr>
                <w:b/>
                <w:sz w:val="22"/>
              </w:rPr>
              <w:t>in</w:t>
            </w:r>
            <w:r>
              <w:rPr>
                <w:b/>
                <w:spacing w:val="-12"/>
                <w:sz w:val="22"/>
              </w:rPr>
              <w:t> </w:t>
            </w:r>
            <w:r>
              <w:rPr>
                <w:b/>
                <w:sz w:val="22"/>
              </w:rPr>
              <w:t>LEV </w:t>
            </w:r>
            <w:r>
              <w:rPr>
                <w:b/>
                <w:spacing w:val="-2"/>
                <w:sz w:val="22"/>
              </w:rPr>
              <w:t>(3.91µg/ml) plate</w:t>
            </w:r>
          </w:p>
        </w:tc>
        <w:tc>
          <w:tcPr>
            <w:tcW w:w="1770" w:type="dxa"/>
            <w:tcBorders>
              <w:top w:val="single" w:sz="4" w:space="0" w:color="000000"/>
              <w:bottom w:val="single" w:sz="4" w:space="0" w:color="000000"/>
            </w:tcBorders>
          </w:tcPr>
          <w:p>
            <w:pPr>
              <w:pStyle w:val="TableParagraph"/>
              <w:spacing w:line="360" w:lineRule="auto"/>
              <w:ind w:left="199"/>
              <w:rPr>
                <w:b/>
                <w:sz w:val="22"/>
              </w:rPr>
            </w:pPr>
            <w:r>
              <w:rPr>
                <w:b/>
                <w:sz w:val="22"/>
              </w:rPr>
              <w:t>No of colonies counted</w:t>
            </w:r>
            <w:r>
              <w:rPr>
                <w:b/>
                <w:spacing w:val="-13"/>
                <w:sz w:val="22"/>
              </w:rPr>
              <w:t> </w:t>
            </w:r>
            <w:r>
              <w:rPr>
                <w:b/>
                <w:sz w:val="22"/>
              </w:rPr>
              <w:t>in</w:t>
            </w:r>
            <w:r>
              <w:rPr>
                <w:b/>
                <w:spacing w:val="-12"/>
                <w:sz w:val="22"/>
              </w:rPr>
              <w:t> </w:t>
            </w:r>
            <w:r>
              <w:rPr>
                <w:b/>
                <w:sz w:val="22"/>
              </w:rPr>
              <w:t>CEF (6.25 µg/ml) </w:t>
            </w:r>
            <w:r>
              <w:rPr>
                <w:b/>
                <w:spacing w:val="-2"/>
                <w:sz w:val="22"/>
              </w:rPr>
              <w:t>plate</w:t>
            </w:r>
          </w:p>
        </w:tc>
        <w:tc>
          <w:tcPr>
            <w:tcW w:w="1518" w:type="dxa"/>
            <w:tcBorders>
              <w:top w:val="single" w:sz="4" w:space="0" w:color="000000"/>
              <w:bottom w:val="single" w:sz="4" w:space="0" w:color="000000"/>
            </w:tcBorders>
          </w:tcPr>
          <w:p>
            <w:pPr>
              <w:pStyle w:val="TableParagraph"/>
              <w:spacing w:line="360" w:lineRule="auto"/>
              <w:ind w:left="220" w:right="149"/>
              <w:rPr>
                <w:b/>
                <w:sz w:val="22"/>
              </w:rPr>
            </w:pPr>
            <w:r>
              <w:rPr>
                <w:b/>
                <w:sz w:val="22"/>
              </w:rPr>
              <w:t>No of </w:t>
            </w:r>
            <w:r>
              <w:rPr>
                <w:b/>
                <w:spacing w:val="-2"/>
                <w:sz w:val="22"/>
              </w:rPr>
              <w:t>colonies </w:t>
            </w:r>
            <w:r>
              <w:rPr>
                <w:b/>
                <w:sz w:val="22"/>
              </w:rPr>
              <w:t>counted in Lemon (10 µg/ml)</w:t>
            </w:r>
            <w:r>
              <w:rPr>
                <w:b/>
                <w:spacing w:val="-13"/>
                <w:sz w:val="22"/>
              </w:rPr>
              <w:t> </w:t>
            </w:r>
            <w:r>
              <w:rPr>
                <w:b/>
                <w:sz w:val="22"/>
              </w:rPr>
              <w:t>plate</w:t>
            </w:r>
          </w:p>
        </w:tc>
        <w:tc>
          <w:tcPr>
            <w:tcW w:w="1457" w:type="dxa"/>
            <w:tcBorders>
              <w:top w:val="single" w:sz="4" w:space="0" w:color="000000"/>
              <w:bottom w:val="single" w:sz="4" w:space="0" w:color="000000"/>
            </w:tcBorders>
          </w:tcPr>
          <w:p>
            <w:pPr>
              <w:pStyle w:val="TableParagraph"/>
              <w:spacing w:line="360" w:lineRule="auto"/>
              <w:ind w:left="154" w:right="154"/>
              <w:rPr>
                <w:b/>
                <w:sz w:val="22"/>
              </w:rPr>
            </w:pPr>
            <w:r>
              <w:rPr>
                <w:b/>
                <w:sz w:val="22"/>
              </w:rPr>
              <w:t>No of </w:t>
            </w:r>
            <w:r>
              <w:rPr>
                <w:b/>
                <w:spacing w:val="-2"/>
                <w:sz w:val="22"/>
              </w:rPr>
              <w:t>colonies </w:t>
            </w:r>
            <w:r>
              <w:rPr>
                <w:b/>
                <w:sz w:val="22"/>
              </w:rPr>
              <w:t>counted in Honey (25 µg/ml)</w:t>
            </w:r>
            <w:r>
              <w:rPr>
                <w:b/>
                <w:spacing w:val="-13"/>
                <w:sz w:val="22"/>
              </w:rPr>
              <w:t> </w:t>
            </w:r>
            <w:r>
              <w:rPr>
                <w:b/>
                <w:sz w:val="22"/>
              </w:rPr>
              <w:t>plate</w:t>
            </w:r>
          </w:p>
        </w:tc>
        <w:tc>
          <w:tcPr>
            <w:tcW w:w="1436" w:type="dxa"/>
            <w:tcBorders>
              <w:top w:val="single" w:sz="4" w:space="0" w:color="000000"/>
              <w:bottom w:val="single" w:sz="4" w:space="0" w:color="000000"/>
            </w:tcBorders>
          </w:tcPr>
          <w:p>
            <w:pPr>
              <w:pStyle w:val="TableParagraph"/>
              <w:spacing w:line="360" w:lineRule="auto"/>
              <w:ind w:left="159" w:right="296"/>
              <w:rPr>
                <w:b/>
                <w:sz w:val="22"/>
              </w:rPr>
            </w:pPr>
            <w:r>
              <w:rPr>
                <w:b/>
                <w:sz w:val="22"/>
              </w:rPr>
              <w:t>No of </w:t>
            </w:r>
            <w:r>
              <w:rPr>
                <w:b/>
                <w:spacing w:val="-2"/>
                <w:sz w:val="22"/>
              </w:rPr>
              <w:t>colonies </w:t>
            </w:r>
            <w:r>
              <w:rPr>
                <w:b/>
                <w:sz w:val="22"/>
              </w:rPr>
              <w:t>counted</w:t>
            </w:r>
            <w:r>
              <w:rPr>
                <w:b/>
                <w:spacing w:val="-13"/>
                <w:sz w:val="22"/>
              </w:rPr>
              <w:t> </w:t>
            </w:r>
            <w:r>
              <w:rPr>
                <w:b/>
                <w:sz w:val="22"/>
              </w:rPr>
              <w:t>in H/L (10</w:t>
            </w:r>
          </w:p>
          <w:p>
            <w:pPr>
              <w:pStyle w:val="TableParagraph"/>
              <w:ind w:left="159"/>
              <w:rPr>
                <w:b/>
                <w:sz w:val="22"/>
              </w:rPr>
            </w:pPr>
            <w:r>
              <w:rPr>
                <w:b/>
                <w:sz w:val="22"/>
              </w:rPr>
              <w:t>µg/ml)</w:t>
            </w:r>
            <w:r>
              <w:rPr>
                <w:b/>
                <w:spacing w:val="-4"/>
                <w:sz w:val="22"/>
              </w:rPr>
              <w:t> </w:t>
            </w:r>
            <w:r>
              <w:rPr>
                <w:b/>
                <w:spacing w:val="-2"/>
                <w:sz w:val="22"/>
              </w:rPr>
              <w:t>plate</w:t>
            </w:r>
          </w:p>
        </w:tc>
      </w:tr>
      <w:tr>
        <w:trPr>
          <w:trHeight w:val="413" w:hRule="atLeast"/>
        </w:trPr>
        <w:tc>
          <w:tcPr>
            <w:tcW w:w="1012" w:type="dxa"/>
            <w:tcBorders>
              <w:top w:val="single" w:sz="4" w:space="0" w:color="000000"/>
            </w:tcBorders>
          </w:tcPr>
          <w:p>
            <w:pPr>
              <w:pStyle w:val="TableParagraph"/>
              <w:spacing w:line="266" w:lineRule="exact"/>
              <w:ind w:left="115"/>
              <w:rPr>
                <w:sz w:val="22"/>
              </w:rPr>
            </w:pPr>
            <w:r>
              <w:rPr>
                <w:spacing w:val="-10"/>
                <w:sz w:val="22"/>
              </w:rPr>
              <w:t>0</w:t>
            </w:r>
          </w:p>
        </w:tc>
        <w:tc>
          <w:tcPr>
            <w:tcW w:w="1875" w:type="dxa"/>
            <w:tcBorders>
              <w:top w:val="single" w:sz="4" w:space="0" w:color="000000"/>
            </w:tcBorders>
          </w:tcPr>
          <w:p>
            <w:pPr>
              <w:pStyle w:val="TableParagraph"/>
              <w:spacing w:line="266" w:lineRule="exact"/>
              <w:ind w:left="319"/>
              <w:rPr>
                <w:sz w:val="22"/>
              </w:rPr>
            </w:pPr>
            <w:r>
              <w:rPr>
                <w:spacing w:val="-2"/>
                <w:sz w:val="22"/>
              </w:rPr>
              <w:t>7.3×10</w:t>
            </w:r>
            <w:r>
              <w:rPr>
                <w:spacing w:val="-2"/>
                <w:sz w:val="22"/>
                <w:vertAlign w:val="superscript"/>
              </w:rPr>
              <w:t>3</w:t>
            </w:r>
          </w:p>
        </w:tc>
        <w:tc>
          <w:tcPr>
            <w:tcW w:w="1770" w:type="dxa"/>
            <w:tcBorders>
              <w:top w:val="single" w:sz="4" w:space="0" w:color="000000"/>
            </w:tcBorders>
          </w:tcPr>
          <w:p>
            <w:pPr>
              <w:pStyle w:val="TableParagraph"/>
              <w:spacing w:line="266" w:lineRule="exact"/>
              <w:ind w:left="199"/>
              <w:rPr>
                <w:sz w:val="22"/>
              </w:rPr>
            </w:pPr>
            <w:r>
              <w:rPr>
                <w:spacing w:val="-2"/>
                <w:sz w:val="22"/>
              </w:rPr>
              <w:t>9.5×10</w:t>
            </w:r>
            <w:r>
              <w:rPr>
                <w:spacing w:val="-2"/>
                <w:sz w:val="22"/>
                <w:vertAlign w:val="superscript"/>
              </w:rPr>
              <w:t>3</w:t>
            </w:r>
          </w:p>
        </w:tc>
        <w:tc>
          <w:tcPr>
            <w:tcW w:w="1518" w:type="dxa"/>
            <w:tcBorders>
              <w:top w:val="single" w:sz="4" w:space="0" w:color="000000"/>
            </w:tcBorders>
          </w:tcPr>
          <w:p>
            <w:pPr>
              <w:pStyle w:val="TableParagraph"/>
              <w:spacing w:line="266" w:lineRule="exact"/>
              <w:ind w:left="220"/>
              <w:rPr>
                <w:sz w:val="22"/>
              </w:rPr>
            </w:pPr>
            <w:r>
              <w:rPr>
                <w:spacing w:val="-2"/>
                <w:sz w:val="22"/>
              </w:rPr>
              <w:t>8.4×10</w:t>
            </w:r>
            <w:r>
              <w:rPr>
                <w:spacing w:val="-2"/>
                <w:sz w:val="22"/>
                <w:vertAlign w:val="superscript"/>
              </w:rPr>
              <w:t>3</w:t>
            </w:r>
          </w:p>
        </w:tc>
        <w:tc>
          <w:tcPr>
            <w:tcW w:w="1457" w:type="dxa"/>
            <w:tcBorders>
              <w:top w:val="single" w:sz="4" w:space="0" w:color="000000"/>
            </w:tcBorders>
          </w:tcPr>
          <w:p>
            <w:pPr>
              <w:pStyle w:val="TableParagraph"/>
              <w:spacing w:line="266" w:lineRule="exact"/>
              <w:ind w:left="154"/>
              <w:rPr>
                <w:sz w:val="22"/>
              </w:rPr>
            </w:pPr>
            <w:r>
              <w:rPr>
                <w:spacing w:val="-2"/>
                <w:sz w:val="22"/>
              </w:rPr>
              <w:t>4.1×10</w:t>
            </w:r>
            <w:r>
              <w:rPr>
                <w:spacing w:val="-2"/>
                <w:sz w:val="22"/>
                <w:vertAlign w:val="superscript"/>
              </w:rPr>
              <w:t>5</w:t>
            </w:r>
          </w:p>
        </w:tc>
        <w:tc>
          <w:tcPr>
            <w:tcW w:w="1436" w:type="dxa"/>
            <w:tcBorders>
              <w:top w:val="single" w:sz="4" w:space="0" w:color="000000"/>
            </w:tcBorders>
          </w:tcPr>
          <w:p>
            <w:pPr>
              <w:pStyle w:val="TableParagraph"/>
              <w:spacing w:line="266" w:lineRule="exact"/>
              <w:ind w:left="159"/>
              <w:rPr>
                <w:sz w:val="22"/>
              </w:rPr>
            </w:pPr>
            <w:r>
              <w:rPr>
                <w:spacing w:val="-2"/>
                <w:sz w:val="22"/>
              </w:rPr>
              <w:t>4.2×10</w:t>
            </w:r>
            <w:r>
              <w:rPr>
                <w:spacing w:val="-2"/>
                <w:sz w:val="22"/>
                <w:vertAlign w:val="superscript"/>
              </w:rPr>
              <w:t>4</w:t>
            </w:r>
          </w:p>
        </w:tc>
      </w:tr>
      <w:tr>
        <w:trPr>
          <w:trHeight w:val="562" w:hRule="atLeast"/>
        </w:trPr>
        <w:tc>
          <w:tcPr>
            <w:tcW w:w="1012" w:type="dxa"/>
          </w:tcPr>
          <w:p>
            <w:pPr>
              <w:pStyle w:val="TableParagraph"/>
              <w:spacing w:before="147"/>
              <w:ind w:left="115"/>
              <w:rPr>
                <w:sz w:val="22"/>
              </w:rPr>
            </w:pPr>
            <w:r>
              <w:rPr>
                <w:spacing w:val="-5"/>
                <w:sz w:val="22"/>
              </w:rPr>
              <w:t>30</w:t>
            </w:r>
          </w:p>
        </w:tc>
        <w:tc>
          <w:tcPr>
            <w:tcW w:w="1875" w:type="dxa"/>
          </w:tcPr>
          <w:p>
            <w:pPr>
              <w:pStyle w:val="TableParagraph"/>
              <w:spacing w:before="147"/>
              <w:ind w:left="319"/>
              <w:rPr>
                <w:sz w:val="22"/>
              </w:rPr>
            </w:pPr>
            <w:r>
              <w:rPr>
                <w:spacing w:val="-2"/>
                <w:sz w:val="22"/>
              </w:rPr>
              <w:t>7.0×10</w:t>
            </w:r>
            <w:r>
              <w:rPr>
                <w:spacing w:val="-2"/>
                <w:sz w:val="22"/>
                <w:vertAlign w:val="superscript"/>
              </w:rPr>
              <w:t>3</w:t>
            </w:r>
          </w:p>
        </w:tc>
        <w:tc>
          <w:tcPr>
            <w:tcW w:w="1770" w:type="dxa"/>
          </w:tcPr>
          <w:p>
            <w:pPr>
              <w:pStyle w:val="TableParagraph"/>
              <w:spacing w:before="147"/>
              <w:ind w:left="199"/>
              <w:rPr>
                <w:sz w:val="22"/>
              </w:rPr>
            </w:pPr>
            <w:r>
              <w:rPr>
                <w:spacing w:val="-2"/>
                <w:sz w:val="22"/>
              </w:rPr>
              <w:t>8.2×10</w:t>
            </w:r>
            <w:r>
              <w:rPr>
                <w:spacing w:val="-2"/>
                <w:sz w:val="22"/>
                <w:vertAlign w:val="superscript"/>
              </w:rPr>
              <w:t>3</w:t>
            </w:r>
          </w:p>
        </w:tc>
        <w:tc>
          <w:tcPr>
            <w:tcW w:w="1518" w:type="dxa"/>
          </w:tcPr>
          <w:p>
            <w:pPr>
              <w:pStyle w:val="TableParagraph"/>
              <w:spacing w:before="147"/>
              <w:ind w:left="220"/>
              <w:rPr>
                <w:sz w:val="22"/>
              </w:rPr>
            </w:pPr>
            <w:r>
              <w:rPr>
                <w:spacing w:val="-2"/>
                <w:sz w:val="22"/>
              </w:rPr>
              <w:t>7.5×10</w:t>
            </w:r>
            <w:r>
              <w:rPr>
                <w:spacing w:val="-2"/>
                <w:sz w:val="22"/>
                <w:vertAlign w:val="superscript"/>
              </w:rPr>
              <w:t>3</w:t>
            </w:r>
          </w:p>
        </w:tc>
        <w:tc>
          <w:tcPr>
            <w:tcW w:w="1457" w:type="dxa"/>
          </w:tcPr>
          <w:p>
            <w:pPr>
              <w:pStyle w:val="TableParagraph"/>
              <w:spacing w:before="147"/>
              <w:ind w:left="154"/>
              <w:rPr>
                <w:sz w:val="22"/>
              </w:rPr>
            </w:pPr>
            <w:r>
              <w:rPr>
                <w:spacing w:val="-2"/>
                <w:sz w:val="22"/>
              </w:rPr>
              <w:t>8.0×10</w:t>
            </w:r>
            <w:r>
              <w:rPr>
                <w:spacing w:val="-2"/>
                <w:sz w:val="22"/>
                <w:vertAlign w:val="superscript"/>
              </w:rPr>
              <w:t>4</w:t>
            </w:r>
          </w:p>
        </w:tc>
        <w:tc>
          <w:tcPr>
            <w:tcW w:w="1436" w:type="dxa"/>
          </w:tcPr>
          <w:p>
            <w:pPr>
              <w:pStyle w:val="TableParagraph"/>
              <w:spacing w:before="147"/>
              <w:ind w:left="159"/>
              <w:rPr>
                <w:sz w:val="22"/>
              </w:rPr>
            </w:pPr>
            <w:r>
              <w:rPr>
                <w:spacing w:val="-2"/>
                <w:sz w:val="22"/>
              </w:rPr>
              <w:t>3.8×10</w:t>
            </w:r>
            <w:r>
              <w:rPr>
                <w:spacing w:val="-2"/>
                <w:sz w:val="22"/>
                <w:vertAlign w:val="superscript"/>
              </w:rPr>
              <w:t>4</w:t>
            </w:r>
          </w:p>
        </w:tc>
      </w:tr>
      <w:tr>
        <w:trPr>
          <w:trHeight w:val="562" w:hRule="atLeast"/>
        </w:trPr>
        <w:tc>
          <w:tcPr>
            <w:tcW w:w="1012" w:type="dxa"/>
          </w:tcPr>
          <w:p>
            <w:pPr>
              <w:pStyle w:val="TableParagraph"/>
              <w:spacing w:before="146"/>
              <w:ind w:left="115"/>
              <w:rPr>
                <w:sz w:val="22"/>
              </w:rPr>
            </w:pPr>
            <w:r>
              <w:rPr>
                <w:spacing w:val="-5"/>
                <w:sz w:val="22"/>
              </w:rPr>
              <w:t>60</w:t>
            </w:r>
          </w:p>
        </w:tc>
        <w:tc>
          <w:tcPr>
            <w:tcW w:w="1875" w:type="dxa"/>
          </w:tcPr>
          <w:p>
            <w:pPr>
              <w:pStyle w:val="TableParagraph"/>
              <w:spacing w:before="146"/>
              <w:ind w:left="319"/>
              <w:rPr>
                <w:sz w:val="22"/>
              </w:rPr>
            </w:pPr>
            <w:r>
              <w:rPr>
                <w:spacing w:val="-2"/>
                <w:sz w:val="22"/>
              </w:rPr>
              <w:t>5.8×10</w:t>
            </w:r>
            <w:r>
              <w:rPr>
                <w:spacing w:val="-2"/>
                <w:sz w:val="22"/>
                <w:vertAlign w:val="superscript"/>
              </w:rPr>
              <w:t>3</w:t>
            </w:r>
          </w:p>
        </w:tc>
        <w:tc>
          <w:tcPr>
            <w:tcW w:w="1770" w:type="dxa"/>
          </w:tcPr>
          <w:p>
            <w:pPr>
              <w:pStyle w:val="TableParagraph"/>
              <w:spacing w:before="146"/>
              <w:ind w:left="199"/>
              <w:rPr>
                <w:sz w:val="22"/>
              </w:rPr>
            </w:pPr>
            <w:r>
              <w:rPr>
                <w:spacing w:val="-2"/>
                <w:sz w:val="22"/>
              </w:rPr>
              <w:t>7.3×10</w:t>
            </w:r>
            <w:r>
              <w:rPr>
                <w:spacing w:val="-2"/>
                <w:sz w:val="22"/>
                <w:vertAlign w:val="superscript"/>
              </w:rPr>
              <w:t>3</w:t>
            </w:r>
          </w:p>
        </w:tc>
        <w:tc>
          <w:tcPr>
            <w:tcW w:w="1518" w:type="dxa"/>
          </w:tcPr>
          <w:p>
            <w:pPr>
              <w:pStyle w:val="TableParagraph"/>
              <w:spacing w:before="146"/>
              <w:ind w:left="220"/>
              <w:rPr>
                <w:sz w:val="22"/>
              </w:rPr>
            </w:pPr>
            <w:r>
              <w:rPr>
                <w:spacing w:val="-2"/>
                <w:sz w:val="22"/>
              </w:rPr>
              <w:t>9.6×10</w:t>
            </w:r>
            <w:r>
              <w:rPr>
                <w:spacing w:val="-2"/>
                <w:sz w:val="22"/>
                <w:vertAlign w:val="superscript"/>
              </w:rPr>
              <w:t>2</w:t>
            </w:r>
          </w:p>
        </w:tc>
        <w:tc>
          <w:tcPr>
            <w:tcW w:w="1457" w:type="dxa"/>
          </w:tcPr>
          <w:p>
            <w:pPr>
              <w:pStyle w:val="TableParagraph"/>
              <w:spacing w:before="146"/>
              <w:ind w:left="154"/>
              <w:rPr>
                <w:sz w:val="22"/>
              </w:rPr>
            </w:pPr>
            <w:r>
              <w:rPr>
                <w:spacing w:val="-2"/>
                <w:sz w:val="22"/>
              </w:rPr>
              <w:t>6.4×10</w:t>
            </w:r>
            <w:r>
              <w:rPr>
                <w:spacing w:val="-2"/>
                <w:sz w:val="22"/>
                <w:vertAlign w:val="superscript"/>
              </w:rPr>
              <w:t>4</w:t>
            </w:r>
          </w:p>
        </w:tc>
        <w:tc>
          <w:tcPr>
            <w:tcW w:w="1436" w:type="dxa"/>
          </w:tcPr>
          <w:p>
            <w:pPr>
              <w:pStyle w:val="TableParagraph"/>
              <w:spacing w:before="146"/>
              <w:ind w:left="159"/>
              <w:rPr>
                <w:sz w:val="22"/>
              </w:rPr>
            </w:pPr>
            <w:r>
              <w:rPr>
                <w:spacing w:val="-2"/>
                <w:sz w:val="22"/>
              </w:rPr>
              <w:t>6.9×10</w:t>
            </w:r>
            <w:r>
              <w:rPr>
                <w:spacing w:val="-2"/>
                <w:sz w:val="22"/>
                <w:vertAlign w:val="superscript"/>
              </w:rPr>
              <w:t>3</w:t>
            </w:r>
          </w:p>
        </w:tc>
      </w:tr>
      <w:tr>
        <w:trPr>
          <w:trHeight w:val="562" w:hRule="atLeast"/>
        </w:trPr>
        <w:tc>
          <w:tcPr>
            <w:tcW w:w="1012" w:type="dxa"/>
          </w:tcPr>
          <w:p>
            <w:pPr>
              <w:pStyle w:val="TableParagraph"/>
              <w:spacing w:before="147"/>
              <w:ind w:left="115"/>
              <w:rPr>
                <w:sz w:val="22"/>
              </w:rPr>
            </w:pPr>
            <w:r>
              <w:rPr>
                <w:spacing w:val="-5"/>
                <w:sz w:val="22"/>
              </w:rPr>
              <w:t>90</w:t>
            </w:r>
          </w:p>
        </w:tc>
        <w:tc>
          <w:tcPr>
            <w:tcW w:w="1875" w:type="dxa"/>
          </w:tcPr>
          <w:p>
            <w:pPr>
              <w:pStyle w:val="TableParagraph"/>
              <w:spacing w:before="147"/>
              <w:ind w:left="319"/>
              <w:rPr>
                <w:sz w:val="22"/>
              </w:rPr>
            </w:pPr>
            <w:r>
              <w:rPr>
                <w:spacing w:val="-2"/>
                <w:sz w:val="22"/>
              </w:rPr>
              <w:t>9.3×10</w:t>
            </w:r>
            <w:r>
              <w:rPr>
                <w:spacing w:val="-2"/>
                <w:sz w:val="22"/>
                <w:vertAlign w:val="superscript"/>
              </w:rPr>
              <w:t>2</w:t>
            </w:r>
          </w:p>
        </w:tc>
        <w:tc>
          <w:tcPr>
            <w:tcW w:w="1770" w:type="dxa"/>
          </w:tcPr>
          <w:p>
            <w:pPr>
              <w:pStyle w:val="TableParagraph"/>
              <w:spacing w:before="147"/>
              <w:ind w:left="199"/>
              <w:rPr>
                <w:sz w:val="22"/>
              </w:rPr>
            </w:pPr>
            <w:r>
              <w:rPr>
                <w:spacing w:val="-2"/>
                <w:sz w:val="22"/>
              </w:rPr>
              <w:t>7.1×10</w:t>
            </w:r>
            <w:r>
              <w:rPr>
                <w:spacing w:val="-2"/>
                <w:sz w:val="22"/>
                <w:vertAlign w:val="superscript"/>
              </w:rPr>
              <w:t>3</w:t>
            </w:r>
          </w:p>
        </w:tc>
        <w:tc>
          <w:tcPr>
            <w:tcW w:w="1518" w:type="dxa"/>
          </w:tcPr>
          <w:p>
            <w:pPr>
              <w:pStyle w:val="TableParagraph"/>
              <w:spacing w:before="147"/>
              <w:ind w:left="220"/>
              <w:rPr>
                <w:sz w:val="22"/>
              </w:rPr>
            </w:pPr>
            <w:r>
              <w:rPr>
                <w:spacing w:val="-2"/>
                <w:sz w:val="22"/>
              </w:rPr>
              <w:t>7.0×10</w:t>
            </w:r>
            <w:r>
              <w:rPr>
                <w:spacing w:val="-2"/>
                <w:sz w:val="22"/>
                <w:vertAlign w:val="superscript"/>
              </w:rPr>
              <w:t>2</w:t>
            </w:r>
          </w:p>
        </w:tc>
        <w:tc>
          <w:tcPr>
            <w:tcW w:w="1457" w:type="dxa"/>
          </w:tcPr>
          <w:p>
            <w:pPr>
              <w:pStyle w:val="TableParagraph"/>
              <w:spacing w:before="147"/>
              <w:ind w:left="154"/>
              <w:rPr>
                <w:sz w:val="22"/>
              </w:rPr>
            </w:pPr>
            <w:r>
              <w:rPr>
                <w:spacing w:val="-2"/>
                <w:sz w:val="22"/>
              </w:rPr>
              <w:t>7.3×10</w:t>
            </w:r>
            <w:r>
              <w:rPr>
                <w:spacing w:val="-2"/>
                <w:sz w:val="22"/>
                <w:vertAlign w:val="superscript"/>
              </w:rPr>
              <w:t>3</w:t>
            </w:r>
          </w:p>
        </w:tc>
        <w:tc>
          <w:tcPr>
            <w:tcW w:w="1436" w:type="dxa"/>
          </w:tcPr>
          <w:p>
            <w:pPr>
              <w:pStyle w:val="TableParagraph"/>
              <w:spacing w:before="147"/>
              <w:ind w:left="159"/>
              <w:rPr>
                <w:sz w:val="22"/>
              </w:rPr>
            </w:pPr>
            <w:r>
              <w:rPr>
                <w:spacing w:val="-2"/>
                <w:sz w:val="22"/>
              </w:rPr>
              <w:t>7.1×10</w:t>
            </w:r>
            <w:r>
              <w:rPr>
                <w:spacing w:val="-2"/>
                <w:sz w:val="22"/>
                <w:vertAlign w:val="superscript"/>
              </w:rPr>
              <w:t>2</w:t>
            </w:r>
          </w:p>
        </w:tc>
      </w:tr>
      <w:tr>
        <w:trPr>
          <w:trHeight w:val="562" w:hRule="atLeast"/>
        </w:trPr>
        <w:tc>
          <w:tcPr>
            <w:tcW w:w="1012" w:type="dxa"/>
          </w:tcPr>
          <w:p>
            <w:pPr>
              <w:pStyle w:val="TableParagraph"/>
              <w:spacing w:before="146"/>
              <w:ind w:left="115"/>
              <w:rPr>
                <w:sz w:val="22"/>
              </w:rPr>
            </w:pPr>
            <w:r>
              <w:rPr>
                <w:spacing w:val="-5"/>
                <w:sz w:val="22"/>
              </w:rPr>
              <w:t>120</w:t>
            </w:r>
          </w:p>
        </w:tc>
        <w:tc>
          <w:tcPr>
            <w:tcW w:w="1875" w:type="dxa"/>
          </w:tcPr>
          <w:p>
            <w:pPr>
              <w:pStyle w:val="TableParagraph"/>
              <w:spacing w:before="146"/>
              <w:ind w:left="319"/>
              <w:rPr>
                <w:sz w:val="22"/>
              </w:rPr>
            </w:pPr>
            <w:r>
              <w:rPr>
                <w:spacing w:val="-2"/>
                <w:sz w:val="22"/>
              </w:rPr>
              <w:t>7.1×10</w:t>
            </w:r>
            <w:r>
              <w:rPr>
                <w:spacing w:val="-2"/>
                <w:sz w:val="22"/>
                <w:vertAlign w:val="superscript"/>
              </w:rPr>
              <w:t>2</w:t>
            </w:r>
          </w:p>
        </w:tc>
        <w:tc>
          <w:tcPr>
            <w:tcW w:w="1770" w:type="dxa"/>
          </w:tcPr>
          <w:p>
            <w:pPr>
              <w:pStyle w:val="TableParagraph"/>
              <w:spacing w:before="146"/>
              <w:ind w:left="199"/>
              <w:rPr>
                <w:sz w:val="22"/>
              </w:rPr>
            </w:pPr>
            <w:r>
              <w:rPr>
                <w:spacing w:val="-2"/>
                <w:sz w:val="22"/>
              </w:rPr>
              <w:t>8.2×10</w:t>
            </w:r>
            <w:r>
              <w:rPr>
                <w:spacing w:val="-2"/>
                <w:sz w:val="22"/>
                <w:vertAlign w:val="superscript"/>
              </w:rPr>
              <w:t>2</w:t>
            </w:r>
          </w:p>
        </w:tc>
        <w:tc>
          <w:tcPr>
            <w:tcW w:w="1518" w:type="dxa"/>
          </w:tcPr>
          <w:p>
            <w:pPr>
              <w:pStyle w:val="TableParagraph"/>
              <w:spacing w:before="146"/>
              <w:ind w:left="220"/>
              <w:rPr>
                <w:sz w:val="22"/>
              </w:rPr>
            </w:pPr>
            <w:r>
              <w:rPr>
                <w:spacing w:val="-2"/>
                <w:sz w:val="22"/>
              </w:rPr>
              <w:t>5.2×10</w:t>
            </w:r>
            <w:r>
              <w:rPr>
                <w:spacing w:val="-2"/>
                <w:sz w:val="22"/>
                <w:vertAlign w:val="superscript"/>
              </w:rPr>
              <w:t>2</w:t>
            </w:r>
          </w:p>
        </w:tc>
        <w:tc>
          <w:tcPr>
            <w:tcW w:w="1457" w:type="dxa"/>
          </w:tcPr>
          <w:p>
            <w:pPr>
              <w:pStyle w:val="TableParagraph"/>
              <w:spacing w:before="146"/>
              <w:ind w:left="154"/>
              <w:rPr>
                <w:sz w:val="22"/>
              </w:rPr>
            </w:pPr>
            <w:r>
              <w:rPr>
                <w:spacing w:val="-2"/>
                <w:sz w:val="22"/>
              </w:rPr>
              <w:t>6.2×10</w:t>
            </w:r>
            <w:r>
              <w:rPr>
                <w:spacing w:val="-2"/>
                <w:sz w:val="22"/>
                <w:vertAlign w:val="superscript"/>
              </w:rPr>
              <w:t>3</w:t>
            </w:r>
          </w:p>
        </w:tc>
        <w:tc>
          <w:tcPr>
            <w:tcW w:w="1436" w:type="dxa"/>
          </w:tcPr>
          <w:p>
            <w:pPr>
              <w:pStyle w:val="TableParagraph"/>
              <w:spacing w:before="146"/>
              <w:ind w:left="159"/>
              <w:rPr>
                <w:sz w:val="22"/>
              </w:rPr>
            </w:pPr>
            <w:r>
              <w:rPr>
                <w:spacing w:val="-2"/>
                <w:sz w:val="22"/>
              </w:rPr>
              <w:t>3.4×10</w:t>
            </w:r>
            <w:r>
              <w:rPr>
                <w:spacing w:val="-2"/>
                <w:sz w:val="22"/>
                <w:vertAlign w:val="superscript"/>
              </w:rPr>
              <w:t>2</w:t>
            </w:r>
          </w:p>
        </w:tc>
      </w:tr>
      <w:tr>
        <w:trPr>
          <w:trHeight w:val="562" w:hRule="atLeast"/>
        </w:trPr>
        <w:tc>
          <w:tcPr>
            <w:tcW w:w="1012" w:type="dxa"/>
          </w:tcPr>
          <w:p>
            <w:pPr>
              <w:pStyle w:val="TableParagraph"/>
              <w:spacing w:before="147"/>
              <w:ind w:left="115"/>
              <w:rPr>
                <w:sz w:val="22"/>
              </w:rPr>
            </w:pPr>
            <w:r>
              <w:rPr>
                <w:spacing w:val="-5"/>
                <w:sz w:val="22"/>
              </w:rPr>
              <w:t>240</w:t>
            </w:r>
          </w:p>
        </w:tc>
        <w:tc>
          <w:tcPr>
            <w:tcW w:w="1875" w:type="dxa"/>
          </w:tcPr>
          <w:p>
            <w:pPr>
              <w:pStyle w:val="TableParagraph"/>
              <w:spacing w:before="147"/>
              <w:ind w:left="319"/>
              <w:rPr>
                <w:sz w:val="22"/>
              </w:rPr>
            </w:pPr>
            <w:r>
              <w:rPr>
                <w:spacing w:val="-2"/>
                <w:sz w:val="22"/>
              </w:rPr>
              <w:t>4.6×10</w:t>
            </w:r>
            <w:r>
              <w:rPr>
                <w:spacing w:val="-2"/>
                <w:sz w:val="22"/>
                <w:vertAlign w:val="superscript"/>
              </w:rPr>
              <w:t>2</w:t>
            </w:r>
          </w:p>
        </w:tc>
        <w:tc>
          <w:tcPr>
            <w:tcW w:w="1770" w:type="dxa"/>
          </w:tcPr>
          <w:p>
            <w:pPr>
              <w:pStyle w:val="TableParagraph"/>
              <w:spacing w:before="147"/>
              <w:ind w:left="199"/>
              <w:rPr>
                <w:sz w:val="22"/>
              </w:rPr>
            </w:pPr>
            <w:r>
              <w:rPr>
                <w:spacing w:val="-2"/>
                <w:sz w:val="22"/>
              </w:rPr>
              <w:t>6.6×10</w:t>
            </w:r>
            <w:r>
              <w:rPr>
                <w:spacing w:val="-2"/>
                <w:sz w:val="22"/>
                <w:vertAlign w:val="superscript"/>
              </w:rPr>
              <w:t>3</w:t>
            </w:r>
          </w:p>
        </w:tc>
        <w:tc>
          <w:tcPr>
            <w:tcW w:w="1518" w:type="dxa"/>
          </w:tcPr>
          <w:p>
            <w:pPr>
              <w:pStyle w:val="TableParagraph"/>
              <w:spacing w:before="147"/>
              <w:ind w:left="220"/>
              <w:rPr>
                <w:sz w:val="22"/>
              </w:rPr>
            </w:pPr>
            <w:r>
              <w:rPr>
                <w:spacing w:val="-2"/>
                <w:sz w:val="22"/>
              </w:rPr>
              <w:t>6.3×10</w:t>
            </w:r>
            <w:r>
              <w:rPr>
                <w:spacing w:val="-2"/>
                <w:sz w:val="22"/>
                <w:vertAlign w:val="superscript"/>
              </w:rPr>
              <w:t>2</w:t>
            </w:r>
          </w:p>
        </w:tc>
        <w:tc>
          <w:tcPr>
            <w:tcW w:w="1457" w:type="dxa"/>
          </w:tcPr>
          <w:p>
            <w:pPr>
              <w:pStyle w:val="TableParagraph"/>
              <w:spacing w:before="147"/>
              <w:ind w:left="154"/>
              <w:rPr>
                <w:sz w:val="22"/>
              </w:rPr>
            </w:pPr>
            <w:r>
              <w:rPr>
                <w:spacing w:val="-2"/>
                <w:sz w:val="22"/>
              </w:rPr>
              <w:t>7.7×10</w:t>
            </w:r>
            <w:r>
              <w:rPr>
                <w:spacing w:val="-2"/>
                <w:sz w:val="22"/>
                <w:vertAlign w:val="superscript"/>
              </w:rPr>
              <w:t>3</w:t>
            </w:r>
          </w:p>
        </w:tc>
        <w:tc>
          <w:tcPr>
            <w:tcW w:w="1436" w:type="dxa"/>
          </w:tcPr>
          <w:p>
            <w:pPr>
              <w:pStyle w:val="TableParagraph"/>
              <w:spacing w:before="147"/>
              <w:ind w:left="159"/>
              <w:rPr>
                <w:sz w:val="22"/>
              </w:rPr>
            </w:pPr>
            <w:r>
              <w:rPr>
                <w:spacing w:val="-2"/>
                <w:sz w:val="22"/>
              </w:rPr>
              <w:t>6.7×10</w:t>
            </w:r>
            <w:r>
              <w:rPr>
                <w:spacing w:val="-2"/>
                <w:sz w:val="22"/>
                <w:vertAlign w:val="superscript"/>
              </w:rPr>
              <w:t>2</w:t>
            </w:r>
          </w:p>
        </w:tc>
      </w:tr>
      <w:tr>
        <w:trPr>
          <w:trHeight w:val="563" w:hRule="atLeast"/>
        </w:trPr>
        <w:tc>
          <w:tcPr>
            <w:tcW w:w="1012" w:type="dxa"/>
          </w:tcPr>
          <w:p>
            <w:pPr>
              <w:pStyle w:val="TableParagraph"/>
              <w:spacing w:before="147"/>
              <w:ind w:left="115"/>
              <w:rPr>
                <w:sz w:val="22"/>
              </w:rPr>
            </w:pPr>
            <w:r>
              <w:rPr>
                <w:spacing w:val="-5"/>
                <w:sz w:val="22"/>
              </w:rPr>
              <w:t>360</w:t>
            </w:r>
          </w:p>
        </w:tc>
        <w:tc>
          <w:tcPr>
            <w:tcW w:w="1875" w:type="dxa"/>
          </w:tcPr>
          <w:p>
            <w:pPr>
              <w:pStyle w:val="TableParagraph"/>
              <w:spacing w:before="147"/>
              <w:ind w:left="319"/>
              <w:rPr>
                <w:sz w:val="22"/>
              </w:rPr>
            </w:pPr>
            <w:r>
              <w:rPr>
                <w:spacing w:val="-2"/>
                <w:sz w:val="22"/>
              </w:rPr>
              <w:t>6.6×10</w:t>
            </w:r>
            <w:r>
              <w:rPr>
                <w:spacing w:val="-2"/>
                <w:sz w:val="22"/>
                <w:vertAlign w:val="superscript"/>
              </w:rPr>
              <w:t>3</w:t>
            </w:r>
          </w:p>
        </w:tc>
        <w:tc>
          <w:tcPr>
            <w:tcW w:w="1770" w:type="dxa"/>
          </w:tcPr>
          <w:p>
            <w:pPr>
              <w:pStyle w:val="TableParagraph"/>
              <w:spacing w:before="147"/>
              <w:ind w:left="199"/>
              <w:rPr>
                <w:sz w:val="22"/>
              </w:rPr>
            </w:pPr>
            <w:r>
              <w:rPr>
                <w:spacing w:val="-2"/>
                <w:sz w:val="22"/>
              </w:rPr>
              <w:t>4.3×10</w:t>
            </w:r>
            <w:r>
              <w:rPr>
                <w:spacing w:val="-2"/>
                <w:sz w:val="22"/>
                <w:vertAlign w:val="superscript"/>
              </w:rPr>
              <w:t>3</w:t>
            </w:r>
          </w:p>
        </w:tc>
        <w:tc>
          <w:tcPr>
            <w:tcW w:w="1518" w:type="dxa"/>
          </w:tcPr>
          <w:p>
            <w:pPr>
              <w:pStyle w:val="TableParagraph"/>
              <w:spacing w:before="147"/>
              <w:ind w:left="220"/>
              <w:rPr>
                <w:sz w:val="22"/>
              </w:rPr>
            </w:pPr>
            <w:r>
              <w:rPr>
                <w:spacing w:val="-2"/>
                <w:sz w:val="22"/>
              </w:rPr>
              <w:t>4.5×10</w:t>
            </w:r>
            <w:r>
              <w:rPr>
                <w:spacing w:val="-2"/>
                <w:sz w:val="22"/>
                <w:vertAlign w:val="superscript"/>
              </w:rPr>
              <w:t>3</w:t>
            </w:r>
          </w:p>
        </w:tc>
        <w:tc>
          <w:tcPr>
            <w:tcW w:w="1457" w:type="dxa"/>
          </w:tcPr>
          <w:p>
            <w:pPr>
              <w:pStyle w:val="TableParagraph"/>
              <w:spacing w:before="147"/>
              <w:ind w:left="154"/>
              <w:rPr>
                <w:sz w:val="22"/>
              </w:rPr>
            </w:pPr>
            <w:r>
              <w:rPr>
                <w:spacing w:val="-2"/>
                <w:sz w:val="22"/>
              </w:rPr>
              <w:t>3.5×10</w:t>
            </w:r>
            <w:r>
              <w:rPr>
                <w:spacing w:val="-2"/>
                <w:sz w:val="22"/>
                <w:vertAlign w:val="superscript"/>
              </w:rPr>
              <w:t>4</w:t>
            </w:r>
          </w:p>
        </w:tc>
        <w:tc>
          <w:tcPr>
            <w:tcW w:w="1436" w:type="dxa"/>
          </w:tcPr>
          <w:p>
            <w:pPr>
              <w:pStyle w:val="TableParagraph"/>
              <w:spacing w:before="147"/>
              <w:ind w:left="159"/>
              <w:rPr>
                <w:sz w:val="22"/>
              </w:rPr>
            </w:pPr>
            <w:r>
              <w:rPr>
                <w:spacing w:val="-2"/>
                <w:sz w:val="22"/>
              </w:rPr>
              <w:t>3.3×10</w:t>
            </w:r>
            <w:r>
              <w:rPr>
                <w:spacing w:val="-2"/>
                <w:sz w:val="22"/>
                <w:vertAlign w:val="superscript"/>
              </w:rPr>
              <w:t>3</w:t>
            </w:r>
          </w:p>
        </w:tc>
      </w:tr>
      <w:tr>
        <w:trPr>
          <w:trHeight w:val="714" w:hRule="atLeast"/>
        </w:trPr>
        <w:tc>
          <w:tcPr>
            <w:tcW w:w="1012" w:type="dxa"/>
            <w:tcBorders>
              <w:bottom w:val="single" w:sz="4" w:space="0" w:color="000000"/>
            </w:tcBorders>
          </w:tcPr>
          <w:p>
            <w:pPr>
              <w:pStyle w:val="TableParagraph"/>
              <w:spacing w:before="147"/>
              <w:ind w:left="115"/>
              <w:rPr>
                <w:sz w:val="22"/>
              </w:rPr>
            </w:pPr>
            <w:r>
              <w:rPr>
                <w:spacing w:val="-4"/>
                <w:sz w:val="22"/>
              </w:rPr>
              <w:t>1440</w:t>
            </w:r>
          </w:p>
        </w:tc>
        <w:tc>
          <w:tcPr>
            <w:tcW w:w="1875" w:type="dxa"/>
            <w:tcBorders>
              <w:bottom w:val="single" w:sz="4" w:space="0" w:color="000000"/>
            </w:tcBorders>
          </w:tcPr>
          <w:p>
            <w:pPr>
              <w:pStyle w:val="TableParagraph"/>
              <w:spacing w:before="147"/>
              <w:ind w:left="319"/>
              <w:rPr>
                <w:sz w:val="22"/>
              </w:rPr>
            </w:pPr>
            <w:r>
              <w:rPr>
                <w:spacing w:val="-2"/>
                <w:sz w:val="22"/>
              </w:rPr>
              <w:t>8.7×10</w:t>
            </w:r>
            <w:r>
              <w:rPr>
                <w:spacing w:val="-2"/>
                <w:sz w:val="22"/>
                <w:vertAlign w:val="superscript"/>
              </w:rPr>
              <w:t>3</w:t>
            </w:r>
          </w:p>
        </w:tc>
        <w:tc>
          <w:tcPr>
            <w:tcW w:w="1770" w:type="dxa"/>
            <w:tcBorders>
              <w:bottom w:val="single" w:sz="4" w:space="0" w:color="000000"/>
            </w:tcBorders>
          </w:tcPr>
          <w:p>
            <w:pPr>
              <w:pStyle w:val="TableParagraph"/>
              <w:spacing w:before="147"/>
              <w:ind w:left="199"/>
              <w:rPr>
                <w:sz w:val="22"/>
              </w:rPr>
            </w:pPr>
            <w:r>
              <w:rPr>
                <w:spacing w:val="-2"/>
                <w:sz w:val="22"/>
              </w:rPr>
              <w:t>8.6×10</w:t>
            </w:r>
            <w:r>
              <w:rPr>
                <w:spacing w:val="-2"/>
                <w:sz w:val="22"/>
                <w:vertAlign w:val="superscript"/>
              </w:rPr>
              <w:t>3</w:t>
            </w:r>
          </w:p>
        </w:tc>
        <w:tc>
          <w:tcPr>
            <w:tcW w:w="1518" w:type="dxa"/>
            <w:tcBorders>
              <w:bottom w:val="single" w:sz="4" w:space="0" w:color="000000"/>
            </w:tcBorders>
          </w:tcPr>
          <w:p>
            <w:pPr>
              <w:pStyle w:val="TableParagraph"/>
              <w:spacing w:before="147"/>
              <w:ind w:left="220"/>
              <w:rPr>
                <w:sz w:val="22"/>
              </w:rPr>
            </w:pPr>
            <w:r>
              <w:rPr>
                <w:spacing w:val="-2"/>
                <w:sz w:val="22"/>
              </w:rPr>
              <w:t>7.9×10</w:t>
            </w:r>
            <w:r>
              <w:rPr>
                <w:spacing w:val="-2"/>
                <w:sz w:val="22"/>
                <w:vertAlign w:val="superscript"/>
              </w:rPr>
              <w:t>3</w:t>
            </w:r>
          </w:p>
        </w:tc>
        <w:tc>
          <w:tcPr>
            <w:tcW w:w="1457" w:type="dxa"/>
            <w:tcBorders>
              <w:bottom w:val="single" w:sz="4" w:space="0" w:color="000000"/>
            </w:tcBorders>
          </w:tcPr>
          <w:p>
            <w:pPr>
              <w:pStyle w:val="TableParagraph"/>
              <w:spacing w:before="147"/>
              <w:ind w:left="154"/>
              <w:rPr>
                <w:sz w:val="22"/>
              </w:rPr>
            </w:pPr>
            <w:r>
              <w:rPr>
                <w:spacing w:val="-2"/>
                <w:sz w:val="22"/>
              </w:rPr>
              <w:t>2.0×10</w:t>
            </w:r>
            <w:r>
              <w:rPr>
                <w:spacing w:val="-2"/>
                <w:sz w:val="22"/>
                <w:vertAlign w:val="superscript"/>
              </w:rPr>
              <w:t>5</w:t>
            </w:r>
          </w:p>
        </w:tc>
        <w:tc>
          <w:tcPr>
            <w:tcW w:w="1436" w:type="dxa"/>
            <w:tcBorders>
              <w:bottom w:val="single" w:sz="4" w:space="0" w:color="000000"/>
            </w:tcBorders>
          </w:tcPr>
          <w:p>
            <w:pPr>
              <w:pStyle w:val="TableParagraph"/>
              <w:spacing w:before="147"/>
              <w:ind w:left="159"/>
              <w:rPr>
                <w:sz w:val="22"/>
              </w:rPr>
            </w:pPr>
            <w:r>
              <w:rPr>
                <w:spacing w:val="-2"/>
                <w:sz w:val="22"/>
              </w:rPr>
              <w:t>5.1×10</w:t>
            </w:r>
            <w:r>
              <w:rPr>
                <w:spacing w:val="-2"/>
                <w:sz w:val="22"/>
                <w:vertAlign w:val="superscript"/>
              </w:rPr>
              <w:t>3</w:t>
            </w:r>
          </w:p>
        </w:tc>
      </w:tr>
    </w:tbl>
    <w:p>
      <w:pPr>
        <w:pStyle w:val="BodyText"/>
        <w:spacing w:line="357" w:lineRule="auto" w:before="2"/>
        <w:ind w:left="380" w:right="975"/>
      </w:pPr>
      <w:r>
        <w:rPr>
          <w:b/>
        </w:rPr>
        <w:t>Key:</w:t>
      </w:r>
      <w:r>
        <w:rPr>
          <w:b/>
          <w:spacing w:val="-6"/>
        </w:rPr>
        <w:t> </w:t>
      </w:r>
      <w:r>
        <w:rPr/>
        <w:t>Sp=Sputum,</w:t>
      </w:r>
      <w:r>
        <w:rPr>
          <w:spacing w:val="-7"/>
        </w:rPr>
        <w:t> </w:t>
      </w:r>
      <w:r>
        <w:rPr/>
        <w:t>MIC=Minimum</w:t>
      </w:r>
      <w:r>
        <w:rPr>
          <w:spacing w:val="-7"/>
        </w:rPr>
        <w:t> </w:t>
      </w:r>
      <w:r>
        <w:rPr/>
        <w:t>Inhibitory</w:t>
      </w:r>
      <w:r>
        <w:rPr>
          <w:spacing w:val="-7"/>
        </w:rPr>
        <w:t> </w:t>
      </w:r>
      <w:r>
        <w:rPr/>
        <w:t>Concentration,</w:t>
      </w:r>
      <w:r>
        <w:rPr>
          <w:spacing w:val="-6"/>
        </w:rPr>
        <w:t> </w:t>
      </w:r>
      <w:r>
        <w:rPr/>
        <w:t>LEV=Levofloxacin,</w:t>
      </w:r>
      <w:r>
        <w:rPr>
          <w:spacing w:val="-7"/>
        </w:rPr>
        <w:t> </w:t>
      </w:r>
      <w:r>
        <w:rPr/>
        <w:t>CEF=Ceftriaxone, H=Honey, L=Lemon juice.</w:t>
      </w:r>
    </w:p>
    <w:p>
      <w:pPr>
        <w:spacing w:after="0" w:line="357"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1"/>
      </w:pPr>
    </w:p>
    <w:p>
      <w:pPr>
        <w:spacing w:before="1"/>
        <w:ind w:left="380" w:right="0" w:firstLine="0"/>
        <w:jc w:val="left"/>
        <w:rPr>
          <w:b/>
          <w:sz w:val="22"/>
        </w:rPr>
      </w:pPr>
      <w:r>
        <w:rPr>
          <w:b/>
          <w:sz w:val="22"/>
        </w:rPr>
        <w:t>Rate</w:t>
      </w:r>
      <w:r>
        <w:rPr>
          <w:b/>
          <w:spacing w:val="-8"/>
          <w:sz w:val="22"/>
        </w:rPr>
        <w:t> </w:t>
      </w:r>
      <w:r>
        <w:rPr>
          <w:b/>
          <w:sz w:val="22"/>
        </w:rPr>
        <w:t>of</w:t>
      </w:r>
      <w:r>
        <w:rPr>
          <w:b/>
          <w:spacing w:val="-5"/>
          <w:sz w:val="22"/>
        </w:rPr>
        <w:t> </w:t>
      </w:r>
      <w:r>
        <w:rPr>
          <w:b/>
          <w:sz w:val="22"/>
        </w:rPr>
        <w:t>kill</w:t>
      </w:r>
      <w:r>
        <w:rPr>
          <w:b/>
          <w:spacing w:val="-6"/>
          <w:sz w:val="22"/>
        </w:rPr>
        <w:t> </w:t>
      </w:r>
      <w:r>
        <w:rPr>
          <w:b/>
          <w:sz w:val="22"/>
        </w:rPr>
        <w:t>(above</w:t>
      </w:r>
      <w:r>
        <w:rPr>
          <w:b/>
          <w:spacing w:val="-5"/>
          <w:sz w:val="22"/>
        </w:rPr>
        <w:t> </w:t>
      </w:r>
      <w:r>
        <w:rPr>
          <w:b/>
          <w:sz w:val="22"/>
        </w:rPr>
        <w:t>average</w:t>
      </w:r>
      <w:r>
        <w:rPr>
          <w:b/>
          <w:spacing w:val="-5"/>
          <w:sz w:val="22"/>
        </w:rPr>
        <w:t> </w:t>
      </w:r>
      <w:r>
        <w:rPr>
          <w:b/>
          <w:sz w:val="22"/>
        </w:rPr>
        <w:t>MIC</w:t>
      </w:r>
      <w:r>
        <w:rPr>
          <w:b/>
          <w:spacing w:val="-6"/>
          <w:sz w:val="22"/>
        </w:rPr>
        <w:t> </w:t>
      </w:r>
      <w:r>
        <w:rPr>
          <w:b/>
          <w:sz w:val="22"/>
        </w:rPr>
        <w:t>values)</w:t>
      </w:r>
      <w:r>
        <w:rPr>
          <w:b/>
          <w:spacing w:val="-4"/>
          <w:sz w:val="22"/>
        </w:rPr>
        <w:t> </w:t>
      </w:r>
      <w:r>
        <w:rPr>
          <w:b/>
          <w:sz w:val="22"/>
        </w:rPr>
        <w:t>for</w:t>
      </w:r>
      <w:r>
        <w:rPr>
          <w:b/>
          <w:spacing w:val="-5"/>
          <w:sz w:val="22"/>
        </w:rPr>
        <w:t> </w:t>
      </w:r>
      <w:r>
        <w:rPr>
          <w:b/>
          <w:i/>
          <w:sz w:val="22"/>
        </w:rPr>
        <w:t>Klebsiella</w:t>
      </w:r>
      <w:r>
        <w:rPr>
          <w:b/>
          <w:i/>
          <w:spacing w:val="-7"/>
          <w:sz w:val="22"/>
        </w:rPr>
        <w:t> </w:t>
      </w:r>
      <w:r>
        <w:rPr>
          <w:b/>
          <w:i/>
          <w:sz w:val="22"/>
        </w:rPr>
        <w:t>pneumoniae_</w:t>
      </w:r>
      <w:r>
        <w:rPr>
          <w:b/>
          <w:sz w:val="22"/>
        </w:rPr>
        <w:t>Sp894</w:t>
      </w:r>
      <w:r>
        <w:rPr>
          <w:b/>
          <w:spacing w:val="-5"/>
          <w:sz w:val="22"/>
        </w:rPr>
        <w:t> </w:t>
      </w:r>
      <w:r>
        <w:rPr>
          <w:b/>
          <w:spacing w:val="-2"/>
          <w:sz w:val="22"/>
        </w:rPr>
        <w:t>(Resistant)</w:t>
      </w:r>
    </w:p>
    <w:p>
      <w:pPr>
        <w:pStyle w:val="BodyText"/>
        <w:spacing w:before="51" w:after="1"/>
        <w:rPr>
          <w:b/>
          <w:sz w:val="20"/>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6"/>
        <w:gridCol w:w="1860"/>
        <w:gridCol w:w="1818"/>
        <w:gridCol w:w="1435"/>
        <w:gridCol w:w="1443"/>
        <w:gridCol w:w="1412"/>
      </w:tblGrid>
      <w:tr>
        <w:trPr>
          <w:trHeight w:val="2174" w:hRule="atLeast"/>
        </w:trPr>
        <w:tc>
          <w:tcPr>
            <w:tcW w:w="1006" w:type="dxa"/>
            <w:tcBorders>
              <w:top w:val="single" w:sz="4" w:space="0" w:color="000000"/>
              <w:bottom w:val="single" w:sz="4" w:space="0" w:color="000000"/>
            </w:tcBorders>
          </w:tcPr>
          <w:p>
            <w:pPr>
              <w:pStyle w:val="TableParagraph"/>
              <w:spacing w:line="360" w:lineRule="auto"/>
              <w:ind w:left="115" w:right="307"/>
              <w:rPr>
                <w:b/>
                <w:sz w:val="22"/>
              </w:rPr>
            </w:pPr>
            <w:r>
              <w:rPr>
                <w:b/>
                <w:spacing w:val="-4"/>
                <w:sz w:val="22"/>
              </w:rPr>
              <w:t>Time </w:t>
            </w:r>
            <w:r>
              <w:rPr>
                <w:b/>
                <w:spacing w:val="-2"/>
                <w:sz w:val="22"/>
              </w:rPr>
              <w:t>(mins)</w:t>
            </w:r>
          </w:p>
        </w:tc>
        <w:tc>
          <w:tcPr>
            <w:tcW w:w="1860" w:type="dxa"/>
            <w:tcBorders>
              <w:top w:val="single" w:sz="4" w:space="0" w:color="000000"/>
              <w:bottom w:val="single" w:sz="4" w:space="0" w:color="000000"/>
            </w:tcBorders>
          </w:tcPr>
          <w:p>
            <w:pPr>
              <w:pStyle w:val="TableParagraph"/>
              <w:spacing w:line="360" w:lineRule="auto"/>
              <w:ind w:left="313"/>
              <w:rPr>
                <w:b/>
                <w:sz w:val="22"/>
              </w:rPr>
            </w:pPr>
            <w:r>
              <w:rPr>
                <w:b/>
                <w:sz w:val="22"/>
              </w:rPr>
              <w:t>No of colonies counted</w:t>
            </w:r>
            <w:r>
              <w:rPr>
                <w:b/>
                <w:spacing w:val="-13"/>
                <w:sz w:val="22"/>
              </w:rPr>
              <w:t> </w:t>
            </w:r>
            <w:r>
              <w:rPr>
                <w:b/>
                <w:sz w:val="22"/>
              </w:rPr>
              <w:t>in</w:t>
            </w:r>
            <w:r>
              <w:rPr>
                <w:b/>
                <w:spacing w:val="-12"/>
                <w:sz w:val="22"/>
              </w:rPr>
              <w:t> </w:t>
            </w:r>
            <w:r>
              <w:rPr>
                <w:b/>
                <w:sz w:val="22"/>
              </w:rPr>
              <w:t>LEV (15.62 µg/ml) </w:t>
            </w:r>
            <w:r>
              <w:rPr>
                <w:b/>
                <w:spacing w:val="-2"/>
                <w:sz w:val="22"/>
              </w:rPr>
              <w:t>plate</w:t>
            </w:r>
          </w:p>
        </w:tc>
        <w:tc>
          <w:tcPr>
            <w:tcW w:w="1818" w:type="dxa"/>
            <w:tcBorders>
              <w:top w:val="single" w:sz="4" w:space="0" w:color="000000"/>
              <w:bottom w:val="single" w:sz="4" w:space="0" w:color="000000"/>
            </w:tcBorders>
          </w:tcPr>
          <w:p>
            <w:pPr>
              <w:pStyle w:val="TableParagraph"/>
              <w:spacing w:line="360" w:lineRule="auto"/>
              <w:ind w:left="189" w:right="141"/>
              <w:jc w:val="both"/>
              <w:rPr>
                <w:b/>
                <w:sz w:val="22"/>
              </w:rPr>
            </w:pPr>
            <w:r>
              <w:rPr>
                <w:b/>
                <w:sz w:val="22"/>
              </w:rPr>
              <w:t>No of colonies counted in CEF (25</w:t>
            </w:r>
            <w:r>
              <w:rPr>
                <w:b/>
                <w:spacing w:val="-4"/>
                <w:sz w:val="22"/>
              </w:rPr>
              <w:t> </w:t>
            </w:r>
            <w:r>
              <w:rPr>
                <w:b/>
                <w:sz w:val="22"/>
              </w:rPr>
              <w:t>µg/ml)</w:t>
            </w:r>
            <w:r>
              <w:rPr>
                <w:b/>
                <w:spacing w:val="-4"/>
                <w:sz w:val="22"/>
              </w:rPr>
              <w:t> </w:t>
            </w:r>
            <w:r>
              <w:rPr>
                <w:b/>
                <w:spacing w:val="-2"/>
                <w:sz w:val="22"/>
              </w:rPr>
              <w:t>plate</w:t>
            </w:r>
          </w:p>
        </w:tc>
        <w:tc>
          <w:tcPr>
            <w:tcW w:w="1435" w:type="dxa"/>
            <w:tcBorders>
              <w:top w:val="single" w:sz="4" w:space="0" w:color="000000"/>
              <w:bottom w:val="single" w:sz="4" w:space="0" w:color="000000"/>
            </w:tcBorders>
          </w:tcPr>
          <w:p>
            <w:pPr>
              <w:pStyle w:val="TableParagraph"/>
              <w:spacing w:line="360" w:lineRule="auto"/>
              <w:ind w:left="143" w:right="143"/>
              <w:rPr>
                <w:b/>
                <w:sz w:val="22"/>
              </w:rPr>
            </w:pPr>
            <w:r>
              <w:rPr>
                <w:b/>
                <w:sz w:val="22"/>
              </w:rPr>
              <w:t>No of </w:t>
            </w:r>
            <w:r>
              <w:rPr>
                <w:b/>
                <w:spacing w:val="-2"/>
                <w:sz w:val="22"/>
              </w:rPr>
              <w:t>colonies </w:t>
            </w:r>
            <w:r>
              <w:rPr>
                <w:b/>
                <w:sz w:val="22"/>
              </w:rPr>
              <w:t>counted in Lemon (40 µg/ml)</w:t>
            </w:r>
            <w:r>
              <w:rPr>
                <w:b/>
                <w:spacing w:val="-13"/>
                <w:sz w:val="22"/>
              </w:rPr>
              <w:t> </w:t>
            </w:r>
            <w:r>
              <w:rPr>
                <w:b/>
                <w:sz w:val="22"/>
              </w:rPr>
              <w:t>plate</w:t>
            </w:r>
          </w:p>
        </w:tc>
        <w:tc>
          <w:tcPr>
            <w:tcW w:w="1443" w:type="dxa"/>
            <w:tcBorders>
              <w:top w:val="single" w:sz="4" w:space="0" w:color="000000"/>
              <w:bottom w:val="single" w:sz="4" w:space="0" w:color="000000"/>
            </w:tcBorders>
          </w:tcPr>
          <w:p>
            <w:pPr>
              <w:pStyle w:val="TableParagraph"/>
              <w:spacing w:line="360" w:lineRule="auto"/>
              <w:ind w:left="145" w:right="79"/>
              <w:rPr>
                <w:b/>
                <w:sz w:val="22"/>
              </w:rPr>
            </w:pPr>
            <w:r>
              <w:rPr>
                <w:b/>
                <w:sz w:val="22"/>
              </w:rPr>
              <w:t>No of </w:t>
            </w:r>
            <w:r>
              <w:rPr>
                <w:b/>
                <w:spacing w:val="-2"/>
                <w:sz w:val="22"/>
              </w:rPr>
              <w:t>colonies </w:t>
            </w:r>
            <w:r>
              <w:rPr>
                <w:b/>
                <w:sz w:val="22"/>
              </w:rPr>
              <w:t>counted in Honey (100 µg/ml)</w:t>
            </w:r>
            <w:r>
              <w:rPr>
                <w:b/>
                <w:spacing w:val="-6"/>
                <w:sz w:val="22"/>
              </w:rPr>
              <w:t> </w:t>
            </w:r>
            <w:r>
              <w:rPr>
                <w:b/>
                <w:spacing w:val="-2"/>
                <w:sz w:val="22"/>
              </w:rPr>
              <w:t>plate</w:t>
            </w:r>
          </w:p>
        </w:tc>
        <w:tc>
          <w:tcPr>
            <w:tcW w:w="1412" w:type="dxa"/>
            <w:tcBorders>
              <w:top w:val="single" w:sz="4" w:space="0" w:color="000000"/>
              <w:bottom w:val="single" w:sz="4" w:space="0" w:color="000000"/>
            </w:tcBorders>
          </w:tcPr>
          <w:p>
            <w:pPr>
              <w:pStyle w:val="TableParagraph"/>
              <w:spacing w:line="360" w:lineRule="auto"/>
              <w:ind w:left="150" w:right="281"/>
              <w:rPr>
                <w:b/>
                <w:sz w:val="22"/>
              </w:rPr>
            </w:pPr>
            <w:r>
              <w:rPr>
                <w:b/>
                <w:sz w:val="22"/>
              </w:rPr>
              <w:t>No of </w:t>
            </w:r>
            <w:r>
              <w:rPr>
                <w:b/>
                <w:spacing w:val="-2"/>
                <w:sz w:val="22"/>
              </w:rPr>
              <w:t>colonies </w:t>
            </w:r>
            <w:r>
              <w:rPr>
                <w:b/>
                <w:sz w:val="22"/>
              </w:rPr>
              <w:t>counted</w:t>
            </w:r>
            <w:r>
              <w:rPr>
                <w:b/>
                <w:spacing w:val="-13"/>
                <w:sz w:val="22"/>
              </w:rPr>
              <w:t> </w:t>
            </w:r>
            <w:r>
              <w:rPr>
                <w:b/>
                <w:sz w:val="22"/>
              </w:rPr>
              <w:t>in H/L (40</w:t>
            </w:r>
          </w:p>
          <w:p>
            <w:pPr>
              <w:pStyle w:val="TableParagraph"/>
              <w:ind w:left="150"/>
              <w:rPr>
                <w:b/>
                <w:sz w:val="22"/>
              </w:rPr>
            </w:pPr>
            <w:r>
              <w:rPr>
                <w:b/>
                <w:sz w:val="22"/>
              </w:rPr>
              <w:t>µg/ml)</w:t>
            </w:r>
            <w:r>
              <w:rPr>
                <w:b/>
                <w:spacing w:val="-4"/>
                <w:sz w:val="22"/>
              </w:rPr>
              <w:t> </w:t>
            </w:r>
            <w:r>
              <w:rPr>
                <w:b/>
                <w:spacing w:val="-2"/>
                <w:sz w:val="22"/>
              </w:rPr>
              <w:t>plate</w:t>
            </w:r>
          </w:p>
        </w:tc>
      </w:tr>
      <w:tr>
        <w:trPr>
          <w:trHeight w:val="413" w:hRule="atLeast"/>
        </w:trPr>
        <w:tc>
          <w:tcPr>
            <w:tcW w:w="1006" w:type="dxa"/>
            <w:tcBorders>
              <w:top w:val="single" w:sz="4" w:space="0" w:color="000000"/>
            </w:tcBorders>
          </w:tcPr>
          <w:p>
            <w:pPr>
              <w:pStyle w:val="TableParagraph"/>
              <w:spacing w:line="265" w:lineRule="exact"/>
              <w:ind w:left="115"/>
              <w:rPr>
                <w:sz w:val="22"/>
              </w:rPr>
            </w:pPr>
            <w:r>
              <w:rPr>
                <w:spacing w:val="-10"/>
                <w:sz w:val="22"/>
              </w:rPr>
              <w:t>0</w:t>
            </w:r>
          </w:p>
        </w:tc>
        <w:tc>
          <w:tcPr>
            <w:tcW w:w="1860" w:type="dxa"/>
            <w:tcBorders>
              <w:top w:val="single" w:sz="4" w:space="0" w:color="000000"/>
            </w:tcBorders>
          </w:tcPr>
          <w:p>
            <w:pPr>
              <w:pStyle w:val="TableParagraph"/>
              <w:spacing w:line="265" w:lineRule="exact"/>
              <w:ind w:left="313"/>
              <w:rPr>
                <w:sz w:val="22"/>
              </w:rPr>
            </w:pPr>
            <w:r>
              <w:rPr>
                <w:spacing w:val="-2"/>
                <w:sz w:val="22"/>
              </w:rPr>
              <w:t>6.9×10</w:t>
            </w:r>
            <w:r>
              <w:rPr>
                <w:spacing w:val="-2"/>
                <w:sz w:val="22"/>
                <w:vertAlign w:val="superscript"/>
              </w:rPr>
              <w:t>3</w:t>
            </w:r>
          </w:p>
        </w:tc>
        <w:tc>
          <w:tcPr>
            <w:tcW w:w="1818" w:type="dxa"/>
            <w:tcBorders>
              <w:top w:val="single" w:sz="4" w:space="0" w:color="000000"/>
            </w:tcBorders>
          </w:tcPr>
          <w:p>
            <w:pPr>
              <w:pStyle w:val="TableParagraph"/>
              <w:spacing w:line="265" w:lineRule="exact"/>
              <w:ind w:left="189"/>
              <w:rPr>
                <w:sz w:val="22"/>
              </w:rPr>
            </w:pPr>
            <w:r>
              <w:rPr>
                <w:spacing w:val="-2"/>
                <w:sz w:val="22"/>
              </w:rPr>
              <w:t>2.8×10</w:t>
            </w:r>
            <w:r>
              <w:rPr>
                <w:spacing w:val="-2"/>
                <w:sz w:val="22"/>
                <w:vertAlign w:val="superscript"/>
              </w:rPr>
              <w:t>3</w:t>
            </w:r>
          </w:p>
        </w:tc>
        <w:tc>
          <w:tcPr>
            <w:tcW w:w="1435" w:type="dxa"/>
            <w:tcBorders>
              <w:top w:val="single" w:sz="4" w:space="0" w:color="000000"/>
            </w:tcBorders>
          </w:tcPr>
          <w:p>
            <w:pPr>
              <w:pStyle w:val="TableParagraph"/>
              <w:spacing w:line="265" w:lineRule="exact"/>
              <w:ind w:left="143"/>
              <w:rPr>
                <w:sz w:val="22"/>
              </w:rPr>
            </w:pPr>
            <w:r>
              <w:rPr>
                <w:spacing w:val="-2"/>
                <w:sz w:val="22"/>
              </w:rPr>
              <w:t>2.7×10</w:t>
            </w:r>
            <w:r>
              <w:rPr>
                <w:spacing w:val="-2"/>
                <w:sz w:val="22"/>
                <w:vertAlign w:val="superscript"/>
              </w:rPr>
              <w:t>3</w:t>
            </w:r>
          </w:p>
        </w:tc>
        <w:tc>
          <w:tcPr>
            <w:tcW w:w="1443" w:type="dxa"/>
            <w:tcBorders>
              <w:top w:val="single" w:sz="4" w:space="0" w:color="000000"/>
            </w:tcBorders>
          </w:tcPr>
          <w:p>
            <w:pPr>
              <w:pStyle w:val="TableParagraph"/>
              <w:spacing w:line="265" w:lineRule="exact"/>
              <w:ind w:left="145"/>
              <w:rPr>
                <w:sz w:val="22"/>
              </w:rPr>
            </w:pPr>
            <w:r>
              <w:rPr>
                <w:spacing w:val="-2"/>
                <w:sz w:val="22"/>
              </w:rPr>
              <w:t>2.4×10</w:t>
            </w:r>
            <w:r>
              <w:rPr>
                <w:spacing w:val="-2"/>
                <w:sz w:val="22"/>
                <w:vertAlign w:val="superscript"/>
              </w:rPr>
              <w:t>4</w:t>
            </w:r>
          </w:p>
        </w:tc>
        <w:tc>
          <w:tcPr>
            <w:tcW w:w="1412" w:type="dxa"/>
            <w:tcBorders>
              <w:top w:val="single" w:sz="4" w:space="0" w:color="000000"/>
            </w:tcBorders>
          </w:tcPr>
          <w:p>
            <w:pPr>
              <w:pStyle w:val="TableParagraph"/>
              <w:spacing w:line="265" w:lineRule="exact"/>
              <w:ind w:left="150"/>
              <w:rPr>
                <w:sz w:val="22"/>
              </w:rPr>
            </w:pPr>
            <w:r>
              <w:rPr>
                <w:spacing w:val="-2"/>
                <w:sz w:val="22"/>
              </w:rPr>
              <w:t>2.2×10</w:t>
            </w:r>
            <w:r>
              <w:rPr>
                <w:spacing w:val="-2"/>
                <w:sz w:val="22"/>
                <w:vertAlign w:val="superscript"/>
              </w:rPr>
              <w:t>2</w:t>
            </w:r>
          </w:p>
        </w:tc>
      </w:tr>
      <w:tr>
        <w:trPr>
          <w:trHeight w:val="562" w:hRule="atLeast"/>
        </w:trPr>
        <w:tc>
          <w:tcPr>
            <w:tcW w:w="1006" w:type="dxa"/>
          </w:tcPr>
          <w:p>
            <w:pPr>
              <w:pStyle w:val="TableParagraph"/>
              <w:spacing w:before="147"/>
              <w:ind w:left="115"/>
              <w:rPr>
                <w:sz w:val="22"/>
              </w:rPr>
            </w:pPr>
            <w:r>
              <w:rPr>
                <w:spacing w:val="-5"/>
                <w:sz w:val="22"/>
              </w:rPr>
              <w:t>30</w:t>
            </w:r>
          </w:p>
        </w:tc>
        <w:tc>
          <w:tcPr>
            <w:tcW w:w="1860" w:type="dxa"/>
          </w:tcPr>
          <w:p>
            <w:pPr>
              <w:pStyle w:val="TableParagraph"/>
              <w:spacing w:before="147"/>
              <w:ind w:left="313"/>
              <w:rPr>
                <w:sz w:val="22"/>
              </w:rPr>
            </w:pPr>
            <w:r>
              <w:rPr>
                <w:spacing w:val="-2"/>
                <w:sz w:val="22"/>
              </w:rPr>
              <w:t>3.1×10</w:t>
            </w:r>
            <w:r>
              <w:rPr>
                <w:spacing w:val="-2"/>
                <w:sz w:val="22"/>
                <w:vertAlign w:val="superscript"/>
              </w:rPr>
              <w:t>2</w:t>
            </w:r>
          </w:p>
        </w:tc>
        <w:tc>
          <w:tcPr>
            <w:tcW w:w="1818" w:type="dxa"/>
          </w:tcPr>
          <w:p>
            <w:pPr>
              <w:pStyle w:val="TableParagraph"/>
              <w:spacing w:before="147"/>
              <w:ind w:left="189"/>
              <w:rPr>
                <w:sz w:val="22"/>
              </w:rPr>
            </w:pPr>
            <w:r>
              <w:rPr>
                <w:spacing w:val="-2"/>
                <w:sz w:val="22"/>
              </w:rPr>
              <w:t>5.3×10</w:t>
            </w:r>
            <w:r>
              <w:rPr>
                <w:spacing w:val="-2"/>
                <w:sz w:val="22"/>
                <w:vertAlign w:val="superscript"/>
              </w:rPr>
              <w:t>2</w:t>
            </w:r>
          </w:p>
        </w:tc>
        <w:tc>
          <w:tcPr>
            <w:tcW w:w="1435" w:type="dxa"/>
          </w:tcPr>
          <w:p>
            <w:pPr>
              <w:pStyle w:val="TableParagraph"/>
              <w:spacing w:before="147"/>
              <w:ind w:left="143"/>
              <w:rPr>
                <w:sz w:val="22"/>
              </w:rPr>
            </w:pPr>
            <w:r>
              <w:rPr>
                <w:spacing w:val="-2"/>
                <w:sz w:val="22"/>
              </w:rPr>
              <w:t>1.3×10</w:t>
            </w:r>
            <w:r>
              <w:rPr>
                <w:spacing w:val="-2"/>
                <w:sz w:val="22"/>
                <w:vertAlign w:val="superscript"/>
              </w:rPr>
              <w:t>2</w:t>
            </w:r>
          </w:p>
        </w:tc>
        <w:tc>
          <w:tcPr>
            <w:tcW w:w="1443" w:type="dxa"/>
          </w:tcPr>
          <w:p>
            <w:pPr>
              <w:pStyle w:val="TableParagraph"/>
              <w:spacing w:before="147"/>
              <w:ind w:left="145"/>
              <w:rPr>
                <w:sz w:val="22"/>
              </w:rPr>
            </w:pPr>
            <w:r>
              <w:rPr>
                <w:spacing w:val="-2"/>
                <w:sz w:val="22"/>
              </w:rPr>
              <w:t>4.2×10</w:t>
            </w:r>
            <w:r>
              <w:rPr>
                <w:spacing w:val="-2"/>
                <w:sz w:val="22"/>
                <w:vertAlign w:val="superscript"/>
              </w:rPr>
              <w:t>3</w:t>
            </w:r>
          </w:p>
        </w:tc>
        <w:tc>
          <w:tcPr>
            <w:tcW w:w="1412" w:type="dxa"/>
          </w:tcPr>
          <w:p>
            <w:pPr>
              <w:pStyle w:val="TableParagraph"/>
              <w:spacing w:before="147"/>
              <w:ind w:left="150"/>
              <w:rPr>
                <w:sz w:val="22"/>
              </w:rPr>
            </w:pPr>
            <w:r>
              <w:rPr>
                <w:spacing w:val="-2"/>
                <w:sz w:val="22"/>
              </w:rPr>
              <w:t>1.1×10</w:t>
            </w:r>
          </w:p>
        </w:tc>
      </w:tr>
      <w:tr>
        <w:trPr>
          <w:trHeight w:val="563" w:hRule="atLeast"/>
        </w:trPr>
        <w:tc>
          <w:tcPr>
            <w:tcW w:w="1006" w:type="dxa"/>
          </w:tcPr>
          <w:p>
            <w:pPr>
              <w:pStyle w:val="TableParagraph"/>
              <w:spacing w:before="147"/>
              <w:ind w:left="115"/>
              <w:rPr>
                <w:sz w:val="22"/>
              </w:rPr>
            </w:pPr>
            <w:r>
              <w:rPr>
                <w:spacing w:val="-5"/>
                <w:sz w:val="22"/>
              </w:rPr>
              <w:t>60</w:t>
            </w:r>
          </w:p>
        </w:tc>
        <w:tc>
          <w:tcPr>
            <w:tcW w:w="1860" w:type="dxa"/>
          </w:tcPr>
          <w:p>
            <w:pPr>
              <w:pStyle w:val="TableParagraph"/>
              <w:spacing w:before="147"/>
              <w:ind w:left="313"/>
              <w:rPr>
                <w:sz w:val="22"/>
              </w:rPr>
            </w:pPr>
            <w:r>
              <w:rPr>
                <w:spacing w:val="-2"/>
                <w:sz w:val="22"/>
              </w:rPr>
              <w:t>6.0×10</w:t>
            </w:r>
          </w:p>
        </w:tc>
        <w:tc>
          <w:tcPr>
            <w:tcW w:w="1818" w:type="dxa"/>
          </w:tcPr>
          <w:p>
            <w:pPr>
              <w:pStyle w:val="TableParagraph"/>
              <w:spacing w:before="147"/>
              <w:ind w:left="189"/>
              <w:rPr>
                <w:sz w:val="22"/>
              </w:rPr>
            </w:pPr>
            <w:r>
              <w:rPr>
                <w:spacing w:val="-2"/>
                <w:sz w:val="22"/>
              </w:rPr>
              <w:t>3.0×10</w:t>
            </w:r>
          </w:p>
        </w:tc>
        <w:tc>
          <w:tcPr>
            <w:tcW w:w="1435" w:type="dxa"/>
          </w:tcPr>
          <w:p>
            <w:pPr>
              <w:pStyle w:val="TableParagraph"/>
              <w:spacing w:before="147"/>
              <w:ind w:left="143"/>
              <w:rPr>
                <w:sz w:val="22"/>
              </w:rPr>
            </w:pPr>
            <w:r>
              <w:rPr>
                <w:spacing w:val="-2"/>
                <w:sz w:val="22"/>
              </w:rPr>
              <w:t>3.1×10</w:t>
            </w:r>
          </w:p>
        </w:tc>
        <w:tc>
          <w:tcPr>
            <w:tcW w:w="1443" w:type="dxa"/>
          </w:tcPr>
          <w:p>
            <w:pPr>
              <w:pStyle w:val="TableParagraph"/>
              <w:spacing w:before="147"/>
              <w:ind w:left="145"/>
              <w:rPr>
                <w:sz w:val="22"/>
              </w:rPr>
            </w:pPr>
            <w:r>
              <w:rPr>
                <w:spacing w:val="-2"/>
                <w:sz w:val="22"/>
              </w:rPr>
              <w:t>7.2×10</w:t>
            </w:r>
            <w:r>
              <w:rPr>
                <w:spacing w:val="-2"/>
                <w:sz w:val="22"/>
                <w:vertAlign w:val="superscript"/>
              </w:rPr>
              <w:t>2</w:t>
            </w:r>
          </w:p>
        </w:tc>
        <w:tc>
          <w:tcPr>
            <w:tcW w:w="1412" w:type="dxa"/>
          </w:tcPr>
          <w:p>
            <w:pPr>
              <w:pStyle w:val="TableParagraph"/>
              <w:spacing w:before="147"/>
              <w:ind w:left="150"/>
              <w:rPr>
                <w:sz w:val="22"/>
              </w:rPr>
            </w:pPr>
            <w:r>
              <w:rPr>
                <w:spacing w:val="-10"/>
                <w:sz w:val="22"/>
              </w:rPr>
              <w:t>0</w:t>
            </w:r>
          </w:p>
        </w:tc>
      </w:tr>
      <w:tr>
        <w:trPr>
          <w:trHeight w:val="562" w:hRule="atLeast"/>
        </w:trPr>
        <w:tc>
          <w:tcPr>
            <w:tcW w:w="1006" w:type="dxa"/>
          </w:tcPr>
          <w:p>
            <w:pPr>
              <w:pStyle w:val="TableParagraph"/>
              <w:spacing w:before="147"/>
              <w:ind w:left="115"/>
              <w:rPr>
                <w:sz w:val="22"/>
              </w:rPr>
            </w:pPr>
            <w:r>
              <w:rPr>
                <w:spacing w:val="-5"/>
                <w:sz w:val="22"/>
              </w:rPr>
              <w:t>90</w:t>
            </w:r>
          </w:p>
        </w:tc>
        <w:tc>
          <w:tcPr>
            <w:tcW w:w="1860" w:type="dxa"/>
          </w:tcPr>
          <w:p>
            <w:pPr>
              <w:pStyle w:val="TableParagraph"/>
              <w:spacing w:before="147"/>
              <w:ind w:left="313"/>
              <w:rPr>
                <w:sz w:val="22"/>
              </w:rPr>
            </w:pPr>
            <w:r>
              <w:rPr>
                <w:spacing w:val="-10"/>
                <w:sz w:val="22"/>
              </w:rPr>
              <w:t>0</w:t>
            </w:r>
          </w:p>
        </w:tc>
        <w:tc>
          <w:tcPr>
            <w:tcW w:w="1818" w:type="dxa"/>
          </w:tcPr>
          <w:p>
            <w:pPr>
              <w:pStyle w:val="TableParagraph"/>
              <w:spacing w:before="147"/>
              <w:ind w:left="189"/>
              <w:rPr>
                <w:sz w:val="22"/>
              </w:rPr>
            </w:pPr>
            <w:r>
              <w:rPr>
                <w:spacing w:val="-10"/>
                <w:sz w:val="22"/>
              </w:rPr>
              <w:t>0</w:t>
            </w:r>
          </w:p>
        </w:tc>
        <w:tc>
          <w:tcPr>
            <w:tcW w:w="1435" w:type="dxa"/>
          </w:tcPr>
          <w:p>
            <w:pPr>
              <w:pStyle w:val="TableParagraph"/>
              <w:spacing w:before="147"/>
              <w:ind w:left="143"/>
              <w:rPr>
                <w:sz w:val="22"/>
              </w:rPr>
            </w:pPr>
            <w:r>
              <w:rPr>
                <w:spacing w:val="-10"/>
                <w:sz w:val="22"/>
              </w:rPr>
              <w:t>0</w:t>
            </w:r>
          </w:p>
        </w:tc>
        <w:tc>
          <w:tcPr>
            <w:tcW w:w="1443" w:type="dxa"/>
          </w:tcPr>
          <w:p>
            <w:pPr>
              <w:pStyle w:val="TableParagraph"/>
              <w:spacing w:before="147"/>
              <w:ind w:left="145"/>
              <w:rPr>
                <w:sz w:val="22"/>
              </w:rPr>
            </w:pPr>
            <w:r>
              <w:rPr>
                <w:spacing w:val="-2"/>
                <w:sz w:val="22"/>
              </w:rPr>
              <w:t>1.3×10</w:t>
            </w:r>
            <w:r>
              <w:rPr>
                <w:spacing w:val="-2"/>
                <w:sz w:val="22"/>
                <w:vertAlign w:val="superscript"/>
              </w:rPr>
              <w:t>1</w:t>
            </w:r>
          </w:p>
        </w:tc>
        <w:tc>
          <w:tcPr>
            <w:tcW w:w="1412" w:type="dxa"/>
          </w:tcPr>
          <w:p>
            <w:pPr>
              <w:pStyle w:val="TableParagraph"/>
              <w:spacing w:before="147"/>
              <w:ind w:left="150"/>
              <w:rPr>
                <w:sz w:val="22"/>
              </w:rPr>
            </w:pPr>
            <w:r>
              <w:rPr>
                <w:spacing w:val="-10"/>
                <w:sz w:val="22"/>
              </w:rPr>
              <w:t>0</w:t>
            </w:r>
          </w:p>
        </w:tc>
      </w:tr>
      <w:tr>
        <w:trPr>
          <w:trHeight w:val="582" w:hRule="atLeast"/>
        </w:trPr>
        <w:tc>
          <w:tcPr>
            <w:tcW w:w="1006" w:type="dxa"/>
          </w:tcPr>
          <w:p>
            <w:pPr>
              <w:pStyle w:val="TableParagraph"/>
              <w:spacing w:before="146"/>
              <w:ind w:left="115"/>
              <w:rPr>
                <w:sz w:val="22"/>
              </w:rPr>
            </w:pPr>
            <w:r>
              <w:rPr>
                <w:spacing w:val="-5"/>
                <w:sz w:val="22"/>
              </w:rPr>
              <w:t>120</w:t>
            </w:r>
          </w:p>
        </w:tc>
        <w:tc>
          <w:tcPr>
            <w:tcW w:w="1860" w:type="dxa"/>
          </w:tcPr>
          <w:p>
            <w:pPr>
              <w:pStyle w:val="TableParagraph"/>
              <w:spacing w:before="146"/>
              <w:ind w:left="313"/>
              <w:rPr>
                <w:sz w:val="22"/>
              </w:rPr>
            </w:pPr>
            <w:r>
              <w:rPr>
                <w:spacing w:val="-10"/>
                <w:sz w:val="22"/>
              </w:rPr>
              <w:t>0</w:t>
            </w:r>
          </w:p>
        </w:tc>
        <w:tc>
          <w:tcPr>
            <w:tcW w:w="1818" w:type="dxa"/>
          </w:tcPr>
          <w:p>
            <w:pPr>
              <w:pStyle w:val="TableParagraph"/>
              <w:spacing w:before="146"/>
              <w:ind w:left="189"/>
              <w:rPr>
                <w:sz w:val="22"/>
              </w:rPr>
            </w:pPr>
            <w:r>
              <w:rPr>
                <w:spacing w:val="-10"/>
                <w:sz w:val="22"/>
              </w:rPr>
              <w:t>0</w:t>
            </w:r>
          </w:p>
        </w:tc>
        <w:tc>
          <w:tcPr>
            <w:tcW w:w="1435" w:type="dxa"/>
          </w:tcPr>
          <w:p>
            <w:pPr>
              <w:pStyle w:val="TableParagraph"/>
              <w:spacing w:before="146"/>
              <w:ind w:left="143"/>
              <w:rPr>
                <w:sz w:val="22"/>
              </w:rPr>
            </w:pPr>
            <w:r>
              <w:rPr>
                <w:spacing w:val="-10"/>
                <w:sz w:val="22"/>
              </w:rPr>
              <w:t>0</w:t>
            </w:r>
          </w:p>
        </w:tc>
        <w:tc>
          <w:tcPr>
            <w:tcW w:w="1443" w:type="dxa"/>
          </w:tcPr>
          <w:p>
            <w:pPr>
              <w:pStyle w:val="TableParagraph"/>
              <w:spacing w:before="146"/>
              <w:ind w:left="145"/>
              <w:rPr>
                <w:sz w:val="22"/>
              </w:rPr>
            </w:pPr>
            <w:r>
              <w:rPr>
                <w:spacing w:val="-2"/>
                <w:sz w:val="22"/>
              </w:rPr>
              <w:t>5.0×10</w:t>
            </w:r>
            <w:r>
              <w:rPr>
                <w:spacing w:val="-2"/>
                <w:sz w:val="22"/>
                <w:vertAlign w:val="superscript"/>
              </w:rPr>
              <w:t>0</w:t>
            </w:r>
          </w:p>
        </w:tc>
        <w:tc>
          <w:tcPr>
            <w:tcW w:w="1412" w:type="dxa"/>
          </w:tcPr>
          <w:p>
            <w:pPr>
              <w:pStyle w:val="TableParagraph"/>
              <w:spacing w:before="146"/>
              <w:ind w:left="150"/>
              <w:rPr>
                <w:sz w:val="22"/>
              </w:rPr>
            </w:pPr>
            <w:r>
              <w:rPr>
                <w:spacing w:val="-10"/>
                <w:sz w:val="22"/>
              </w:rPr>
              <w:t>0</w:t>
            </w:r>
          </w:p>
        </w:tc>
      </w:tr>
      <w:tr>
        <w:trPr>
          <w:trHeight w:val="562" w:hRule="atLeast"/>
        </w:trPr>
        <w:tc>
          <w:tcPr>
            <w:tcW w:w="1006" w:type="dxa"/>
          </w:tcPr>
          <w:p>
            <w:pPr>
              <w:pStyle w:val="TableParagraph"/>
              <w:spacing w:before="127"/>
              <w:ind w:left="115"/>
              <w:rPr>
                <w:sz w:val="22"/>
              </w:rPr>
            </w:pPr>
            <w:r>
              <w:rPr>
                <w:spacing w:val="-5"/>
                <w:sz w:val="22"/>
              </w:rPr>
              <w:t>240</w:t>
            </w:r>
          </w:p>
        </w:tc>
        <w:tc>
          <w:tcPr>
            <w:tcW w:w="1860" w:type="dxa"/>
          </w:tcPr>
          <w:p>
            <w:pPr>
              <w:pStyle w:val="TableParagraph"/>
              <w:spacing w:before="127"/>
              <w:ind w:left="313"/>
              <w:rPr>
                <w:sz w:val="22"/>
              </w:rPr>
            </w:pPr>
            <w:r>
              <w:rPr>
                <w:spacing w:val="-10"/>
                <w:sz w:val="22"/>
              </w:rPr>
              <w:t>0</w:t>
            </w:r>
          </w:p>
        </w:tc>
        <w:tc>
          <w:tcPr>
            <w:tcW w:w="1818" w:type="dxa"/>
          </w:tcPr>
          <w:p>
            <w:pPr>
              <w:pStyle w:val="TableParagraph"/>
              <w:spacing w:before="127"/>
              <w:ind w:left="189"/>
              <w:rPr>
                <w:sz w:val="22"/>
              </w:rPr>
            </w:pPr>
            <w:r>
              <w:rPr>
                <w:spacing w:val="-10"/>
                <w:sz w:val="22"/>
              </w:rPr>
              <w:t>0</w:t>
            </w:r>
          </w:p>
        </w:tc>
        <w:tc>
          <w:tcPr>
            <w:tcW w:w="1435" w:type="dxa"/>
          </w:tcPr>
          <w:p>
            <w:pPr>
              <w:pStyle w:val="TableParagraph"/>
              <w:spacing w:before="127"/>
              <w:ind w:left="143"/>
              <w:rPr>
                <w:sz w:val="22"/>
              </w:rPr>
            </w:pPr>
            <w:r>
              <w:rPr>
                <w:spacing w:val="-10"/>
                <w:sz w:val="22"/>
              </w:rPr>
              <w:t>0</w:t>
            </w:r>
          </w:p>
        </w:tc>
        <w:tc>
          <w:tcPr>
            <w:tcW w:w="1443" w:type="dxa"/>
          </w:tcPr>
          <w:p>
            <w:pPr>
              <w:pStyle w:val="TableParagraph"/>
              <w:spacing w:before="127"/>
              <w:ind w:left="145"/>
              <w:rPr>
                <w:sz w:val="22"/>
              </w:rPr>
            </w:pPr>
            <w:r>
              <w:rPr>
                <w:spacing w:val="-10"/>
                <w:sz w:val="22"/>
              </w:rPr>
              <w:t>0</w:t>
            </w:r>
          </w:p>
        </w:tc>
        <w:tc>
          <w:tcPr>
            <w:tcW w:w="1412" w:type="dxa"/>
          </w:tcPr>
          <w:p>
            <w:pPr>
              <w:pStyle w:val="TableParagraph"/>
              <w:spacing w:before="127"/>
              <w:ind w:left="150"/>
              <w:rPr>
                <w:sz w:val="22"/>
              </w:rPr>
            </w:pPr>
            <w:r>
              <w:rPr>
                <w:spacing w:val="-10"/>
                <w:sz w:val="22"/>
              </w:rPr>
              <w:t>0</w:t>
            </w:r>
          </w:p>
        </w:tc>
      </w:tr>
      <w:tr>
        <w:trPr>
          <w:trHeight w:val="562" w:hRule="atLeast"/>
        </w:trPr>
        <w:tc>
          <w:tcPr>
            <w:tcW w:w="1006" w:type="dxa"/>
          </w:tcPr>
          <w:p>
            <w:pPr>
              <w:pStyle w:val="TableParagraph"/>
              <w:spacing w:before="126"/>
              <w:ind w:left="115"/>
              <w:rPr>
                <w:sz w:val="22"/>
              </w:rPr>
            </w:pPr>
            <w:r>
              <w:rPr>
                <w:spacing w:val="-5"/>
                <w:sz w:val="22"/>
              </w:rPr>
              <w:t>360</w:t>
            </w:r>
          </w:p>
        </w:tc>
        <w:tc>
          <w:tcPr>
            <w:tcW w:w="1860" w:type="dxa"/>
          </w:tcPr>
          <w:p>
            <w:pPr>
              <w:pStyle w:val="TableParagraph"/>
              <w:spacing w:before="126"/>
              <w:ind w:left="313"/>
              <w:rPr>
                <w:sz w:val="22"/>
              </w:rPr>
            </w:pPr>
            <w:r>
              <w:rPr>
                <w:spacing w:val="-10"/>
                <w:sz w:val="22"/>
              </w:rPr>
              <w:t>0</w:t>
            </w:r>
          </w:p>
        </w:tc>
        <w:tc>
          <w:tcPr>
            <w:tcW w:w="1818" w:type="dxa"/>
          </w:tcPr>
          <w:p>
            <w:pPr>
              <w:pStyle w:val="TableParagraph"/>
              <w:spacing w:before="126"/>
              <w:ind w:left="189"/>
              <w:rPr>
                <w:sz w:val="22"/>
              </w:rPr>
            </w:pPr>
            <w:r>
              <w:rPr>
                <w:spacing w:val="-10"/>
                <w:sz w:val="22"/>
              </w:rPr>
              <w:t>0</w:t>
            </w:r>
          </w:p>
        </w:tc>
        <w:tc>
          <w:tcPr>
            <w:tcW w:w="1435" w:type="dxa"/>
          </w:tcPr>
          <w:p>
            <w:pPr>
              <w:pStyle w:val="TableParagraph"/>
              <w:spacing w:before="126"/>
              <w:ind w:left="143"/>
              <w:rPr>
                <w:sz w:val="22"/>
              </w:rPr>
            </w:pPr>
            <w:r>
              <w:rPr>
                <w:spacing w:val="-10"/>
                <w:sz w:val="22"/>
              </w:rPr>
              <w:t>0</w:t>
            </w:r>
          </w:p>
        </w:tc>
        <w:tc>
          <w:tcPr>
            <w:tcW w:w="1443" w:type="dxa"/>
          </w:tcPr>
          <w:p>
            <w:pPr>
              <w:pStyle w:val="TableParagraph"/>
              <w:spacing w:before="126"/>
              <w:ind w:left="145"/>
              <w:rPr>
                <w:sz w:val="22"/>
              </w:rPr>
            </w:pPr>
            <w:r>
              <w:rPr>
                <w:spacing w:val="-10"/>
                <w:sz w:val="22"/>
              </w:rPr>
              <w:t>0</w:t>
            </w:r>
          </w:p>
        </w:tc>
        <w:tc>
          <w:tcPr>
            <w:tcW w:w="1412" w:type="dxa"/>
          </w:tcPr>
          <w:p>
            <w:pPr>
              <w:pStyle w:val="TableParagraph"/>
              <w:spacing w:before="126"/>
              <w:ind w:left="150"/>
              <w:rPr>
                <w:sz w:val="22"/>
              </w:rPr>
            </w:pPr>
            <w:r>
              <w:rPr>
                <w:spacing w:val="-10"/>
                <w:sz w:val="22"/>
              </w:rPr>
              <w:t>0</w:t>
            </w:r>
          </w:p>
        </w:tc>
      </w:tr>
      <w:tr>
        <w:trPr>
          <w:trHeight w:val="694" w:hRule="atLeast"/>
        </w:trPr>
        <w:tc>
          <w:tcPr>
            <w:tcW w:w="1006" w:type="dxa"/>
            <w:tcBorders>
              <w:bottom w:val="single" w:sz="4" w:space="0" w:color="000000"/>
            </w:tcBorders>
          </w:tcPr>
          <w:p>
            <w:pPr>
              <w:pStyle w:val="TableParagraph"/>
              <w:spacing w:before="127"/>
              <w:ind w:left="115"/>
              <w:rPr>
                <w:sz w:val="22"/>
              </w:rPr>
            </w:pPr>
            <w:r>
              <w:rPr>
                <w:spacing w:val="-4"/>
                <w:sz w:val="22"/>
              </w:rPr>
              <w:t>1440</w:t>
            </w:r>
          </w:p>
        </w:tc>
        <w:tc>
          <w:tcPr>
            <w:tcW w:w="1860" w:type="dxa"/>
            <w:tcBorders>
              <w:bottom w:val="single" w:sz="4" w:space="0" w:color="000000"/>
            </w:tcBorders>
          </w:tcPr>
          <w:p>
            <w:pPr>
              <w:pStyle w:val="TableParagraph"/>
              <w:spacing w:before="127"/>
              <w:ind w:left="313"/>
              <w:rPr>
                <w:sz w:val="22"/>
              </w:rPr>
            </w:pPr>
            <w:r>
              <w:rPr>
                <w:spacing w:val="-10"/>
                <w:sz w:val="22"/>
              </w:rPr>
              <w:t>0</w:t>
            </w:r>
          </w:p>
        </w:tc>
        <w:tc>
          <w:tcPr>
            <w:tcW w:w="1818" w:type="dxa"/>
            <w:tcBorders>
              <w:bottom w:val="single" w:sz="4" w:space="0" w:color="000000"/>
            </w:tcBorders>
          </w:tcPr>
          <w:p>
            <w:pPr>
              <w:pStyle w:val="TableParagraph"/>
              <w:spacing w:before="127"/>
              <w:ind w:left="189"/>
              <w:rPr>
                <w:sz w:val="22"/>
              </w:rPr>
            </w:pPr>
            <w:r>
              <w:rPr>
                <w:spacing w:val="-10"/>
                <w:sz w:val="22"/>
              </w:rPr>
              <w:t>0</w:t>
            </w:r>
          </w:p>
        </w:tc>
        <w:tc>
          <w:tcPr>
            <w:tcW w:w="1435" w:type="dxa"/>
            <w:tcBorders>
              <w:bottom w:val="single" w:sz="4" w:space="0" w:color="000000"/>
            </w:tcBorders>
          </w:tcPr>
          <w:p>
            <w:pPr>
              <w:pStyle w:val="TableParagraph"/>
              <w:spacing w:before="127"/>
              <w:ind w:left="143"/>
              <w:rPr>
                <w:sz w:val="22"/>
              </w:rPr>
            </w:pPr>
            <w:r>
              <w:rPr>
                <w:spacing w:val="-10"/>
                <w:sz w:val="22"/>
              </w:rPr>
              <w:t>0</w:t>
            </w:r>
          </w:p>
        </w:tc>
        <w:tc>
          <w:tcPr>
            <w:tcW w:w="1443" w:type="dxa"/>
            <w:tcBorders>
              <w:bottom w:val="single" w:sz="4" w:space="0" w:color="000000"/>
            </w:tcBorders>
          </w:tcPr>
          <w:p>
            <w:pPr>
              <w:pStyle w:val="TableParagraph"/>
              <w:spacing w:before="127"/>
              <w:ind w:left="145"/>
              <w:rPr>
                <w:sz w:val="22"/>
              </w:rPr>
            </w:pPr>
            <w:r>
              <w:rPr>
                <w:spacing w:val="-10"/>
                <w:sz w:val="22"/>
              </w:rPr>
              <w:t>0</w:t>
            </w:r>
          </w:p>
        </w:tc>
        <w:tc>
          <w:tcPr>
            <w:tcW w:w="1412" w:type="dxa"/>
            <w:tcBorders>
              <w:bottom w:val="single" w:sz="4" w:space="0" w:color="000000"/>
            </w:tcBorders>
          </w:tcPr>
          <w:p>
            <w:pPr>
              <w:pStyle w:val="TableParagraph"/>
              <w:spacing w:before="127"/>
              <w:ind w:left="150"/>
              <w:rPr>
                <w:sz w:val="22"/>
              </w:rPr>
            </w:pPr>
            <w:r>
              <w:rPr>
                <w:spacing w:val="-10"/>
                <w:sz w:val="22"/>
              </w:rPr>
              <w:t>0</w:t>
            </w:r>
          </w:p>
        </w:tc>
      </w:tr>
    </w:tbl>
    <w:p>
      <w:pPr>
        <w:spacing w:after="0"/>
        <w:rPr>
          <w:sz w:val="22"/>
        </w:rPr>
        <w:sectPr>
          <w:pgSz w:w="11910" w:h="16840"/>
          <w:pgMar w:header="0" w:footer="1055" w:top="1920" w:bottom="1240" w:left="1060" w:right="460"/>
        </w:sectPr>
      </w:pPr>
    </w:p>
    <w:p>
      <w:pPr>
        <w:pStyle w:val="BodyText"/>
        <w:spacing w:line="360" w:lineRule="auto" w:before="38"/>
        <w:ind w:left="380" w:right="975"/>
      </w:pPr>
      <w:r>
        <w:rPr>
          <w:b/>
        </w:rPr>
        <w:t>Key:</w:t>
      </w:r>
      <w:r>
        <w:rPr>
          <w:b/>
          <w:spacing w:val="-5"/>
        </w:rPr>
        <w:t> </w:t>
      </w:r>
      <w:r>
        <w:rPr/>
        <w:t>Sp=Sputum,</w:t>
      </w:r>
      <w:r>
        <w:rPr>
          <w:spacing w:val="-7"/>
        </w:rPr>
        <w:t> </w:t>
      </w:r>
      <w:r>
        <w:rPr/>
        <w:t>MIC=Minimum</w:t>
      </w:r>
      <w:r>
        <w:rPr>
          <w:spacing w:val="-7"/>
        </w:rPr>
        <w:t> </w:t>
      </w:r>
      <w:r>
        <w:rPr/>
        <w:t>Inhibitory</w:t>
      </w:r>
      <w:r>
        <w:rPr>
          <w:spacing w:val="-7"/>
        </w:rPr>
        <w:t> </w:t>
      </w:r>
      <w:r>
        <w:rPr/>
        <w:t>Concentration,</w:t>
      </w:r>
      <w:r>
        <w:rPr>
          <w:spacing w:val="-5"/>
        </w:rPr>
        <w:t> </w:t>
      </w:r>
      <w:r>
        <w:rPr/>
        <w:t>LEV=Levofloxacin,</w:t>
      </w:r>
      <w:r>
        <w:rPr>
          <w:spacing w:val="-7"/>
        </w:rPr>
        <w:t> </w:t>
      </w:r>
      <w:r>
        <w:rPr/>
        <w:t>CEF=Ceftriaxone, H=Honey, L=Lemon juice.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4"/>
      </w:pPr>
    </w:p>
    <w:p>
      <w:pPr>
        <w:spacing w:before="0"/>
        <w:ind w:left="949" w:right="0" w:firstLine="0"/>
        <w:jc w:val="left"/>
        <w:rPr>
          <w:b/>
          <w:sz w:val="22"/>
        </w:rPr>
      </w:pPr>
      <w:r>
        <w:rPr>
          <w:b/>
          <w:sz w:val="22"/>
        </w:rPr>
        <w:t>Rate</w:t>
      </w:r>
      <w:r>
        <w:rPr>
          <w:b/>
          <w:spacing w:val="-8"/>
          <w:sz w:val="22"/>
        </w:rPr>
        <w:t> </w:t>
      </w:r>
      <w:r>
        <w:rPr>
          <w:b/>
          <w:sz w:val="22"/>
        </w:rPr>
        <w:t>of</w:t>
      </w:r>
      <w:r>
        <w:rPr>
          <w:b/>
          <w:spacing w:val="-4"/>
          <w:sz w:val="22"/>
        </w:rPr>
        <w:t> </w:t>
      </w:r>
      <w:r>
        <w:rPr>
          <w:b/>
          <w:sz w:val="22"/>
        </w:rPr>
        <w:t>Kill</w:t>
      </w:r>
      <w:r>
        <w:rPr>
          <w:b/>
          <w:spacing w:val="-4"/>
          <w:sz w:val="22"/>
        </w:rPr>
        <w:t> </w:t>
      </w:r>
      <w:r>
        <w:rPr>
          <w:b/>
          <w:sz w:val="22"/>
        </w:rPr>
        <w:t>(above</w:t>
      </w:r>
      <w:r>
        <w:rPr>
          <w:b/>
          <w:spacing w:val="-8"/>
          <w:sz w:val="22"/>
        </w:rPr>
        <w:t> </w:t>
      </w:r>
      <w:r>
        <w:rPr>
          <w:b/>
          <w:sz w:val="22"/>
        </w:rPr>
        <w:t>average</w:t>
      </w:r>
      <w:r>
        <w:rPr>
          <w:b/>
          <w:spacing w:val="-7"/>
          <w:sz w:val="22"/>
        </w:rPr>
        <w:t> </w:t>
      </w:r>
      <w:r>
        <w:rPr>
          <w:b/>
          <w:sz w:val="22"/>
        </w:rPr>
        <w:t>MIC</w:t>
      </w:r>
      <w:r>
        <w:rPr>
          <w:b/>
          <w:spacing w:val="-6"/>
          <w:sz w:val="22"/>
        </w:rPr>
        <w:t> </w:t>
      </w:r>
      <w:r>
        <w:rPr>
          <w:b/>
          <w:sz w:val="22"/>
        </w:rPr>
        <w:t>values)</w:t>
      </w:r>
      <w:r>
        <w:rPr>
          <w:b/>
          <w:spacing w:val="-4"/>
          <w:sz w:val="22"/>
        </w:rPr>
        <w:t> </w:t>
      </w:r>
      <w:r>
        <w:rPr>
          <w:b/>
          <w:sz w:val="22"/>
        </w:rPr>
        <w:t>for</w:t>
      </w:r>
      <w:r>
        <w:rPr>
          <w:b/>
          <w:spacing w:val="-4"/>
          <w:sz w:val="22"/>
        </w:rPr>
        <w:t> </w:t>
      </w:r>
      <w:r>
        <w:rPr>
          <w:b/>
          <w:i/>
          <w:sz w:val="22"/>
        </w:rPr>
        <w:t>Klebsiella</w:t>
      </w:r>
      <w:r>
        <w:rPr>
          <w:b/>
          <w:i/>
          <w:spacing w:val="-8"/>
          <w:sz w:val="22"/>
        </w:rPr>
        <w:t> </w:t>
      </w:r>
      <w:r>
        <w:rPr>
          <w:b/>
          <w:i/>
          <w:sz w:val="22"/>
        </w:rPr>
        <w:t>pneumoniae_</w:t>
      </w:r>
      <w:r>
        <w:rPr>
          <w:b/>
          <w:sz w:val="22"/>
        </w:rPr>
        <w:t>Sp270</w:t>
      </w:r>
      <w:r>
        <w:rPr>
          <w:b/>
          <w:spacing w:val="-4"/>
          <w:sz w:val="22"/>
        </w:rPr>
        <w:t> </w:t>
      </w:r>
      <w:r>
        <w:rPr>
          <w:b/>
          <w:spacing w:val="-2"/>
          <w:sz w:val="22"/>
        </w:rPr>
        <w:t>(Susceptible)</w:t>
      </w:r>
    </w:p>
    <w:p>
      <w:pPr>
        <w:pStyle w:val="BodyText"/>
        <w:spacing w:before="52"/>
        <w:rPr>
          <w:b/>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6"/>
        <w:gridCol w:w="1804"/>
        <w:gridCol w:w="1738"/>
        <w:gridCol w:w="1556"/>
        <w:gridCol w:w="1424"/>
        <w:gridCol w:w="1406"/>
      </w:tblGrid>
      <w:tr>
        <w:trPr>
          <w:trHeight w:val="2174" w:hRule="atLeast"/>
        </w:trPr>
        <w:tc>
          <w:tcPr>
            <w:tcW w:w="996" w:type="dxa"/>
            <w:tcBorders>
              <w:top w:val="single" w:sz="4" w:space="0" w:color="000000"/>
              <w:bottom w:val="single" w:sz="4" w:space="0" w:color="000000"/>
            </w:tcBorders>
          </w:tcPr>
          <w:p>
            <w:pPr>
              <w:pStyle w:val="TableParagraph"/>
              <w:spacing w:line="360" w:lineRule="auto"/>
              <w:ind w:left="108" w:right="304"/>
              <w:rPr>
                <w:b/>
                <w:sz w:val="22"/>
              </w:rPr>
            </w:pPr>
            <w:r>
              <w:rPr>
                <w:b/>
                <w:spacing w:val="-4"/>
                <w:sz w:val="22"/>
              </w:rPr>
              <w:t>Time </w:t>
            </w:r>
            <w:r>
              <w:rPr>
                <w:b/>
                <w:spacing w:val="-2"/>
                <w:sz w:val="22"/>
              </w:rPr>
              <w:t>(mins)</w:t>
            </w:r>
          </w:p>
        </w:tc>
        <w:tc>
          <w:tcPr>
            <w:tcW w:w="1804" w:type="dxa"/>
            <w:tcBorders>
              <w:top w:val="single" w:sz="4" w:space="0" w:color="000000"/>
              <w:bottom w:val="single" w:sz="4" w:space="0" w:color="000000"/>
            </w:tcBorders>
          </w:tcPr>
          <w:p>
            <w:pPr>
              <w:pStyle w:val="TableParagraph"/>
              <w:spacing w:line="360" w:lineRule="auto"/>
              <w:ind w:left="309"/>
              <w:rPr>
                <w:b/>
                <w:sz w:val="22"/>
              </w:rPr>
            </w:pPr>
            <w:r>
              <w:rPr>
                <w:b/>
                <w:sz w:val="22"/>
              </w:rPr>
              <w:t>No of colonies counted</w:t>
            </w:r>
            <w:r>
              <w:rPr>
                <w:b/>
                <w:spacing w:val="-13"/>
                <w:sz w:val="22"/>
              </w:rPr>
              <w:t> </w:t>
            </w:r>
            <w:r>
              <w:rPr>
                <w:b/>
                <w:sz w:val="22"/>
              </w:rPr>
              <w:t>in</w:t>
            </w:r>
            <w:r>
              <w:rPr>
                <w:b/>
                <w:spacing w:val="-12"/>
                <w:sz w:val="22"/>
              </w:rPr>
              <w:t> </w:t>
            </w:r>
            <w:r>
              <w:rPr>
                <w:b/>
                <w:sz w:val="22"/>
              </w:rPr>
              <w:t>LEV (15.62 µg/ml) </w:t>
            </w:r>
            <w:r>
              <w:rPr>
                <w:b/>
                <w:spacing w:val="-2"/>
                <w:sz w:val="22"/>
              </w:rPr>
              <w:t>plate</w:t>
            </w:r>
          </w:p>
        </w:tc>
        <w:tc>
          <w:tcPr>
            <w:tcW w:w="1738" w:type="dxa"/>
            <w:tcBorders>
              <w:top w:val="single" w:sz="4" w:space="0" w:color="000000"/>
              <w:bottom w:val="single" w:sz="4" w:space="0" w:color="000000"/>
            </w:tcBorders>
          </w:tcPr>
          <w:p>
            <w:pPr>
              <w:pStyle w:val="TableParagraph"/>
              <w:spacing w:line="360" w:lineRule="auto"/>
              <w:ind w:left="135" w:right="115"/>
              <w:jc w:val="both"/>
              <w:rPr>
                <w:b/>
                <w:sz w:val="22"/>
              </w:rPr>
            </w:pPr>
            <w:r>
              <w:rPr>
                <w:b/>
                <w:sz w:val="22"/>
              </w:rPr>
              <w:t>No of colonies counted in CEF (25</w:t>
            </w:r>
            <w:r>
              <w:rPr>
                <w:b/>
                <w:spacing w:val="-4"/>
                <w:sz w:val="22"/>
              </w:rPr>
              <w:t> </w:t>
            </w:r>
            <w:r>
              <w:rPr>
                <w:b/>
                <w:sz w:val="22"/>
              </w:rPr>
              <w:t>µg/ml)</w:t>
            </w:r>
            <w:r>
              <w:rPr>
                <w:b/>
                <w:spacing w:val="-4"/>
                <w:sz w:val="22"/>
              </w:rPr>
              <w:t> </w:t>
            </w:r>
            <w:r>
              <w:rPr>
                <w:b/>
                <w:spacing w:val="-2"/>
                <w:sz w:val="22"/>
              </w:rPr>
              <w:t>plate</w:t>
            </w:r>
          </w:p>
        </w:tc>
        <w:tc>
          <w:tcPr>
            <w:tcW w:w="1556" w:type="dxa"/>
            <w:tcBorders>
              <w:top w:val="single" w:sz="4" w:space="0" w:color="000000"/>
              <w:bottom w:val="single" w:sz="4" w:space="0" w:color="000000"/>
            </w:tcBorders>
          </w:tcPr>
          <w:p>
            <w:pPr>
              <w:pStyle w:val="TableParagraph"/>
              <w:spacing w:line="360" w:lineRule="auto"/>
              <w:ind w:left="114"/>
              <w:rPr>
                <w:b/>
                <w:sz w:val="22"/>
              </w:rPr>
            </w:pPr>
            <w:r>
              <w:rPr>
                <w:b/>
                <w:sz w:val="22"/>
              </w:rPr>
              <w:t>No</w:t>
            </w:r>
            <w:r>
              <w:rPr>
                <w:b/>
                <w:spacing w:val="-13"/>
                <w:sz w:val="22"/>
              </w:rPr>
              <w:t> </w:t>
            </w:r>
            <w:r>
              <w:rPr>
                <w:b/>
                <w:sz w:val="22"/>
              </w:rPr>
              <w:t>of</w:t>
            </w:r>
            <w:r>
              <w:rPr>
                <w:b/>
                <w:spacing w:val="-12"/>
                <w:sz w:val="22"/>
              </w:rPr>
              <w:t> </w:t>
            </w:r>
            <w:r>
              <w:rPr>
                <w:b/>
                <w:sz w:val="22"/>
              </w:rPr>
              <w:t>colonies counted in Lemon (40 µg/ml) plate</w:t>
            </w:r>
          </w:p>
        </w:tc>
        <w:tc>
          <w:tcPr>
            <w:tcW w:w="1424" w:type="dxa"/>
            <w:tcBorders>
              <w:top w:val="single" w:sz="4" w:space="0" w:color="000000"/>
              <w:bottom w:val="single" w:sz="4" w:space="0" w:color="000000"/>
            </w:tcBorders>
          </w:tcPr>
          <w:p>
            <w:pPr>
              <w:pStyle w:val="TableParagraph"/>
              <w:spacing w:line="360" w:lineRule="auto"/>
              <w:ind w:left="132" w:right="73"/>
              <w:rPr>
                <w:b/>
                <w:sz w:val="22"/>
              </w:rPr>
            </w:pPr>
            <w:r>
              <w:rPr>
                <w:b/>
                <w:sz w:val="22"/>
              </w:rPr>
              <w:t>No of </w:t>
            </w:r>
            <w:r>
              <w:rPr>
                <w:b/>
                <w:spacing w:val="-2"/>
                <w:sz w:val="22"/>
              </w:rPr>
              <w:t>colonies </w:t>
            </w:r>
            <w:r>
              <w:rPr>
                <w:b/>
                <w:sz w:val="22"/>
              </w:rPr>
              <w:t>counted in Honey (100 µg/ml)</w:t>
            </w:r>
            <w:r>
              <w:rPr>
                <w:b/>
                <w:spacing w:val="-13"/>
                <w:sz w:val="22"/>
              </w:rPr>
              <w:t> </w:t>
            </w:r>
            <w:r>
              <w:rPr>
                <w:b/>
                <w:sz w:val="22"/>
              </w:rPr>
              <w:t>plate</w:t>
            </w:r>
          </w:p>
        </w:tc>
        <w:tc>
          <w:tcPr>
            <w:tcW w:w="1406" w:type="dxa"/>
            <w:tcBorders>
              <w:top w:val="single" w:sz="4" w:space="0" w:color="000000"/>
              <w:bottom w:val="single" w:sz="4" w:space="0" w:color="000000"/>
            </w:tcBorders>
          </w:tcPr>
          <w:p>
            <w:pPr>
              <w:pStyle w:val="TableParagraph"/>
              <w:spacing w:line="360" w:lineRule="auto"/>
              <w:ind w:left="139" w:right="286"/>
              <w:rPr>
                <w:b/>
                <w:sz w:val="22"/>
              </w:rPr>
            </w:pPr>
            <w:r>
              <w:rPr>
                <w:b/>
                <w:sz w:val="22"/>
              </w:rPr>
              <w:t>No of </w:t>
            </w:r>
            <w:r>
              <w:rPr>
                <w:b/>
                <w:spacing w:val="-2"/>
                <w:sz w:val="22"/>
              </w:rPr>
              <w:t>colonies </w:t>
            </w:r>
            <w:r>
              <w:rPr>
                <w:b/>
                <w:sz w:val="22"/>
              </w:rPr>
              <w:t>counted</w:t>
            </w:r>
            <w:r>
              <w:rPr>
                <w:b/>
                <w:spacing w:val="-13"/>
                <w:sz w:val="22"/>
              </w:rPr>
              <w:t> </w:t>
            </w:r>
            <w:r>
              <w:rPr>
                <w:b/>
                <w:sz w:val="22"/>
              </w:rPr>
              <w:t>in H/L (40</w:t>
            </w:r>
          </w:p>
          <w:p>
            <w:pPr>
              <w:pStyle w:val="TableParagraph"/>
              <w:ind w:left="139"/>
              <w:rPr>
                <w:b/>
                <w:sz w:val="22"/>
              </w:rPr>
            </w:pPr>
            <w:r>
              <w:rPr>
                <w:b/>
                <w:sz w:val="22"/>
              </w:rPr>
              <w:t>µg/ml)</w:t>
            </w:r>
            <w:r>
              <w:rPr>
                <w:b/>
                <w:spacing w:val="-5"/>
                <w:sz w:val="22"/>
              </w:rPr>
              <w:t> </w:t>
            </w:r>
            <w:r>
              <w:rPr>
                <w:b/>
                <w:spacing w:val="-2"/>
                <w:sz w:val="22"/>
              </w:rPr>
              <w:t>plate</w:t>
            </w:r>
          </w:p>
        </w:tc>
      </w:tr>
      <w:tr>
        <w:trPr>
          <w:trHeight w:val="413" w:hRule="atLeast"/>
        </w:trPr>
        <w:tc>
          <w:tcPr>
            <w:tcW w:w="996" w:type="dxa"/>
            <w:tcBorders>
              <w:top w:val="single" w:sz="4" w:space="0" w:color="000000"/>
            </w:tcBorders>
          </w:tcPr>
          <w:p>
            <w:pPr>
              <w:pStyle w:val="TableParagraph"/>
              <w:spacing w:line="265" w:lineRule="exact"/>
              <w:ind w:left="108"/>
              <w:rPr>
                <w:sz w:val="22"/>
              </w:rPr>
            </w:pPr>
            <w:r>
              <w:rPr>
                <w:spacing w:val="-10"/>
                <w:sz w:val="22"/>
              </w:rPr>
              <w:t>0</w:t>
            </w:r>
          </w:p>
        </w:tc>
        <w:tc>
          <w:tcPr>
            <w:tcW w:w="1804" w:type="dxa"/>
            <w:tcBorders>
              <w:top w:val="single" w:sz="4" w:space="0" w:color="000000"/>
            </w:tcBorders>
          </w:tcPr>
          <w:p>
            <w:pPr>
              <w:pStyle w:val="TableParagraph"/>
              <w:spacing w:line="265" w:lineRule="exact"/>
              <w:ind w:left="309"/>
              <w:rPr>
                <w:sz w:val="22"/>
              </w:rPr>
            </w:pPr>
            <w:r>
              <w:rPr>
                <w:spacing w:val="-2"/>
                <w:sz w:val="22"/>
              </w:rPr>
              <w:t>1.9×10</w:t>
            </w:r>
            <w:r>
              <w:rPr>
                <w:spacing w:val="-2"/>
                <w:sz w:val="22"/>
                <w:vertAlign w:val="superscript"/>
              </w:rPr>
              <w:t>3</w:t>
            </w:r>
          </w:p>
        </w:tc>
        <w:tc>
          <w:tcPr>
            <w:tcW w:w="1738" w:type="dxa"/>
            <w:tcBorders>
              <w:top w:val="single" w:sz="4" w:space="0" w:color="000000"/>
            </w:tcBorders>
          </w:tcPr>
          <w:p>
            <w:pPr>
              <w:pStyle w:val="TableParagraph"/>
              <w:spacing w:line="265" w:lineRule="exact"/>
              <w:ind w:left="135"/>
              <w:rPr>
                <w:sz w:val="22"/>
              </w:rPr>
            </w:pPr>
            <w:r>
              <w:rPr>
                <w:spacing w:val="-2"/>
                <w:sz w:val="22"/>
              </w:rPr>
              <w:t>1.6×10</w:t>
            </w:r>
            <w:r>
              <w:rPr>
                <w:spacing w:val="-2"/>
                <w:sz w:val="22"/>
                <w:vertAlign w:val="superscript"/>
              </w:rPr>
              <w:t>3</w:t>
            </w:r>
          </w:p>
        </w:tc>
        <w:tc>
          <w:tcPr>
            <w:tcW w:w="1556" w:type="dxa"/>
            <w:tcBorders>
              <w:top w:val="single" w:sz="4" w:space="0" w:color="000000"/>
            </w:tcBorders>
          </w:tcPr>
          <w:p>
            <w:pPr>
              <w:pStyle w:val="TableParagraph"/>
              <w:spacing w:line="265" w:lineRule="exact"/>
              <w:ind w:left="114"/>
              <w:rPr>
                <w:sz w:val="22"/>
              </w:rPr>
            </w:pPr>
            <w:r>
              <w:rPr>
                <w:spacing w:val="-2"/>
                <w:sz w:val="22"/>
              </w:rPr>
              <w:t>3.9×10</w:t>
            </w:r>
            <w:r>
              <w:rPr>
                <w:spacing w:val="-2"/>
                <w:sz w:val="22"/>
                <w:vertAlign w:val="superscript"/>
              </w:rPr>
              <w:t>2</w:t>
            </w:r>
          </w:p>
        </w:tc>
        <w:tc>
          <w:tcPr>
            <w:tcW w:w="1424" w:type="dxa"/>
            <w:tcBorders>
              <w:top w:val="single" w:sz="4" w:space="0" w:color="000000"/>
            </w:tcBorders>
          </w:tcPr>
          <w:p>
            <w:pPr>
              <w:pStyle w:val="TableParagraph"/>
              <w:spacing w:line="265" w:lineRule="exact"/>
              <w:ind w:left="132"/>
              <w:rPr>
                <w:sz w:val="22"/>
              </w:rPr>
            </w:pPr>
            <w:r>
              <w:rPr>
                <w:spacing w:val="-2"/>
                <w:sz w:val="22"/>
              </w:rPr>
              <w:t>3.7×10</w:t>
            </w:r>
            <w:r>
              <w:rPr>
                <w:spacing w:val="-2"/>
                <w:sz w:val="22"/>
                <w:vertAlign w:val="superscript"/>
              </w:rPr>
              <w:t>3</w:t>
            </w:r>
          </w:p>
        </w:tc>
        <w:tc>
          <w:tcPr>
            <w:tcW w:w="1406" w:type="dxa"/>
            <w:tcBorders>
              <w:top w:val="single" w:sz="4" w:space="0" w:color="000000"/>
            </w:tcBorders>
          </w:tcPr>
          <w:p>
            <w:pPr>
              <w:pStyle w:val="TableParagraph"/>
              <w:spacing w:line="265" w:lineRule="exact"/>
              <w:ind w:left="139"/>
              <w:rPr>
                <w:sz w:val="22"/>
              </w:rPr>
            </w:pPr>
            <w:r>
              <w:rPr>
                <w:spacing w:val="-2"/>
                <w:sz w:val="22"/>
              </w:rPr>
              <w:t>6.5×10</w:t>
            </w:r>
            <w:r>
              <w:rPr>
                <w:spacing w:val="-2"/>
                <w:sz w:val="22"/>
                <w:vertAlign w:val="superscript"/>
              </w:rPr>
              <w:t>2</w:t>
            </w:r>
          </w:p>
        </w:tc>
      </w:tr>
      <w:tr>
        <w:trPr>
          <w:trHeight w:val="562" w:hRule="atLeast"/>
        </w:trPr>
        <w:tc>
          <w:tcPr>
            <w:tcW w:w="996" w:type="dxa"/>
          </w:tcPr>
          <w:p>
            <w:pPr>
              <w:pStyle w:val="TableParagraph"/>
              <w:spacing w:before="147"/>
              <w:ind w:left="108"/>
              <w:rPr>
                <w:sz w:val="22"/>
              </w:rPr>
            </w:pPr>
            <w:r>
              <w:rPr>
                <w:spacing w:val="-5"/>
                <w:sz w:val="22"/>
              </w:rPr>
              <w:t>30</w:t>
            </w:r>
          </w:p>
        </w:tc>
        <w:tc>
          <w:tcPr>
            <w:tcW w:w="1804" w:type="dxa"/>
          </w:tcPr>
          <w:p>
            <w:pPr>
              <w:pStyle w:val="TableParagraph"/>
              <w:spacing w:before="147"/>
              <w:ind w:left="309"/>
              <w:rPr>
                <w:sz w:val="22"/>
              </w:rPr>
            </w:pPr>
            <w:r>
              <w:rPr>
                <w:spacing w:val="-2"/>
                <w:sz w:val="22"/>
              </w:rPr>
              <w:t>7.1×10</w:t>
            </w:r>
            <w:r>
              <w:rPr>
                <w:spacing w:val="-2"/>
                <w:sz w:val="22"/>
                <w:vertAlign w:val="superscript"/>
              </w:rPr>
              <w:t>2</w:t>
            </w:r>
          </w:p>
        </w:tc>
        <w:tc>
          <w:tcPr>
            <w:tcW w:w="1738" w:type="dxa"/>
          </w:tcPr>
          <w:p>
            <w:pPr>
              <w:pStyle w:val="TableParagraph"/>
              <w:spacing w:before="147"/>
              <w:ind w:left="135"/>
              <w:rPr>
                <w:sz w:val="22"/>
              </w:rPr>
            </w:pPr>
            <w:r>
              <w:rPr>
                <w:spacing w:val="-2"/>
                <w:sz w:val="22"/>
              </w:rPr>
              <w:t>3.4×10</w:t>
            </w:r>
            <w:r>
              <w:rPr>
                <w:spacing w:val="-2"/>
                <w:sz w:val="22"/>
                <w:vertAlign w:val="superscript"/>
              </w:rPr>
              <w:t>2</w:t>
            </w:r>
          </w:p>
        </w:tc>
        <w:tc>
          <w:tcPr>
            <w:tcW w:w="1556" w:type="dxa"/>
          </w:tcPr>
          <w:p>
            <w:pPr>
              <w:pStyle w:val="TableParagraph"/>
              <w:spacing w:before="147"/>
              <w:ind w:left="114"/>
              <w:rPr>
                <w:sz w:val="22"/>
              </w:rPr>
            </w:pPr>
            <w:r>
              <w:rPr>
                <w:spacing w:val="-2"/>
                <w:sz w:val="22"/>
              </w:rPr>
              <w:t>1.0×10</w:t>
            </w:r>
          </w:p>
        </w:tc>
        <w:tc>
          <w:tcPr>
            <w:tcW w:w="1424" w:type="dxa"/>
          </w:tcPr>
          <w:p>
            <w:pPr>
              <w:pStyle w:val="TableParagraph"/>
              <w:spacing w:before="147"/>
              <w:ind w:left="132"/>
              <w:rPr>
                <w:sz w:val="22"/>
              </w:rPr>
            </w:pPr>
            <w:r>
              <w:rPr>
                <w:spacing w:val="-2"/>
                <w:sz w:val="22"/>
              </w:rPr>
              <w:t>2.3×10</w:t>
            </w:r>
            <w:r>
              <w:rPr>
                <w:spacing w:val="-2"/>
                <w:sz w:val="22"/>
                <w:vertAlign w:val="superscript"/>
              </w:rPr>
              <w:t>2</w:t>
            </w:r>
          </w:p>
        </w:tc>
        <w:tc>
          <w:tcPr>
            <w:tcW w:w="1406" w:type="dxa"/>
          </w:tcPr>
          <w:p>
            <w:pPr>
              <w:pStyle w:val="TableParagraph"/>
              <w:spacing w:before="147"/>
              <w:ind w:left="139"/>
              <w:rPr>
                <w:sz w:val="22"/>
              </w:rPr>
            </w:pPr>
            <w:r>
              <w:rPr>
                <w:spacing w:val="-2"/>
                <w:sz w:val="22"/>
              </w:rPr>
              <w:t>3.0×10</w:t>
            </w:r>
          </w:p>
        </w:tc>
      </w:tr>
      <w:tr>
        <w:trPr>
          <w:trHeight w:val="582" w:hRule="atLeast"/>
        </w:trPr>
        <w:tc>
          <w:tcPr>
            <w:tcW w:w="996" w:type="dxa"/>
          </w:tcPr>
          <w:p>
            <w:pPr>
              <w:pStyle w:val="TableParagraph"/>
              <w:spacing w:before="146"/>
              <w:ind w:left="108"/>
              <w:rPr>
                <w:sz w:val="22"/>
              </w:rPr>
            </w:pPr>
            <w:r>
              <w:rPr>
                <w:spacing w:val="-5"/>
                <w:sz w:val="22"/>
              </w:rPr>
              <w:t>60</w:t>
            </w:r>
          </w:p>
        </w:tc>
        <w:tc>
          <w:tcPr>
            <w:tcW w:w="1804" w:type="dxa"/>
          </w:tcPr>
          <w:p>
            <w:pPr>
              <w:pStyle w:val="TableParagraph"/>
              <w:spacing w:before="146"/>
              <w:ind w:left="309"/>
              <w:rPr>
                <w:sz w:val="22"/>
              </w:rPr>
            </w:pPr>
            <w:r>
              <w:rPr>
                <w:spacing w:val="-2"/>
                <w:sz w:val="22"/>
              </w:rPr>
              <w:t>5.3×10</w:t>
            </w:r>
          </w:p>
        </w:tc>
        <w:tc>
          <w:tcPr>
            <w:tcW w:w="1738" w:type="dxa"/>
          </w:tcPr>
          <w:p>
            <w:pPr>
              <w:pStyle w:val="TableParagraph"/>
              <w:spacing w:before="146"/>
              <w:ind w:left="135"/>
              <w:rPr>
                <w:sz w:val="22"/>
              </w:rPr>
            </w:pPr>
            <w:r>
              <w:rPr>
                <w:spacing w:val="-2"/>
                <w:sz w:val="22"/>
              </w:rPr>
              <w:t>2.1×10</w:t>
            </w:r>
          </w:p>
        </w:tc>
        <w:tc>
          <w:tcPr>
            <w:tcW w:w="1556" w:type="dxa"/>
          </w:tcPr>
          <w:p>
            <w:pPr>
              <w:pStyle w:val="TableParagraph"/>
              <w:spacing w:before="146"/>
              <w:ind w:left="114"/>
              <w:rPr>
                <w:sz w:val="22"/>
              </w:rPr>
            </w:pPr>
            <w:r>
              <w:rPr>
                <w:spacing w:val="-10"/>
                <w:sz w:val="22"/>
              </w:rPr>
              <w:t>0</w:t>
            </w:r>
          </w:p>
        </w:tc>
        <w:tc>
          <w:tcPr>
            <w:tcW w:w="1424" w:type="dxa"/>
          </w:tcPr>
          <w:p>
            <w:pPr>
              <w:pStyle w:val="TableParagraph"/>
              <w:spacing w:before="146"/>
              <w:ind w:left="132"/>
              <w:rPr>
                <w:sz w:val="22"/>
              </w:rPr>
            </w:pPr>
            <w:r>
              <w:rPr>
                <w:spacing w:val="-2"/>
                <w:sz w:val="22"/>
              </w:rPr>
              <w:t>1.5×10</w:t>
            </w:r>
            <w:r>
              <w:rPr>
                <w:spacing w:val="-2"/>
                <w:sz w:val="22"/>
                <w:vertAlign w:val="superscript"/>
              </w:rPr>
              <w:t>2</w:t>
            </w:r>
          </w:p>
        </w:tc>
        <w:tc>
          <w:tcPr>
            <w:tcW w:w="1406" w:type="dxa"/>
          </w:tcPr>
          <w:p>
            <w:pPr>
              <w:pStyle w:val="TableParagraph"/>
              <w:spacing w:before="146"/>
              <w:ind w:left="139"/>
              <w:rPr>
                <w:sz w:val="22"/>
              </w:rPr>
            </w:pPr>
            <w:r>
              <w:rPr>
                <w:spacing w:val="-10"/>
                <w:sz w:val="22"/>
              </w:rPr>
              <w:t>0</w:t>
            </w:r>
          </w:p>
        </w:tc>
      </w:tr>
      <w:tr>
        <w:trPr>
          <w:trHeight w:val="392" w:hRule="atLeast"/>
        </w:trPr>
        <w:tc>
          <w:tcPr>
            <w:tcW w:w="996" w:type="dxa"/>
          </w:tcPr>
          <w:p>
            <w:pPr>
              <w:pStyle w:val="TableParagraph"/>
              <w:spacing w:line="245" w:lineRule="exact" w:before="127"/>
              <w:ind w:left="108"/>
              <w:rPr>
                <w:sz w:val="22"/>
              </w:rPr>
            </w:pPr>
            <w:r>
              <w:rPr>
                <w:spacing w:val="-5"/>
                <w:sz w:val="22"/>
              </w:rPr>
              <w:t>90</w:t>
            </w:r>
          </w:p>
        </w:tc>
        <w:tc>
          <w:tcPr>
            <w:tcW w:w="1804" w:type="dxa"/>
          </w:tcPr>
          <w:p>
            <w:pPr>
              <w:pStyle w:val="TableParagraph"/>
              <w:spacing w:line="245" w:lineRule="exact" w:before="127"/>
              <w:ind w:left="309"/>
              <w:rPr>
                <w:sz w:val="22"/>
              </w:rPr>
            </w:pPr>
            <w:r>
              <w:rPr>
                <w:spacing w:val="-10"/>
                <w:sz w:val="22"/>
              </w:rPr>
              <w:t>0</w:t>
            </w:r>
          </w:p>
        </w:tc>
        <w:tc>
          <w:tcPr>
            <w:tcW w:w="1738" w:type="dxa"/>
          </w:tcPr>
          <w:p>
            <w:pPr>
              <w:pStyle w:val="TableParagraph"/>
              <w:spacing w:line="245" w:lineRule="exact" w:before="127"/>
              <w:ind w:left="135"/>
              <w:rPr>
                <w:sz w:val="22"/>
              </w:rPr>
            </w:pPr>
            <w:r>
              <w:rPr>
                <w:spacing w:val="-10"/>
                <w:sz w:val="22"/>
              </w:rPr>
              <w:t>0</w:t>
            </w:r>
          </w:p>
        </w:tc>
        <w:tc>
          <w:tcPr>
            <w:tcW w:w="1556" w:type="dxa"/>
          </w:tcPr>
          <w:p>
            <w:pPr>
              <w:pStyle w:val="TableParagraph"/>
              <w:spacing w:line="245" w:lineRule="exact" w:before="127"/>
              <w:ind w:left="114"/>
              <w:rPr>
                <w:sz w:val="22"/>
              </w:rPr>
            </w:pPr>
            <w:r>
              <w:rPr>
                <w:spacing w:val="-10"/>
                <w:sz w:val="22"/>
              </w:rPr>
              <w:t>0</w:t>
            </w:r>
          </w:p>
        </w:tc>
        <w:tc>
          <w:tcPr>
            <w:tcW w:w="1424" w:type="dxa"/>
          </w:tcPr>
          <w:p>
            <w:pPr>
              <w:pStyle w:val="TableParagraph"/>
              <w:spacing w:line="245" w:lineRule="exact" w:before="127"/>
              <w:ind w:left="132"/>
              <w:rPr>
                <w:sz w:val="22"/>
              </w:rPr>
            </w:pPr>
            <w:r>
              <w:rPr>
                <w:spacing w:val="-2"/>
                <w:sz w:val="22"/>
              </w:rPr>
              <w:t>3.2×10</w:t>
            </w:r>
          </w:p>
        </w:tc>
        <w:tc>
          <w:tcPr>
            <w:tcW w:w="1406" w:type="dxa"/>
          </w:tcPr>
          <w:p>
            <w:pPr>
              <w:pStyle w:val="TableParagraph"/>
              <w:spacing w:line="245" w:lineRule="exact" w:before="127"/>
              <w:ind w:left="139"/>
              <w:rPr>
                <w:sz w:val="22"/>
              </w:rPr>
            </w:pPr>
            <w:r>
              <w:rPr>
                <w:spacing w:val="-10"/>
                <w:sz w:val="22"/>
              </w:rPr>
              <w:t>0</w:t>
            </w:r>
          </w:p>
        </w:tc>
      </w:tr>
    </w:tbl>
    <w:p>
      <w:pPr>
        <w:spacing w:after="0" w:line="245" w:lineRule="exact"/>
        <w:rPr>
          <w:sz w:val="22"/>
        </w:rPr>
        <w:sectPr>
          <w:pgSz w:w="11910" w:h="16840"/>
          <w:pgMar w:header="0" w:footer="1055" w:top="1380" w:bottom="1669" w:left="1060" w:right="460"/>
        </w:sect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3"/>
        <w:gridCol w:w="1247"/>
        <w:gridCol w:w="1674"/>
        <w:gridCol w:w="1646"/>
        <w:gridCol w:w="1503"/>
        <w:gridCol w:w="822"/>
      </w:tblGrid>
      <w:tr>
        <w:trPr>
          <w:trHeight w:val="392" w:hRule="atLeast"/>
        </w:trPr>
        <w:tc>
          <w:tcPr>
            <w:tcW w:w="873" w:type="dxa"/>
          </w:tcPr>
          <w:p>
            <w:pPr>
              <w:pStyle w:val="TableParagraph"/>
              <w:spacing w:line="225" w:lineRule="exact"/>
              <w:ind w:left="50"/>
              <w:rPr>
                <w:sz w:val="22"/>
              </w:rPr>
            </w:pPr>
            <w:r>
              <w:rPr>
                <w:spacing w:val="-5"/>
                <w:sz w:val="22"/>
              </w:rPr>
              <w:t>120</w:t>
            </w:r>
          </w:p>
        </w:tc>
        <w:tc>
          <w:tcPr>
            <w:tcW w:w="1247" w:type="dxa"/>
          </w:tcPr>
          <w:p>
            <w:pPr>
              <w:pStyle w:val="TableParagraph"/>
              <w:spacing w:line="225" w:lineRule="exact"/>
              <w:ind w:left="374"/>
              <w:rPr>
                <w:sz w:val="22"/>
              </w:rPr>
            </w:pPr>
            <w:r>
              <w:rPr>
                <w:spacing w:val="-10"/>
                <w:sz w:val="22"/>
              </w:rPr>
              <w:t>0</w:t>
            </w:r>
          </w:p>
        </w:tc>
        <w:tc>
          <w:tcPr>
            <w:tcW w:w="1674" w:type="dxa"/>
          </w:tcPr>
          <w:p>
            <w:pPr>
              <w:pStyle w:val="TableParagraph"/>
              <w:spacing w:line="225" w:lineRule="exact"/>
              <w:ind w:right="44"/>
              <w:jc w:val="center"/>
              <w:rPr>
                <w:sz w:val="22"/>
              </w:rPr>
            </w:pPr>
            <w:r>
              <w:rPr>
                <w:spacing w:val="-10"/>
                <w:sz w:val="22"/>
              </w:rPr>
              <w:t>0</w:t>
            </w:r>
          </w:p>
        </w:tc>
        <w:tc>
          <w:tcPr>
            <w:tcW w:w="1646" w:type="dxa"/>
          </w:tcPr>
          <w:p>
            <w:pPr>
              <w:pStyle w:val="TableParagraph"/>
              <w:spacing w:line="225" w:lineRule="exact"/>
              <w:ind w:left="66"/>
              <w:jc w:val="center"/>
              <w:rPr>
                <w:sz w:val="22"/>
              </w:rPr>
            </w:pPr>
            <w:r>
              <w:rPr>
                <w:spacing w:val="-10"/>
                <w:sz w:val="22"/>
              </w:rPr>
              <w:t>0</w:t>
            </w:r>
          </w:p>
        </w:tc>
        <w:tc>
          <w:tcPr>
            <w:tcW w:w="1503" w:type="dxa"/>
          </w:tcPr>
          <w:p>
            <w:pPr>
              <w:pStyle w:val="TableParagraph"/>
              <w:spacing w:line="225" w:lineRule="exact"/>
              <w:ind w:left="65"/>
              <w:jc w:val="center"/>
              <w:rPr>
                <w:sz w:val="22"/>
              </w:rPr>
            </w:pPr>
            <w:r>
              <w:rPr>
                <w:spacing w:val="-10"/>
                <w:sz w:val="22"/>
              </w:rPr>
              <w:t>0</w:t>
            </w:r>
          </w:p>
        </w:tc>
        <w:tc>
          <w:tcPr>
            <w:tcW w:w="822" w:type="dxa"/>
          </w:tcPr>
          <w:p>
            <w:pPr>
              <w:pStyle w:val="TableParagraph"/>
              <w:spacing w:line="225" w:lineRule="exact"/>
              <w:ind w:right="51"/>
              <w:jc w:val="right"/>
              <w:rPr>
                <w:sz w:val="22"/>
              </w:rPr>
            </w:pPr>
            <w:r>
              <w:rPr>
                <w:spacing w:val="-10"/>
                <w:sz w:val="22"/>
              </w:rPr>
              <w:t>0</w:t>
            </w:r>
          </w:p>
        </w:tc>
      </w:tr>
      <w:tr>
        <w:trPr>
          <w:trHeight w:val="563" w:hRule="atLeast"/>
        </w:trPr>
        <w:tc>
          <w:tcPr>
            <w:tcW w:w="873" w:type="dxa"/>
          </w:tcPr>
          <w:p>
            <w:pPr>
              <w:pStyle w:val="TableParagraph"/>
              <w:spacing w:before="128"/>
              <w:ind w:left="50"/>
              <w:rPr>
                <w:sz w:val="22"/>
              </w:rPr>
            </w:pPr>
            <w:r>
              <w:rPr>
                <w:spacing w:val="-5"/>
                <w:sz w:val="22"/>
              </w:rPr>
              <w:t>240</w:t>
            </w:r>
          </w:p>
        </w:tc>
        <w:tc>
          <w:tcPr>
            <w:tcW w:w="1247" w:type="dxa"/>
          </w:tcPr>
          <w:p>
            <w:pPr>
              <w:pStyle w:val="TableParagraph"/>
              <w:spacing w:before="128"/>
              <w:ind w:left="374"/>
              <w:rPr>
                <w:sz w:val="22"/>
              </w:rPr>
            </w:pPr>
            <w:r>
              <w:rPr>
                <w:spacing w:val="-10"/>
                <w:sz w:val="22"/>
              </w:rPr>
              <w:t>0</w:t>
            </w:r>
          </w:p>
        </w:tc>
        <w:tc>
          <w:tcPr>
            <w:tcW w:w="1674" w:type="dxa"/>
          </w:tcPr>
          <w:p>
            <w:pPr>
              <w:pStyle w:val="TableParagraph"/>
              <w:spacing w:before="128"/>
              <w:ind w:right="44"/>
              <w:jc w:val="center"/>
              <w:rPr>
                <w:sz w:val="22"/>
              </w:rPr>
            </w:pPr>
            <w:r>
              <w:rPr>
                <w:spacing w:val="-10"/>
                <w:sz w:val="22"/>
              </w:rPr>
              <w:t>0</w:t>
            </w:r>
          </w:p>
        </w:tc>
        <w:tc>
          <w:tcPr>
            <w:tcW w:w="1646" w:type="dxa"/>
          </w:tcPr>
          <w:p>
            <w:pPr>
              <w:pStyle w:val="TableParagraph"/>
              <w:spacing w:before="128"/>
              <w:ind w:left="66"/>
              <w:jc w:val="center"/>
              <w:rPr>
                <w:sz w:val="22"/>
              </w:rPr>
            </w:pPr>
            <w:r>
              <w:rPr>
                <w:spacing w:val="-10"/>
                <w:sz w:val="22"/>
              </w:rPr>
              <w:t>0</w:t>
            </w:r>
          </w:p>
        </w:tc>
        <w:tc>
          <w:tcPr>
            <w:tcW w:w="1503" w:type="dxa"/>
          </w:tcPr>
          <w:p>
            <w:pPr>
              <w:pStyle w:val="TableParagraph"/>
              <w:spacing w:before="128"/>
              <w:ind w:left="65"/>
              <w:jc w:val="center"/>
              <w:rPr>
                <w:sz w:val="22"/>
              </w:rPr>
            </w:pPr>
            <w:r>
              <w:rPr>
                <w:spacing w:val="-10"/>
                <w:sz w:val="22"/>
              </w:rPr>
              <w:t>0</w:t>
            </w:r>
          </w:p>
        </w:tc>
        <w:tc>
          <w:tcPr>
            <w:tcW w:w="822" w:type="dxa"/>
          </w:tcPr>
          <w:p>
            <w:pPr>
              <w:pStyle w:val="TableParagraph"/>
              <w:spacing w:before="128"/>
              <w:ind w:right="51"/>
              <w:jc w:val="right"/>
              <w:rPr>
                <w:sz w:val="22"/>
              </w:rPr>
            </w:pPr>
            <w:r>
              <w:rPr>
                <w:spacing w:val="-10"/>
                <w:sz w:val="22"/>
              </w:rPr>
              <w:t>0</w:t>
            </w:r>
          </w:p>
        </w:tc>
      </w:tr>
      <w:tr>
        <w:trPr>
          <w:trHeight w:val="562" w:hRule="atLeast"/>
        </w:trPr>
        <w:tc>
          <w:tcPr>
            <w:tcW w:w="873" w:type="dxa"/>
          </w:tcPr>
          <w:p>
            <w:pPr>
              <w:pStyle w:val="TableParagraph"/>
              <w:spacing w:before="126"/>
              <w:ind w:left="50"/>
              <w:rPr>
                <w:sz w:val="22"/>
              </w:rPr>
            </w:pPr>
            <w:r>
              <w:rPr>
                <w:spacing w:val="-5"/>
                <w:sz w:val="22"/>
              </w:rPr>
              <w:t>360</w:t>
            </w:r>
          </w:p>
        </w:tc>
        <w:tc>
          <w:tcPr>
            <w:tcW w:w="1247" w:type="dxa"/>
          </w:tcPr>
          <w:p>
            <w:pPr>
              <w:pStyle w:val="TableParagraph"/>
              <w:spacing w:before="126"/>
              <w:ind w:left="374"/>
              <w:rPr>
                <w:sz w:val="22"/>
              </w:rPr>
            </w:pPr>
            <w:r>
              <w:rPr>
                <w:spacing w:val="-10"/>
                <w:sz w:val="22"/>
              </w:rPr>
              <w:t>0</w:t>
            </w:r>
          </w:p>
        </w:tc>
        <w:tc>
          <w:tcPr>
            <w:tcW w:w="1674" w:type="dxa"/>
          </w:tcPr>
          <w:p>
            <w:pPr>
              <w:pStyle w:val="TableParagraph"/>
              <w:spacing w:before="126"/>
              <w:ind w:right="44"/>
              <w:jc w:val="center"/>
              <w:rPr>
                <w:sz w:val="22"/>
              </w:rPr>
            </w:pPr>
            <w:r>
              <w:rPr>
                <w:spacing w:val="-10"/>
                <w:sz w:val="22"/>
              </w:rPr>
              <w:t>0</w:t>
            </w:r>
          </w:p>
        </w:tc>
        <w:tc>
          <w:tcPr>
            <w:tcW w:w="1646" w:type="dxa"/>
          </w:tcPr>
          <w:p>
            <w:pPr>
              <w:pStyle w:val="TableParagraph"/>
              <w:spacing w:before="126"/>
              <w:ind w:left="66"/>
              <w:jc w:val="center"/>
              <w:rPr>
                <w:sz w:val="22"/>
              </w:rPr>
            </w:pPr>
            <w:r>
              <w:rPr>
                <w:spacing w:val="-10"/>
                <w:sz w:val="22"/>
              </w:rPr>
              <w:t>0</w:t>
            </w:r>
          </w:p>
        </w:tc>
        <w:tc>
          <w:tcPr>
            <w:tcW w:w="1503" w:type="dxa"/>
          </w:tcPr>
          <w:p>
            <w:pPr>
              <w:pStyle w:val="TableParagraph"/>
              <w:spacing w:before="126"/>
              <w:ind w:left="65"/>
              <w:jc w:val="center"/>
              <w:rPr>
                <w:sz w:val="22"/>
              </w:rPr>
            </w:pPr>
            <w:r>
              <w:rPr>
                <w:spacing w:val="-10"/>
                <w:sz w:val="22"/>
              </w:rPr>
              <w:t>0</w:t>
            </w:r>
          </w:p>
        </w:tc>
        <w:tc>
          <w:tcPr>
            <w:tcW w:w="822" w:type="dxa"/>
          </w:tcPr>
          <w:p>
            <w:pPr>
              <w:pStyle w:val="TableParagraph"/>
              <w:spacing w:before="126"/>
              <w:ind w:right="51"/>
              <w:jc w:val="right"/>
              <w:rPr>
                <w:sz w:val="22"/>
              </w:rPr>
            </w:pPr>
            <w:r>
              <w:rPr>
                <w:spacing w:val="-10"/>
                <w:sz w:val="22"/>
              </w:rPr>
              <w:t>0</w:t>
            </w:r>
          </w:p>
        </w:tc>
      </w:tr>
      <w:tr>
        <w:trPr>
          <w:trHeight w:val="392" w:hRule="atLeast"/>
        </w:trPr>
        <w:tc>
          <w:tcPr>
            <w:tcW w:w="873" w:type="dxa"/>
          </w:tcPr>
          <w:p>
            <w:pPr>
              <w:pStyle w:val="TableParagraph"/>
              <w:spacing w:line="245" w:lineRule="exact" w:before="127"/>
              <w:ind w:left="50"/>
              <w:rPr>
                <w:sz w:val="22"/>
              </w:rPr>
            </w:pPr>
            <w:r>
              <w:rPr>
                <w:spacing w:val="-4"/>
                <w:sz w:val="22"/>
              </w:rPr>
              <w:t>1440</w:t>
            </w:r>
          </w:p>
        </w:tc>
        <w:tc>
          <w:tcPr>
            <w:tcW w:w="1247" w:type="dxa"/>
          </w:tcPr>
          <w:p>
            <w:pPr>
              <w:pStyle w:val="TableParagraph"/>
              <w:spacing w:line="245" w:lineRule="exact" w:before="127"/>
              <w:ind w:left="374"/>
              <w:rPr>
                <w:sz w:val="22"/>
              </w:rPr>
            </w:pPr>
            <w:r>
              <w:rPr>
                <w:spacing w:val="-10"/>
                <w:sz w:val="22"/>
              </w:rPr>
              <w:t>0</w:t>
            </w:r>
          </w:p>
        </w:tc>
        <w:tc>
          <w:tcPr>
            <w:tcW w:w="1674" w:type="dxa"/>
          </w:tcPr>
          <w:p>
            <w:pPr>
              <w:pStyle w:val="TableParagraph"/>
              <w:spacing w:line="245" w:lineRule="exact" w:before="127"/>
              <w:ind w:right="44"/>
              <w:jc w:val="center"/>
              <w:rPr>
                <w:sz w:val="22"/>
              </w:rPr>
            </w:pPr>
            <w:r>
              <w:rPr>
                <w:spacing w:val="-10"/>
                <w:sz w:val="22"/>
              </w:rPr>
              <w:t>0</w:t>
            </w:r>
          </w:p>
        </w:tc>
        <w:tc>
          <w:tcPr>
            <w:tcW w:w="1646" w:type="dxa"/>
          </w:tcPr>
          <w:p>
            <w:pPr>
              <w:pStyle w:val="TableParagraph"/>
              <w:spacing w:line="245" w:lineRule="exact" w:before="127"/>
              <w:ind w:left="66"/>
              <w:jc w:val="center"/>
              <w:rPr>
                <w:sz w:val="22"/>
              </w:rPr>
            </w:pPr>
            <w:r>
              <w:rPr>
                <w:spacing w:val="-10"/>
                <w:sz w:val="22"/>
              </w:rPr>
              <w:t>0</w:t>
            </w:r>
          </w:p>
        </w:tc>
        <w:tc>
          <w:tcPr>
            <w:tcW w:w="1503" w:type="dxa"/>
          </w:tcPr>
          <w:p>
            <w:pPr>
              <w:pStyle w:val="TableParagraph"/>
              <w:spacing w:line="245" w:lineRule="exact" w:before="127"/>
              <w:ind w:left="65"/>
              <w:jc w:val="center"/>
              <w:rPr>
                <w:sz w:val="22"/>
              </w:rPr>
            </w:pPr>
            <w:r>
              <w:rPr>
                <w:spacing w:val="-10"/>
                <w:sz w:val="22"/>
              </w:rPr>
              <w:t>0</w:t>
            </w:r>
          </w:p>
        </w:tc>
        <w:tc>
          <w:tcPr>
            <w:tcW w:w="822" w:type="dxa"/>
          </w:tcPr>
          <w:p>
            <w:pPr>
              <w:pStyle w:val="TableParagraph"/>
              <w:spacing w:line="245" w:lineRule="exact" w:before="127"/>
              <w:ind w:right="51"/>
              <w:jc w:val="right"/>
              <w:rPr>
                <w:sz w:val="22"/>
              </w:rPr>
            </w:pPr>
            <w:r>
              <w:rPr>
                <w:spacing w:val="-10"/>
                <w:sz w:val="22"/>
              </w:rPr>
              <w:t>0</w:t>
            </w:r>
          </w:p>
        </w:tc>
      </w:tr>
    </w:tbl>
    <w:p>
      <w:pPr>
        <w:pStyle w:val="BodyText"/>
        <w:spacing w:before="56"/>
        <w:rPr>
          <w:b/>
          <w:sz w:val="20"/>
        </w:rPr>
      </w:pPr>
      <w:r>
        <w:rPr/>
        <mc:AlternateContent>
          <mc:Choice Requires="wps">
            <w:drawing>
              <wp:anchor distT="0" distB="0" distL="0" distR="0" allowOverlap="1" layoutInCell="1" locked="0" behindDoc="1" simplePos="0" relativeHeight="487677952">
                <wp:simplePos x="0" y="0"/>
                <wp:positionH relativeFrom="page">
                  <wp:posOffset>836980</wp:posOffset>
                </wp:positionH>
                <wp:positionV relativeFrom="paragraph">
                  <wp:posOffset>205866</wp:posOffset>
                </wp:positionV>
                <wp:extent cx="5673725" cy="6350"/>
                <wp:effectExtent l="0" t="0" r="0" b="0"/>
                <wp:wrapTopAndBottom/>
                <wp:docPr id="496" name="Graphic 496"/>
                <wp:cNvGraphicFramePr>
                  <a:graphicFrameLocks/>
                </wp:cNvGraphicFramePr>
                <a:graphic>
                  <a:graphicData uri="http://schemas.microsoft.com/office/word/2010/wordprocessingShape">
                    <wps:wsp>
                      <wps:cNvPr id="496" name="Graphic 496"/>
                      <wps:cNvSpPr/>
                      <wps:spPr>
                        <a:xfrm>
                          <a:off x="0" y="0"/>
                          <a:ext cx="5673725" cy="6350"/>
                        </a:xfrm>
                        <a:custGeom>
                          <a:avLst/>
                          <a:gdLst/>
                          <a:ahLst/>
                          <a:cxnLst/>
                          <a:rect l="l" t="t" r="r" b="b"/>
                          <a:pathLst>
                            <a:path w="5673725" h="6350">
                              <a:moveTo>
                                <a:pt x="5673598" y="0"/>
                              </a:moveTo>
                              <a:lnTo>
                                <a:pt x="5673598" y="0"/>
                              </a:lnTo>
                              <a:lnTo>
                                <a:pt x="0" y="0"/>
                              </a:lnTo>
                              <a:lnTo>
                                <a:pt x="0" y="6096"/>
                              </a:lnTo>
                              <a:lnTo>
                                <a:pt x="5673598" y="6096"/>
                              </a:lnTo>
                              <a:lnTo>
                                <a:pt x="56735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903999pt;margin-top:16.209969pt;width:446.740021pt;height:.48pt;mso-position-horizontal-relative:page;mso-position-vertical-relative:paragraph;z-index:-15638528;mso-wrap-distance-left:0;mso-wrap-distance-right:0" id="docshape441" filled="true" fillcolor="#000000" stroked="false">
                <v:fill type="solid"/>
                <w10:wrap type="topAndBottom"/>
              </v:rect>
            </w:pict>
          </mc:Fallback>
        </mc:AlternateContent>
      </w:r>
    </w:p>
    <w:p>
      <w:pPr>
        <w:pStyle w:val="BodyText"/>
        <w:spacing w:line="360" w:lineRule="auto"/>
        <w:ind w:left="380" w:right="975"/>
      </w:pPr>
      <w:r>
        <w:rPr>
          <w:b/>
        </w:rPr>
        <w:t>Key:</w:t>
      </w:r>
      <w:r>
        <w:rPr>
          <w:b/>
          <w:spacing w:val="-6"/>
        </w:rPr>
        <w:t> </w:t>
      </w:r>
      <w:r>
        <w:rPr/>
        <w:t>Sp=Sputum,</w:t>
      </w:r>
      <w:r>
        <w:rPr>
          <w:spacing w:val="-7"/>
        </w:rPr>
        <w:t> </w:t>
      </w:r>
      <w:r>
        <w:rPr/>
        <w:t>MIC=Minimum</w:t>
      </w:r>
      <w:r>
        <w:rPr>
          <w:spacing w:val="-7"/>
        </w:rPr>
        <w:t> </w:t>
      </w:r>
      <w:r>
        <w:rPr/>
        <w:t>Inhibitory</w:t>
      </w:r>
      <w:r>
        <w:rPr>
          <w:spacing w:val="-7"/>
        </w:rPr>
        <w:t> </w:t>
      </w:r>
      <w:r>
        <w:rPr/>
        <w:t>Concentration,</w:t>
      </w:r>
      <w:r>
        <w:rPr>
          <w:spacing w:val="-6"/>
        </w:rPr>
        <w:t> </w:t>
      </w:r>
      <w:r>
        <w:rPr/>
        <w:t>LEV=Levofloxacin,</w:t>
      </w:r>
      <w:r>
        <w:rPr>
          <w:spacing w:val="-7"/>
        </w:rPr>
        <w:t> </w:t>
      </w:r>
      <w:r>
        <w:rPr/>
        <w:t>CEF=Ceftriaxone, H=Honey, L=Lemon juice.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1"/>
      </w:pPr>
    </w:p>
    <w:p>
      <w:pPr>
        <w:spacing w:before="0"/>
        <w:ind w:left="968" w:right="0" w:firstLine="0"/>
        <w:jc w:val="left"/>
        <w:rPr>
          <w:b/>
          <w:sz w:val="22"/>
        </w:rPr>
      </w:pPr>
      <w:r>
        <w:rPr>
          <w:b/>
          <w:sz w:val="22"/>
        </w:rPr>
        <w:t>Rate</w:t>
      </w:r>
      <w:r>
        <w:rPr>
          <w:b/>
          <w:spacing w:val="-8"/>
          <w:sz w:val="22"/>
        </w:rPr>
        <w:t> </w:t>
      </w:r>
      <w:r>
        <w:rPr>
          <w:b/>
          <w:sz w:val="22"/>
        </w:rPr>
        <w:t>of</w:t>
      </w:r>
      <w:r>
        <w:rPr>
          <w:b/>
          <w:spacing w:val="-4"/>
          <w:sz w:val="22"/>
        </w:rPr>
        <w:t> </w:t>
      </w:r>
      <w:r>
        <w:rPr>
          <w:b/>
          <w:sz w:val="22"/>
        </w:rPr>
        <w:t>Kill</w:t>
      </w:r>
      <w:r>
        <w:rPr>
          <w:b/>
          <w:spacing w:val="-4"/>
          <w:sz w:val="22"/>
        </w:rPr>
        <w:t> </w:t>
      </w:r>
      <w:r>
        <w:rPr>
          <w:b/>
          <w:sz w:val="22"/>
        </w:rPr>
        <w:t>(above</w:t>
      </w:r>
      <w:r>
        <w:rPr>
          <w:b/>
          <w:spacing w:val="-8"/>
          <w:sz w:val="22"/>
        </w:rPr>
        <w:t> </w:t>
      </w:r>
      <w:r>
        <w:rPr>
          <w:b/>
          <w:sz w:val="22"/>
        </w:rPr>
        <w:t>average</w:t>
      </w:r>
      <w:r>
        <w:rPr>
          <w:b/>
          <w:spacing w:val="-8"/>
          <w:sz w:val="22"/>
        </w:rPr>
        <w:t> </w:t>
      </w:r>
      <w:r>
        <w:rPr>
          <w:b/>
          <w:sz w:val="22"/>
        </w:rPr>
        <w:t>MIC</w:t>
      </w:r>
      <w:r>
        <w:rPr>
          <w:b/>
          <w:spacing w:val="-6"/>
          <w:sz w:val="22"/>
        </w:rPr>
        <w:t> </w:t>
      </w:r>
      <w:r>
        <w:rPr>
          <w:b/>
          <w:sz w:val="22"/>
        </w:rPr>
        <w:t>values)</w:t>
      </w:r>
      <w:r>
        <w:rPr>
          <w:b/>
          <w:spacing w:val="-4"/>
          <w:sz w:val="22"/>
        </w:rPr>
        <w:t> </w:t>
      </w:r>
      <w:r>
        <w:rPr>
          <w:b/>
          <w:sz w:val="22"/>
        </w:rPr>
        <w:t>for</w:t>
      </w:r>
      <w:r>
        <w:rPr>
          <w:b/>
          <w:spacing w:val="-4"/>
          <w:sz w:val="22"/>
        </w:rPr>
        <w:t> </w:t>
      </w:r>
      <w:r>
        <w:rPr>
          <w:b/>
          <w:i/>
          <w:sz w:val="22"/>
        </w:rPr>
        <w:t>Streptococcus</w:t>
      </w:r>
      <w:r>
        <w:rPr>
          <w:b/>
          <w:i/>
          <w:spacing w:val="-7"/>
          <w:sz w:val="22"/>
        </w:rPr>
        <w:t> </w:t>
      </w:r>
      <w:r>
        <w:rPr>
          <w:b/>
          <w:i/>
          <w:sz w:val="22"/>
        </w:rPr>
        <w:t>pyogene_</w:t>
      </w:r>
      <w:r>
        <w:rPr>
          <w:b/>
          <w:sz w:val="22"/>
        </w:rPr>
        <w:t>Sp265</w:t>
      </w:r>
      <w:r>
        <w:rPr>
          <w:b/>
          <w:spacing w:val="-5"/>
          <w:sz w:val="22"/>
        </w:rPr>
        <w:t> </w:t>
      </w:r>
      <w:r>
        <w:rPr>
          <w:b/>
          <w:spacing w:val="-2"/>
          <w:sz w:val="22"/>
        </w:rPr>
        <w:t>(Resistance)</w:t>
      </w:r>
    </w:p>
    <w:p>
      <w:pPr>
        <w:pStyle w:val="BodyText"/>
        <w:spacing w:before="54" w:after="1"/>
        <w:rPr>
          <w:b/>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5"/>
        <w:gridCol w:w="1873"/>
        <w:gridCol w:w="1518"/>
        <w:gridCol w:w="1627"/>
        <w:gridCol w:w="1448"/>
        <w:gridCol w:w="1579"/>
      </w:tblGrid>
      <w:tr>
        <w:trPr>
          <w:trHeight w:val="2174" w:hRule="atLeast"/>
        </w:trPr>
        <w:tc>
          <w:tcPr>
            <w:tcW w:w="1005" w:type="dxa"/>
            <w:tcBorders>
              <w:top w:val="single" w:sz="4" w:space="0" w:color="000000"/>
              <w:bottom w:val="single" w:sz="4" w:space="0" w:color="000000"/>
            </w:tcBorders>
          </w:tcPr>
          <w:p>
            <w:pPr>
              <w:pStyle w:val="TableParagraph"/>
              <w:spacing w:line="360" w:lineRule="auto"/>
              <w:ind w:left="108" w:right="313"/>
              <w:rPr>
                <w:b/>
                <w:sz w:val="22"/>
              </w:rPr>
            </w:pPr>
            <w:r>
              <w:rPr>
                <w:b/>
                <w:spacing w:val="-4"/>
                <w:sz w:val="22"/>
              </w:rPr>
              <w:t>Time </w:t>
            </w:r>
            <w:r>
              <w:rPr>
                <w:b/>
                <w:spacing w:val="-2"/>
                <w:sz w:val="22"/>
              </w:rPr>
              <w:t>(mins)</w:t>
            </w:r>
          </w:p>
        </w:tc>
        <w:tc>
          <w:tcPr>
            <w:tcW w:w="1873" w:type="dxa"/>
            <w:tcBorders>
              <w:top w:val="single" w:sz="4" w:space="0" w:color="000000"/>
              <w:bottom w:val="single" w:sz="4" w:space="0" w:color="000000"/>
            </w:tcBorders>
          </w:tcPr>
          <w:p>
            <w:pPr>
              <w:pStyle w:val="TableParagraph"/>
              <w:spacing w:line="360" w:lineRule="auto"/>
              <w:ind w:left="319"/>
              <w:rPr>
                <w:b/>
                <w:sz w:val="22"/>
              </w:rPr>
            </w:pPr>
            <w:r>
              <w:rPr>
                <w:b/>
                <w:sz w:val="22"/>
              </w:rPr>
              <w:t>No of colonies counted</w:t>
            </w:r>
            <w:r>
              <w:rPr>
                <w:b/>
                <w:spacing w:val="-13"/>
                <w:sz w:val="22"/>
              </w:rPr>
              <w:t> </w:t>
            </w:r>
            <w:r>
              <w:rPr>
                <w:b/>
                <w:sz w:val="22"/>
              </w:rPr>
              <w:t>in</w:t>
            </w:r>
            <w:r>
              <w:rPr>
                <w:b/>
                <w:spacing w:val="-12"/>
                <w:sz w:val="22"/>
              </w:rPr>
              <w:t> </w:t>
            </w:r>
            <w:r>
              <w:rPr>
                <w:b/>
                <w:sz w:val="22"/>
              </w:rPr>
              <w:t>LEV (15.62 µg/ml) </w:t>
            </w:r>
            <w:r>
              <w:rPr>
                <w:b/>
                <w:spacing w:val="-2"/>
                <w:sz w:val="22"/>
              </w:rPr>
              <w:t>plate</w:t>
            </w:r>
          </w:p>
        </w:tc>
        <w:tc>
          <w:tcPr>
            <w:tcW w:w="1518" w:type="dxa"/>
            <w:tcBorders>
              <w:top w:val="single" w:sz="4" w:space="0" w:color="000000"/>
              <w:bottom w:val="single" w:sz="4" w:space="0" w:color="000000"/>
            </w:tcBorders>
          </w:tcPr>
          <w:p>
            <w:pPr>
              <w:pStyle w:val="TableParagraph"/>
              <w:spacing w:line="360" w:lineRule="auto"/>
              <w:ind w:left="196" w:right="341"/>
              <w:rPr>
                <w:b/>
                <w:sz w:val="22"/>
              </w:rPr>
            </w:pPr>
            <w:r>
              <w:rPr>
                <w:b/>
                <w:sz w:val="22"/>
              </w:rPr>
              <w:t>No of </w:t>
            </w:r>
            <w:r>
              <w:rPr>
                <w:b/>
                <w:spacing w:val="-2"/>
                <w:sz w:val="22"/>
              </w:rPr>
              <w:t>colonies </w:t>
            </w:r>
            <w:r>
              <w:rPr>
                <w:b/>
                <w:sz w:val="22"/>
              </w:rPr>
              <w:t>counted</w:t>
            </w:r>
            <w:r>
              <w:rPr>
                <w:b/>
                <w:spacing w:val="-13"/>
                <w:sz w:val="22"/>
              </w:rPr>
              <w:t> </w:t>
            </w:r>
            <w:r>
              <w:rPr>
                <w:b/>
                <w:sz w:val="22"/>
              </w:rPr>
              <w:t>in CEF (25</w:t>
            </w:r>
          </w:p>
          <w:p>
            <w:pPr>
              <w:pStyle w:val="TableParagraph"/>
              <w:spacing w:line="268" w:lineRule="exact"/>
              <w:ind w:left="196"/>
              <w:rPr>
                <w:b/>
                <w:sz w:val="22"/>
              </w:rPr>
            </w:pPr>
            <w:r>
              <w:rPr>
                <w:b/>
                <w:sz w:val="22"/>
              </w:rPr>
              <w:t>µg/ml)</w:t>
            </w:r>
            <w:r>
              <w:rPr>
                <w:b/>
                <w:spacing w:val="-4"/>
                <w:sz w:val="22"/>
              </w:rPr>
              <w:t> </w:t>
            </w:r>
            <w:r>
              <w:rPr>
                <w:b/>
                <w:spacing w:val="-2"/>
                <w:sz w:val="22"/>
              </w:rPr>
              <w:t>plate</w:t>
            </w:r>
          </w:p>
        </w:tc>
        <w:tc>
          <w:tcPr>
            <w:tcW w:w="1627" w:type="dxa"/>
            <w:tcBorders>
              <w:top w:val="single" w:sz="4" w:space="0" w:color="000000"/>
              <w:bottom w:val="single" w:sz="4" w:space="0" w:color="000000"/>
            </w:tcBorders>
          </w:tcPr>
          <w:p>
            <w:pPr>
              <w:pStyle w:val="TableParagraph"/>
              <w:spacing w:line="360" w:lineRule="auto"/>
              <w:ind w:left="176"/>
              <w:rPr>
                <w:b/>
                <w:sz w:val="22"/>
              </w:rPr>
            </w:pPr>
            <w:r>
              <w:rPr>
                <w:b/>
                <w:sz w:val="22"/>
              </w:rPr>
              <w:t>No</w:t>
            </w:r>
            <w:r>
              <w:rPr>
                <w:b/>
                <w:spacing w:val="-13"/>
                <w:sz w:val="22"/>
              </w:rPr>
              <w:t> </w:t>
            </w:r>
            <w:r>
              <w:rPr>
                <w:b/>
                <w:sz w:val="22"/>
              </w:rPr>
              <w:t>of</w:t>
            </w:r>
            <w:r>
              <w:rPr>
                <w:b/>
                <w:spacing w:val="-12"/>
                <w:sz w:val="22"/>
              </w:rPr>
              <w:t> </w:t>
            </w:r>
            <w:r>
              <w:rPr>
                <w:b/>
                <w:sz w:val="22"/>
              </w:rPr>
              <w:t>colonies counted in Lemon (40 µg/ml) plate</w:t>
            </w:r>
          </w:p>
        </w:tc>
        <w:tc>
          <w:tcPr>
            <w:tcW w:w="1448" w:type="dxa"/>
            <w:tcBorders>
              <w:top w:val="single" w:sz="4" w:space="0" w:color="000000"/>
              <w:bottom w:val="single" w:sz="4" w:space="0" w:color="000000"/>
            </w:tcBorders>
          </w:tcPr>
          <w:p>
            <w:pPr>
              <w:pStyle w:val="TableParagraph"/>
              <w:spacing w:line="360" w:lineRule="auto"/>
              <w:ind w:left="145" w:right="151"/>
              <w:rPr>
                <w:b/>
                <w:sz w:val="22"/>
              </w:rPr>
            </w:pPr>
            <w:r>
              <w:rPr>
                <w:b/>
                <w:sz w:val="22"/>
              </w:rPr>
              <w:t>No of </w:t>
            </w:r>
            <w:r>
              <w:rPr>
                <w:b/>
                <w:spacing w:val="-2"/>
                <w:sz w:val="22"/>
              </w:rPr>
              <w:t>colonies </w:t>
            </w:r>
            <w:r>
              <w:rPr>
                <w:b/>
                <w:sz w:val="22"/>
              </w:rPr>
              <w:t>counted in Honey (100 µg/ml)</w:t>
            </w:r>
            <w:r>
              <w:rPr>
                <w:b/>
                <w:spacing w:val="-6"/>
                <w:sz w:val="22"/>
              </w:rPr>
              <w:t> </w:t>
            </w:r>
            <w:r>
              <w:rPr>
                <w:b/>
                <w:spacing w:val="-2"/>
                <w:sz w:val="22"/>
              </w:rPr>
              <w:t>plate</w:t>
            </w:r>
          </w:p>
        </w:tc>
        <w:tc>
          <w:tcPr>
            <w:tcW w:w="1579" w:type="dxa"/>
            <w:tcBorders>
              <w:top w:val="single" w:sz="4" w:space="0" w:color="000000"/>
              <w:bottom w:val="single" w:sz="4" w:space="0" w:color="000000"/>
            </w:tcBorders>
          </w:tcPr>
          <w:p>
            <w:pPr>
              <w:pStyle w:val="TableParagraph"/>
              <w:spacing w:line="360" w:lineRule="auto"/>
              <w:ind w:left="157" w:right="115"/>
              <w:rPr>
                <w:b/>
                <w:sz w:val="22"/>
              </w:rPr>
            </w:pPr>
            <w:r>
              <w:rPr>
                <w:b/>
                <w:sz w:val="22"/>
              </w:rPr>
              <w:t>No</w:t>
            </w:r>
            <w:r>
              <w:rPr>
                <w:b/>
                <w:spacing w:val="-13"/>
                <w:sz w:val="22"/>
              </w:rPr>
              <w:t> </w:t>
            </w:r>
            <w:r>
              <w:rPr>
                <w:b/>
                <w:sz w:val="22"/>
              </w:rPr>
              <w:t>of</w:t>
            </w:r>
            <w:r>
              <w:rPr>
                <w:b/>
                <w:spacing w:val="-12"/>
                <w:sz w:val="22"/>
              </w:rPr>
              <w:t> </w:t>
            </w:r>
            <w:r>
              <w:rPr>
                <w:b/>
                <w:sz w:val="22"/>
              </w:rPr>
              <w:t>colonies counted in H/L (40</w:t>
            </w:r>
          </w:p>
          <w:p>
            <w:pPr>
              <w:pStyle w:val="TableParagraph"/>
              <w:spacing w:line="267" w:lineRule="exact"/>
              <w:ind w:left="157"/>
              <w:rPr>
                <w:b/>
                <w:sz w:val="22"/>
              </w:rPr>
            </w:pPr>
            <w:r>
              <w:rPr>
                <w:b/>
                <w:sz w:val="22"/>
              </w:rPr>
              <w:t>µg/ml)</w:t>
            </w:r>
            <w:r>
              <w:rPr>
                <w:b/>
                <w:spacing w:val="-4"/>
                <w:sz w:val="22"/>
              </w:rPr>
              <w:t> </w:t>
            </w:r>
            <w:r>
              <w:rPr>
                <w:b/>
                <w:spacing w:val="-2"/>
                <w:sz w:val="22"/>
              </w:rPr>
              <w:t>plate</w:t>
            </w:r>
          </w:p>
        </w:tc>
      </w:tr>
      <w:tr>
        <w:trPr>
          <w:trHeight w:val="261" w:hRule="atLeast"/>
        </w:trPr>
        <w:tc>
          <w:tcPr>
            <w:tcW w:w="1005" w:type="dxa"/>
            <w:tcBorders>
              <w:top w:val="single" w:sz="4" w:space="0" w:color="000000"/>
            </w:tcBorders>
          </w:tcPr>
          <w:p>
            <w:pPr>
              <w:pStyle w:val="TableParagraph"/>
              <w:spacing w:line="241" w:lineRule="exact"/>
              <w:ind w:left="108"/>
              <w:rPr>
                <w:sz w:val="22"/>
              </w:rPr>
            </w:pPr>
            <w:r>
              <w:rPr>
                <w:spacing w:val="-10"/>
                <w:sz w:val="22"/>
              </w:rPr>
              <w:t>0</w:t>
            </w:r>
          </w:p>
        </w:tc>
        <w:tc>
          <w:tcPr>
            <w:tcW w:w="1873" w:type="dxa"/>
            <w:tcBorders>
              <w:top w:val="single" w:sz="4" w:space="0" w:color="000000"/>
            </w:tcBorders>
          </w:tcPr>
          <w:p>
            <w:pPr>
              <w:pStyle w:val="TableParagraph"/>
              <w:spacing w:line="241" w:lineRule="exact"/>
              <w:ind w:left="319"/>
              <w:rPr>
                <w:sz w:val="22"/>
              </w:rPr>
            </w:pPr>
            <w:r>
              <w:rPr>
                <w:spacing w:val="-2"/>
                <w:sz w:val="22"/>
              </w:rPr>
              <w:t>4.3×10</w:t>
            </w:r>
            <w:r>
              <w:rPr>
                <w:spacing w:val="-2"/>
                <w:sz w:val="22"/>
                <w:vertAlign w:val="superscript"/>
              </w:rPr>
              <w:t>3</w:t>
            </w:r>
          </w:p>
        </w:tc>
        <w:tc>
          <w:tcPr>
            <w:tcW w:w="1518" w:type="dxa"/>
            <w:tcBorders>
              <w:top w:val="single" w:sz="4" w:space="0" w:color="000000"/>
            </w:tcBorders>
          </w:tcPr>
          <w:p>
            <w:pPr>
              <w:pStyle w:val="TableParagraph"/>
              <w:spacing w:line="241" w:lineRule="exact"/>
              <w:ind w:left="196"/>
              <w:rPr>
                <w:sz w:val="22"/>
              </w:rPr>
            </w:pPr>
            <w:r>
              <w:rPr>
                <w:spacing w:val="-2"/>
                <w:sz w:val="22"/>
              </w:rPr>
              <w:t>7.4×10</w:t>
            </w:r>
            <w:r>
              <w:rPr>
                <w:spacing w:val="-2"/>
                <w:sz w:val="22"/>
                <w:vertAlign w:val="superscript"/>
              </w:rPr>
              <w:t>3</w:t>
            </w:r>
          </w:p>
        </w:tc>
        <w:tc>
          <w:tcPr>
            <w:tcW w:w="1627" w:type="dxa"/>
            <w:tcBorders>
              <w:top w:val="single" w:sz="4" w:space="0" w:color="000000"/>
            </w:tcBorders>
          </w:tcPr>
          <w:p>
            <w:pPr>
              <w:pStyle w:val="TableParagraph"/>
              <w:spacing w:line="241" w:lineRule="exact"/>
              <w:ind w:left="176"/>
              <w:rPr>
                <w:sz w:val="22"/>
              </w:rPr>
            </w:pPr>
            <w:r>
              <w:rPr>
                <w:spacing w:val="-2"/>
                <w:sz w:val="22"/>
              </w:rPr>
              <w:t>8.1×10</w:t>
            </w:r>
            <w:r>
              <w:rPr>
                <w:spacing w:val="-2"/>
                <w:sz w:val="22"/>
                <w:vertAlign w:val="superscript"/>
              </w:rPr>
              <w:t>3</w:t>
            </w:r>
          </w:p>
        </w:tc>
        <w:tc>
          <w:tcPr>
            <w:tcW w:w="1448" w:type="dxa"/>
            <w:tcBorders>
              <w:top w:val="single" w:sz="4" w:space="0" w:color="000000"/>
            </w:tcBorders>
          </w:tcPr>
          <w:p>
            <w:pPr>
              <w:pStyle w:val="TableParagraph"/>
              <w:spacing w:line="241" w:lineRule="exact"/>
              <w:ind w:left="145"/>
              <w:rPr>
                <w:sz w:val="22"/>
              </w:rPr>
            </w:pPr>
            <w:r>
              <w:rPr>
                <w:spacing w:val="-2"/>
                <w:sz w:val="22"/>
              </w:rPr>
              <w:t>6.9×10</w:t>
            </w:r>
            <w:r>
              <w:rPr>
                <w:spacing w:val="-2"/>
                <w:sz w:val="22"/>
                <w:vertAlign w:val="superscript"/>
              </w:rPr>
              <w:t>3</w:t>
            </w:r>
          </w:p>
        </w:tc>
        <w:tc>
          <w:tcPr>
            <w:tcW w:w="1579" w:type="dxa"/>
            <w:tcBorders>
              <w:top w:val="single" w:sz="4" w:space="0" w:color="000000"/>
            </w:tcBorders>
          </w:tcPr>
          <w:p>
            <w:pPr>
              <w:pStyle w:val="TableParagraph"/>
              <w:spacing w:line="241" w:lineRule="exact"/>
              <w:ind w:left="157"/>
              <w:rPr>
                <w:sz w:val="22"/>
              </w:rPr>
            </w:pPr>
            <w:r>
              <w:rPr>
                <w:spacing w:val="-2"/>
                <w:sz w:val="22"/>
              </w:rPr>
              <w:t>8.3×10</w:t>
            </w:r>
            <w:r>
              <w:rPr>
                <w:spacing w:val="-2"/>
                <w:sz w:val="22"/>
                <w:vertAlign w:val="superscript"/>
              </w:rPr>
              <w:t>2</w:t>
            </w:r>
          </w:p>
        </w:tc>
      </w:tr>
    </w:tbl>
    <w:p>
      <w:pPr>
        <w:spacing w:after="0" w:line="241" w:lineRule="exact"/>
        <w:rPr>
          <w:sz w:val="22"/>
        </w:rPr>
        <w:sectPr>
          <w:type w:val="continuous"/>
          <w:pgSz w:w="11910" w:h="16840"/>
          <w:pgMar w:header="0" w:footer="1055" w:top="1440" w:bottom="1760" w:left="1060" w:right="460"/>
        </w:sect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2"/>
        <w:gridCol w:w="1602"/>
        <w:gridCol w:w="1624"/>
        <w:gridCol w:w="1547"/>
        <w:gridCol w:w="1528"/>
        <w:gridCol w:w="1050"/>
      </w:tblGrid>
      <w:tr>
        <w:trPr>
          <w:trHeight w:val="412" w:hRule="atLeast"/>
        </w:trPr>
        <w:tc>
          <w:tcPr>
            <w:tcW w:w="882" w:type="dxa"/>
          </w:tcPr>
          <w:p>
            <w:pPr>
              <w:pStyle w:val="TableParagraph"/>
              <w:spacing w:line="264" w:lineRule="exact"/>
              <w:ind w:left="50"/>
              <w:rPr>
                <w:sz w:val="22"/>
              </w:rPr>
            </w:pPr>
            <w:r>
              <w:rPr>
                <w:spacing w:val="-5"/>
                <w:sz w:val="22"/>
              </w:rPr>
              <w:t>30</w:t>
            </w:r>
          </w:p>
        </w:tc>
        <w:tc>
          <w:tcPr>
            <w:tcW w:w="1602" w:type="dxa"/>
          </w:tcPr>
          <w:p>
            <w:pPr>
              <w:pStyle w:val="TableParagraph"/>
              <w:spacing w:line="264" w:lineRule="exact"/>
              <w:ind w:left="384"/>
              <w:rPr>
                <w:sz w:val="22"/>
              </w:rPr>
            </w:pPr>
            <w:r>
              <w:rPr>
                <w:spacing w:val="-2"/>
                <w:sz w:val="22"/>
              </w:rPr>
              <w:t>1.8×10</w:t>
            </w:r>
            <w:r>
              <w:rPr>
                <w:spacing w:val="-2"/>
                <w:sz w:val="22"/>
                <w:vertAlign w:val="superscript"/>
              </w:rPr>
              <w:t>3</w:t>
            </w:r>
          </w:p>
        </w:tc>
        <w:tc>
          <w:tcPr>
            <w:tcW w:w="1624" w:type="dxa"/>
          </w:tcPr>
          <w:p>
            <w:pPr>
              <w:pStyle w:val="TableParagraph"/>
              <w:spacing w:line="264" w:lineRule="exact"/>
              <w:ind w:left="532"/>
              <w:rPr>
                <w:sz w:val="22"/>
              </w:rPr>
            </w:pPr>
            <w:r>
              <w:rPr>
                <w:spacing w:val="-2"/>
                <w:sz w:val="22"/>
              </w:rPr>
              <w:t>5.0×10</w:t>
            </w:r>
            <w:r>
              <w:rPr>
                <w:spacing w:val="-2"/>
                <w:sz w:val="22"/>
                <w:vertAlign w:val="superscript"/>
              </w:rPr>
              <w:t>3</w:t>
            </w:r>
          </w:p>
        </w:tc>
        <w:tc>
          <w:tcPr>
            <w:tcW w:w="1547" w:type="dxa"/>
          </w:tcPr>
          <w:p>
            <w:pPr>
              <w:pStyle w:val="TableParagraph"/>
              <w:spacing w:line="264" w:lineRule="exact"/>
              <w:ind w:left="406"/>
              <w:rPr>
                <w:sz w:val="22"/>
              </w:rPr>
            </w:pPr>
            <w:r>
              <w:rPr>
                <w:spacing w:val="-2"/>
                <w:sz w:val="22"/>
              </w:rPr>
              <w:t>2.3×10</w:t>
            </w:r>
            <w:r>
              <w:rPr>
                <w:spacing w:val="-2"/>
                <w:sz w:val="22"/>
                <w:vertAlign w:val="superscript"/>
              </w:rPr>
              <w:t>2</w:t>
            </w:r>
          </w:p>
        </w:tc>
        <w:tc>
          <w:tcPr>
            <w:tcW w:w="1528" w:type="dxa"/>
          </w:tcPr>
          <w:p>
            <w:pPr>
              <w:pStyle w:val="TableParagraph"/>
              <w:spacing w:line="264" w:lineRule="exact"/>
              <w:ind w:left="455"/>
              <w:rPr>
                <w:sz w:val="22"/>
              </w:rPr>
            </w:pPr>
            <w:r>
              <w:rPr>
                <w:spacing w:val="-2"/>
                <w:sz w:val="22"/>
              </w:rPr>
              <w:t>2.4×10</w:t>
            </w:r>
            <w:r>
              <w:rPr>
                <w:spacing w:val="-2"/>
                <w:sz w:val="22"/>
                <w:vertAlign w:val="superscript"/>
              </w:rPr>
              <w:t>3</w:t>
            </w:r>
          </w:p>
        </w:tc>
        <w:tc>
          <w:tcPr>
            <w:tcW w:w="1050" w:type="dxa"/>
          </w:tcPr>
          <w:p>
            <w:pPr>
              <w:pStyle w:val="TableParagraph"/>
              <w:spacing w:line="264" w:lineRule="exact"/>
              <w:ind w:left="387"/>
              <w:rPr>
                <w:sz w:val="22"/>
              </w:rPr>
            </w:pPr>
            <w:r>
              <w:rPr>
                <w:spacing w:val="-2"/>
                <w:sz w:val="22"/>
              </w:rPr>
              <w:t>2.0×10</w:t>
            </w:r>
          </w:p>
        </w:tc>
      </w:tr>
      <w:tr>
        <w:trPr>
          <w:trHeight w:val="562" w:hRule="atLeast"/>
        </w:trPr>
        <w:tc>
          <w:tcPr>
            <w:tcW w:w="882" w:type="dxa"/>
          </w:tcPr>
          <w:p>
            <w:pPr>
              <w:pStyle w:val="TableParagraph"/>
              <w:spacing w:before="147"/>
              <w:ind w:left="50"/>
              <w:rPr>
                <w:sz w:val="22"/>
              </w:rPr>
            </w:pPr>
            <w:r>
              <w:rPr>
                <w:spacing w:val="-5"/>
                <w:sz w:val="22"/>
              </w:rPr>
              <w:t>60</w:t>
            </w:r>
          </w:p>
        </w:tc>
        <w:tc>
          <w:tcPr>
            <w:tcW w:w="1602" w:type="dxa"/>
          </w:tcPr>
          <w:p>
            <w:pPr>
              <w:pStyle w:val="TableParagraph"/>
              <w:spacing w:before="147"/>
              <w:ind w:left="384"/>
              <w:rPr>
                <w:sz w:val="22"/>
              </w:rPr>
            </w:pPr>
            <w:r>
              <w:rPr>
                <w:spacing w:val="-2"/>
                <w:sz w:val="22"/>
              </w:rPr>
              <w:t>1.7×10</w:t>
            </w:r>
            <w:r>
              <w:rPr>
                <w:spacing w:val="-2"/>
                <w:sz w:val="22"/>
                <w:vertAlign w:val="superscript"/>
              </w:rPr>
              <w:t>2</w:t>
            </w:r>
          </w:p>
        </w:tc>
        <w:tc>
          <w:tcPr>
            <w:tcW w:w="1624" w:type="dxa"/>
          </w:tcPr>
          <w:p>
            <w:pPr>
              <w:pStyle w:val="TableParagraph"/>
              <w:spacing w:before="147"/>
              <w:ind w:left="532"/>
              <w:rPr>
                <w:sz w:val="22"/>
              </w:rPr>
            </w:pPr>
            <w:r>
              <w:rPr>
                <w:spacing w:val="-2"/>
                <w:sz w:val="22"/>
              </w:rPr>
              <w:t>3.1×10</w:t>
            </w:r>
            <w:r>
              <w:rPr>
                <w:spacing w:val="-2"/>
                <w:sz w:val="22"/>
                <w:vertAlign w:val="superscript"/>
              </w:rPr>
              <w:t>2</w:t>
            </w:r>
          </w:p>
        </w:tc>
        <w:tc>
          <w:tcPr>
            <w:tcW w:w="1547" w:type="dxa"/>
          </w:tcPr>
          <w:p>
            <w:pPr>
              <w:pStyle w:val="TableParagraph"/>
              <w:spacing w:before="147"/>
              <w:ind w:left="406"/>
              <w:rPr>
                <w:sz w:val="22"/>
              </w:rPr>
            </w:pPr>
            <w:r>
              <w:rPr>
                <w:spacing w:val="-2"/>
                <w:sz w:val="22"/>
              </w:rPr>
              <w:t>1.7×10</w:t>
            </w:r>
          </w:p>
        </w:tc>
        <w:tc>
          <w:tcPr>
            <w:tcW w:w="1528" w:type="dxa"/>
          </w:tcPr>
          <w:p>
            <w:pPr>
              <w:pStyle w:val="TableParagraph"/>
              <w:spacing w:before="147"/>
              <w:ind w:left="455"/>
              <w:rPr>
                <w:sz w:val="22"/>
              </w:rPr>
            </w:pPr>
            <w:r>
              <w:rPr>
                <w:spacing w:val="-2"/>
                <w:sz w:val="22"/>
              </w:rPr>
              <w:t>5.8×10</w:t>
            </w:r>
            <w:r>
              <w:rPr>
                <w:spacing w:val="-2"/>
                <w:sz w:val="22"/>
                <w:vertAlign w:val="superscript"/>
              </w:rPr>
              <w:t>2</w:t>
            </w:r>
          </w:p>
        </w:tc>
        <w:tc>
          <w:tcPr>
            <w:tcW w:w="1050" w:type="dxa"/>
          </w:tcPr>
          <w:p>
            <w:pPr>
              <w:pStyle w:val="TableParagraph"/>
              <w:spacing w:before="147"/>
              <w:ind w:left="387"/>
              <w:rPr>
                <w:sz w:val="22"/>
              </w:rPr>
            </w:pPr>
            <w:r>
              <w:rPr>
                <w:spacing w:val="-10"/>
                <w:sz w:val="22"/>
              </w:rPr>
              <w:t>0</w:t>
            </w:r>
          </w:p>
        </w:tc>
      </w:tr>
      <w:tr>
        <w:trPr>
          <w:trHeight w:val="582" w:hRule="atLeast"/>
        </w:trPr>
        <w:tc>
          <w:tcPr>
            <w:tcW w:w="882" w:type="dxa"/>
          </w:tcPr>
          <w:p>
            <w:pPr>
              <w:pStyle w:val="TableParagraph"/>
              <w:spacing w:before="146"/>
              <w:ind w:left="50"/>
              <w:rPr>
                <w:sz w:val="22"/>
              </w:rPr>
            </w:pPr>
            <w:r>
              <w:rPr>
                <w:spacing w:val="-5"/>
                <w:sz w:val="22"/>
              </w:rPr>
              <w:t>90</w:t>
            </w:r>
          </w:p>
        </w:tc>
        <w:tc>
          <w:tcPr>
            <w:tcW w:w="1602" w:type="dxa"/>
          </w:tcPr>
          <w:p>
            <w:pPr>
              <w:pStyle w:val="TableParagraph"/>
              <w:spacing w:before="146"/>
              <w:ind w:left="384"/>
              <w:rPr>
                <w:sz w:val="22"/>
              </w:rPr>
            </w:pPr>
            <w:r>
              <w:rPr>
                <w:spacing w:val="-2"/>
                <w:sz w:val="22"/>
              </w:rPr>
              <w:t>2.0×10</w:t>
            </w:r>
          </w:p>
        </w:tc>
        <w:tc>
          <w:tcPr>
            <w:tcW w:w="1624" w:type="dxa"/>
          </w:tcPr>
          <w:p>
            <w:pPr>
              <w:pStyle w:val="TableParagraph"/>
              <w:spacing w:before="146"/>
              <w:ind w:left="532"/>
              <w:rPr>
                <w:sz w:val="22"/>
              </w:rPr>
            </w:pPr>
            <w:r>
              <w:rPr>
                <w:spacing w:val="-2"/>
                <w:sz w:val="22"/>
              </w:rPr>
              <w:t>1.8×10</w:t>
            </w:r>
          </w:p>
        </w:tc>
        <w:tc>
          <w:tcPr>
            <w:tcW w:w="1547" w:type="dxa"/>
          </w:tcPr>
          <w:p>
            <w:pPr>
              <w:pStyle w:val="TableParagraph"/>
              <w:spacing w:before="146"/>
              <w:ind w:left="406"/>
              <w:rPr>
                <w:sz w:val="22"/>
              </w:rPr>
            </w:pPr>
            <w:r>
              <w:rPr>
                <w:spacing w:val="-10"/>
                <w:sz w:val="22"/>
              </w:rPr>
              <w:t>0</w:t>
            </w:r>
          </w:p>
        </w:tc>
        <w:tc>
          <w:tcPr>
            <w:tcW w:w="1528" w:type="dxa"/>
          </w:tcPr>
          <w:p>
            <w:pPr>
              <w:pStyle w:val="TableParagraph"/>
              <w:spacing w:before="146"/>
              <w:ind w:left="455"/>
              <w:rPr>
                <w:sz w:val="22"/>
              </w:rPr>
            </w:pPr>
            <w:r>
              <w:rPr>
                <w:spacing w:val="-2"/>
                <w:sz w:val="22"/>
              </w:rPr>
              <w:t>2.6×10</w:t>
            </w:r>
            <w:r>
              <w:rPr>
                <w:spacing w:val="-2"/>
                <w:sz w:val="22"/>
                <w:vertAlign w:val="superscript"/>
              </w:rPr>
              <w:t>2</w:t>
            </w:r>
          </w:p>
        </w:tc>
        <w:tc>
          <w:tcPr>
            <w:tcW w:w="1050" w:type="dxa"/>
          </w:tcPr>
          <w:p>
            <w:pPr>
              <w:pStyle w:val="TableParagraph"/>
              <w:spacing w:before="146"/>
              <w:ind w:left="387"/>
              <w:rPr>
                <w:sz w:val="22"/>
              </w:rPr>
            </w:pPr>
            <w:r>
              <w:rPr>
                <w:spacing w:val="-10"/>
                <w:sz w:val="22"/>
              </w:rPr>
              <w:t>0</w:t>
            </w:r>
          </w:p>
        </w:tc>
      </w:tr>
      <w:tr>
        <w:trPr>
          <w:trHeight w:val="562" w:hRule="atLeast"/>
        </w:trPr>
        <w:tc>
          <w:tcPr>
            <w:tcW w:w="882" w:type="dxa"/>
          </w:tcPr>
          <w:p>
            <w:pPr>
              <w:pStyle w:val="TableParagraph"/>
              <w:spacing w:before="127"/>
              <w:ind w:left="50"/>
              <w:rPr>
                <w:sz w:val="22"/>
              </w:rPr>
            </w:pPr>
            <w:r>
              <w:rPr>
                <w:spacing w:val="-5"/>
                <w:sz w:val="22"/>
              </w:rPr>
              <w:t>120</w:t>
            </w:r>
          </w:p>
        </w:tc>
        <w:tc>
          <w:tcPr>
            <w:tcW w:w="1602" w:type="dxa"/>
          </w:tcPr>
          <w:p>
            <w:pPr>
              <w:pStyle w:val="TableParagraph"/>
              <w:spacing w:before="127"/>
              <w:ind w:left="384"/>
              <w:rPr>
                <w:sz w:val="22"/>
              </w:rPr>
            </w:pPr>
            <w:r>
              <w:rPr>
                <w:spacing w:val="-10"/>
                <w:sz w:val="22"/>
              </w:rPr>
              <w:t>0</w:t>
            </w:r>
          </w:p>
        </w:tc>
        <w:tc>
          <w:tcPr>
            <w:tcW w:w="1624" w:type="dxa"/>
          </w:tcPr>
          <w:p>
            <w:pPr>
              <w:pStyle w:val="TableParagraph"/>
              <w:spacing w:before="127"/>
              <w:ind w:left="532"/>
              <w:rPr>
                <w:sz w:val="22"/>
              </w:rPr>
            </w:pPr>
            <w:r>
              <w:rPr>
                <w:spacing w:val="-2"/>
                <w:sz w:val="22"/>
              </w:rPr>
              <w:t>1.0×10</w:t>
            </w:r>
          </w:p>
        </w:tc>
        <w:tc>
          <w:tcPr>
            <w:tcW w:w="1547" w:type="dxa"/>
          </w:tcPr>
          <w:p>
            <w:pPr>
              <w:pStyle w:val="TableParagraph"/>
              <w:spacing w:before="127"/>
              <w:ind w:left="406"/>
              <w:rPr>
                <w:sz w:val="22"/>
              </w:rPr>
            </w:pPr>
            <w:r>
              <w:rPr>
                <w:spacing w:val="-10"/>
                <w:sz w:val="22"/>
              </w:rPr>
              <w:t>0</w:t>
            </w:r>
          </w:p>
        </w:tc>
        <w:tc>
          <w:tcPr>
            <w:tcW w:w="1528" w:type="dxa"/>
          </w:tcPr>
          <w:p>
            <w:pPr>
              <w:pStyle w:val="TableParagraph"/>
              <w:spacing w:before="127"/>
              <w:ind w:left="455"/>
              <w:rPr>
                <w:sz w:val="22"/>
              </w:rPr>
            </w:pPr>
            <w:r>
              <w:rPr>
                <w:spacing w:val="-2"/>
                <w:sz w:val="22"/>
              </w:rPr>
              <w:t>8.1×10</w:t>
            </w:r>
          </w:p>
        </w:tc>
        <w:tc>
          <w:tcPr>
            <w:tcW w:w="1050" w:type="dxa"/>
          </w:tcPr>
          <w:p>
            <w:pPr>
              <w:pStyle w:val="TableParagraph"/>
              <w:spacing w:before="127"/>
              <w:ind w:left="387"/>
              <w:rPr>
                <w:sz w:val="22"/>
              </w:rPr>
            </w:pPr>
            <w:r>
              <w:rPr>
                <w:spacing w:val="-10"/>
                <w:sz w:val="22"/>
              </w:rPr>
              <w:t>0</w:t>
            </w:r>
          </w:p>
        </w:tc>
      </w:tr>
      <w:tr>
        <w:trPr>
          <w:trHeight w:val="562" w:hRule="atLeast"/>
        </w:trPr>
        <w:tc>
          <w:tcPr>
            <w:tcW w:w="882" w:type="dxa"/>
          </w:tcPr>
          <w:p>
            <w:pPr>
              <w:pStyle w:val="TableParagraph"/>
              <w:spacing w:before="126"/>
              <w:ind w:left="50"/>
              <w:rPr>
                <w:sz w:val="22"/>
              </w:rPr>
            </w:pPr>
            <w:r>
              <w:rPr>
                <w:spacing w:val="-5"/>
                <w:sz w:val="22"/>
              </w:rPr>
              <w:t>240</w:t>
            </w:r>
          </w:p>
        </w:tc>
        <w:tc>
          <w:tcPr>
            <w:tcW w:w="1602" w:type="dxa"/>
          </w:tcPr>
          <w:p>
            <w:pPr>
              <w:pStyle w:val="TableParagraph"/>
              <w:spacing w:before="126"/>
              <w:ind w:left="384"/>
              <w:rPr>
                <w:sz w:val="22"/>
              </w:rPr>
            </w:pPr>
            <w:r>
              <w:rPr>
                <w:spacing w:val="-10"/>
                <w:sz w:val="22"/>
              </w:rPr>
              <w:t>0</w:t>
            </w:r>
          </w:p>
        </w:tc>
        <w:tc>
          <w:tcPr>
            <w:tcW w:w="1624" w:type="dxa"/>
          </w:tcPr>
          <w:p>
            <w:pPr>
              <w:pStyle w:val="TableParagraph"/>
              <w:spacing w:before="126"/>
              <w:ind w:left="532"/>
              <w:rPr>
                <w:sz w:val="22"/>
              </w:rPr>
            </w:pPr>
            <w:r>
              <w:rPr>
                <w:spacing w:val="-10"/>
                <w:sz w:val="22"/>
              </w:rPr>
              <w:t>0</w:t>
            </w:r>
          </w:p>
        </w:tc>
        <w:tc>
          <w:tcPr>
            <w:tcW w:w="1547" w:type="dxa"/>
          </w:tcPr>
          <w:p>
            <w:pPr>
              <w:pStyle w:val="TableParagraph"/>
              <w:spacing w:before="126"/>
              <w:ind w:left="406"/>
              <w:rPr>
                <w:sz w:val="22"/>
              </w:rPr>
            </w:pPr>
            <w:r>
              <w:rPr>
                <w:spacing w:val="-10"/>
                <w:sz w:val="22"/>
              </w:rPr>
              <w:t>0</w:t>
            </w:r>
          </w:p>
        </w:tc>
        <w:tc>
          <w:tcPr>
            <w:tcW w:w="1528" w:type="dxa"/>
          </w:tcPr>
          <w:p>
            <w:pPr>
              <w:pStyle w:val="TableParagraph"/>
              <w:spacing w:before="126"/>
              <w:ind w:left="455"/>
              <w:rPr>
                <w:sz w:val="22"/>
              </w:rPr>
            </w:pPr>
            <w:r>
              <w:rPr>
                <w:spacing w:val="-10"/>
                <w:sz w:val="22"/>
              </w:rPr>
              <w:t>0</w:t>
            </w:r>
          </w:p>
        </w:tc>
        <w:tc>
          <w:tcPr>
            <w:tcW w:w="1050" w:type="dxa"/>
          </w:tcPr>
          <w:p>
            <w:pPr>
              <w:pStyle w:val="TableParagraph"/>
              <w:spacing w:before="126"/>
              <w:ind w:left="387"/>
              <w:rPr>
                <w:sz w:val="22"/>
              </w:rPr>
            </w:pPr>
            <w:r>
              <w:rPr>
                <w:spacing w:val="-10"/>
                <w:sz w:val="22"/>
              </w:rPr>
              <w:t>0</w:t>
            </w:r>
          </w:p>
        </w:tc>
      </w:tr>
      <w:tr>
        <w:trPr>
          <w:trHeight w:val="563" w:hRule="atLeast"/>
        </w:trPr>
        <w:tc>
          <w:tcPr>
            <w:tcW w:w="882" w:type="dxa"/>
          </w:tcPr>
          <w:p>
            <w:pPr>
              <w:pStyle w:val="TableParagraph"/>
              <w:spacing w:before="127"/>
              <w:ind w:left="50"/>
              <w:rPr>
                <w:sz w:val="22"/>
              </w:rPr>
            </w:pPr>
            <w:r>
              <w:rPr>
                <w:spacing w:val="-5"/>
                <w:sz w:val="22"/>
              </w:rPr>
              <w:t>360</w:t>
            </w:r>
          </w:p>
        </w:tc>
        <w:tc>
          <w:tcPr>
            <w:tcW w:w="1602" w:type="dxa"/>
          </w:tcPr>
          <w:p>
            <w:pPr>
              <w:pStyle w:val="TableParagraph"/>
              <w:spacing w:before="127"/>
              <w:ind w:left="384"/>
              <w:rPr>
                <w:sz w:val="22"/>
              </w:rPr>
            </w:pPr>
            <w:r>
              <w:rPr>
                <w:spacing w:val="-10"/>
                <w:sz w:val="22"/>
              </w:rPr>
              <w:t>0</w:t>
            </w:r>
          </w:p>
        </w:tc>
        <w:tc>
          <w:tcPr>
            <w:tcW w:w="1624" w:type="dxa"/>
          </w:tcPr>
          <w:p>
            <w:pPr>
              <w:pStyle w:val="TableParagraph"/>
              <w:spacing w:before="127"/>
              <w:ind w:left="532"/>
              <w:rPr>
                <w:sz w:val="22"/>
              </w:rPr>
            </w:pPr>
            <w:r>
              <w:rPr>
                <w:spacing w:val="-10"/>
                <w:sz w:val="22"/>
              </w:rPr>
              <w:t>0</w:t>
            </w:r>
          </w:p>
        </w:tc>
        <w:tc>
          <w:tcPr>
            <w:tcW w:w="1547" w:type="dxa"/>
          </w:tcPr>
          <w:p>
            <w:pPr>
              <w:pStyle w:val="TableParagraph"/>
              <w:spacing w:before="127"/>
              <w:ind w:left="406"/>
              <w:rPr>
                <w:sz w:val="22"/>
              </w:rPr>
            </w:pPr>
            <w:r>
              <w:rPr>
                <w:spacing w:val="-10"/>
                <w:sz w:val="22"/>
              </w:rPr>
              <w:t>0</w:t>
            </w:r>
          </w:p>
        </w:tc>
        <w:tc>
          <w:tcPr>
            <w:tcW w:w="1528" w:type="dxa"/>
          </w:tcPr>
          <w:p>
            <w:pPr>
              <w:pStyle w:val="TableParagraph"/>
              <w:spacing w:before="127"/>
              <w:ind w:left="455"/>
              <w:rPr>
                <w:sz w:val="22"/>
              </w:rPr>
            </w:pPr>
            <w:r>
              <w:rPr>
                <w:spacing w:val="-10"/>
                <w:sz w:val="22"/>
              </w:rPr>
              <w:t>0</w:t>
            </w:r>
          </w:p>
        </w:tc>
        <w:tc>
          <w:tcPr>
            <w:tcW w:w="1050" w:type="dxa"/>
          </w:tcPr>
          <w:p>
            <w:pPr>
              <w:pStyle w:val="TableParagraph"/>
              <w:spacing w:before="127"/>
              <w:ind w:left="387"/>
              <w:rPr>
                <w:sz w:val="22"/>
              </w:rPr>
            </w:pPr>
            <w:r>
              <w:rPr>
                <w:spacing w:val="-10"/>
                <w:sz w:val="22"/>
              </w:rPr>
              <w:t>0</w:t>
            </w:r>
          </w:p>
        </w:tc>
      </w:tr>
      <w:tr>
        <w:trPr>
          <w:trHeight w:val="391" w:hRule="atLeast"/>
        </w:trPr>
        <w:tc>
          <w:tcPr>
            <w:tcW w:w="882" w:type="dxa"/>
          </w:tcPr>
          <w:p>
            <w:pPr>
              <w:pStyle w:val="TableParagraph"/>
              <w:spacing w:line="245" w:lineRule="exact" w:before="127"/>
              <w:ind w:left="50"/>
              <w:rPr>
                <w:sz w:val="22"/>
              </w:rPr>
            </w:pPr>
            <w:r>
              <w:rPr>
                <w:spacing w:val="-4"/>
                <w:sz w:val="22"/>
              </w:rPr>
              <w:t>1440</w:t>
            </w:r>
          </w:p>
        </w:tc>
        <w:tc>
          <w:tcPr>
            <w:tcW w:w="1602" w:type="dxa"/>
          </w:tcPr>
          <w:p>
            <w:pPr>
              <w:pStyle w:val="TableParagraph"/>
              <w:spacing w:line="245" w:lineRule="exact" w:before="127"/>
              <w:ind w:left="384"/>
              <w:rPr>
                <w:sz w:val="22"/>
              </w:rPr>
            </w:pPr>
            <w:r>
              <w:rPr>
                <w:spacing w:val="-10"/>
                <w:sz w:val="22"/>
              </w:rPr>
              <w:t>0</w:t>
            </w:r>
          </w:p>
        </w:tc>
        <w:tc>
          <w:tcPr>
            <w:tcW w:w="1624" w:type="dxa"/>
          </w:tcPr>
          <w:p>
            <w:pPr>
              <w:pStyle w:val="TableParagraph"/>
              <w:spacing w:line="245" w:lineRule="exact" w:before="127"/>
              <w:ind w:left="532"/>
              <w:rPr>
                <w:sz w:val="22"/>
              </w:rPr>
            </w:pPr>
            <w:r>
              <w:rPr>
                <w:spacing w:val="-10"/>
                <w:sz w:val="22"/>
              </w:rPr>
              <w:t>0</w:t>
            </w:r>
          </w:p>
        </w:tc>
        <w:tc>
          <w:tcPr>
            <w:tcW w:w="1547" w:type="dxa"/>
          </w:tcPr>
          <w:p>
            <w:pPr>
              <w:pStyle w:val="TableParagraph"/>
              <w:spacing w:line="245" w:lineRule="exact" w:before="127"/>
              <w:ind w:left="406"/>
              <w:rPr>
                <w:sz w:val="22"/>
              </w:rPr>
            </w:pPr>
            <w:r>
              <w:rPr>
                <w:spacing w:val="-10"/>
                <w:sz w:val="22"/>
              </w:rPr>
              <w:t>0</w:t>
            </w:r>
          </w:p>
        </w:tc>
        <w:tc>
          <w:tcPr>
            <w:tcW w:w="1528" w:type="dxa"/>
          </w:tcPr>
          <w:p>
            <w:pPr>
              <w:pStyle w:val="TableParagraph"/>
              <w:spacing w:line="245" w:lineRule="exact" w:before="127"/>
              <w:ind w:left="455"/>
              <w:rPr>
                <w:sz w:val="22"/>
              </w:rPr>
            </w:pPr>
            <w:r>
              <w:rPr>
                <w:spacing w:val="-10"/>
                <w:sz w:val="22"/>
              </w:rPr>
              <w:t>0</w:t>
            </w:r>
          </w:p>
        </w:tc>
        <w:tc>
          <w:tcPr>
            <w:tcW w:w="1050" w:type="dxa"/>
          </w:tcPr>
          <w:p>
            <w:pPr>
              <w:pStyle w:val="TableParagraph"/>
              <w:spacing w:line="245" w:lineRule="exact" w:before="127"/>
              <w:ind w:left="387"/>
              <w:rPr>
                <w:sz w:val="22"/>
              </w:rPr>
            </w:pPr>
            <w:r>
              <w:rPr>
                <w:spacing w:val="-10"/>
                <w:sz w:val="22"/>
              </w:rPr>
              <w:t>0</w:t>
            </w:r>
          </w:p>
        </w:tc>
      </w:tr>
    </w:tbl>
    <w:p>
      <w:pPr>
        <w:pStyle w:val="BodyText"/>
        <w:spacing w:before="61"/>
        <w:rPr>
          <w:b/>
          <w:sz w:val="20"/>
        </w:rPr>
      </w:pPr>
      <w:r>
        <w:rPr/>
        <mc:AlternateContent>
          <mc:Choice Requires="wps">
            <w:drawing>
              <wp:anchor distT="0" distB="0" distL="0" distR="0" allowOverlap="1" layoutInCell="1" locked="0" behindDoc="1" simplePos="0" relativeHeight="487678464">
                <wp:simplePos x="0" y="0"/>
                <wp:positionH relativeFrom="page">
                  <wp:posOffset>836980</wp:posOffset>
                </wp:positionH>
                <wp:positionV relativeFrom="paragraph">
                  <wp:posOffset>209181</wp:posOffset>
                </wp:positionV>
                <wp:extent cx="5756275" cy="6350"/>
                <wp:effectExtent l="0" t="0" r="0" b="0"/>
                <wp:wrapTopAndBottom/>
                <wp:docPr id="497" name="Graphic 497"/>
                <wp:cNvGraphicFramePr>
                  <a:graphicFrameLocks/>
                </wp:cNvGraphicFramePr>
                <a:graphic>
                  <a:graphicData uri="http://schemas.microsoft.com/office/word/2010/wordprocessingShape">
                    <wps:wsp>
                      <wps:cNvPr id="497" name="Graphic 497"/>
                      <wps:cNvSpPr/>
                      <wps:spPr>
                        <a:xfrm>
                          <a:off x="0" y="0"/>
                          <a:ext cx="5756275" cy="6350"/>
                        </a:xfrm>
                        <a:custGeom>
                          <a:avLst/>
                          <a:gdLst/>
                          <a:ahLst/>
                          <a:cxnLst/>
                          <a:rect l="l" t="t" r="r" b="b"/>
                          <a:pathLst>
                            <a:path w="5756275" h="6350">
                              <a:moveTo>
                                <a:pt x="5755894" y="0"/>
                              </a:moveTo>
                              <a:lnTo>
                                <a:pt x="5755894" y="0"/>
                              </a:lnTo>
                              <a:lnTo>
                                <a:pt x="0" y="0"/>
                              </a:lnTo>
                              <a:lnTo>
                                <a:pt x="0" y="6083"/>
                              </a:lnTo>
                              <a:lnTo>
                                <a:pt x="5755894" y="6083"/>
                              </a:lnTo>
                              <a:lnTo>
                                <a:pt x="5755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903999pt;margin-top:16.470972pt;width:453.220022pt;height:.479pt;mso-position-horizontal-relative:page;mso-position-vertical-relative:paragraph;z-index:-15638016;mso-wrap-distance-left:0;mso-wrap-distance-right:0" id="docshape442" filled="true" fillcolor="#000000" stroked="false">
                <v:fill type="solid"/>
                <w10:wrap type="topAndBottom"/>
              </v:rect>
            </w:pict>
          </mc:Fallback>
        </mc:AlternateContent>
      </w:r>
    </w:p>
    <w:p>
      <w:pPr>
        <w:pStyle w:val="BodyText"/>
        <w:spacing w:line="360" w:lineRule="auto"/>
        <w:ind w:left="380" w:right="975"/>
      </w:pPr>
      <w:r>
        <w:rPr>
          <w:b/>
        </w:rPr>
        <w:t>Key:</w:t>
      </w:r>
      <w:r>
        <w:rPr>
          <w:b/>
          <w:spacing w:val="-6"/>
        </w:rPr>
        <w:t> </w:t>
      </w:r>
      <w:r>
        <w:rPr/>
        <w:t>Sp=Sputum,</w:t>
      </w:r>
      <w:r>
        <w:rPr>
          <w:spacing w:val="-7"/>
        </w:rPr>
        <w:t> </w:t>
      </w:r>
      <w:r>
        <w:rPr/>
        <w:t>MIC=Minimum</w:t>
      </w:r>
      <w:r>
        <w:rPr>
          <w:spacing w:val="-7"/>
        </w:rPr>
        <w:t> </w:t>
      </w:r>
      <w:r>
        <w:rPr/>
        <w:t>Inhibitory</w:t>
      </w:r>
      <w:r>
        <w:rPr>
          <w:spacing w:val="-7"/>
        </w:rPr>
        <w:t> </w:t>
      </w:r>
      <w:r>
        <w:rPr/>
        <w:t>Concentration,</w:t>
      </w:r>
      <w:r>
        <w:rPr>
          <w:spacing w:val="-6"/>
        </w:rPr>
        <w:t> </w:t>
      </w:r>
      <w:r>
        <w:rPr/>
        <w:t>LEV=Levofloxacin,</w:t>
      </w:r>
      <w:r>
        <w:rPr>
          <w:spacing w:val="-7"/>
        </w:rPr>
        <w:t> </w:t>
      </w:r>
      <w:r>
        <w:rPr/>
        <w:t>CEF=Ceftriaxone, H=Honey, L=Lemon juice.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8"/>
      </w:pPr>
    </w:p>
    <w:p>
      <w:pPr>
        <w:spacing w:before="0"/>
        <w:ind w:left="380" w:right="0" w:firstLine="0"/>
        <w:jc w:val="left"/>
        <w:rPr>
          <w:b/>
          <w:sz w:val="22"/>
        </w:rPr>
      </w:pPr>
      <w:r>
        <w:rPr>
          <w:b/>
          <w:sz w:val="22"/>
        </w:rPr>
        <w:t>Rate</w:t>
      </w:r>
      <w:r>
        <w:rPr>
          <w:b/>
          <w:spacing w:val="-8"/>
          <w:sz w:val="22"/>
        </w:rPr>
        <w:t> </w:t>
      </w:r>
      <w:r>
        <w:rPr>
          <w:b/>
          <w:sz w:val="22"/>
        </w:rPr>
        <w:t>of</w:t>
      </w:r>
      <w:r>
        <w:rPr>
          <w:b/>
          <w:spacing w:val="-3"/>
          <w:sz w:val="22"/>
        </w:rPr>
        <w:t> </w:t>
      </w:r>
      <w:r>
        <w:rPr>
          <w:b/>
          <w:sz w:val="22"/>
        </w:rPr>
        <w:t>Kill</w:t>
      </w:r>
      <w:r>
        <w:rPr>
          <w:b/>
          <w:spacing w:val="-3"/>
          <w:sz w:val="22"/>
        </w:rPr>
        <w:t> </w:t>
      </w:r>
      <w:r>
        <w:rPr>
          <w:b/>
          <w:sz w:val="22"/>
        </w:rPr>
        <w:t>(above</w:t>
      </w:r>
      <w:r>
        <w:rPr>
          <w:b/>
          <w:spacing w:val="-7"/>
          <w:sz w:val="22"/>
        </w:rPr>
        <w:t> </w:t>
      </w:r>
      <w:r>
        <w:rPr>
          <w:b/>
          <w:sz w:val="22"/>
        </w:rPr>
        <w:t>average</w:t>
      </w:r>
      <w:r>
        <w:rPr>
          <w:b/>
          <w:spacing w:val="-8"/>
          <w:sz w:val="22"/>
        </w:rPr>
        <w:t> </w:t>
      </w:r>
      <w:r>
        <w:rPr>
          <w:b/>
          <w:sz w:val="22"/>
        </w:rPr>
        <w:t>MIC</w:t>
      </w:r>
      <w:r>
        <w:rPr>
          <w:b/>
          <w:spacing w:val="-5"/>
          <w:sz w:val="22"/>
        </w:rPr>
        <w:t> </w:t>
      </w:r>
      <w:r>
        <w:rPr>
          <w:b/>
          <w:sz w:val="22"/>
        </w:rPr>
        <w:t>values)</w:t>
      </w:r>
      <w:r>
        <w:rPr>
          <w:b/>
          <w:spacing w:val="-3"/>
          <w:sz w:val="22"/>
        </w:rPr>
        <w:t> </w:t>
      </w:r>
      <w:r>
        <w:rPr>
          <w:b/>
          <w:sz w:val="22"/>
        </w:rPr>
        <w:t>for</w:t>
      </w:r>
      <w:r>
        <w:rPr>
          <w:b/>
          <w:spacing w:val="-4"/>
          <w:sz w:val="22"/>
        </w:rPr>
        <w:t> </w:t>
      </w:r>
      <w:r>
        <w:rPr>
          <w:b/>
          <w:i/>
          <w:sz w:val="22"/>
        </w:rPr>
        <w:t>Streptococcus</w:t>
      </w:r>
      <w:r>
        <w:rPr>
          <w:b/>
          <w:i/>
          <w:spacing w:val="-6"/>
          <w:sz w:val="22"/>
        </w:rPr>
        <w:t> </w:t>
      </w:r>
      <w:r>
        <w:rPr>
          <w:b/>
          <w:i/>
          <w:spacing w:val="-2"/>
          <w:sz w:val="22"/>
        </w:rPr>
        <w:t>pneumoniae_</w:t>
      </w:r>
      <w:r>
        <w:rPr>
          <w:b/>
          <w:spacing w:val="-2"/>
          <w:sz w:val="22"/>
        </w:rPr>
        <w:t>Sp232</w:t>
      </w:r>
    </w:p>
    <w:p>
      <w:pPr>
        <w:spacing w:after="0"/>
        <w:jc w:val="left"/>
        <w:rPr>
          <w:sz w:val="22"/>
        </w:rPr>
        <w:sectPr>
          <w:type w:val="continuous"/>
          <w:pgSz w:w="11910" w:h="16840"/>
          <w:pgMar w:header="0" w:footer="1055" w:top="1400" w:bottom="1240" w:left="1060" w:right="460"/>
        </w:sect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0"/>
        <w:gridCol w:w="1777"/>
        <w:gridCol w:w="1724"/>
        <w:gridCol w:w="1433"/>
        <w:gridCol w:w="1469"/>
        <w:gridCol w:w="1484"/>
      </w:tblGrid>
      <w:tr>
        <w:trPr>
          <w:trHeight w:val="2174" w:hRule="atLeast"/>
        </w:trPr>
        <w:tc>
          <w:tcPr>
            <w:tcW w:w="1000" w:type="dxa"/>
            <w:tcBorders>
              <w:top w:val="single" w:sz="4" w:space="0" w:color="000000"/>
              <w:bottom w:val="single" w:sz="4" w:space="0" w:color="000000"/>
            </w:tcBorders>
          </w:tcPr>
          <w:p>
            <w:pPr>
              <w:pStyle w:val="TableParagraph"/>
              <w:spacing w:line="360" w:lineRule="auto"/>
              <w:ind w:left="115" w:right="301"/>
              <w:rPr>
                <w:b/>
                <w:sz w:val="22"/>
              </w:rPr>
            </w:pPr>
            <w:r>
              <w:rPr>
                <w:b/>
                <w:spacing w:val="-4"/>
                <w:sz w:val="22"/>
              </w:rPr>
              <w:t>Time </w:t>
            </w:r>
            <w:r>
              <w:rPr>
                <w:b/>
                <w:spacing w:val="-2"/>
                <w:sz w:val="22"/>
              </w:rPr>
              <w:t>(mins)</w:t>
            </w:r>
          </w:p>
        </w:tc>
        <w:tc>
          <w:tcPr>
            <w:tcW w:w="1777" w:type="dxa"/>
            <w:tcBorders>
              <w:top w:val="single" w:sz="4" w:space="0" w:color="000000"/>
              <w:bottom w:val="single" w:sz="4" w:space="0" w:color="000000"/>
            </w:tcBorders>
          </w:tcPr>
          <w:p>
            <w:pPr>
              <w:pStyle w:val="TableParagraph"/>
              <w:spacing w:line="360" w:lineRule="auto"/>
              <w:ind w:left="307"/>
              <w:rPr>
                <w:b/>
                <w:sz w:val="22"/>
              </w:rPr>
            </w:pPr>
            <w:r>
              <w:rPr>
                <w:b/>
                <w:sz w:val="22"/>
              </w:rPr>
              <w:t>No of colonies counted</w:t>
            </w:r>
            <w:r>
              <w:rPr>
                <w:b/>
                <w:spacing w:val="-13"/>
                <w:sz w:val="22"/>
              </w:rPr>
              <w:t> </w:t>
            </w:r>
            <w:r>
              <w:rPr>
                <w:b/>
                <w:sz w:val="22"/>
              </w:rPr>
              <w:t>in</w:t>
            </w:r>
            <w:r>
              <w:rPr>
                <w:b/>
                <w:spacing w:val="-12"/>
                <w:sz w:val="22"/>
              </w:rPr>
              <w:t> </w:t>
            </w:r>
            <w:r>
              <w:rPr>
                <w:b/>
                <w:sz w:val="22"/>
              </w:rPr>
              <w:t>LEV (15.62 µg/ml) </w:t>
            </w:r>
            <w:r>
              <w:rPr>
                <w:b/>
                <w:spacing w:val="-2"/>
                <w:sz w:val="22"/>
              </w:rPr>
              <w:t>plate</w:t>
            </w:r>
          </w:p>
        </w:tc>
        <w:tc>
          <w:tcPr>
            <w:tcW w:w="1724" w:type="dxa"/>
            <w:tcBorders>
              <w:top w:val="single" w:sz="4" w:space="0" w:color="000000"/>
              <w:bottom w:val="single" w:sz="4" w:space="0" w:color="000000"/>
            </w:tcBorders>
          </w:tcPr>
          <w:p>
            <w:pPr>
              <w:pStyle w:val="TableParagraph"/>
              <w:spacing w:line="360" w:lineRule="auto"/>
              <w:ind w:left="113" w:right="123"/>
              <w:jc w:val="both"/>
              <w:rPr>
                <w:b/>
                <w:sz w:val="22"/>
              </w:rPr>
            </w:pPr>
            <w:r>
              <w:rPr>
                <w:b/>
                <w:sz w:val="22"/>
              </w:rPr>
              <w:t>No of colonies counted in CEF (25</w:t>
            </w:r>
            <w:r>
              <w:rPr>
                <w:b/>
                <w:spacing w:val="-4"/>
                <w:sz w:val="22"/>
              </w:rPr>
              <w:t> </w:t>
            </w:r>
            <w:r>
              <w:rPr>
                <w:b/>
                <w:sz w:val="22"/>
              </w:rPr>
              <w:t>µg/ml)</w:t>
            </w:r>
            <w:r>
              <w:rPr>
                <w:b/>
                <w:spacing w:val="-4"/>
                <w:sz w:val="22"/>
              </w:rPr>
              <w:t> </w:t>
            </w:r>
            <w:r>
              <w:rPr>
                <w:b/>
                <w:spacing w:val="-2"/>
                <w:sz w:val="22"/>
              </w:rPr>
              <w:t>plate</w:t>
            </w:r>
          </w:p>
        </w:tc>
        <w:tc>
          <w:tcPr>
            <w:tcW w:w="1433" w:type="dxa"/>
            <w:tcBorders>
              <w:top w:val="single" w:sz="4" w:space="0" w:color="000000"/>
              <w:bottom w:val="single" w:sz="4" w:space="0" w:color="000000"/>
            </w:tcBorders>
          </w:tcPr>
          <w:p>
            <w:pPr>
              <w:pStyle w:val="TableParagraph"/>
              <w:spacing w:line="360" w:lineRule="auto"/>
              <w:ind w:left="127" w:right="157"/>
              <w:rPr>
                <w:b/>
                <w:sz w:val="22"/>
              </w:rPr>
            </w:pPr>
            <w:r>
              <w:rPr>
                <w:b/>
                <w:sz w:val="22"/>
              </w:rPr>
              <w:t>No of </w:t>
            </w:r>
            <w:r>
              <w:rPr>
                <w:b/>
                <w:spacing w:val="-2"/>
                <w:sz w:val="22"/>
              </w:rPr>
              <w:t>colonies </w:t>
            </w:r>
            <w:r>
              <w:rPr>
                <w:b/>
                <w:sz w:val="22"/>
              </w:rPr>
              <w:t>counted in Lemon (40 µg/ml)</w:t>
            </w:r>
            <w:r>
              <w:rPr>
                <w:b/>
                <w:spacing w:val="-13"/>
                <w:sz w:val="22"/>
              </w:rPr>
              <w:t> </w:t>
            </w:r>
            <w:r>
              <w:rPr>
                <w:b/>
                <w:sz w:val="22"/>
              </w:rPr>
              <w:t>plate</w:t>
            </w:r>
          </w:p>
        </w:tc>
        <w:tc>
          <w:tcPr>
            <w:tcW w:w="1469" w:type="dxa"/>
            <w:tcBorders>
              <w:top w:val="single" w:sz="4" w:space="0" w:color="000000"/>
              <w:bottom w:val="single" w:sz="4" w:space="0" w:color="000000"/>
            </w:tcBorders>
          </w:tcPr>
          <w:p>
            <w:pPr>
              <w:pStyle w:val="TableParagraph"/>
              <w:spacing w:line="360" w:lineRule="auto"/>
              <w:ind w:left="162" w:right="88"/>
              <w:rPr>
                <w:b/>
                <w:sz w:val="22"/>
              </w:rPr>
            </w:pPr>
            <w:r>
              <w:rPr>
                <w:b/>
                <w:sz w:val="22"/>
              </w:rPr>
              <w:t>No of </w:t>
            </w:r>
            <w:r>
              <w:rPr>
                <w:b/>
                <w:spacing w:val="-2"/>
                <w:sz w:val="22"/>
              </w:rPr>
              <w:t>colonies </w:t>
            </w:r>
            <w:r>
              <w:rPr>
                <w:b/>
                <w:sz w:val="22"/>
              </w:rPr>
              <w:t>counted in Honey (100 µg/ml)</w:t>
            </w:r>
            <w:r>
              <w:rPr>
                <w:b/>
                <w:spacing w:val="-13"/>
                <w:sz w:val="22"/>
              </w:rPr>
              <w:t> </w:t>
            </w:r>
            <w:r>
              <w:rPr>
                <w:b/>
                <w:sz w:val="22"/>
              </w:rPr>
              <w:t>plate</w:t>
            </w:r>
          </w:p>
        </w:tc>
        <w:tc>
          <w:tcPr>
            <w:tcW w:w="1484" w:type="dxa"/>
            <w:tcBorders>
              <w:top w:val="single" w:sz="4" w:space="0" w:color="000000"/>
              <w:bottom w:val="single" w:sz="4" w:space="0" w:color="000000"/>
            </w:tcBorders>
          </w:tcPr>
          <w:p>
            <w:pPr>
              <w:pStyle w:val="TableParagraph"/>
              <w:spacing w:line="360" w:lineRule="auto"/>
              <w:ind w:left="163" w:right="340"/>
              <w:rPr>
                <w:b/>
                <w:sz w:val="22"/>
              </w:rPr>
            </w:pPr>
            <w:r>
              <w:rPr>
                <w:b/>
                <w:sz w:val="22"/>
              </w:rPr>
              <w:t>No of </w:t>
            </w:r>
            <w:r>
              <w:rPr>
                <w:b/>
                <w:spacing w:val="-2"/>
                <w:sz w:val="22"/>
              </w:rPr>
              <w:t>colonies </w:t>
            </w:r>
            <w:r>
              <w:rPr>
                <w:b/>
                <w:sz w:val="22"/>
              </w:rPr>
              <w:t>counted</w:t>
            </w:r>
            <w:r>
              <w:rPr>
                <w:b/>
                <w:spacing w:val="-13"/>
                <w:sz w:val="22"/>
              </w:rPr>
              <w:t> </w:t>
            </w:r>
            <w:r>
              <w:rPr>
                <w:b/>
                <w:sz w:val="22"/>
              </w:rPr>
              <w:t>in H/L (40</w:t>
            </w:r>
          </w:p>
          <w:p>
            <w:pPr>
              <w:pStyle w:val="TableParagraph"/>
              <w:ind w:left="163"/>
              <w:rPr>
                <w:b/>
                <w:sz w:val="22"/>
              </w:rPr>
            </w:pPr>
            <w:r>
              <w:rPr>
                <w:b/>
                <w:sz w:val="22"/>
              </w:rPr>
              <w:t>µg/ml)</w:t>
            </w:r>
            <w:r>
              <w:rPr>
                <w:b/>
                <w:spacing w:val="-5"/>
                <w:sz w:val="22"/>
              </w:rPr>
              <w:t> </w:t>
            </w:r>
            <w:r>
              <w:rPr>
                <w:b/>
                <w:spacing w:val="-2"/>
                <w:sz w:val="22"/>
              </w:rPr>
              <w:t>plate</w:t>
            </w:r>
          </w:p>
        </w:tc>
      </w:tr>
      <w:tr>
        <w:trPr>
          <w:trHeight w:val="413" w:hRule="atLeast"/>
        </w:trPr>
        <w:tc>
          <w:tcPr>
            <w:tcW w:w="1000" w:type="dxa"/>
            <w:tcBorders>
              <w:top w:val="single" w:sz="4" w:space="0" w:color="000000"/>
            </w:tcBorders>
          </w:tcPr>
          <w:p>
            <w:pPr>
              <w:pStyle w:val="TableParagraph"/>
              <w:spacing w:line="265" w:lineRule="exact"/>
              <w:ind w:left="115"/>
              <w:rPr>
                <w:sz w:val="22"/>
              </w:rPr>
            </w:pPr>
            <w:r>
              <w:rPr>
                <w:spacing w:val="-10"/>
                <w:sz w:val="22"/>
              </w:rPr>
              <w:t>0</w:t>
            </w:r>
          </w:p>
        </w:tc>
        <w:tc>
          <w:tcPr>
            <w:tcW w:w="1777" w:type="dxa"/>
            <w:tcBorders>
              <w:top w:val="single" w:sz="4" w:space="0" w:color="000000"/>
            </w:tcBorders>
          </w:tcPr>
          <w:p>
            <w:pPr>
              <w:pStyle w:val="TableParagraph"/>
              <w:spacing w:line="265" w:lineRule="exact"/>
              <w:ind w:left="307"/>
              <w:rPr>
                <w:sz w:val="22"/>
              </w:rPr>
            </w:pPr>
            <w:r>
              <w:rPr>
                <w:spacing w:val="-2"/>
                <w:sz w:val="22"/>
              </w:rPr>
              <w:t>2.5×10</w:t>
            </w:r>
            <w:r>
              <w:rPr>
                <w:spacing w:val="-2"/>
                <w:sz w:val="22"/>
                <w:vertAlign w:val="superscript"/>
              </w:rPr>
              <w:t>3</w:t>
            </w:r>
          </w:p>
        </w:tc>
        <w:tc>
          <w:tcPr>
            <w:tcW w:w="1724" w:type="dxa"/>
            <w:tcBorders>
              <w:top w:val="single" w:sz="4" w:space="0" w:color="000000"/>
            </w:tcBorders>
          </w:tcPr>
          <w:p>
            <w:pPr>
              <w:pStyle w:val="TableParagraph"/>
              <w:spacing w:line="265" w:lineRule="exact"/>
              <w:ind w:left="113"/>
              <w:rPr>
                <w:sz w:val="22"/>
              </w:rPr>
            </w:pPr>
            <w:r>
              <w:rPr>
                <w:spacing w:val="-2"/>
                <w:sz w:val="22"/>
              </w:rPr>
              <w:t>1.4×10</w:t>
            </w:r>
            <w:r>
              <w:rPr>
                <w:spacing w:val="-2"/>
                <w:sz w:val="22"/>
                <w:vertAlign w:val="superscript"/>
              </w:rPr>
              <w:t>3</w:t>
            </w:r>
          </w:p>
        </w:tc>
        <w:tc>
          <w:tcPr>
            <w:tcW w:w="1433" w:type="dxa"/>
            <w:tcBorders>
              <w:top w:val="single" w:sz="4" w:space="0" w:color="000000"/>
            </w:tcBorders>
          </w:tcPr>
          <w:p>
            <w:pPr>
              <w:pStyle w:val="TableParagraph"/>
              <w:spacing w:line="265" w:lineRule="exact"/>
              <w:ind w:left="127"/>
              <w:rPr>
                <w:sz w:val="22"/>
              </w:rPr>
            </w:pPr>
            <w:r>
              <w:rPr>
                <w:spacing w:val="-2"/>
                <w:sz w:val="22"/>
              </w:rPr>
              <w:t>1.2×10</w:t>
            </w:r>
            <w:r>
              <w:rPr>
                <w:spacing w:val="-2"/>
                <w:sz w:val="22"/>
                <w:vertAlign w:val="superscript"/>
              </w:rPr>
              <w:t>3</w:t>
            </w:r>
          </w:p>
        </w:tc>
        <w:tc>
          <w:tcPr>
            <w:tcW w:w="1469" w:type="dxa"/>
            <w:tcBorders>
              <w:top w:val="single" w:sz="4" w:space="0" w:color="000000"/>
            </w:tcBorders>
          </w:tcPr>
          <w:p>
            <w:pPr>
              <w:pStyle w:val="TableParagraph"/>
              <w:spacing w:line="265" w:lineRule="exact"/>
              <w:ind w:left="162"/>
              <w:rPr>
                <w:sz w:val="22"/>
              </w:rPr>
            </w:pPr>
            <w:r>
              <w:rPr>
                <w:spacing w:val="-2"/>
                <w:sz w:val="22"/>
              </w:rPr>
              <w:t>7.2×10</w:t>
            </w:r>
            <w:r>
              <w:rPr>
                <w:spacing w:val="-2"/>
                <w:sz w:val="22"/>
                <w:vertAlign w:val="superscript"/>
              </w:rPr>
              <w:t>3</w:t>
            </w:r>
          </w:p>
        </w:tc>
        <w:tc>
          <w:tcPr>
            <w:tcW w:w="1484" w:type="dxa"/>
            <w:tcBorders>
              <w:top w:val="single" w:sz="4" w:space="0" w:color="000000"/>
            </w:tcBorders>
          </w:tcPr>
          <w:p>
            <w:pPr>
              <w:pStyle w:val="TableParagraph"/>
              <w:spacing w:line="265" w:lineRule="exact"/>
              <w:ind w:left="163"/>
              <w:rPr>
                <w:sz w:val="22"/>
              </w:rPr>
            </w:pPr>
            <w:r>
              <w:rPr>
                <w:spacing w:val="-2"/>
                <w:sz w:val="22"/>
              </w:rPr>
              <w:t>5.1×10</w:t>
            </w:r>
            <w:r>
              <w:rPr>
                <w:spacing w:val="-2"/>
                <w:sz w:val="22"/>
                <w:vertAlign w:val="superscript"/>
              </w:rPr>
              <w:t>2</w:t>
            </w:r>
          </w:p>
        </w:tc>
      </w:tr>
      <w:tr>
        <w:trPr>
          <w:trHeight w:val="582" w:hRule="atLeast"/>
        </w:trPr>
        <w:tc>
          <w:tcPr>
            <w:tcW w:w="1000" w:type="dxa"/>
          </w:tcPr>
          <w:p>
            <w:pPr>
              <w:pStyle w:val="TableParagraph"/>
              <w:spacing w:before="147"/>
              <w:ind w:left="115"/>
              <w:rPr>
                <w:sz w:val="22"/>
              </w:rPr>
            </w:pPr>
            <w:r>
              <w:rPr>
                <w:spacing w:val="-5"/>
                <w:sz w:val="22"/>
              </w:rPr>
              <w:t>30</w:t>
            </w:r>
          </w:p>
        </w:tc>
        <w:tc>
          <w:tcPr>
            <w:tcW w:w="1777" w:type="dxa"/>
          </w:tcPr>
          <w:p>
            <w:pPr>
              <w:pStyle w:val="TableParagraph"/>
              <w:spacing w:before="147"/>
              <w:ind w:left="307"/>
              <w:rPr>
                <w:sz w:val="22"/>
              </w:rPr>
            </w:pPr>
            <w:r>
              <w:rPr>
                <w:spacing w:val="-2"/>
                <w:sz w:val="22"/>
              </w:rPr>
              <w:t>6.3×10</w:t>
            </w:r>
          </w:p>
        </w:tc>
        <w:tc>
          <w:tcPr>
            <w:tcW w:w="1724" w:type="dxa"/>
          </w:tcPr>
          <w:p>
            <w:pPr>
              <w:pStyle w:val="TableParagraph"/>
              <w:spacing w:before="147"/>
              <w:ind w:left="113"/>
              <w:rPr>
                <w:sz w:val="22"/>
              </w:rPr>
            </w:pPr>
            <w:r>
              <w:rPr>
                <w:spacing w:val="-2"/>
                <w:sz w:val="22"/>
              </w:rPr>
              <w:t>6.5×10</w:t>
            </w:r>
            <w:r>
              <w:rPr>
                <w:spacing w:val="-2"/>
                <w:sz w:val="22"/>
                <w:vertAlign w:val="superscript"/>
              </w:rPr>
              <w:t>2</w:t>
            </w:r>
          </w:p>
        </w:tc>
        <w:tc>
          <w:tcPr>
            <w:tcW w:w="1433" w:type="dxa"/>
          </w:tcPr>
          <w:p>
            <w:pPr>
              <w:pStyle w:val="TableParagraph"/>
              <w:spacing w:before="147"/>
              <w:ind w:left="127"/>
              <w:rPr>
                <w:sz w:val="22"/>
              </w:rPr>
            </w:pPr>
            <w:r>
              <w:rPr>
                <w:spacing w:val="-2"/>
                <w:sz w:val="22"/>
              </w:rPr>
              <w:t>1.4×10</w:t>
            </w:r>
          </w:p>
        </w:tc>
        <w:tc>
          <w:tcPr>
            <w:tcW w:w="1469" w:type="dxa"/>
          </w:tcPr>
          <w:p>
            <w:pPr>
              <w:pStyle w:val="TableParagraph"/>
              <w:spacing w:before="147"/>
              <w:ind w:left="162"/>
              <w:rPr>
                <w:sz w:val="22"/>
              </w:rPr>
            </w:pPr>
            <w:r>
              <w:rPr>
                <w:spacing w:val="-2"/>
                <w:sz w:val="22"/>
              </w:rPr>
              <w:t>6.1×10</w:t>
            </w:r>
            <w:r>
              <w:rPr>
                <w:spacing w:val="-2"/>
                <w:sz w:val="22"/>
                <w:vertAlign w:val="superscript"/>
              </w:rPr>
              <w:t>2</w:t>
            </w:r>
          </w:p>
        </w:tc>
        <w:tc>
          <w:tcPr>
            <w:tcW w:w="1484" w:type="dxa"/>
          </w:tcPr>
          <w:p>
            <w:pPr>
              <w:pStyle w:val="TableParagraph"/>
              <w:spacing w:before="147"/>
              <w:ind w:left="163"/>
              <w:rPr>
                <w:sz w:val="22"/>
              </w:rPr>
            </w:pPr>
            <w:r>
              <w:rPr>
                <w:spacing w:val="-2"/>
                <w:sz w:val="22"/>
              </w:rPr>
              <w:t>4.2×10</w:t>
            </w:r>
          </w:p>
        </w:tc>
      </w:tr>
      <w:tr>
        <w:trPr>
          <w:trHeight w:val="563" w:hRule="atLeast"/>
        </w:trPr>
        <w:tc>
          <w:tcPr>
            <w:tcW w:w="1000" w:type="dxa"/>
          </w:tcPr>
          <w:p>
            <w:pPr>
              <w:pStyle w:val="TableParagraph"/>
              <w:spacing w:before="126"/>
              <w:ind w:left="115"/>
              <w:rPr>
                <w:sz w:val="22"/>
              </w:rPr>
            </w:pPr>
            <w:r>
              <w:rPr>
                <w:spacing w:val="-5"/>
                <w:sz w:val="22"/>
              </w:rPr>
              <w:t>60</w:t>
            </w:r>
          </w:p>
        </w:tc>
        <w:tc>
          <w:tcPr>
            <w:tcW w:w="1777" w:type="dxa"/>
          </w:tcPr>
          <w:p>
            <w:pPr>
              <w:pStyle w:val="TableParagraph"/>
              <w:spacing w:before="126"/>
              <w:ind w:left="307"/>
              <w:rPr>
                <w:sz w:val="22"/>
              </w:rPr>
            </w:pPr>
            <w:r>
              <w:rPr>
                <w:spacing w:val="-10"/>
                <w:sz w:val="22"/>
              </w:rPr>
              <w:t>0</w:t>
            </w:r>
          </w:p>
        </w:tc>
        <w:tc>
          <w:tcPr>
            <w:tcW w:w="1724" w:type="dxa"/>
          </w:tcPr>
          <w:p>
            <w:pPr>
              <w:pStyle w:val="TableParagraph"/>
              <w:spacing w:before="126"/>
              <w:ind w:left="113"/>
              <w:rPr>
                <w:sz w:val="22"/>
              </w:rPr>
            </w:pPr>
            <w:r>
              <w:rPr>
                <w:spacing w:val="-2"/>
                <w:sz w:val="22"/>
              </w:rPr>
              <w:t>7.1×10</w:t>
            </w:r>
          </w:p>
        </w:tc>
        <w:tc>
          <w:tcPr>
            <w:tcW w:w="1433" w:type="dxa"/>
          </w:tcPr>
          <w:p>
            <w:pPr>
              <w:pStyle w:val="TableParagraph"/>
              <w:spacing w:before="126"/>
              <w:ind w:left="127"/>
              <w:rPr>
                <w:sz w:val="22"/>
              </w:rPr>
            </w:pPr>
            <w:r>
              <w:rPr>
                <w:spacing w:val="-10"/>
                <w:sz w:val="22"/>
              </w:rPr>
              <w:t>0</w:t>
            </w:r>
          </w:p>
        </w:tc>
        <w:tc>
          <w:tcPr>
            <w:tcW w:w="1469" w:type="dxa"/>
          </w:tcPr>
          <w:p>
            <w:pPr>
              <w:pStyle w:val="TableParagraph"/>
              <w:spacing w:before="126"/>
              <w:ind w:left="162"/>
              <w:rPr>
                <w:sz w:val="22"/>
              </w:rPr>
            </w:pPr>
            <w:r>
              <w:rPr>
                <w:spacing w:val="-2"/>
                <w:sz w:val="22"/>
              </w:rPr>
              <w:t>3.2×10</w:t>
            </w:r>
          </w:p>
        </w:tc>
        <w:tc>
          <w:tcPr>
            <w:tcW w:w="1484" w:type="dxa"/>
          </w:tcPr>
          <w:p>
            <w:pPr>
              <w:pStyle w:val="TableParagraph"/>
              <w:spacing w:before="126"/>
              <w:ind w:left="163"/>
              <w:rPr>
                <w:sz w:val="22"/>
              </w:rPr>
            </w:pPr>
            <w:r>
              <w:rPr>
                <w:spacing w:val="-10"/>
                <w:sz w:val="22"/>
              </w:rPr>
              <w:t>0</w:t>
            </w:r>
          </w:p>
        </w:tc>
      </w:tr>
      <w:tr>
        <w:trPr>
          <w:trHeight w:val="563" w:hRule="atLeast"/>
        </w:trPr>
        <w:tc>
          <w:tcPr>
            <w:tcW w:w="1000" w:type="dxa"/>
          </w:tcPr>
          <w:p>
            <w:pPr>
              <w:pStyle w:val="TableParagraph"/>
              <w:spacing w:before="128"/>
              <w:ind w:left="115"/>
              <w:rPr>
                <w:sz w:val="22"/>
              </w:rPr>
            </w:pPr>
            <w:r>
              <w:rPr>
                <w:spacing w:val="-5"/>
                <w:sz w:val="22"/>
              </w:rPr>
              <w:t>90</w:t>
            </w:r>
          </w:p>
        </w:tc>
        <w:tc>
          <w:tcPr>
            <w:tcW w:w="1777" w:type="dxa"/>
          </w:tcPr>
          <w:p>
            <w:pPr>
              <w:pStyle w:val="TableParagraph"/>
              <w:spacing w:before="128"/>
              <w:ind w:left="307"/>
              <w:rPr>
                <w:sz w:val="22"/>
              </w:rPr>
            </w:pPr>
            <w:r>
              <w:rPr>
                <w:spacing w:val="-10"/>
                <w:sz w:val="22"/>
              </w:rPr>
              <w:t>0</w:t>
            </w:r>
          </w:p>
        </w:tc>
        <w:tc>
          <w:tcPr>
            <w:tcW w:w="1724" w:type="dxa"/>
          </w:tcPr>
          <w:p>
            <w:pPr>
              <w:pStyle w:val="TableParagraph"/>
              <w:spacing w:before="128"/>
              <w:ind w:left="113"/>
              <w:rPr>
                <w:sz w:val="22"/>
              </w:rPr>
            </w:pPr>
            <w:r>
              <w:rPr>
                <w:spacing w:val="-10"/>
                <w:sz w:val="22"/>
              </w:rPr>
              <w:t>0</w:t>
            </w:r>
          </w:p>
        </w:tc>
        <w:tc>
          <w:tcPr>
            <w:tcW w:w="1433" w:type="dxa"/>
          </w:tcPr>
          <w:p>
            <w:pPr>
              <w:pStyle w:val="TableParagraph"/>
              <w:spacing w:before="128"/>
              <w:ind w:left="127"/>
              <w:rPr>
                <w:sz w:val="22"/>
              </w:rPr>
            </w:pPr>
            <w:r>
              <w:rPr>
                <w:spacing w:val="-10"/>
                <w:sz w:val="22"/>
              </w:rPr>
              <w:t>0</w:t>
            </w:r>
          </w:p>
        </w:tc>
        <w:tc>
          <w:tcPr>
            <w:tcW w:w="1469" w:type="dxa"/>
          </w:tcPr>
          <w:p>
            <w:pPr>
              <w:pStyle w:val="TableParagraph"/>
              <w:spacing w:before="128"/>
              <w:ind w:left="162"/>
              <w:rPr>
                <w:sz w:val="22"/>
              </w:rPr>
            </w:pPr>
            <w:r>
              <w:rPr>
                <w:spacing w:val="-10"/>
                <w:sz w:val="22"/>
              </w:rPr>
              <w:t>0</w:t>
            </w:r>
          </w:p>
        </w:tc>
        <w:tc>
          <w:tcPr>
            <w:tcW w:w="1484" w:type="dxa"/>
          </w:tcPr>
          <w:p>
            <w:pPr>
              <w:pStyle w:val="TableParagraph"/>
              <w:spacing w:before="128"/>
              <w:ind w:left="163"/>
              <w:rPr>
                <w:sz w:val="22"/>
              </w:rPr>
            </w:pPr>
            <w:r>
              <w:rPr>
                <w:spacing w:val="-10"/>
                <w:sz w:val="22"/>
              </w:rPr>
              <w:t>0</w:t>
            </w:r>
          </w:p>
        </w:tc>
      </w:tr>
      <w:tr>
        <w:trPr>
          <w:trHeight w:val="562" w:hRule="atLeast"/>
        </w:trPr>
        <w:tc>
          <w:tcPr>
            <w:tcW w:w="1000" w:type="dxa"/>
          </w:tcPr>
          <w:p>
            <w:pPr>
              <w:pStyle w:val="TableParagraph"/>
              <w:spacing w:before="126"/>
              <w:ind w:left="115"/>
              <w:rPr>
                <w:sz w:val="22"/>
              </w:rPr>
            </w:pPr>
            <w:r>
              <w:rPr>
                <w:spacing w:val="-5"/>
                <w:sz w:val="22"/>
              </w:rPr>
              <w:t>120</w:t>
            </w:r>
          </w:p>
        </w:tc>
        <w:tc>
          <w:tcPr>
            <w:tcW w:w="1777" w:type="dxa"/>
          </w:tcPr>
          <w:p>
            <w:pPr>
              <w:pStyle w:val="TableParagraph"/>
              <w:spacing w:before="126"/>
              <w:ind w:left="307"/>
              <w:rPr>
                <w:sz w:val="22"/>
              </w:rPr>
            </w:pPr>
            <w:r>
              <w:rPr>
                <w:spacing w:val="-10"/>
                <w:sz w:val="22"/>
              </w:rPr>
              <w:t>0</w:t>
            </w:r>
          </w:p>
        </w:tc>
        <w:tc>
          <w:tcPr>
            <w:tcW w:w="1724" w:type="dxa"/>
          </w:tcPr>
          <w:p>
            <w:pPr>
              <w:pStyle w:val="TableParagraph"/>
              <w:spacing w:before="126"/>
              <w:ind w:left="113"/>
              <w:rPr>
                <w:sz w:val="22"/>
              </w:rPr>
            </w:pPr>
            <w:r>
              <w:rPr>
                <w:spacing w:val="-10"/>
                <w:sz w:val="22"/>
              </w:rPr>
              <w:t>0</w:t>
            </w:r>
          </w:p>
        </w:tc>
        <w:tc>
          <w:tcPr>
            <w:tcW w:w="1433" w:type="dxa"/>
          </w:tcPr>
          <w:p>
            <w:pPr>
              <w:pStyle w:val="TableParagraph"/>
              <w:spacing w:before="126"/>
              <w:ind w:left="127"/>
              <w:rPr>
                <w:sz w:val="22"/>
              </w:rPr>
            </w:pPr>
            <w:r>
              <w:rPr>
                <w:spacing w:val="-10"/>
                <w:sz w:val="22"/>
              </w:rPr>
              <w:t>0</w:t>
            </w:r>
          </w:p>
        </w:tc>
        <w:tc>
          <w:tcPr>
            <w:tcW w:w="1469" w:type="dxa"/>
          </w:tcPr>
          <w:p>
            <w:pPr>
              <w:pStyle w:val="TableParagraph"/>
              <w:spacing w:before="126"/>
              <w:ind w:left="162"/>
              <w:rPr>
                <w:sz w:val="22"/>
              </w:rPr>
            </w:pPr>
            <w:r>
              <w:rPr>
                <w:spacing w:val="-10"/>
                <w:sz w:val="22"/>
              </w:rPr>
              <w:t>0</w:t>
            </w:r>
          </w:p>
        </w:tc>
        <w:tc>
          <w:tcPr>
            <w:tcW w:w="1484" w:type="dxa"/>
          </w:tcPr>
          <w:p>
            <w:pPr>
              <w:pStyle w:val="TableParagraph"/>
              <w:spacing w:before="126"/>
              <w:ind w:left="163"/>
              <w:rPr>
                <w:sz w:val="22"/>
              </w:rPr>
            </w:pPr>
            <w:r>
              <w:rPr>
                <w:spacing w:val="-10"/>
                <w:sz w:val="22"/>
              </w:rPr>
              <w:t>0</w:t>
            </w:r>
          </w:p>
        </w:tc>
      </w:tr>
      <w:tr>
        <w:trPr>
          <w:trHeight w:val="562" w:hRule="atLeast"/>
        </w:trPr>
        <w:tc>
          <w:tcPr>
            <w:tcW w:w="1000" w:type="dxa"/>
          </w:tcPr>
          <w:p>
            <w:pPr>
              <w:pStyle w:val="TableParagraph"/>
              <w:spacing w:before="127"/>
              <w:ind w:left="115"/>
              <w:rPr>
                <w:sz w:val="22"/>
              </w:rPr>
            </w:pPr>
            <w:r>
              <w:rPr>
                <w:spacing w:val="-5"/>
                <w:sz w:val="22"/>
              </w:rPr>
              <w:t>240</w:t>
            </w:r>
          </w:p>
        </w:tc>
        <w:tc>
          <w:tcPr>
            <w:tcW w:w="1777" w:type="dxa"/>
          </w:tcPr>
          <w:p>
            <w:pPr>
              <w:pStyle w:val="TableParagraph"/>
              <w:spacing w:before="127"/>
              <w:ind w:left="307"/>
              <w:rPr>
                <w:sz w:val="22"/>
              </w:rPr>
            </w:pPr>
            <w:r>
              <w:rPr>
                <w:spacing w:val="-10"/>
                <w:sz w:val="22"/>
              </w:rPr>
              <w:t>0</w:t>
            </w:r>
          </w:p>
        </w:tc>
        <w:tc>
          <w:tcPr>
            <w:tcW w:w="1724" w:type="dxa"/>
          </w:tcPr>
          <w:p>
            <w:pPr>
              <w:pStyle w:val="TableParagraph"/>
              <w:spacing w:before="127"/>
              <w:ind w:left="113"/>
              <w:rPr>
                <w:sz w:val="22"/>
              </w:rPr>
            </w:pPr>
            <w:r>
              <w:rPr>
                <w:spacing w:val="-10"/>
                <w:sz w:val="22"/>
              </w:rPr>
              <w:t>0</w:t>
            </w:r>
          </w:p>
        </w:tc>
        <w:tc>
          <w:tcPr>
            <w:tcW w:w="1433" w:type="dxa"/>
          </w:tcPr>
          <w:p>
            <w:pPr>
              <w:pStyle w:val="TableParagraph"/>
              <w:spacing w:before="127"/>
              <w:ind w:left="127"/>
              <w:rPr>
                <w:sz w:val="22"/>
              </w:rPr>
            </w:pPr>
            <w:r>
              <w:rPr>
                <w:spacing w:val="-10"/>
                <w:sz w:val="22"/>
              </w:rPr>
              <w:t>0</w:t>
            </w:r>
          </w:p>
        </w:tc>
        <w:tc>
          <w:tcPr>
            <w:tcW w:w="1469" w:type="dxa"/>
          </w:tcPr>
          <w:p>
            <w:pPr>
              <w:pStyle w:val="TableParagraph"/>
              <w:spacing w:before="127"/>
              <w:ind w:left="162"/>
              <w:rPr>
                <w:sz w:val="22"/>
              </w:rPr>
            </w:pPr>
            <w:r>
              <w:rPr>
                <w:spacing w:val="-10"/>
                <w:sz w:val="22"/>
              </w:rPr>
              <w:t>0</w:t>
            </w:r>
          </w:p>
        </w:tc>
        <w:tc>
          <w:tcPr>
            <w:tcW w:w="1484" w:type="dxa"/>
          </w:tcPr>
          <w:p>
            <w:pPr>
              <w:pStyle w:val="TableParagraph"/>
              <w:spacing w:before="127"/>
              <w:ind w:left="163"/>
              <w:rPr>
                <w:sz w:val="22"/>
              </w:rPr>
            </w:pPr>
            <w:r>
              <w:rPr>
                <w:spacing w:val="-10"/>
                <w:sz w:val="22"/>
              </w:rPr>
              <w:t>0</w:t>
            </w:r>
          </w:p>
        </w:tc>
      </w:tr>
      <w:tr>
        <w:trPr>
          <w:trHeight w:val="562" w:hRule="atLeast"/>
        </w:trPr>
        <w:tc>
          <w:tcPr>
            <w:tcW w:w="1000" w:type="dxa"/>
          </w:tcPr>
          <w:p>
            <w:pPr>
              <w:pStyle w:val="TableParagraph"/>
              <w:spacing w:before="126"/>
              <w:ind w:left="115"/>
              <w:rPr>
                <w:sz w:val="22"/>
              </w:rPr>
            </w:pPr>
            <w:r>
              <w:rPr>
                <w:spacing w:val="-5"/>
                <w:sz w:val="22"/>
              </w:rPr>
              <w:t>360</w:t>
            </w:r>
          </w:p>
        </w:tc>
        <w:tc>
          <w:tcPr>
            <w:tcW w:w="1777" w:type="dxa"/>
          </w:tcPr>
          <w:p>
            <w:pPr>
              <w:pStyle w:val="TableParagraph"/>
              <w:spacing w:before="126"/>
              <w:ind w:left="307"/>
              <w:rPr>
                <w:sz w:val="22"/>
              </w:rPr>
            </w:pPr>
            <w:r>
              <w:rPr>
                <w:spacing w:val="-10"/>
                <w:sz w:val="22"/>
              </w:rPr>
              <w:t>0</w:t>
            </w:r>
          </w:p>
        </w:tc>
        <w:tc>
          <w:tcPr>
            <w:tcW w:w="1724" w:type="dxa"/>
          </w:tcPr>
          <w:p>
            <w:pPr>
              <w:pStyle w:val="TableParagraph"/>
              <w:spacing w:before="126"/>
              <w:ind w:left="113"/>
              <w:rPr>
                <w:sz w:val="22"/>
              </w:rPr>
            </w:pPr>
            <w:r>
              <w:rPr>
                <w:spacing w:val="-10"/>
                <w:sz w:val="22"/>
              </w:rPr>
              <w:t>0</w:t>
            </w:r>
          </w:p>
        </w:tc>
        <w:tc>
          <w:tcPr>
            <w:tcW w:w="1433" w:type="dxa"/>
          </w:tcPr>
          <w:p>
            <w:pPr>
              <w:pStyle w:val="TableParagraph"/>
              <w:spacing w:before="126"/>
              <w:ind w:left="127"/>
              <w:rPr>
                <w:sz w:val="22"/>
              </w:rPr>
            </w:pPr>
            <w:r>
              <w:rPr>
                <w:spacing w:val="-10"/>
                <w:sz w:val="22"/>
              </w:rPr>
              <w:t>0</w:t>
            </w:r>
          </w:p>
        </w:tc>
        <w:tc>
          <w:tcPr>
            <w:tcW w:w="1469" w:type="dxa"/>
          </w:tcPr>
          <w:p>
            <w:pPr>
              <w:pStyle w:val="TableParagraph"/>
              <w:spacing w:before="126"/>
              <w:ind w:left="162"/>
              <w:rPr>
                <w:sz w:val="22"/>
              </w:rPr>
            </w:pPr>
            <w:r>
              <w:rPr>
                <w:spacing w:val="-10"/>
                <w:sz w:val="22"/>
              </w:rPr>
              <w:t>0</w:t>
            </w:r>
          </w:p>
        </w:tc>
        <w:tc>
          <w:tcPr>
            <w:tcW w:w="1484" w:type="dxa"/>
          </w:tcPr>
          <w:p>
            <w:pPr>
              <w:pStyle w:val="TableParagraph"/>
              <w:spacing w:before="126"/>
              <w:ind w:left="163"/>
              <w:rPr>
                <w:sz w:val="22"/>
              </w:rPr>
            </w:pPr>
            <w:r>
              <w:rPr>
                <w:spacing w:val="-10"/>
                <w:sz w:val="22"/>
              </w:rPr>
              <w:t>0</w:t>
            </w:r>
          </w:p>
        </w:tc>
      </w:tr>
      <w:tr>
        <w:trPr>
          <w:trHeight w:val="694" w:hRule="atLeast"/>
        </w:trPr>
        <w:tc>
          <w:tcPr>
            <w:tcW w:w="1000" w:type="dxa"/>
            <w:tcBorders>
              <w:bottom w:val="single" w:sz="4" w:space="0" w:color="000000"/>
            </w:tcBorders>
          </w:tcPr>
          <w:p>
            <w:pPr>
              <w:pStyle w:val="TableParagraph"/>
              <w:spacing w:before="127"/>
              <w:ind w:left="115"/>
              <w:rPr>
                <w:sz w:val="22"/>
              </w:rPr>
            </w:pPr>
            <w:r>
              <w:rPr>
                <w:spacing w:val="-4"/>
                <w:sz w:val="22"/>
              </w:rPr>
              <w:t>1440</w:t>
            </w:r>
          </w:p>
        </w:tc>
        <w:tc>
          <w:tcPr>
            <w:tcW w:w="1777" w:type="dxa"/>
            <w:tcBorders>
              <w:bottom w:val="single" w:sz="4" w:space="0" w:color="000000"/>
            </w:tcBorders>
          </w:tcPr>
          <w:p>
            <w:pPr>
              <w:pStyle w:val="TableParagraph"/>
              <w:spacing w:before="127"/>
              <w:ind w:left="307"/>
              <w:rPr>
                <w:sz w:val="22"/>
              </w:rPr>
            </w:pPr>
            <w:r>
              <w:rPr>
                <w:spacing w:val="-10"/>
                <w:sz w:val="22"/>
              </w:rPr>
              <w:t>0</w:t>
            </w:r>
          </w:p>
        </w:tc>
        <w:tc>
          <w:tcPr>
            <w:tcW w:w="1724" w:type="dxa"/>
            <w:tcBorders>
              <w:bottom w:val="single" w:sz="4" w:space="0" w:color="000000"/>
            </w:tcBorders>
          </w:tcPr>
          <w:p>
            <w:pPr>
              <w:pStyle w:val="TableParagraph"/>
              <w:spacing w:before="127"/>
              <w:ind w:left="113"/>
              <w:rPr>
                <w:sz w:val="22"/>
              </w:rPr>
            </w:pPr>
            <w:r>
              <w:rPr>
                <w:spacing w:val="-10"/>
                <w:sz w:val="22"/>
              </w:rPr>
              <w:t>0</w:t>
            </w:r>
          </w:p>
        </w:tc>
        <w:tc>
          <w:tcPr>
            <w:tcW w:w="1433" w:type="dxa"/>
            <w:tcBorders>
              <w:bottom w:val="single" w:sz="4" w:space="0" w:color="000000"/>
            </w:tcBorders>
          </w:tcPr>
          <w:p>
            <w:pPr>
              <w:pStyle w:val="TableParagraph"/>
              <w:spacing w:before="127"/>
              <w:ind w:left="127"/>
              <w:rPr>
                <w:sz w:val="22"/>
              </w:rPr>
            </w:pPr>
            <w:r>
              <w:rPr>
                <w:spacing w:val="-10"/>
                <w:sz w:val="22"/>
              </w:rPr>
              <w:t>0</w:t>
            </w:r>
          </w:p>
        </w:tc>
        <w:tc>
          <w:tcPr>
            <w:tcW w:w="1469" w:type="dxa"/>
            <w:tcBorders>
              <w:bottom w:val="single" w:sz="4" w:space="0" w:color="000000"/>
            </w:tcBorders>
          </w:tcPr>
          <w:p>
            <w:pPr>
              <w:pStyle w:val="TableParagraph"/>
              <w:spacing w:before="127"/>
              <w:ind w:left="162"/>
              <w:rPr>
                <w:sz w:val="22"/>
              </w:rPr>
            </w:pPr>
            <w:r>
              <w:rPr>
                <w:spacing w:val="-10"/>
                <w:sz w:val="22"/>
              </w:rPr>
              <w:t>0</w:t>
            </w:r>
          </w:p>
        </w:tc>
        <w:tc>
          <w:tcPr>
            <w:tcW w:w="1484" w:type="dxa"/>
            <w:tcBorders>
              <w:bottom w:val="single" w:sz="4" w:space="0" w:color="000000"/>
            </w:tcBorders>
          </w:tcPr>
          <w:p>
            <w:pPr>
              <w:pStyle w:val="TableParagraph"/>
              <w:spacing w:before="127"/>
              <w:ind w:left="163"/>
              <w:rPr>
                <w:sz w:val="22"/>
              </w:rPr>
            </w:pPr>
            <w:r>
              <w:rPr>
                <w:spacing w:val="-10"/>
                <w:sz w:val="22"/>
              </w:rPr>
              <w:t>0</w:t>
            </w:r>
          </w:p>
        </w:tc>
      </w:tr>
    </w:tbl>
    <w:p>
      <w:pPr>
        <w:pStyle w:val="BodyText"/>
        <w:spacing w:line="357" w:lineRule="auto" w:before="23"/>
        <w:ind w:left="380" w:right="975"/>
      </w:pPr>
      <w:r>
        <w:rPr>
          <w:b/>
        </w:rPr>
        <w:t>Key:</w:t>
      </w:r>
      <w:r>
        <w:rPr>
          <w:b/>
          <w:spacing w:val="-5"/>
        </w:rPr>
        <w:t> </w:t>
      </w:r>
      <w:r>
        <w:rPr/>
        <w:t>Sp=Sputum,</w:t>
      </w:r>
      <w:r>
        <w:rPr>
          <w:spacing w:val="-7"/>
        </w:rPr>
        <w:t> </w:t>
      </w:r>
      <w:r>
        <w:rPr/>
        <w:t>MIC=Minimum</w:t>
      </w:r>
      <w:r>
        <w:rPr>
          <w:spacing w:val="-7"/>
        </w:rPr>
        <w:t> </w:t>
      </w:r>
      <w:r>
        <w:rPr/>
        <w:t>Inhibitory</w:t>
      </w:r>
      <w:r>
        <w:rPr>
          <w:spacing w:val="-7"/>
        </w:rPr>
        <w:t> </w:t>
      </w:r>
      <w:r>
        <w:rPr/>
        <w:t>Concentration,</w:t>
      </w:r>
      <w:r>
        <w:rPr>
          <w:spacing w:val="-5"/>
        </w:rPr>
        <w:t> </w:t>
      </w:r>
      <w:r>
        <w:rPr/>
        <w:t>LEV=Levofloxacin,</w:t>
      </w:r>
      <w:r>
        <w:rPr>
          <w:spacing w:val="-7"/>
        </w:rPr>
        <w:t> </w:t>
      </w:r>
      <w:r>
        <w:rPr/>
        <w:t>CEF=Ceftriaxone, H=Honey, L=Lemon juice.</w:t>
      </w:r>
    </w:p>
    <w:p>
      <w:pPr>
        <w:spacing w:after="0" w:line="357" w:lineRule="auto"/>
        <w:sectPr>
          <w:pgSz w:w="11910" w:h="16840"/>
          <w:pgMar w:header="0" w:footer="1055" w:top="1400" w:bottom="1240" w:left="1060" w:right="460"/>
        </w:sectPr>
      </w:pPr>
    </w:p>
    <w:p>
      <w:pPr>
        <w:pStyle w:val="BodyText"/>
      </w:pPr>
    </w:p>
    <w:p>
      <w:pPr>
        <w:pStyle w:val="BodyText"/>
      </w:pPr>
    </w:p>
    <w:p>
      <w:pPr>
        <w:pStyle w:val="BodyText"/>
      </w:pPr>
    </w:p>
    <w:p>
      <w:pPr>
        <w:pStyle w:val="BodyText"/>
        <w:spacing w:before="114"/>
      </w:pPr>
    </w:p>
    <w:p>
      <w:pPr>
        <w:pStyle w:val="Heading2"/>
        <w:spacing w:line="256" w:lineRule="auto"/>
        <w:ind w:left="2224" w:right="975" w:hanging="1844"/>
      </w:pPr>
      <w:r>
        <w:rPr/>
        <w:t>APPENDIX II: MIC AND MBC RESULTS FOR HONEY, LEMON JUICE, HONEY/LEMON JUICE MIXTURE AND THE STANDARD ANTIBIOTICS FORMULATIONS</w:t>
      </w:r>
    </w:p>
    <w:p>
      <w:pPr>
        <w:pStyle w:val="BodyText"/>
        <w:rPr>
          <w:b/>
        </w:rPr>
      </w:pPr>
    </w:p>
    <w:p>
      <w:pPr>
        <w:pStyle w:val="BodyText"/>
        <w:spacing w:before="76"/>
        <w:rPr>
          <w:b/>
        </w:rPr>
      </w:pPr>
    </w:p>
    <w:p>
      <w:pPr>
        <w:pStyle w:val="Heading3"/>
        <w:spacing w:line="259" w:lineRule="auto"/>
        <w:ind w:left="380" w:right="975"/>
        <w:rPr>
          <w:i/>
        </w:rPr>
      </w:pPr>
      <w:r>
        <w:rPr/>
        <w:t>Minimum</w:t>
      </w:r>
      <w:r>
        <w:rPr>
          <w:spacing w:val="-5"/>
        </w:rPr>
        <w:t> </w:t>
      </w:r>
      <w:r>
        <w:rPr/>
        <w:t>Inhibitory</w:t>
      </w:r>
      <w:r>
        <w:rPr>
          <w:spacing w:val="-5"/>
        </w:rPr>
        <w:t> </w:t>
      </w:r>
      <w:r>
        <w:rPr/>
        <w:t>Concentration</w:t>
      </w:r>
      <w:r>
        <w:rPr>
          <w:spacing w:val="-4"/>
        </w:rPr>
        <w:t> </w:t>
      </w:r>
      <w:r>
        <w:rPr/>
        <w:t>(MIC)</w:t>
      </w:r>
      <w:r>
        <w:rPr>
          <w:spacing w:val="-5"/>
        </w:rPr>
        <w:t> </w:t>
      </w:r>
      <w:r>
        <w:rPr/>
        <w:t>and</w:t>
      </w:r>
      <w:r>
        <w:rPr>
          <w:spacing w:val="-4"/>
        </w:rPr>
        <w:t> </w:t>
      </w:r>
      <w:r>
        <w:rPr/>
        <w:t>Minimum Bactericidal</w:t>
      </w:r>
      <w:r>
        <w:rPr>
          <w:spacing w:val="-3"/>
        </w:rPr>
        <w:t> </w:t>
      </w:r>
      <w:r>
        <w:rPr/>
        <w:t>Concentration</w:t>
      </w:r>
      <w:r>
        <w:rPr>
          <w:spacing w:val="-4"/>
        </w:rPr>
        <w:t> </w:t>
      </w:r>
      <w:r>
        <w:rPr/>
        <w:t>(MBC)</w:t>
      </w:r>
      <w:r>
        <w:rPr>
          <w:spacing w:val="-5"/>
        </w:rPr>
        <w:t> </w:t>
      </w:r>
      <w:r>
        <w:rPr/>
        <w:t>Test</w:t>
      </w:r>
      <w:r>
        <w:rPr>
          <w:spacing w:val="-3"/>
        </w:rPr>
        <w:t> </w:t>
      </w:r>
      <w:r>
        <w:rPr/>
        <w:t>of Honey and Lemon juice (µg/ml) against </w:t>
      </w:r>
      <w:r>
        <w:rPr>
          <w:i/>
        </w:rPr>
        <w:t>Klebsiella pneumoniae</w:t>
      </w:r>
    </w:p>
    <w:p>
      <w:pPr>
        <w:pStyle w:val="BodyText"/>
        <w:spacing w:before="8"/>
        <w:rPr>
          <w:b/>
          <w:i/>
          <w:sz w:val="19"/>
        </w:rPr>
      </w:pPr>
    </w:p>
    <w:tbl>
      <w:tblPr>
        <w:tblW w:w="0" w:type="auto"/>
        <w:jc w:val="left"/>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4"/>
        <w:gridCol w:w="1311"/>
        <w:gridCol w:w="1545"/>
        <w:gridCol w:w="1719"/>
        <w:gridCol w:w="2021"/>
      </w:tblGrid>
      <w:tr>
        <w:trPr>
          <w:trHeight w:val="602" w:hRule="atLeast"/>
        </w:trPr>
        <w:tc>
          <w:tcPr>
            <w:tcW w:w="1574" w:type="dxa"/>
            <w:tcBorders>
              <w:top w:val="single" w:sz="4" w:space="0" w:color="000000"/>
            </w:tcBorders>
          </w:tcPr>
          <w:p>
            <w:pPr>
              <w:pStyle w:val="TableParagraph"/>
              <w:spacing w:line="268" w:lineRule="exact"/>
              <w:ind w:left="319"/>
              <w:rPr>
                <w:b/>
                <w:sz w:val="22"/>
              </w:rPr>
            </w:pPr>
            <w:r>
              <w:rPr>
                <w:b/>
                <w:sz w:val="22"/>
              </w:rPr>
              <w:t>Sample</w:t>
            </w:r>
            <w:r>
              <w:rPr>
                <w:b/>
                <w:spacing w:val="-7"/>
                <w:sz w:val="22"/>
              </w:rPr>
              <w:t> </w:t>
            </w:r>
            <w:r>
              <w:rPr>
                <w:b/>
                <w:spacing w:val="-5"/>
                <w:sz w:val="22"/>
              </w:rPr>
              <w:t>No.</w:t>
            </w:r>
          </w:p>
        </w:tc>
        <w:tc>
          <w:tcPr>
            <w:tcW w:w="1311" w:type="dxa"/>
            <w:tcBorders>
              <w:top w:val="single" w:sz="4" w:space="0" w:color="000000"/>
            </w:tcBorders>
          </w:tcPr>
          <w:p>
            <w:pPr>
              <w:pStyle w:val="TableParagraph"/>
              <w:spacing w:line="268" w:lineRule="exact"/>
              <w:ind w:left="207"/>
              <w:rPr>
                <w:b/>
                <w:sz w:val="22"/>
              </w:rPr>
            </w:pPr>
            <w:r>
              <w:rPr>
                <w:b/>
                <w:spacing w:val="-5"/>
                <w:sz w:val="22"/>
              </w:rPr>
              <w:t>MIC</w:t>
            </w:r>
          </w:p>
        </w:tc>
        <w:tc>
          <w:tcPr>
            <w:tcW w:w="1545" w:type="dxa"/>
            <w:tcBorders>
              <w:top w:val="single" w:sz="4" w:space="0" w:color="000000"/>
            </w:tcBorders>
          </w:tcPr>
          <w:p>
            <w:pPr>
              <w:pStyle w:val="TableParagraph"/>
              <w:spacing w:line="268" w:lineRule="exact"/>
              <w:ind w:left="513"/>
              <w:rPr>
                <w:b/>
                <w:sz w:val="22"/>
              </w:rPr>
            </w:pPr>
            <w:r>
              <w:rPr>
                <w:b/>
                <w:spacing w:val="-5"/>
                <w:sz w:val="22"/>
              </w:rPr>
              <w:t>MBC</w:t>
            </w:r>
          </w:p>
        </w:tc>
        <w:tc>
          <w:tcPr>
            <w:tcW w:w="1719" w:type="dxa"/>
            <w:tcBorders>
              <w:top w:val="single" w:sz="4" w:space="0" w:color="000000"/>
            </w:tcBorders>
          </w:tcPr>
          <w:p>
            <w:pPr>
              <w:pStyle w:val="TableParagraph"/>
              <w:spacing w:line="268" w:lineRule="exact"/>
              <w:ind w:left="596"/>
              <w:rPr>
                <w:b/>
                <w:sz w:val="22"/>
              </w:rPr>
            </w:pPr>
            <w:r>
              <w:rPr>
                <w:b/>
                <w:spacing w:val="-5"/>
                <w:sz w:val="22"/>
              </w:rPr>
              <w:t>MIC</w:t>
            </w:r>
          </w:p>
        </w:tc>
        <w:tc>
          <w:tcPr>
            <w:tcW w:w="2021" w:type="dxa"/>
            <w:tcBorders>
              <w:top w:val="single" w:sz="4" w:space="0" w:color="000000"/>
            </w:tcBorders>
          </w:tcPr>
          <w:p>
            <w:pPr>
              <w:pStyle w:val="TableParagraph"/>
              <w:spacing w:line="268" w:lineRule="exact"/>
              <w:ind w:left="500"/>
              <w:rPr>
                <w:b/>
                <w:sz w:val="22"/>
              </w:rPr>
            </w:pPr>
            <w:r>
              <w:rPr>
                <w:b/>
                <w:spacing w:val="-5"/>
                <w:sz w:val="22"/>
              </w:rPr>
              <w:t>MBC</w:t>
            </w:r>
          </w:p>
        </w:tc>
      </w:tr>
      <w:tr>
        <w:trPr>
          <w:trHeight w:val="748" w:hRule="atLeast"/>
        </w:trPr>
        <w:tc>
          <w:tcPr>
            <w:tcW w:w="1574" w:type="dxa"/>
            <w:tcBorders>
              <w:bottom w:val="single" w:sz="4" w:space="0" w:color="000000"/>
            </w:tcBorders>
          </w:tcPr>
          <w:p>
            <w:pPr>
              <w:pStyle w:val="TableParagraph"/>
              <w:rPr>
                <w:rFonts w:ascii="Times New Roman"/>
                <w:sz w:val="22"/>
              </w:rPr>
            </w:pPr>
          </w:p>
        </w:tc>
        <w:tc>
          <w:tcPr>
            <w:tcW w:w="1311" w:type="dxa"/>
            <w:tcBorders>
              <w:bottom w:val="single" w:sz="4" w:space="0" w:color="000000"/>
            </w:tcBorders>
          </w:tcPr>
          <w:p>
            <w:pPr>
              <w:pStyle w:val="TableParagraph"/>
              <w:spacing w:before="25"/>
              <w:rPr>
                <w:b/>
                <w:i/>
                <w:sz w:val="22"/>
              </w:rPr>
            </w:pPr>
          </w:p>
          <w:p>
            <w:pPr>
              <w:pStyle w:val="TableParagraph"/>
              <w:spacing w:before="1"/>
              <w:ind w:left="207"/>
              <w:rPr>
                <w:b/>
                <w:sz w:val="22"/>
              </w:rPr>
            </w:pPr>
            <w:r>
              <w:rPr>
                <w:b/>
                <w:spacing w:val="-2"/>
                <w:sz w:val="22"/>
              </w:rPr>
              <w:t>Honey</w:t>
            </w:r>
          </w:p>
        </w:tc>
        <w:tc>
          <w:tcPr>
            <w:tcW w:w="1545" w:type="dxa"/>
            <w:tcBorders>
              <w:bottom w:val="single" w:sz="4" w:space="0" w:color="000000"/>
            </w:tcBorders>
          </w:tcPr>
          <w:p>
            <w:pPr>
              <w:pStyle w:val="TableParagraph"/>
              <w:rPr>
                <w:rFonts w:ascii="Times New Roman"/>
                <w:sz w:val="22"/>
              </w:rPr>
            </w:pPr>
          </w:p>
        </w:tc>
        <w:tc>
          <w:tcPr>
            <w:tcW w:w="1719" w:type="dxa"/>
            <w:tcBorders>
              <w:bottom w:val="single" w:sz="4" w:space="0" w:color="000000"/>
            </w:tcBorders>
          </w:tcPr>
          <w:p>
            <w:pPr>
              <w:pStyle w:val="TableParagraph"/>
              <w:spacing w:before="25"/>
              <w:rPr>
                <w:b/>
                <w:i/>
                <w:sz w:val="22"/>
              </w:rPr>
            </w:pPr>
          </w:p>
          <w:p>
            <w:pPr>
              <w:pStyle w:val="TableParagraph"/>
              <w:spacing w:before="1"/>
              <w:ind w:left="596"/>
              <w:rPr>
                <w:b/>
                <w:sz w:val="22"/>
              </w:rPr>
            </w:pPr>
            <w:r>
              <w:rPr>
                <w:b/>
                <w:spacing w:val="-2"/>
                <w:sz w:val="22"/>
              </w:rPr>
              <w:t>Lemon</w:t>
            </w:r>
          </w:p>
        </w:tc>
        <w:tc>
          <w:tcPr>
            <w:tcW w:w="2021" w:type="dxa"/>
            <w:tcBorders>
              <w:bottom w:val="single" w:sz="4" w:space="0" w:color="000000"/>
            </w:tcBorders>
          </w:tcPr>
          <w:p>
            <w:pPr>
              <w:pStyle w:val="TableParagraph"/>
              <w:rPr>
                <w:rFonts w:ascii="Times New Roman"/>
                <w:sz w:val="22"/>
              </w:rPr>
            </w:pPr>
          </w:p>
        </w:tc>
      </w:tr>
      <w:tr>
        <w:trPr>
          <w:trHeight w:val="375" w:hRule="atLeast"/>
        </w:trPr>
        <w:tc>
          <w:tcPr>
            <w:tcW w:w="1574" w:type="dxa"/>
            <w:tcBorders>
              <w:top w:val="single" w:sz="4" w:space="0" w:color="000000"/>
            </w:tcBorders>
          </w:tcPr>
          <w:p>
            <w:pPr>
              <w:pStyle w:val="TableParagraph"/>
              <w:spacing w:line="265" w:lineRule="exact"/>
              <w:ind w:left="122"/>
              <w:rPr>
                <w:sz w:val="22"/>
              </w:rPr>
            </w:pPr>
            <w:r>
              <w:rPr>
                <w:sz w:val="22"/>
              </w:rPr>
              <w:t>ES</w:t>
            </w:r>
            <w:r>
              <w:rPr>
                <w:spacing w:val="-1"/>
                <w:sz w:val="22"/>
              </w:rPr>
              <w:t> </w:t>
            </w:r>
            <w:r>
              <w:rPr>
                <w:spacing w:val="-5"/>
                <w:sz w:val="22"/>
              </w:rPr>
              <w:t>848</w:t>
            </w:r>
          </w:p>
        </w:tc>
        <w:tc>
          <w:tcPr>
            <w:tcW w:w="1311" w:type="dxa"/>
            <w:tcBorders>
              <w:top w:val="single" w:sz="4" w:space="0" w:color="000000"/>
            </w:tcBorders>
          </w:tcPr>
          <w:p>
            <w:pPr>
              <w:pStyle w:val="TableParagraph"/>
              <w:spacing w:line="265" w:lineRule="exact"/>
              <w:ind w:left="207"/>
              <w:rPr>
                <w:sz w:val="22"/>
              </w:rPr>
            </w:pPr>
            <w:r>
              <w:rPr>
                <w:spacing w:val="-4"/>
                <w:sz w:val="22"/>
              </w:rPr>
              <w:t>45.0</w:t>
            </w:r>
          </w:p>
        </w:tc>
        <w:tc>
          <w:tcPr>
            <w:tcW w:w="1545" w:type="dxa"/>
            <w:tcBorders>
              <w:top w:val="single" w:sz="4" w:space="0" w:color="000000"/>
            </w:tcBorders>
          </w:tcPr>
          <w:p>
            <w:pPr>
              <w:pStyle w:val="TableParagraph"/>
              <w:spacing w:line="265" w:lineRule="exact"/>
              <w:ind w:left="513"/>
              <w:rPr>
                <w:sz w:val="22"/>
              </w:rPr>
            </w:pPr>
            <w:r>
              <w:rPr>
                <w:spacing w:val="-5"/>
                <w:sz w:val="22"/>
              </w:rPr>
              <w:t>100</w:t>
            </w:r>
          </w:p>
        </w:tc>
        <w:tc>
          <w:tcPr>
            <w:tcW w:w="1719" w:type="dxa"/>
            <w:tcBorders>
              <w:top w:val="single" w:sz="4" w:space="0" w:color="000000"/>
            </w:tcBorders>
          </w:tcPr>
          <w:p>
            <w:pPr>
              <w:pStyle w:val="TableParagraph"/>
              <w:spacing w:line="265" w:lineRule="exact"/>
              <w:ind w:left="596"/>
              <w:rPr>
                <w:sz w:val="22"/>
              </w:rPr>
            </w:pPr>
            <w:r>
              <w:rPr>
                <w:spacing w:val="-4"/>
                <w:sz w:val="22"/>
              </w:rPr>
              <w:t>20.0</w:t>
            </w:r>
          </w:p>
        </w:tc>
        <w:tc>
          <w:tcPr>
            <w:tcW w:w="2021" w:type="dxa"/>
            <w:tcBorders>
              <w:top w:val="single" w:sz="4" w:space="0" w:color="000000"/>
            </w:tcBorders>
          </w:tcPr>
          <w:p>
            <w:pPr>
              <w:pStyle w:val="TableParagraph"/>
              <w:spacing w:line="265" w:lineRule="exact"/>
              <w:ind w:left="500"/>
              <w:rPr>
                <w:sz w:val="22"/>
              </w:rPr>
            </w:pPr>
            <w:r>
              <w:rPr>
                <w:spacing w:val="-4"/>
                <w:sz w:val="22"/>
              </w:rPr>
              <w:t>50.0</w:t>
            </w:r>
          </w:p>
        </w:tc>
      </w:tr>
      <w:tr>
        <w:trPr>
          <w:trHeight w:val="450" w:hRule="atLeast"/>
        </w:trPr>
        <w:tc>
          <w:tcPr>
            <w:tcW w:w="1574" w:type="dxa"/>
          </w:tcPr>
          <w:p>
            <w:pPr>
              <w:pStyle w:val="TableParagraph"/>
              <w:spacing w:before="70"/>
              <w:ind w:left="122"/>
              <w:rPr>
                <w:sz w:val="22"/>
              </w:rPr>
            </w:pPr>
            <w:r>
              <w:rPr>
                <w:sz w:val="22"/>
              </w:rPr>
              <w:t>SP</w:t>
            </w:r>
            <w:r>
              <w:rPr>
                <w:spacing w:val="1"/>
                <w:sz w:val="22"/>
              </w:rPr>
              <w:t> </w:t>
            </w:r>
            <w:r>
              <w:rPr>
                <w:spacing w:val="-5"/>
                <w:sz w:val="22"/>
              </w:rPr>
              <w:t>224</w:t>
            </w:r>
          </w:p>
        </w:tc>
        <w:tc>
          <w:tcPr>
            <w:tcW w:w="1311" w:type="dxa"/>
          </w:tcPr>
          <w:p>
            <w:pPr>
              <w:pStyle w:val="TableParagraph"/>
              <w:spacing w:before="70"/>
              <w:ind w:left="207"/>
              <w:rPr>
                <w:sz w:val="22"/>
              </w:rPr>
            </w:pPr>
            <w:r>
              <w:rPr>
                <w:spacing w:val="-4"/>
                <w:sz w:val="22"/>
              </w:rPr>
              <w:t>40.0</w:t>
            </w:r>
          </w:p>
        </w:tc>
        <w:tc>
          <w:tcPr>
            <w:tcW w:w="1545" w:type="dxa"/>
          </w:tcPr>
          <w:p>
            <w:pPr>
              <w:pStyle w:val="TableParagraph"/>
              <w:spacing w:before="70"/>
              <w:ind w:left="513"/>
              <w:rPr>
                <w:sz w:val="22"/>
              </w:rPr>
            </w:pPr>
            <w:r>
              <w:rPr>
                <w:spacing w:val="-4"/>
                <w:sz w:val="22"/>
              </w:rPr>
              <w:t>70.0</w:t>
            </w:r>
          </w:p>
        </w:tc>
        <w:tc>
          <w:tcPr>
            <w:tcW w:w="1719" w:type="dxa"/>
          </w:tcPr>
          <w:p>
            <w:pPr>
              <w:pStyle w:val="TableParagraph"/>
              <w:spacing w:before="70"/>
              <w:ind w:left="596"/>
              <w:rPr>
                <w:sz w:val="22"/>
              </w:rPr>
            </w:pPr>
            <w:r>
              <w:rPr>
                <w:spacing w:val="-4"/>
                <w:sz w:val="22"/>
              </w:rPr>
              <w:t>20.0</w:t>
            </w:r>
          </w:p>
        </w:tc>
        <w:tc>
          <w:tcPr>
            <w:tcW w:w="2021" w:type="dxa"/>
          </w:tcPr>
          <w:p>
            <w:pPr>
              <w:pStyle w:val="TableParagraph"/>
              <w:spacing w:before="70"/>
              <w:ind w:left="500"/>
              <w:rPr>
                <w:sz w:val="22"/>
              </w:rPr>
            </w:pPr>
            <w:r>
              <w:rPr>
                <w:spacing w:val="-4"/>
                <w:sz w:val="22"/>
              </w:rPr>
              <w:t>40.0</w:t>
            </w:r>
          </w:p>
        </w:tc>
      </w:tr>
      <w:tr>
        <w:trPr>
          <w:trHeight w:val="450" w:hRule="atLeast"/>
        </w:trPr>
        <w:tc>
          <w:tcPr>
            <w:tcW w:w="1574" w:type="dxa"/>
          </w:tcPr>
          <w:p>
            <w:pPr>
              <w:pStyle w:val="TableParagraph"/>
              <w:spacing w:before="71"/>
              <w:ind w:left="122"/>
              <w:rPr>
                <w:sz w:val="22"/>
              </w:rPr>
            </w:pPr>
            <w:r>
              <w:rPr>
                <w:sz w:val="22"/>
              </w:rPr>
              <w:t>SP</w:t>
            </w:r>
            <w:r>
              <w:rPr>
                <w:spacing w:val="1"/>
                <w:sz w:val="22"/>
              </w:rPr>
              <w:t> </w:t>
            </w:r>
            <w:r>
              <w:rPr>
                <w:spacing w:val="-5"/>
                <w:sz w:val="22"/>
              </w:rPr>
              <w:t>229</w:t>
            </w:r>
          </w:p>
        </w:tc>
        <w:tc>
          <w:tcPr>
            <w:tcW w:w="1311" w:type="dxa"/>
          </w:tcPr>
          <w:p>
            <w:pPr>
              <w:pStyle w:val="TableParagraph"/>
              <w:spacing w:before="71"/>
              <w:ind w:left="207"/>
              <w:rPr>
                <w:sz w:val="22"/>
              </w:rPr>
            </w:pPr>
            <w:r>
              <w:rPr>
                <w:spacing w:val="-4"/>
                <w:sz w:val="22"/>
              </w:rPr>
              <w:t>55.0</w:t>
            </w:r>
          </w:p>
        </w:tc>
        <w:tc>
          <w:tcPr>
            <w:tcW w:w="1545" w:type="dxa"/>
          </w:tcPr>
          <w:p>
            <w:pPr>
              <w:pStyle w:val="TableParagraph"/>
              <w:spacing w:before="71"/>
              <w:ind w:left="513"/>
              <w:rPr>
                <w:sz w:val="22"/>
              </w:rPr>
            </w:pPr>
            <w:r>
              <w:rPr>
                <w:spacing w:val="-5"/>
                <w:sz w:val="22"/>
              </w:rPr>
              <w:t>NB</w:t>
            </w:r>
          </w:p>
        </w:tc>
        <w:tc>
          <w:tcPr>
            <w:tcW w:w="1719" w:type="dxa"/>
          </w:tcPr>
          <w:p>
            <w:pPr>
              <w:pStyle w:val="TableParagraph"/>
              <w:spacing w:before="71"/>
              <w:ind w:left="596"/>
              <w:rPr>
                <w:sz w:val="22"/>
              </w:rPr>
            </w:pPr>
            <w:r>
              <w:rPr>
                <w:spacing w:val="-4"/>
                <w:sz w:val="22"/>
              </w:rPr>
              <w:t>20.0</w:t>
            </w:r>
          </w:p>
        </w:tc>
        <w:tc>
          <w:tcPr>
            <w:tcW w:w="2021" w:type="dxa"/>
          </w:tcPr>
          <w:p>
            <w:pPr>
              <w:pStyle w:val="TableParagraph"/>
              <w:spacing w:before="71"/>
              <w:ind w:left="500"/>
              <w:rPr>
                <w:sz w:val="22"/>
              </w:rPr>
            </w:pPr>
            <w:r>
              <w:rPr>
                <w:spacing w:val="-4"/>
                <w:sz w:val="22"/>
              </w:rPr>
              <w:t>50.0</w:t>
            </w:r>
          </w:p>
        </w:tc>
      </w:tr>
      <w:tr>
        <w:trPr>
          <w:trHeight w:val="450" w:hRule="atLeast"/>
        </w:trPr>
        <w:tc>
          <w:tcPr>
            <w:tcW w:w="1574" w:type="dxa"/>
          </w:tcPr>
          <w:p>
            <w:pPr>
              <w:pStyle w:val="TableParagraph"/>
              <w:spacing w:before="70"/>
              <w:ind w:left="122"/>
              <w:rPr>
                <w:sz w:val="22"/>
              </w:rPr>
            </w:pPr>
            <w:r>
              <w:rPr>
                <w:sz w:val="22"/>
              </w:rPr>
              <w:t>SP</w:t>
            </w:r>
            <w:r>
              <w:rPr>
                <w:spacing w:val="1"/>
                <w:sz w:val="22"/>
              </w:rPr>
              <w:t> </w:t>
            </w:r>
            <w:r>
              <w:rPr>
                <w:spacing w:val="-5"/>
                <w:sz w:val="22"/>
              </w:rPr>
              <w:t>270</w:t>
            </w:r>
          </w:p>
        </w:tc>
        <w:tc>
          <w:tcPr>
            <w:tcW w:w="1311" w:type="dxa"/>
          </w:tcPr>
          <w:p>
            <w:pPr>
              <w:pStyle w:val="TableParagraph"/>
              <w:spacing w:before="70"/>
              <w:ind w:left="207"/>
              <w:rPr>
                <w:sz w:val="22"/>
              </w:rPr>
            </w:pPr>
            <w:r>
              <w:rPr>
                <w:spacing w:val="-4"/>
                <w:sz w:val="22"/>
              </w:rPr>
              <w:t>30.0</w:t>
            </w:r>
          </w:p>
        </w:tc>
        <w:tc>
          <w:tcPr>
            <w:tcW w:w="1545" w:type="dxa"/>
          </w:tcPr>
          <w:p>
            <w:pPr>
              <w:pStyle w:val="TableParagraph"/>
              <w:spacing w:before="70"/>
              <w:ind w:left="513"/>
              <w:rPr>
                <w:sz w:val="22"/>
              </w:rPr>
            </w:pPr>
            <w:r>
              <w:rPr>
                <w:spacing w:val="-4"/>
                <w:sz w:val="22"/>
              </w:rPr>
              <w:t>60.0</w:t>
            </w:r>
          </w:p>
        </w:tc>
        <w:tc>
          <w:tcPr>
            <w:tcW w:w="1719" w:type="dxa"/>
          </w:tcPr>
          <w:p>
            <w:pPr>
              <w:pStyle w:val="TableParagraph"/>
              <w:spacing w:before="70"/>
              <w:ind w:left="596"/>
              <w:rPr>
                <w:sz w:val="22"/>
              </w:rPr>
            </w:pPr>
            <w:r>
              <w:rPr>
                <w:spacing w:val="-4"/>
                <w:sz w:val="22"/>
              </w:rPr>
              <w:t>15.0</w:t>
            </w:r>
          </w:p>
        </w:tc>
        <w:tc>
          <w:tcPr>
            <w:tcW w:w="2021" w:type="dxa"/>
          </w:tcPr>
          <w:p>
            <w:pPr>
              <w:pStyle w:val="TableParagraph"/>
              <w:spacing w:before="70"/>
              <w:ind w:left="500"/>
              <w:rPr>
                <w:sz w:val="22"/>
              </w:rPr>
            </w:pPr>
            <w:r>
              <w:rPr>
                <w:spacing w:val="-4"/>
                <w:sz w:val="22"/>
              </w:rPr>
              <w:t>25.0</w:t>
            </w:r>
          </w:p>
        </w:tc>
      </w:tr>
      <w:tr>
        <w:trPr>
          <w:trHeight w:val="450" w:hRule="atLeast"/>
        </w:trPr>
        <w:tc>
          <w:tcPr>
            <w:tcW w:w="1574" w:type="dxa"/>
          </w:tcPr>
          <w:p>
            <w:pPr>
              <w:pStyle w:val="TableParagraph"/>
              <w:spacing w:before="71"/>
              <w:ind w:left="122"/>
              <w:rPr>
                <w:sz w:val="22"/>
              </w:rPr>
            </w:pPr>
            <w:r>
              <w:rPr>
                <w:sz w:val="22"/>
              </w:rPr>
              <w:t>SP</w:t>
            </w:r>
            <w:r>
              <w:rPr>
                <w:spacing w:val="1"/>
                <w:sz w:val="22"/>
              </w:rPr>
              <w:t> </w:t>
            </w:r>
            <w:r>
              <w:rPr>
                <w:spacing w:val="-5"/>
                <w:sz w:val="22"/>
              </w:rPr>
              <w:t>340</w:t>
            </w:r>
          </w:p>
        </w:tc>
        <w:tc>
          <w:tcPr>
            <w:tcW w:w="1311" w:type="dxa"/>
          </w:tcPr>
          <w:p>
            <w:pPr>
              <w:pStyle w:val="TableParagraph"/>
              <w:spacing w:before="71"/>
              <w:ind w:left="207"/>
              <w:rPr>
                <w:sz w:val="22"/>
              </w:rPr>
            </w:pPr>
            <w:r>
              <w:rPr>
                <w:spacing w:val="-4"/>
                <w:sz w:val="22"/>
              </w:rPr>
              <w:t>50.0</w:t>
            </w:r>
          </w:p>
        </w:tc>
        <w:tc>
          <w:tcPr>
            <w:tcW w:w="1545" w:type="dxa"/>
          </w:tcPr>
          <w:p>
            <w:pPr>
              <w:pStyle w:val="TableParagraph"/>
              <w:spacing w:before="71"/>
              <w:ind w:left="513"/>
              <w:rPr>
                <w:sz w:val="22"/>
              </w:rPr>
            </w:pPr>
            <w:r>
              <w:rPr>
                <w:spacing w:val="-5"/>
                <w:sz w:val="22"/>
              </w:rPr>
              <w:t>NB</w:t>
            </w:r>
          </w:p>
        </w:tc>
        <w:tc>
          <w:tcPr>
            <w:tcW w:w="1719" w:type="dxa"/>
          </w:tcPr>
          <w:p>
            <w:pPr>
              <w:pStyle w:val="TableParagraph"/>
              <w:spacing w:before="71"/>
              <w:ind w:left="596"/>
              <w:rPr>
                <w:sz w:val="22"/>
              </w:rPr>
            </w:pPr>
            <w:r>
              <w:rPr>
                <w:spacing w:val="-4"/>
                <w:sz w:val="22"/>
              </w:rPr>
              <w:t>15.0</w:t>
            </w:r>
          </w:p>
        </w:tc>
        <w:tc>
          <w:tcPr>
            <w:tcW w:w="2021" w:type="dxa"/>
          </w:tcPr>
          <w:p>
            <w:pPr>
              <w:pStyle w:val="TableParagraph"/>
              <w:spacing w:before="71"/>
              <w:ind w:left="500"/>
              <w:rPr>
                <w:sz w:val="22"/>
              </w:rPr>
            </w:pPr>
            <w:r>
              <w:rPr>
                <w:spacing w:val="-4"/>
                <w:sz w:val="22"/>
              </w:rPr>
              <w:t>40.0</w:t>
            </w:r>
          </w:p>
        </w:tc>
      </w:tr>
      <w:tr>
        <w:trPr>
          <w:trHeight w:val="450" w:hRule="atLeast"/>
        </w:trPr>
        <w:tc>
          <w:tcPr>
            <w:tcW w:w="1574" w:type="dxa"/>
          </w:tcPr>
          <w:p>
            <w:pPr>
              <w:pStyle w:val="TableParagraph"/>
              <w:spacing w:before="70"/>
              <w:ind w:left="122"/>
              <w:rPr>
                <w:sz w:val="22"/>
              </w:rPr>
            </w:pPr>
            <w:r>
              <w:rPr>
                <w:sz w:val="22"/>
              </w:rPr>
              <w:t>SP</w:t>
            </w:r>
            <w:r>
              <w:rPr>
                <w:spacing w:val="1"/>
                <w:sz w:val="22"/>
              </w:rPr>
              <w:t> </w:t>
            </w:r>
            <w:r>
              <w:rPr>
                <w:spacing w:val="-5"/>
                <w:sz w:val="22"/>
              </w:rPr>
              <w:t>867</w:t>
            </w:r>
          </w:p>
        </w:tc>
        <w:tc>
          <w:tcPr>
            <w:tcW w:w="1311" w:type="dxa"/>
          </w:tcPr>
          <w:p>
            <w:pPr>
              <w:pStyle w:val="TableParagraph"/>
              <w:spacing w:before="70"/>
              <w:ind w:left="207"/>
              <w:rPr>
                <w:sz w:val="22"/>
              </w:rPr>
            </w:pPr>
            <w:r>
              <w:rPr>
                <w:spacing w:val="-4"/>
                <w:sz w:val="22"/>
              </w:rPr>
              <w:t>40.0</w:t>
            </w:r>
          </w:p>
        </w:tc>
        <w:tc>
          <w:tcPr>
            <w:tcW w:w="1545" w:type="dxa"/>
          </w:tcPr>
          <w:p>
            <w:pPr>
              <w:pStyle w:val="TableParagraph"/>
              <w:spacing w:before="70"/>
              <w:ind w:left="513"/>
              <w:rPr>
                <w:sz w:val="22"/>
              </w:rPr>
            </w:pPr>
            <w:r>
              <w:rPr>
                <w:spacing w:val="-5"/>
                <w:sz w:val="22"/>
              </w:rPr>
              <w:t>100</w:t>
            </w:r>
          </w:p>
        </w:tc>
        <w:tc>
          <w:tcPr>
            <w:tcW w:w="1719" w:type="dxa"/>
          </w:tcPr>
          <w:p>
            <w:pPr>
              <w:pStyle w:val="TableParagraph"/>
              <w:spacing w:before="70"/>
              <w:ind w:left="596"/>
              <w:rPr>
                <w:sz w:val="22"/>
              </w:rPr>
            </w:pPr>
            <w:r>
              <w:rPr>
                <w:spacing w:val="-4"/>
                <w:sz w:val="22"/>
              </w:rPr>
              <w:t>35.0</w:t>
            </w:r>
          </w:p>
        </w:tc>
        <w:tc>
          <w:tcPr>
            <w:tcW w:w="2021" w:type="dxa"/>
          </w:tcPr>
          <w:p>
            <w:pPr>
              <w:pStyle w:val="TableParagraph"/>
              <w:spacing w:before="70"/>
              <w:ind w:left="500"/>
              <w:rPr>
                <w:sz w:val="22"/>
              </w:rPr>
            </w:pPr>
            <w:r>
              <w:rPr>
                <w:spacing w:val="-4"/>
                <w:sz w:val="22"/>
              </w:rPr>
              <w:t>50.0</w:t>
            </w:r>
          </w:p>
        </w:tc>
      </w:tr>
      <w:tr>
        <w:trPr>
          <w:trHeight w:val="450" w:hRule="atLeast"/>
        </w:trPr>
        <w:tc>
          <w:tcPr>
            <w:tcW w:w="1574" w:type="dxa"/>
          </w:tcPr>
          <w:p>
            <w:pPr>
              <w:pStyle w:val="TableParagraph"/>
              <w:spacing w:before="71"/>
              <w:ind w:left="122"/>
              <w:rPr>
                <w:sz w:val="22"/>
              </w:rPr>
            </w:pPr>
            <w:r>
              <w:rPr>
                <w:sz w:val="22"/>
              </w:rPr>
              <w:t>SP</w:t>
            </w:r>
            <w:r>
              <w:rPr>
                <w:spacing w:val="1"/>
                <w:sz w:val="22"/>
              </w:rPr>
              <w:t> </w:t>
            </w:r>
            <w:r>
              <w:rPr>
                <w:spacing w:val="-5"/>
                <w:sz w:val="22"/>
              </w:rPr>
              <w:t>870</w:t>
            </w:r>
          </w:p>
        </w:tc>
        <w:tc>
          <w:tcPr>
            <w:tcW w:w="1311" w:type="dxa"/>
          </w:tcPr>
          <w:p>
            <w:pPr>
              <w:pStyle w:val="TableParagraph"/>
              <w:spacing w:before="71"/>
              <w:ind w:left="207"/>
              <w:rPr>
                <w:sz w:val="22"/>
              </w:rPr>
            </w:pPr>
            <w:r>
              <w:rPr>
                <w:spacing w:val="-4"/>
                <w:sz w:val="22"/>
              </w:rPr>
              <w:t>50.0</w:t>
            </w:r>
          </w:p>
        </w:tc>
        <w:tc>
          <w:tcPr>
            <w:tcW w:w="1545" w:type="dxa"/>
          </w:tcPr>
          <w:p>
            <w:pPr>
              <w:pStyle w:val="TableParagraph"/>
              <w:spacing w:before="71"/>
              <w:ind w:left="513"/>
              <w:rPr>
                <w:sz w:val="22"/>
              </w:rPr>
            </w:pPr>
            <w:r>
              <w:rPr>
                <w:spacing w:val="-5"/>
                <w:sz w:val="22"/>
              </w:rPr>
              <w:t>NB</w:t>
            </w:r>
          </w:p>
        </w:tc>
        <w:tc>
          <w:tcPr>
            <w:tcW w:w="1719" w:type="dxa"/>
          </w:tcPr>
          <w:p>
            <w:pPr>
              <w:pStyle w:val="TableParagraph"/>
              <w:spacing w:before="71"/>
              <w:ind w:left="596"/>
              <w:rPr>
                <w:sz w:val="22"/>
              </w:rPr>
            </w:pPr>
            <w:r>
              <w:rPr>
                <w:spacing w:val="-4"/>
                <w:sz w:val="22"/>
              </w:rPr>
              <w:t>20.0</w:t>
            </w:r>
          </w:p>
        </w:tc>
        <w:tc>
          <w:tcPr>
            <w:tcW w:w="2021" w:type="dxa"/>
          </w:tcPr>
          <w:p>
            <w:pPr>
              <w:pStyle w:val="TableParagraph"/>
              <w:spacing w:before="71"/>
              <w:ind w:left="500"/>
              <w:rPr>
                <w:sz w:val="22"/>
              </w:rPr>
            </w:pPr>
            <w:r>
              <w:rPr>
                <w:spacing w:val="-4"/>
                <w:sz w:val="22"/>
              </w:rPr>
              <w:t>25.0</w:t>
            </w:r>
          </w:p>
        </w:tc>
      </w:tr>
      <w:tr>
        <w:trPr>
          <w:trHeight w:val="448" w:hRule="atLeast"/>
        </w:trPr>
        <w:tc>
          <w:tcPr>
            <w:tcW w:w="1574" w:type="dxa"/>
          </w:tcPr>
          <w:p>
            <w:pPr>
              <w:pStyle w:val="TableParagraph"/>
              <w:spacing w:before="70"/>
              <w:ind w:left="122"/>
              <w:rPr>
                <w:sz w:val="22"/>
              </w:rPr>
            </w:pPr>
            <w:r>
              <w:rPr>
                <w:sz w:val="22"/>
              </w:rPr>
              <w:t>SP</w:t>
            </w:r>
            <w:r>
              <w:rPr>
                <w:spacing w:val="1"/>
                <w:sz w:val="22"/>
              </w:rPr>
              <w:t> </w:t>
            </w:r>
            <w:r>
              <w:rPr>
                <w:spacing w:val="-5"/>
                <w:sz w:val="22"/>
              </w:rPr>
              <w:t>871</w:t>
            </w:r>
          </w:p>
        </w:tc>
        <w:tc>
          <w:tcPr>
            <w:tcW w:w="1311" w:type="dxa"/>
          </w:tcPr>
          <w:p>
            <w:pPr>
              <w:pStyle w:val="TableParagraph"/>
              <w:spacing w:before="70"/>
              <w:ind w:left="207"/>
              <w:rPr>
                <w:sz w:val="22"/>
              </w:rPr>
            </w:pPr>
            <w:r>
              <w:rPr>
                <w:spacing w:val="-4"/>
                <w:sz w:val="22"/>
              </w:rPr>
              <w:t>35.0</w:t>
            </w:r>
          </w:p>
        </w:tc>
        <w:tc>
          <w:tcPr>
            <w:tcW w:w="1545" w:type="dxa"/>
          </w:tcPr>
          <w:p>
            <w:pPr>
              <w:pStyle w:val="TableParagraph"/>
              <w:spacing w:before="70"/>
              <w:ind w:left="513"/>
              <w:rPr>
                <w:sz w:val="22"/>
              </w:rPr>
            </w:pPr>
            <w:r>
              <w:rPr>
                <w:spacing w:val="-5"/>
                <w:sz w:val="22"/>
              </w:rPr>
              <w:t>100</w:t>
            </w:r>
          </w:p>
        </w:tc>
        <w:tc>
          <w:tcPr>
            <w:tcW w:w="1719" w:type="dxa"/>
          </w:tcPr>
          <w:p>
            <w:pPr>
              <w:pStyle w:val="TableParagraph"/>
              <w:spacing w:before="70"/>
              <w:ind w:left="596"/>
              <w:rPr>
                <w:sz w:val="22"/>
              </w:rPr>
            </w:pPr>
            <w:r>
              <w:rPr>
                <w:spacing w:val="-4"/>
                <w:sz w:val="22"/>
              </w:rPr>
              <w:t>15.0</w:t>
            </w:r>
          </w:p>
        </w:tc>
        <w:tc>
          <w:tcPr>
            <w:tcW w:w="2021" w:type="dxa"/>
          </w:tcPr>
          <w:p>
            <w:pPr>
              <w:pStyle w:val="TableParagraph"/>
              <w:spacing w:before="70"/>
              <w:ind w:left="500"/>
              <w:rPr>
                <w:sz w:val="22"/>
              </w:rPr>
            </w:pPr>
            <w:r>
              <w:rPr>
                <w:spacing w:val="-4"/>
                <w:sz w:val="22"/>
              </w:rPr>
              <w:t>25.0</w:t>
            </w:r>
          </w:p>
        </w:tc>
      </w:tr>
      <w:tr>
        <w:trPr>
          <w:trHeight w:val="450" w:hRule="atLeast"/>
        </w:trPr>
        <w:tc>
          <w:tcPr>
            <w:tcW w:w="1574" w:type="dxa"/>
          </w:tcPr>
          <w:p>
            <w:pPr>
              <w:pStyle w:val="TableParagraph"/>
              <w:spacing w:before="70"/>
              <w:ind w:left="122"/>
              <w:rPr>
                <w:sz w:val="22"/>
              </w:rPr>
            </w:pPr>
            <w:r>
              <w:rPr>
                <w:sz w:val="22"/>
              </w:rPr>
              <w:t>SP</w:t>
            </w:r>
            <w:r>
              <w:rPr>
                <w:spacing w:val="1"/>
                <w:sz w:val="22"/>
              </w:rPr>
              <w:t> </w:t>
            </w:r>
            <w:r>
              <w:rPr>
                <w:spacing w:val="-5"/>
                <w:sz w:val="22"/>
              </w:rPr>
              <w:t>892</w:t>
            </w:r>
          </w:p>
        </w:tc>
        <w:tc>
          <w:tcPr>
            <w:tcW w:w="1311" w:type="dxa"/>
          </w:tcPr>
          <w:p>
            <w:pPr>
              <w:pStyle w:val="TableParagraph"/>
              <w:spacing w:before="70"/>
              <w:ind w:left="207"/>
              <w:rPr>
                <w:sz w:val="22"/>
              </w:rPr>
            </w:pPr>
            <w:r>
              <w:rPr>
                <w:spacing w:val="-4"/>
                <w:sz w:val="22"/>
              </w:rPr>
              <w:t>40.0</w:t>
            </w:r>
          </w:p>
        </w:tc>
        <w:tc>
          <w:tcPr>
            <w:tcW w:w="1545" w:type="dxa"/>
          </w:tcPr>
          <w:p>
            <w:pPr>
              <w:pStyle w:val="TableParagraph"/>
              <w:spacing w:before="70"/>
              <w:ind w:left="513"/>
              <w:rPr>
                <w:sz w:val="22"/>
              </w:rPr>
            </w:pPr>
            <w:r>
              <w:rPr>
                <w:spacing w:val="-5"/>
                <w:sz w:val="22"/>
              </w:rPr>
              <w:t>100</w:t>
            </w:r>
          </w:p>
        </w:tc>
        <w:tc>
          <w:tcPr>
            <w:tcW w:w="1719" w:type="dxa"/>
          </w:tcPr>
          <w:p>
            <w:pPr>
              <w:pStyle w:val="TableParagraph"/>
              <w:spacing w:before="70"/>
              <w:ind w:left="596"/>
              <w:rPr>
                <w:sz w:val="22"/>
              </w:rPr>
            </w:pPr>
            <w:r>
              <w:rPr>
                <w:spacing w:val="-4"/>
                <w:sz w:val="22"/>
              </w:rPr>
              <w:t>20.0</w:t>
            </w:r>
          </w:p>
        </w:tc>
        <w:tc>
          <w:tcPr>
            <w:tcW w:w="2021" w:type="dxa"/>
          </w:tcPr>
          <w:p>
            <w:pPr>
              <w:pStyle w:val="TableParagraph"/>
              <w:spacing w:before="70"/>
              <w:ind w:left="500"/>
              <w:rPr>
                <w:sz w:val="22"/>
              </w:rPr>
            </w:pPr>
            <w:r>
              <w:rPr>
                <w:spacing w:val="-4"/>
                <w:sz w:val="22"/>
              </w:rPr>
              <w:t>25.0</w:t>
            </w:r>
          </w:p>
        </w:tc>
      </w:tr>
      <w:tr>
        <w:trPr>
          <w:trHeight w:val="450" w:hRule="atLeast"/>
        </w:trPr>
        <w:tc>
          <w:tcPr>
            <w:tcW w:w="1574" w:type="dxa"/>
          </w:tcPr>
          <w:p>
            <w:pPr>
              <w:pStyle w:val="TableParagraph"/>
              <w:spacing w:before="71"/>
              <w:ind w:left="122"/>
              <w:rPr>
                <w:sz w:val="22"/>
              </w:rPr>
            </w:pPr>
            <w:r>
              <w:rPr>
                <w:sz w:val="22"/>
              </w:rPr>
              <w:t>SP</w:t>
            </w:r>
            <w:r>
              <w:rPr>
                <w:spacing w:val="1"/>
                <w:sz w:val="22"/>
              </w:rPr>
              <w:t> </w:t>
            </w:r>
            <w:r>
              <w:rPr>
                <w:spacing w:val="-5"/>
                <w:sz w:val="22"/>
              </w:rPr>
              <w:t>894</w:t>
            </w:r>
          </w:p>
        </w:tc>
        <w:tc>
          <w:tcPr>
            <w:tcW w:w="1311" w:type="dxa"/>
          </w:tcPr>
          <w:p>
            <w:pPr>
              <w:pStyle w:val="TableParagraph"/>
              <w:spacing w:before="71"/>
              <w:ind w:left="207"/>
              <w:rPr>
                <w:sz w:val="22"/>
              </w:rPr>
            </w:pPr>
            <w:r>
              <w:rPr>
                <w:spacing w:val="-4"/>
                <w:sz w:val="22"/>
              </w:rPr>
              <w:t>40.0</w:t>
            </w:r>
          </w:p>
        </w:tc>
        <w:tc>
          <w:tcPr>
            <w:tcW w:w="1545" w:type="dxa"/>
          </w:tcPr>
          <w:p>
            <w:pPr>
              <w:pStyle w:val="TableParagraph"/>
              <w:spacing w:before="71"/>
              <w:ind w:left="513"/>
              <w:rPr>
                <w:sz w:val="22"/>
              </w:rPr>
            </w:pPr>
            <w:r>
              <w:rPr>
                <w:spacing w:val="-5"/>
                <w:sz w:val="22"/>
              </w:rPr>
              <w:t>100</w:t>
            </w:r>
          </w:p>
        </w:tc>
        <w:tc>
          <w:tcPr>
            <w:tcW w:w="1719" w:type="dxa"/>
          </w:tcPr>
          <w:p>
            <w:pPr>
              <w:pStyle w:val="TableParagraph"/>
              <w:spacing w:before="71"/>
              <w:ind w:left="596"/>
              <w:rPr>
                <w:sz w:val="22"/>
              </w:rPr>
            </w:pPr>
            <w:r>
              <w:rPr>
                <w:spacing w:val="-4"/>
                <w:sz w:val="22"/>
              </w:rPr>
              <w:t>20.0</w:t>
            </w:r>
          </w:p>
        </w:tc>
        <w:tc>
          <w:tcPr>
            <w:tcW w:w="2021" w:type="dxa"/>
          </w:tcPr>
          <w:p>
            <w:pPr>
              <w:pStyle w:val="TableParagraph"/>
              <w:spacing w:before="71"/>
              <w:ind w:left="500"/>
              <w:rPr>
                <w:sz w:val="22"/>
              </w:rPr>
            </w:pPr>
            <w:r>
              <w:rPr>
                <w:spacing w:val="-4"/>
                <w:sz w:val="22"/>
              </w:rPr>
              <w:t>25.0</w:t>
            </w:r>
          </w:p>
        </w:tc>
      </w:tr>
      <w:tr>
        <w:trPr>
          <w:trHeight w:val="450" w:hRule="atLeast"/>
        </w:trPr>
        <w:tc>
          <w:tcPr>
            <w:tcW w:w="1574" w:type="dxa"/>
          </w:tcPr>
          <w:p>
            <w:pPr>
              <w:pStyle w:val="TableParagraph"/>
              <w:spacing w:before="70"/>
              <w:ind w:left="122"/>
              <w:rPr>
                <w:sz w:val="22"/>
              </w:rPr>
            </w:pPr>
            <w:r>
              <w:rPr>
                <w:spacing w:val="-2"/>
                <w:sz w:val="22"/>
              </w:rPr>
              <w:t>SP1348</w:t>
            </w:r>
          </w:p>
        </w:tc>
        <w:tc>
          <w:tcPr>
            <w:tcW w:w="1311" w:type="dxa"/>
          </w:tcPr>
          <w:p>
            <w:pPr>
              <w:pStyle w:val="TableParagraph"/>
              <w:spacing w:before="70"/>
              <w:ind w:left="207"/>
              <w:rPr>
                <w:sz w:val="22"/>
              </w:rPr>
            </w:pPr>
            <w:r>
              <w:rPr>
                <w:spacing w:val="-4"/>
                <w:sz w:val="22"/>
              </w:rPr>
              <w:t>30.0</w:t>
            </w:r>
          </w:p>
        </w:tc>
        <w:tc>
          <w:tcPr>
            <w:tcW w:w="1545" w:type="dxa"/>
          </w:tcPr>
          <w:p>
            <w:pPr>
              <w:pStyle w:val="TableParagraph"/>
              <w:spacing w:before="70"/>
              <w:ind w:left="513"/>
              <w:rPr>
                <w:sz w:val="22"/>
              </w:rPr>
            </w:pPr>
            <w:r>
              <w:rPr>
                <w:spacing w:val="-4"/>
                <w:sz w:val="22"/>
              </w:rPr>
              <w:t>90.0</w:t>
            </w:r>
          </w:p>
        </w:tc>
        <w:tc>
          <w:tcPr>
            <w:tcW w:w="1719" w:type="dxa"/>
          </w:tcPr>
          <w:p>
            <w:pPr>
              <w:pStyle w:val="TableParagraph"/>
              <w:spacing w:before="70"/>
              <w:ind w:left="596"/>
              <w:rPr>
                <w:sz w:val="22"/>
              </w:rPr>
            </w:pPr>
            <w:r>
              <w:rPr>
                <w:spacing w:val="-4"/>
                <w:sz w:val="22"/>
              </w:rPr>
              <w:t>15.0</w:t>
            </w:r>
          </w:p>
        </w:tc>
        <w:tc>
          <w:tcPr>
            <w:tcW w:w="2021" w:type="dxa"/>
          </w:tcPr>
          <w:p>
            <w:pPr>
              <w:pStyle w:val="TableParagraph"/>
              <w:spacing w:before="70"/>
              <w:ind w:left="500"/>
              <w:rPr>
                <w:sz w:val="22"/>
              </w:rPr>
            </w:pPr>
            <w:r>
              <w:rPr>
                <w:spacing w:val="-4"/>
                <w:sz w:val="22"/>
              </w:rPr>
              <w:t>20.0</w:t>
            </w:r>
          </w:p>
        </w:tc>
      </w:tr>
      <w:tr>
        <w:trPr>
          <w:trHeight w:val="450" w:hRule="atLeast"/>
        </w:trPr>
        <w:tc>
          <w:tcPr>
            <w:tcW w:w="1574" w:type="dxa"/>
          </w:tcPr>
          <w:p>
            <w:pPr>
              <w:pStyle w:val="TableParagraph"/>
              <w:spacing w:before="71"/>
              <w:ind w:left="122"/>
              <w:rPr>
                <w:sz w:val="22"/>
              </w:rPr>
            </w:pPr>
            <w:r>
              <w:rPr>
                <w:spacing w:val="-2"/>
                <w:sz w:val="22"/>
              </w:rPr>
              <w:t>SP1386</w:t>
            </w:r>
          </w:p>
        </w:tc>
        <w:tc>
          <w:tcPr>
            <w:tcW w:w="1311" w:type="dxa"/>
          </w:tcPr>
          <w:p>
            <w:pPr>
              <w:pStyle w:val="TableParagraph"/>
              <w:spacing w:before="71"/>
              <w:ind w:left="207"/>
              <w:rPr>
                <w:sz w:val="22"/>
              </w:rPr>
            </w:pPr>
            <w:r>
              <w:rPr>
                <w:spacing w:val="-4"/>
                <w:sz w:val="22"/>
              </w:rPr>
              <w:t>20.0</w:t>
            </w:r>
          </w:p>
        </w:tc>
        <w:tc>
          <w:tcPr>
            <w:tcW w:w="1545" w:type="dxa"/>
          </w:tcPr>
          <w:p>
            <w:pPr>
              <w:pStyle w:val="TableParagraph"/>
              <w:spacing w:before="71"/>
              <w:ind w:left="513"/>
              <w:rPr>
                <w:sz w:val="22"/>
              </w:rPr>
            </w:pPr>
            <w:r>
              <w:rPr>
                <w:spacing w:val="-5"/>
                <w:sz w:val="22"/>
              </w:rPr>
              <w:t>100</w:t>
            </w:r>
          </w:p>
        </w:tc>
        <w:tc>
          <w:tcPr>
            <w:tcW w:w="1719" w:type="dxa"/>
          </w:tcPr>
          <w:p>
            <w:pPr>
              <w:pStyle w:val="TableParagraph"/>
              <w:spacing w:before="71"/>
              <w:ind w:left="596"/>
              <w:rPr>
                <w:sz w:val="22"/>
              </w:rPr>
            </w:pPr>
            <w:r>
              <w:rPr>
                <w:spacing w:val="-4"/>
                <w:sz w:val="22"/>
              </w:rPr>
              <w:t>35.0</w:t>
            </w:r>
          </w:p>
        </w:tc>
        <w:tc>
          <w:tcPr>
            <w:tcW w:w="2021" w:type="dxa"/>
          </w:tcPr>
          <w:p>
            <w:pPr>
              <w:pStyle w:val="TableParagraph"/>
              <w:spacing w:before="71"/>
              <w:ind w:left="500"/>
              <w:rPr>
                <w:sz w:val="22"/>
              </w:rPr>
            </w:pPr>
            <w:r>
              <w:rPr>
                <w:spacing w:val="-4"/>
                <w:sz w:val="22"/>
              </w:rPr>
              <w:t>50.0</w:t>
            </w:r>
          </w:p>
        </w:tc>
      </w:tr>
      <w:tr>
        <w:trPr>
          <w:trHeight w:val="450" w:hRule="atLeast"/>
        </w:trPr>
        <w:tc>
          <w:tcPr>
            <w:tcW w:w="1574" w:type="dxa"/>
          </w:tcPr>
          <w:p>
            <w:pPr>
              <w:pStyle w:val="TableParagraph"/>
              <w:spacing w:before="70"/>
              <w:ind w:left="122"/>
              <w:rPr>
                <w:sz w:val="22"/>
              </w:rPr>
            </w:pPr>
            <w:r>
              <w:rPr>
                <w:spacing w:val="-2"/>
                <w:sz w:val="22"/>
              </w:rPr>
              <w:t>SP1715</w:t>
            </w:r>
          </w:p>
        </w:tc>
        <w:tc>
          <w:tcPr>
            <w:tcW w:w="1311" w:type="dxa"/>
          </w:tcPr>
          <w:p>
            <w:pPr>
              <w:pStyle w:val="TableParagraph"/>
              <w:spacing w:before="70"/>
              <w:ind w:left="207"/>
              <w:rPr>
                <w:sz w:val="22"/>
              </w:rPr>
            </w:pPr>
            <w:r>
              <w:rPr>
                <w:spacing w:val="-4"/>
                <w:sz w:val="22"/>
              </w:rPr>
              <w:t>60.0</w:t>
            </w:r>
          </w:p>
        </w:tc>
        <w:tc>
          <w:tcPr>
            <w:tcW w:w="1545" w:type="dxa"/>
          </w:tcPr>
          <w:p>
            <w:pPr>
              <w:pStyle w:val="TableParagraph"/>
              <w:spacing w:before="70"/>
              <w:ind w:left="513"/>
              <w:rPr>
                <w:sz w:val="22"/>
              </w:rPr>
            </w:pPr>
            <w:r>
              <w:rPr>
                <w:spacing w:val="-5"/>
                <w:sz w:val="22"/>
              </w:rPr>
              <w:t>NB</w:t>
            </w:r>
          </w:p>
        </w:tc>
        <w:tc>
          <w:tcPr>
            <w:tcW w:w="1719" w:type="dxa"/>
          </w:tcPr>
          <w:p>
            <w:pPr>
              <w:pStyle w:val="TableParagraph"/>
              <w:spacing w:before="70"/>
              <w:ind w:left="596"/>
              <w:rPr>
                <w:sz w:val="22"/>
              </w:rPr>
            </w:pPr>
            <w:r>
              <w:rPr>
                <w:spacing w:val="-4"/>
                <w:sz w:val="22"/>
              </w:rPr>
              <w:t>35.0</w:t>
            </w:r>
          </w:p>
        </w:tc>
        <w:tc>
          <w:tcPr>
            <w:tcW w:w="2021" w:type="dxa"/>
          </w:tcPr>
          <w:p>
            <w:pPr>
              <w:pStyle w:val="TableParagraph"/>
              <w:spacing w:before="70"/>
              <w:ind w:left="500"/>
              <w:rPr>
                <w:sz w:val="22"/>
              </w:rPr>
            </w:pPr>
            <w:r>
              <w:rPr>
                <w:spacing w:val="-4"/>
                <w:sz w:val="22"/>
              </w:rPr>
              <w:t>50.0</w:t>
            </w:r>
          </w:p>
        </w:tc>
      </w:tr>
      <w:tr>
        <w:trPr>
          <w:trHeight w:val="450" w:hRule="atLeast"/>
        </w:trPr>
        <w:tc>
          <w:tcPr>
            <w:tcW w:w="1574" w:type="dxa"/>
          </w:tcPr>
          <w:p>
            <w:pPr>
              <w:pStyle w:val="TableParagraph"/>
              <w:spacing w:before="71"/>
              <w:ind w:left="122"/>
              <w:rPr>
                <w:sz w:val="22"/>
              </w:rPr>
            </w:pPr>
            <w:r>
              <w:rPr>
                <w:sz w:val="22"/>
              </w:rPr>
              <w:t>TS</w:t>
            </w:r>
            <w:r>
              <w:rPr>
                <w:spacing w:val="-1"/>
                <w:sz w:val="22"/>
              </w:rPr>
              <w:t> </w:t>
            </w:r>
            <w:r>
              <w:rPr>
                <w:spacing w:val="-5"/>
                <w:sz w:val="22"/>
              </w:rPr>
              <w:t>320</w:t>
            </w:r>
          </w:p>
        </w:tc>
        <w:tc>
          <w:tcPr>
            <w:tcW w:w="1311" w:type="dxa"/>
          </w:tcPr>
          <w:p>
            <w:pPr>
              <w:pStyle w:val="TableParagraph"/>
              <w:spacing w:before="71"/>
              <w:ind w:left="207"/>
              <w:rPr>
                <w:sz w:val="22"/>
              </w:rPr>
            </w:pPr>
            <w:r>
              <w:rPr>
                <w:spacing w:val="-4"/>
                <w:sz w:val="22"/>
              </w:rPr>
              <w:t>45.0</w:t>
            </w:r>
          </w:p>
        </w:tc>
        <w:tc>
          <w:tcPr>
            <w:tcW w:w="1545" w:type="dxa"/>
          </w:tcPr>
          <w:p>
            <w:pPr>
              <w:pStyle w:val="TableParagraph"/>
              <w:spacing w:before="71"/>
              <w:ind w:left="513"/>
              <w:rPr>
                <w:sz w:val="22"/>
              </w:rPr>
            </w:pPr>
            <w:r>
              <w:rPr>
                <w:spacing w:val="-5"/>
                <w:sz w:val="22"/>
              </w:rPr>
              <w:t>100</w:t>
            </w:r>
          </w:p>
        </w:tc>
        <w:tc>
          <w:tcPr>
            <w:tcW w:w="1719" w:type="dxa"/>
          </w:tcPr>
          <w:p>
            <w:pPr>
              <w:pStyle w:val="TableParagraph"/>
              <w:spacing w:before="71"/>
              <w:ind w:left="596"/>
              <w:rPr>
                <w:sz w:val="22"/>
              </w:rPr>
            </w:pPr>
            <w:r>
              <w:rPr>
                <w:spacing w:val="-4"/>
                <w:sz w:val="22"/>
              </w:rPr>
              <w:t>15.0</w:t>
            </w:r>
          </w:p>
        </w:tc>
        <w:tc>
          <w:tcPr>
            <w:tcW w:w="2021" w:type="dxa"/>
          </w:tcPr>
          <w:p>
            <w:pPr>
              <w:pStyle w:val="TableParagraph"/>
              <w:spacing w:before="71"/>
              <w:ind w:left="500"/>
              <w:rPr>
                <w:sz w:val="22"/>
              </w:rPr>
            </w:pPr>
            <w:r>
              <w:rPr>
                <w:spacing w:val="-4"/>
                <w:sz w:val="22"/>
              </w:rPr>
              <w:t>50.0</w:t>
            </w:r>
          </w:p>
        </w:tc>
      </w:tr>
      <w:tr>
        <w:trPr>
          <w:trHeight w:val="524" w:hRule="atLeast"/>
        </w:trPr>
        <w:tc>
          <w:tcPr>
            <w:tcW w:w="1574" w:type="dxa"/>
            <w:tcBorders>
              <w:bottom w:val="single" w:sz="4" w:space="0" w:color="000000"/>
            </w:tcBorders>
          </w:tcPr>
          <w:p>
            <w:pPr>
              <w:pStyle w:val="TableParagraph"/>
              <w:spacing w:before="70"/>
              <w:ind w:left="122"/>
              <w:rPr>
                <w:sz w:val="22"/>
              </w:rPr>
            </w:pPr>
            <w:r>
              <w:rPr>
                <w:spacing w:val="-2"/>
                <w:sz w:val="22"/>
              </w:rPr>
              <w:t>TS1234</w:t>
            </w:r>
          </w:p>
        </w:tc>
        <w:tc>
          <w:tcPr>
            <w:tcW w:w="1311" w:type="dxa"/>
            <w:tcBorders>
              <w:bottom w:val="single" w:sz="4" w:space="0" w:color="000000"/>
            </w:tcBorders>
          </w:tcPr>
          <w:p>
            <w:pPr>
              <w:pStyle w:val="TableParagraph"/>
              <w:spacing w:before="70"/>
              <w:ind w:left="207"/>
              <w:rPr>
                <w:sz w:val="22"/>
              </w:rPr>
            </w:pPr>
            <w:r>
              <w:rPr>
                <w:spacing w:val="-4"/>
                <w:sz w:val="22"/>
              </w:rPr>
              <w:t>65.0</w:t>
            </w:r>
          </w:p>
        </w:tc>
        <w:tc>
          <w:tcPr>
            <w:tcW w:w="1545" w:type="dxa"/>
            <w:tcBorders>
              <w:bottom w:val="single" w:sz="4" w:space="0" w:color="000000"/>
            </w:tcBorders>
          </w:tcPr>
          <w:p>
            <w:pPr>
              <w:pStyle w:val="TableParagraph"/>
              <w:spacing w:before="70"/>
              <w:ind w:left="513"/>
              <w:rPr>
                <w:sz w:val="22"/>
              </w:rPr>
            </w:pPr>
            <w:r>
              <w:rPr>
                <w:spacing w:val="-5"/>
                <w:sz w:val="22"/>
              </w:rPr>
              <w:t>NB</w:t>
            </w:r>
          </w:p>
        </w:tc>
        <w:tc>
          <w:tcPr>
            <w:tcW w:w="1719" w:type="dxa"/>
            <w:tcBorders>
              <w:bottom w:val="single" w:sz="4" w:space="0" w:color="000000"/>
            </w:tcBorders>
          </w:tcPr>
          <w:p>
            <w:pPr>
              <w:pStyle w:val="TableParagraph"/>
              <w:spacing w:before="70"/>
              <w:ind w:left="596"/>
              <w:rPr>
                <w:sz w:val="22"/>
              </w:rPr>
            </w:pPr>
            <w:r>
              <w:rPr>
                <w:spacing w:val="-4"/>
                <w:sz w:val="22"/>
              </w:rPr>
              <w:t>20.0</w:t>
            </w:r>
          </w:p>
        </w:tc>
        <w:tc>
          <w:tcPr>
            <w:tcW w:w="2021" w:type="dxa"/>
            <w:tcBorders>
              <w:bottom w:val="single" w:sz="4" w:space="0" w:color="000000"/>
            </w:tcBorders>
          </w:tcPr>
          <w:p>
            <w:pPr>
              <w:pStyle w:val="TableParagraph"/>
              <w:spacing w:before="70"/>
              <w:ind w:left="500"/>
              <w:rPr>
                <w:sz w:val="22"/>
              </w:rPr>
            </w:pPr>
            <w:r>
              <w:rPr>
                <w:spacing w:val="-4"/>
                <w:sz w:val="22"/>
              </w:rPr>
              <w:t>50.0</w:t>
            </w:r>
          </w:p>
        </w:tc>
      </w:tr>
    </w:tbl>
    <w:p>
      <w:pPr>
        <w:pStyle w:val="BodyText"/>
        <w:spacing w:line="357" w:lineRule="auto"/>
        <w:ind w:left="380" w:right="975"/>
      </w:pPr>
      <w:r>
        <w:rPr>
          <w:b/>
        </w:rPr>
        <w:t>Key:</w:t>
      </w:r>
      <w:r>
        <w:rPr>
          <w:b/>
          <w:spacing w:val="-3"/>
        </w:rPr>
        <w:t> </w:t>
      </w:r>
      <w:r>
        <w:rPr/>
        <w:t>MIC=Minimum</w:t>
      </w:r>
      <w:r>
        <w:rPr>
          <w:spacing w:val="-3"/>
        </w:rPr>
        <w:t> </w:t>
      </w:r>
      <w:r>
        <w:rPr/>
        <w:t>Inhibitory</w:t>
      </w:r>
      <w:r>
        <w:rPr>
          <w:spacing w:val="-5"/>
        </w:rPr>
        <w:t> </w:t>
      </w:r>
      <w:r>
        <w:rPr/>
        <w:t>Concentration,</w:t>
      </w:r>
      <w:r>
        <w:rPr>
          <w:spacing w:val="-5"/>
        </w:rPr>
        <w:t> </w:t>
      </w:r>
      <w:r>
        <w:rPr/>
        <w:t>MBC=</w:t>
      </w:r>
      <w:r>
        <w:rPr>
          <w:spacing w:val="-5"/>
        </w:rPr>
        <w:t> </w:t>
      </w:r>
      <w:r>
        <w:rPr/>
        <w:t>Minimum</w:t>
      </w:r>
      <w:r>
        <w:rPr>
          <w:spacing w:val="-3"/>
        </w:rPr>
        <w:t> </w:t>
      </w:r>
      <w:r>
        <w:rPr/>
        <w:t>Bactericidal</w:t>
      </w:r>
      <w:r>
        <w:rPr>
          <w:spacing w:val="-6"/>
        </w:rPr>
        <w:t> </w:t>
      </w:r>
      <w:r>
        <w:rPr/>
        <w:t>Concentration,</w:t>
      </w:r>
      <w:r>
        <w:rPr>
          <w:spacing w:val="-3"/>
        </w:rPr>
        <w:t> </w:t>
      </w:r>
      <w:r>
        <w:rPr/>
        <w:t>ES=Ear Swab, SP=Sputum, TS=Throat Swab, NB=Not Bactericidal.</w:t>
      </w:r>
    </w:p>
    <w:p>
      <w:pPr>
        <w:spacing w:after="0" w:line="357"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1"/>
      </w:pPr>
    </w:p>
    <w:p>
      <w:pPr>
        <w:spacing w:before="0"/>
        <w:ind w:left="380" w:right="0" w:firstLine="0"/>
        <w:jc w:val="left"/>
        <w:rPr>
          <w:b/>
          <w:i/>
          <w:sz w:val="22"/>
        </w:rPr>
      </w:pPr>
      <w:r>
        <w:rPr>
          <w:b/>
          <w:sz w:val="22"/>
        </w:rPr>
        <w:t>MIC</w:t>
      </w:r>
      <w:r>
        <w:rPr>
          <w:b/>
          <w:spacing w:val="-4"/>
          <w:sz w:val="22"/>
        </w:rPr>
        <w:t> </w:t>
      </w:r>
      <w:r>
        <w:rPr>
          <w:b/>
          <w:sz w:val="22"/>
        </w:rPr>
        <w:t>and</w:t>
      </w:r>
      <w:r>
        <w:rPr>
          <w:b/>
          <w:spacing w:val="-4"/>
          <w:sz w:val="22"/>
        </w:rPr>
        <w:t> </w:t>
      </w:r>
      <w:r>
        <w:rPr>
          <w:b/>
          <w:sz w:val="22"/>
        </w:rPr>
        <w:t>MBC</w:t>
      </w:r>
      <w:r>
        <w:rPr>
          <w:b/>
          <w:spacing w:val="-5"/>
          <w:sz w:val="22"/>
        </w:rPr>
        <w:t> </w:t>
      </w:r>
      <w:r>
        <w:rPr>
          <w:b/>
          <w:sz w:val="22"/>
        </w:rPr>
        <w:t>Test</w:t>
      </w:r>
      <w:r>
        <w:rPr>
          <w:b/>
          <w:spacing w:val="-3"/>
          <w:sz w:val="22"/>
        </w:rPr>
        <w:t> </w:t>
      </w:r>
      <w:r>
        <w:rPr>
          <w:b/>
          <w:sz w:val="22"/>
        </w:rPr>
        <w:t>of</w:t>
      </w:r>
      <w:r>
        <w:rPr>
          <w:b/>
          <w:spacing w:val="-5"/>
          <w:sz w:val="22"/>
        </w:rPr>
        <w:t> </w:t>
      </w:r>
      <w:r>
        <w:rPr>
          <w:b/>
          <w:sz w:val="22"/>
        </w:rPr>
        <w:t>Honey</w:t>
      </w:r>
      <w:r>
        <w:rPr>
          <w:b/>
          <w:spacing w:val="-3"/>
          <w:sz w:val="22"/>
        </w:rPr>
        <w:t> </w:t>
      </w:r>
      <w:r>
        <w:rPr>
          <w:b/>
          <w:sz w:val="22"/>
        </w:rPr>
        <w:t>and</w:t>
      </w:r>
      <w:r>
        <w:rPr>
          <w:b/>
          <w:spacing w:val="-4"/>
          <w:sz w:val="22"/>
        </w:rPr>
        <w:t> </w:t>
      </w:r>
      <w:r>
        <w:rPr>
          <w:b/>
          <w:sz w:val="22"/>
        </w:rPr>
        <w:t>Lemon</w:t>
      </w:r>
      <w:r>
        <w:rPr>
          <w:b/>
          <w:spacing w:val="-2"/>
          <w:sz w:val="22"/>
        </w:rPr>
        <w:t> </w:t>
      </w:r>
      <w:r>
        <w:rPr>
          <w:b/>
          <w:sz w:val="22"/>
        </w:rPr>
        <w:t>juice</w:t>
      </w:r>
      <w:r>
        <w:rPr>
          <w:b/>
          <w:spacing w:val="-5"/>
          <w:sz w:val="22"/>
        </w:rPr>
        <w:t> </w:t>
      </w:r>
      <w:r>
        <w:rPr>
          <w:b/>
          <w:sz w:val="22"/>
        </w:rPr>
        <w:t>(µg/ml)</w:t>
      </w:r>
      <w:r>
        <w:rPr>
          <w:b/>
          <w:spacing w:val="-4"/>
          <w:sz w:val="22"/>
        </w:rPr>
        <w:t> </w:t>
      </w:r>
      <w:r>
        <w:rPr>
          <w:b/>
          <w:sz w:val="22"/>
        </w:rPr>
        <w:t>against</w:t>
      </w:r>
      <w:r>
        <w:rPr>
          <w:b/>
          <w:spacing w:val="-5"/>
          <w:sz w:val="22"/>
        </w:rPr>
        <w:t> </w:t>
      </w:r>
      <w:r>
        <w:rPr>
          <w:b/>
          <w:i/>
          <w:sz w:val="22"/>
        </w:rPr>
        <w:t>Staphylococcus</w:t>
      </w:r>
      <w:r>
        <w:rPr>
          <w:b/>
          <w:i/>
          <w:spacing w:val="-5"/>
          <w:sz w:val="22"/>
        </w:rPr>
        <w:t> </w:t>
      </w:r>
      <w:r>
        <w:rPr>
          <w:b/>
          <w:i/>
          <w:spacing w:val="-2"/>
          <w:sz w:val="22"/>
        </w:rPr>
        <w:t>aureus</w:t>
      </w:r>
    </w:p>
    <w:p>
      <w:pPr>
        <w:pStyle w:val="BodyText"/>
        <w:spacing w:before="3"/>
        <w:rPr>
          <w:b/>
          <w:i/>
          <w:sz w:val="15"/>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0"/>
        <w:gridCol w:w="1433"/>
        <w:gridCol w:w="1703"/>
        <w:gridCol w:w="1874"/>
        <w:gridCol w:w="2252"/>
      </w:tblGrid>
      <w:tr>
        <w:trPr>
          <w:trHeight w:val="600" w:hRule="atLeast"/>
        </w:trPr>
        <w:tc>
          <w:tcPr>
            <w:tcW w:w="1680" w:type="dxa"/>
            <w:tcBorders>
              <w:top w:val="single" w:sz="4" w:space="0" w:color="000000"/>
            </w:tcBorders>
          </w:tcPr>
          <w:p>
            <w:pPr>
              <w:pStyle w:val="TableParagraph"/>
              <w:spacing w:line="265" w:lineRule="exact"/>
              <w:ind w:left="386"/>
              <w:rPr>
                <w:b/>
                <w:sz w:val="22"/>
              </w:rPr>
            </w:pPr>
            <w:r>
              <w:rPr>
                <w:b/>
                <w:sz w:val="22"/>
              </w:rPr>
              <w:t>Sample</w:t>
            </w:r>
            <w:r>
              <w:rPr>
                <w:b/>
                <w:spacing w:val="-7"/>
                <w:sz w:val="22"/>
              </w:rPr>
              <w:t> </w:t>
            </w:r>
            <w:r>
              <w:rPr>
                <w:b/>
                <w:spacing w:val="-5"/>
                <w:sz w:val="22"/>
              </w:rPr>
              <w:t>No.</w:t>
            </w:r>
          </w:p>
        </w:tc>
        <w:tc>
          <w:tcPr>
            <w:tcW w:w="1433" w:type="dxa"/>
            <w:tcBorders>
              <w:top w:val="single" w:sz="4" w:space="0" w:color="000000"/>
            </w:tcBorders>
          </w:tcPr>
          <w:p>
            <w:pPr>
              <w:pStyle w:val="TableParagraph"/>
              <w:spacing w:line="265" w:lineRule="exact"/>
              <w:ind w:left="247"/>
              <w:rPr>
                <w:b/>
                <w:sz w:val="22"/>
              </w:rPr>
            </w:pPr>
            <w:r>
              <w:rPr>
                <w:b/>
                <w:spacing w:val="-5"/>
                <w:sz w:val="22"/>
              </w:rPr>
              <w:t>MIC</w:t>
            </w:r>
          </w:p>
        </w:tc>
        <w:tc>
          <w:tcPr>
            <w:tcW w:w="1703" w:type="dxa"/>
            <w:tcBorders>
              <w:top w:val="single" w:sz="4" w:space="0" w:color="000000"/>
            </w:tcBorders>
          </w:tcPr>
          <w:p>
            <w:pPr>
              <w:pStyle w:val="TableParagraph"/>
              <w:spacing w:line="265" w:lineRule="exact"/>
              <w:ind w:left="597"/>
              <w:rPr>
                <w:b/>
                <w:sz w:val="22"/>
              </w:rPr>
            </w:pPr>
            <w:r>
              <w:rPr>
                <w:b/>
                <w:spacing w:val="-5"/>
                <w:sz w:val="22"/>
              </w:rPr>
              <w:t>MBC</w:t>
            </w:r>
          </w:p>
        </w:tc>
        <w:tc>
          <w:tcPr>
            <w:tcW w:w="1874" w:type="dxa"/>
            <w:tcBorders>
              <w:top w:val="single" w:sz="4" w:space="0" w:color="000000"/>
            </w:tcBorders>
          </w:tcPr>
          <w:p>
            <w:pPr>
              <w:pStyle w:val="TableParagraph"/>
              <w:spacing w:line="265" w:lineRule="exact"/>
              <w:ind w:left="673"/>
              <w:rPr>
                <w:b/>
                <w:sz w:val="22"/>
              </w:rPr>
            </w:pPr>
            <w:r>
              <w:rPr>
                <w:b/>
                <w:spacing w:val="-5"/>
                <w:sz w:val="22"/>
              </w:rPr>
              <w:t>MIC</w:t>
            </w:r>
          </w:p>
        </w:tc>
        <w:tc>
          <w:tcPr>
            <w:tcW w:w="2252" w:type="dxa"/>
            <w:tcBorders>
              <w:top w:val="single" w:sz="4" w:space="0" w:color="000000"/>
            </w:tcBorders>
          </w:tcPr>
          <w:p>
            <w:pPr>
              <w:pStyle w:val="TableParagraph"/>
              <w:spacing w:line="265" w:lineRule="exact"/>
              <w:ind w:left="583"/>
              <w:rPr>
                <w:b/>
                <w:sz w:val="22"/>
              </w:rPr>
            </w:pPr>
            <w:r>
              <w:rPr>
                <w:b/>
                <w:spacing w:val="-5"/>
                <w:sz w:val="22"/>
              </w:rPr>
              <w:t>MBC</w:t>
            </w:r>
          </w:p>
        </w:tc>
      </w:tr>
      <w:tr>
        <w:trPr>
          <w:trHeight w:val="747" w:hRule="atLeast"/>
        </w:trPr>
        <w:tc>
          <w:tcPr>
            <w:tcW w:w="1680" w:type="dxa"/>
            <w:tcBorders>
              <w:bottom w:val="single" w:sz="4" w:space="0" w:color="000000"/>
            </w:tcBorders>
          </w:tcPr>
          <w:p>
            <w:pPr>
              <w:pStyle w:val="TableParagraph"/>
              <w:rPr>
                <w:rFonts w:ascii="Times New Roman"/>
                <w:sz w:val="22"/>
              </w:rPr>
            </w:pPr>
          </w:p>
        </w:tc>
        <w:tc>
          <w:tcPr>
            <w:tcW w:w="1433" w:type="dxa"/>
            <w:tcBorders>
              <w:bottom w:val="single" w:sz="4" w:space="0" w:color="000000"/>
            </w:tcBorders>
          </w:tcPr>
          <w:p>
            <w:pPr>
              <w:pStyle w:val="TableParagraph"/>
              <w:spacing w:before="27"/>
              <w:rPr>
                <w:b/>
                <w:i/>
                <w:sz w:val="22"/>
              </w:rPr>
            </w:pPr>
          </w:p>
          <w:p>
            <w:pPr>
              <w:pStyle w:val="TableParagraph"/>
              <w:ind w:left="247"/>
              <w:rPr>
                <w:b/>
                <w:sz w:val="22"/>
              </w:rPr>
            </w:pPr>
            <w:r>
              <w:rPr>
                <w:b/>
                <w:spacing w:val="-2"/>
                <w:sz w:val="22"/>
              </w:rPr>
              <w:t>Honey</w:t>
            </w:r>
          </w:p>
        </w:tc>
        <w:tc>
          <w:tcPr>
            <w:tcW w:w="1703" w:type="dxa"/>
            <w:tcBorders>
              <w:bottom w:val="single" w:sz="4" w:space="0" w:color="000000"/>
            </w:tcBorders>
          </w:tcPr>
          <w:p>
            <w:pPr>
              <w:pStyle w:val="TableParagraph"/>
              <w:rPr>
                <w:rFonts w:ascii="Times New Roman"/>
                <w:sz w:val="22"/>
              </w:rPr>
            </w:pPr>
          </w:p>
        </w:tc>
        <w:tc>
          <w:tcPr>
            <w:tcW w:w="1874" w:type="dxa"/>
            <w:tcBorders>
              <w:bottom w:val="single" w:sz="4" w:space="0" w:color="000000"/>
            </w:tcBorders>
          </w:tcPr>
          <w:p>
            <w:pPr>
              <w:pStyle w:val="TableParagraph"/>
              <w:spacing w:before="27"/>
              <w:rPr>
                <w:b/>
                <w:i/>
                <w:sz w:val="22"/>
              </w:rPr>
            </w:pPr>
          </w:p>
          <w:p>
            <w:pPr>
              <w:pStyle w:val="TableParagraph"/>
              <w:ind w:left="673"/>
              <w:rPr>
                <w:b/>
                <w:sz w:val="22"/>
              </w:rPr>
            </w:pPr>
            <w:r>
              <w:rPr>
                <w:b/>
                <w:spacing w:val="-2"/>
                <w:sz w:val="22"/>
              </w:rPr>
              <w:t>Lemon</w:t>
            </w:r>
          </w:p>
        </w:tc>
        <w:tc>
          <w:tcPr>
            <w:tcW w:w="2252" w:type="dxa"/>
            <w:tcBorders>
              <w:bottom w:val="single" w:sz="4" w:space="0" w:color="000000"/>
            </w:tcBorders>
          </w:tcPr>
          <w:p>
            <w:pPr>
              <w:pStyle w:val="TableParagraph"/>
              <w:rPr>
                <w:rFonts w:ascii="Times New Roman"/>
                <w:sz w:val="22"/>
              </w:rPr>
            </w:pPr>
          </w:p>
        </w:tc>
      </w:tr>
      <w:tr>
        <w:trPr>
          <w:trHeight w:val="376" w:hRule="atLeast"/>
        </w:trPr>
        <w:tc>
          <w:tcPr>
            <w:tcW w:w="1680" w:type="dxa"/>
            <w:tcBorders>
              <w:top w:val="single" w:sz="4" w:space="0" w:color="000000"/>
            </w:tcBorders>
          </w:tcPr>
          <w:p>
            <w:pPr>
              <w:pStyle w:val="TableParagraph"/>
              <w:spacing w:line="265" w:lineRule="exact"/>
              <w:ind w:left="108"/>
              <w:rPr>
                <w:sz w:val="22"/>
              </w:rPr>
            </w:pPr>
            <w:r>
              <w:rPr>
                <w:sz w:val="22"/>
              </w:rPr>
              <w:t>NS</w:t>
            </w:r>
            <w:r>
              <w:rPr>
                <w:spacing w:val="-1"/>
                <w:sz w:val="22"/>
              </w:rPr>
              <w:t> </w:t>
            </w:r>
            <w:r>
              <w:rPr>
                <w:spacing w:val="-5"/>
                <w:sz w:val="22"/>
              </w:rPr>
              <w:t>256</w:t>
            </w:r>
          </w:p>
        </w:tc>
        <w:tc>
          <w:tcPr>
            <w:tcW w:w="1433" w:type="dxa"/>
            <w:tcBorders>
              <w:top w:val="single" w:sz="4" w:space="0" w:color="000000"/>
            </w:tcBorders>
          </w:tcPr>
          <w:p>
            <w:pPr>
              <w:pStyle w:val="TableParagraph"/>
              <w:spacing w:line="265" w:lineRule="exact"/>
              <w:ind w:left="247"/>
              <w:rPr>
                <w:sz w:val="22"/>
              </w:rPr>
            </w:pPr>
            <w:r>
              <w:rPr>
                <w:spacing w:val="-4"/>
                <w:sz w:val="22"/>
              </w:rPr>
              <w:t>47.5</w:t>
            </w:r>
          </w:p>
        </w:tc>
        <w:tc>
          <w:tcPr>
            <w:tcW w:w="1703" w:type="dxa"/>
            <w:tcBorders>
              <w:top w:val="single" w:sz="4" w:space="0" w:color="000000"/>
            </w:tcBorders>
          </w:tcPr>
          <w:p>
            <w:pPr>
              <w:pStyle w:val="TableParagraph"/>
              <w:spacing w:line="265" w:lineRule="exact"/>
              <w:ind w:left="597"/>
              <w:rPr>
                <w:sz w:val="22"/>
              </w:rPr>
            </w:pPr>
            <w:r>
              <w:rPr>
                <w:spacing w:val="-4"/>
                <w:sz w:val="22"/>
              </w:rPr>
              <w:t>95.0</w:t>
            </w:r>
          </w:p>
        </w:tc>
        <w:tc>
          <w:tcPr>
            <w:tcW w:w="1874" w:type="dxa"/>
            <w:tcBorders>
              <w:top w:val="single" w:sz="4" w:space="0" w:color="000000"/>
            </w:tcBorders>
          </w:tcPr>
          <w:p>
            <w:pPr>
              <w:pStyle w:val="TableParagraph"/>
              <w:spacing w:line="265" w:lineRule="exact"/>
              <w:ind w:left="673"/>
              <w:rPr>
                <w:sz w:val="22"/>
              </w:rPr>
            </w:pPr>
            <w:r>
              <w:rPr>
                <w:spacing w:val="-4"/>
                <w:sz w:val="22"/>
              </w:rPr>
              <w:t>17.5</w:t>
            </w:r>
          </w:p>
        </w:tc>
        <w:tc>
          <w:tcPr>
            <w:tcW w:w="2252" w:type="dxa"/>
            <w:tcBorders>
              <w:top w:val="single" w:sz="4" w:space="0" w:color="000000"/>
            </w:tcBorders>
          </w:tcPr>
          <w:p>
            <w:pPr>
              <w:pStyle w:val="TableParagraph"/>
              <w:spacing w:line="265" w:lineRule="exact"/>
              <w:ind w:left="583"/>
              <w:rPr>
                <w:sz w:val="22"/>
              </w:rPr>
            </w:pPr>
            <w:r>
              <w:rPr>
                <w:spacing w:val="-4"/>
                <w:sz w:val="22"/>
              </w:rPr>
              <w:t>45.0</w:t>
            </w:r>
          </w:p>
        </w:tc>
      </w:tr>
      <w:tr>
        <w:trPr>
          <w:trHeight w:val="450" w:hRule="atLeast"/>
        </w:trPr>
        <w:tc>
          <w:tcPr>
            <w:tcW w:w="1680" w:type="dxa"/>
          </w:tcPr>
          <w:p>
            <w:pPr>
              <w:pStyle w:val="TableParagraph"/>
              <w:spacing w:before="71"/>
              <w:ind w:left="108"/>
              <w:rPr>
                <w:sz w:val="22"/>
              </w:rPr>
            </w:pPr>
            <w:r>
              <w:rPr>
                <w:sz w:val="22"/>
              </w:rPr>
              <w:t>NS</w:t>
            </w:r>
            <w:r>
              <w:rPr>
                <w:spacing w:val="-1"/>
                <w:sz w:val="22"/>
              </w:rPr>
              <w:t> </w:t>
            </w:r>
            <w:r>
              <w:rPr>
                <w:spacing w:val="-5"/>
                <w:sz w:val="22"/>
              </w:rPr>
              <w:t>893</w:t>
            </w:r>
          </w:p>
        </w:tc>
        <w:tc>
          <w:tcPr>
            <w:tcW w:w="1433" w:type="dxa"/>
          </w:tcPr>
          <w:p>
            <w:pPr>
              <w:pStyle w:val="TableParagraph"/>
              <w:spacing w:before="71"/>
              <w:ind w:left="247"/>
              <w:rPr>
                <w:sz w:val="22"/>
              </w:rPr>
            </w:pPr>
            <w:r>
              <w:rPr>
                <w:spacing w:val="-4"/>
                <w:sz w:val="22"/>
              </w:rPr>
              <w:t>45.0</w:t>
            </w:r>
          </w:p>
        </w:tc>
        <w:tc>
          <w:tcPr>
            <w:tcW w:w="1703" w:type="dxa"/>
          </w:tcPr>
          <w:p>
            <w:pPr>
              <w:pStyle w:val="TableParagraph"/>
              <w:spacing w:before="71"/>
              <w:ind w:left="597"/>
              <w:rPr>
                <w:sz w:val="22"/>
              </w:rPr>
            </w:pPr>
            <w:r>
              <w:rPr>
                <w:spacing w:val="-4"/>
                <w:sz w:val="22"/>
              </w:rPr>
              <w:t>90.0</w:t>
            </w:r>
          </w:p>
        </w:tc>
        <w:tc>
          <w:tcPr>
            <w:tcW w:w="1874" w:type="dxa"/>
          </w:tcPr>
          <w:p>
            <w:pPr>
              <w:pStyle w:val="TableParagraph"/>
              <w:spacing w:before="71"/>
              <w:ind w:left="673"/>
              <w:rPr>
                <w:sz w:val="22"/>
              </w:rPr>
            </w:pPr>
            <w:r>
              <w:rPr>
                <w:spacing w:val="-4"/>
                <w:sz w:val="22"/>
              </w:rPr>
              <w:t>15.0</w:t>
            </w:r>
          </w:p>
        </w:tc>
        <w:tc>
          <w:tcPr>
            <w:tcW w:w="2252" w:type="dxa"/>
          </w:tcPr>
          <w:p>
            <w:pPr>
              <w:pStyle w:val="TableParagraph"/>
              <w:spacing w:before="71"/>
              <w:ind w:left="583"/>
              <w:rPr>
                <w:sz w:val="22"/>
              </w:rPr>
            </w:pPr>
            <w:r>
              <w:rPr>
                <w:spacing w:val="-4"/>
                <w:sz w:val="22"/>
              </w:rPr>
              <w:t>25.0</w:t>
            </w:r>
          </w:p>
        </w:tc>
      </w:tr>
      <w:tr>
        <w:trPr>
          <w:trHeight w:val="449" w:hRule="atLeast"/>
        </w:trPr>
        <w:tc>
          <w:tcPr>
            <w:tcW w:w="1680" w:type="dxa"/>
          </w:tcPr>
          <w:p>
            <w:pPr>
              <w:pStyle w:val="TableParagraph"/>
              <w:spacing w:before="70"/>
              <w:ind w:left="108"/>
              <w:rPr>
                <w:sz w:val="22"/>
              </w:rPr>
            </w:pPr>
            <w:r>
              <w:rPr>
                <w:sz w:val="22"/>
              </w:rPr>
              <w:t>SP</w:t>
            </w:r>
            <w:r>
              <w:rPr>
                <w:spacing w:val="1"/>
                <w:sz w:val="22"/>
              </w:rPr>
              <w:t> </w:t>
            </w:r>
            <w:r>
              <w:rPr>
                <w:spacing w:val="-5"/>
                <w:sz w:val="22"/>
              </w:rPr>
              <w:t>260</w:t>
            </w:r>
          </w:p>
        </w:tc>
        <w:tc>
          <w:tcPr>
            <w:tcW w:w="1433" w:type="dxa"/>
          </w:tcPr>
          <w:p>
            <w:pPr>
              <w:pStyle w:val="TableParagraph"/>
              <w:spacing w:before="70"/>
              <w:ind w:left="247"/>
              <w:rPr>
                <w:sz w:val="22"/>
              </w:rPr>
            </w:pPr>
            <w:r>
              <w:rPr>
                <w:spacing w:val="-4"/>
                <w:sz w:val="22"/>
              </w:rPr>
              <w:t>35.0</w:t>
            </w:r>
          </w:p>
        </w:tc>
        <w:tc>
          <w:tcPr>
            <w:tcW w:w="1703" w:type="dxa"/>
          </w:tcPr>
          <w:p>
            <w:pPr>
              <w:pStyle w:val="TableParagraph"/>
              <w:spacing w:before="70"/>
              <w:ind w:left="597"/>
              <w:rPr>
                <w:sz w:val="22"/>
              </w:rPr>
            </w:pPr>
            <w:r>
              <w:rPr>
                <w:spacing w:val="-4"/>
                <w:sz w:val="22"/>
              </w:rPr>
              <w:t>90.0</w:t>
            </w:r>
          </w:p>
        </w:tc>
        <w:tc>
          <w:tcPr>
            <w:tcW w:w="1874" w:type="dxa"/>
          </w:tcPr>
          <w:p>
            <w:pPr>
              <w:pStyle w:val="TableParagraph"/>
              <w:spacing w:before="70"/>
              <w:ind w:left="673"/>
              <w:rPr>
                <w:sz w:val="22"/>
              </w:rPr>
            </w:pPr>
            <w:r>
              <w:rPr>
                <w:spacing w:val="-4"/>
                <w:sz w:val="22"/>
              </w:rPr>
              <w:t>15.0</w:t>
            </w:r>
          </w:p>
        </w:tc>
        <w:tc>
          <w:tcPr>
            <w:tcW w:w="2252" w:type="dxa"/>
          </w:tcPr>
          <w:p>
            <w:pPr>
              <w:pStyle w:val="TableParagraph"/>
              <w:spacing w:before="70"/>
              <w:ind w:left="583"/>
              <w:rPr>
                <w:sz w:val="22"/>
              </w:rPr>
            </w:pPr>
            <w:r>
              <w:rPr>
                <w:spacing w:val="-4"/>
                <w:sz w:val="22"/>
              </w:rPr>
              <w:t>35.0</w:t>
            </w:r>
          </w:p>
        </w:tc>
      </w:tr>
      <w:tr>
        <w:trPr>
          <w:trHeight w:val="450" w:hRule="atLeast"/>
        </w:trPr>
        <w:tc>
          <w:tcPr>
            <w:tcW w:w="1680" w:type="dxa"/>
          </w:tcPr>
          <w:p>
            <w:pPr>
              <w:pStyle w:val="TableParagraph"/>
              <w:spacing w:before="70"/>
              <w:ind w:left="108"/>
              <w:rPr>
                <w:sz w:val="22"/>
              </w:rPr>
            </w:pPr>
            <w:r>
              <w:rPr>
                <w:sz w:val="22"/>
              </w:rPr>
              <w:t>SP</w:t>
            </w:r>
            <w:r>
              <w:rPr>
                <w:spacing w:val="1"/>
                <w:sz w:val="22"/>
              </w:rPr>
              <w:t> </w:t>
            </w:r>
            <w:r>
              <w:rPr>
                <w:spacing w:val="-5"/>
                <w:sz w:val="22"/>
              </w:rPr>
              <w:t>277</w:t>
            </w:r>
          </w:p>
        </w:tc>
        <w:tc>
          <w:tcPr>
            <w:tcW w:w="1433" w:type="dxa"/>
          </w:tcPr>
          <w:p>
            <w:pPr>
              <w:pStyle w:val="TableParagraph"/>
              <w:spacing w:before="70"/>
              <w:ind w:left="247"/>
              <w:rPr>
                <w:sz w:val="22"/>
              </w:rPr>
            </w:pPr>
            <w:r>
              <w:rPr>
                <w:spacing w:val="-4"/>
                <w:sz w:val="22"/>
              </w:rPr>
              <w:t>30.0</w:t>
            </w:r>
          </w:p>
        </w:tc>
        <w:tc>
          <w:tcPr>
            <w:tcW w:w="1703" w:type="dxa"/>
          </w:tcPr>
          <w:p>
            <w:pPr>
              <w:pStyle w:val="TableParagraph"/>
              <w:spacing w:before="70"/>
              <w:ind w:left="597"/>
              <w:rPr>
                <w:sz w:val="22"/>
              </w:rPr>
            </w:pPr>
            <w:r>
              <w:rPr>
                <w:spacing w:val="-5"/>
                <w:sz w:val="22"/>
              </w:rPr>
              <w:t>100</w:t>
            </w:r>
          </w:p>
        </w:tc>
        <w:tc>
          <w:tcPr>
            <w:tcW w:w="1874" w:type="dxa"/>
          </w:tcPr>
          <w:p>
            <w:pPr>
              <w:pStyle w:val="TableParagraph"/>
              <w:spacing w:before="70"/>
              <w:ind w:left="673"/>
              <w:rPr>
                <w:sz w:val="22"/>
              </w:rPr>
            </w:pPr>
            <w:r>
              <w:rPr>
                <w:spacing w:val="-4"/>
                <w:sz w:val="22"/>
              </w:rPr>
              <w:t>15.0</w:t>
            </w:r>
          </w:p>
        </w:tc>
        <w:tc>
          <w:tcPr>
            <w:tcW w:w="2252" w:type="dxa"/>
          </w:tcPr>
          <w:p>
            <w:pPr>
              <w:pStyle w:val="TableParagraph"/>
              <w:spacing w:before="70"/>
              <w:ind w:left="583"/>
              <w:rPr>
                <w:sz w:val="22"/>
              </w:rPr>
            </w:pPr>
            <w:r>
              <w:rPr>
                <w:spacing w:val="-4"/>
                <w:sz w:val="22"/>
              </w:rPr>
              <w:t>45.0</w:t>
            </w:r>
          </w:p>
        </w:tc>
      </w:tr>
      <w:tr>
        <w:trPr>
          <w:trHeight w:val="450" w:hRule="atLeast"/>
        </w:trPr>
        <w:tc>
          <w:tcPr>
            <w:tcW w:w="1680" w:type="dxa"/>
          </w:tcPr>
          <w:p>
            <w:pPr>
              <w:pStyle w:val="TableParagraph"/>
              <w:spacing w:before="71"/>
              <w:ind w:left="108"/>
              <w:rPr>
                <w:sz w:val="22"/>
              </w:rPr>
            </w:pPr>
            <w:r>
              <w:rPr>
                <w:sz w:val="22"/>
              </w:rPr>
              <w:t>SP</w:t>
            </w:r>
            <w:r>
              <w:rPr>
                <w:spacing w:val="1"/>
                <w:sz w:val="22"/>
              </w:rPr>
              <w:t> </w:t>
            </w:r>
            <w:r>
              <w:rPr>
                <w:spacing w:val="-5"/>
                <w:sz w:val="22"/>
              </w:rPr>
              <w:t>278</w:t>
            </w:r>
          </w:p>
        </w:tc>
        <w:tc>
          <w:tcPr>
            <w:tcW w:w="1433" w:type="dxa"/>
          </w:tcPr>
          <w:p>
            <w:pPr>
              <w:pStyle w:val="TableParagraph"/>
              <w:spacing w:before="71"/>
              <w:ind w:left="247"/>
              <w:rPr>
                <w:sz w:val="22"/>
              </w:rPr>
            </w:pPr>
            <w:r>
              <w:rPr>
                <w:spacing w:val="-4"/>
                <w:sz w:val="22"/>
              </w:rPr>
              <w:t>42.5</w:t>
            </w:r>
          </w:p>
        </w:tc>
        <w:tc>
          <w:tcPr>
            <w:tcW w:w="1703" w:type="dxa"/>
          </w:tcPr>
          <w:p>
            <w:pPr>
              <w:pStyle w:val="TableParagraph"/>
              <w:spacing w:before="71"/>
              <w:ind w:left="597"/>
              <w:rPr>
                <w:sz w:val="22"/>
              </w:rPr>
            </w:pPr>
            <w:r>
              <w:rPr>
                <w:spacing w:val="-4"/>
                <w:sz w:val="22"/>
              </w:rPr>
              <w:t>90.0</w:t>
            </w:r>
          </w:p>
        </w:tc>
        <w:tc>
          <w:tcPr>
            <w:tcW w:w="1874" w:type="dxa"/>
          </w:tcPr>
          <w:p>
            <w:pPr>
              <w:pStyle w:val="TableParagraph"/>
              <w:spacing w:before="71"/>
              <w:ind w:left="673"/>
              <w:rPr>
                <w:sz w:val="22"/>
              </w:rPr>
            </w:pPr>
            <w:r>
              <w:rPr>
                <w:spacing w:val="-4"/>
                <w:sz w:val="22"/>
              </w:rPr>
              <w:t>15.0</w:t>
            </w:r>
          </w:p>
        </w:tc>
        <w:tc>
          <w:tcPr>
            <w:tcW w:w="2252" w:type="dxa"/>
          </w:tcPr>
          <w:p>
            <w:pPr>
              <w:pStyle w:val="TableParagraph"/>
              <w:spacing w:before="71"/>
              <w:ind w:left="583"/>
              <w:rPr>
                <w:sz w:val="22"/>
              </w:rPr>
            </w:pPr>
            <w:r>
              <w:rPr>
                <w:spacing w:val="-4"/>
                <w:sz w:val="22"/>
              </w:rPr>
              <w:t>50.0</w:t>
            </w:r>
          </w:p>
        </w:tc>
      </w:tr>
      <w:tr>
        <w:trPr>
          <w:trHeight w:val="450" w:hRule="atLeast"/>
        </w:trPr>
        <w:tc>
          <w:tcPr>
            <w:tcW w:w="1680" w:type="dxa"/>
          </w:tcPr>
          <w:p>
            <w:pPr>
              <w:pStyle w:val="TableParagraph"/>
              <w:spacing w:before="70"/>
              <w:ind w:left="108"/>
              <w:rPr>
                <w:sz w:val="22"/>
              </w:rPr>
            </w:pPr>
            <w:r>
              <w:rPr>
                <w:sz w:val="22"/>
              </w:rPr>
              <w:t>SP</w:t>
            </w:r>
            <w:r>
              <w:rPr>
                <w:spacing w:val="1"/>
                <w:sz w:val="22"/>
              </w:rPr>
              <w:t> </w:t>
            </w:r>
            <w:r>
              <w:rPr>
                <w:spacing w:val="-5"/>
                <w:sz w:val="22"/>
              </w:rPr>
              <w:t>307</w:t>
            </w:r>
          </w:p>
        </w:tc>
        <w:tc>
          <w:tcPr>
            <w:tcW w:w="1433" w:type="dxa"/>
          </w:tcPr>
          <w:p>
            <w:pPr>
              <w:pStyle w:val="TableParagraph"/>
              <w:spacing w:before="70"/>
              <w:ind w:left="247"/>
              <w:rPr>
                <w:sz w:val="22"/>
              </w:rPr>
            </w:pPr>
            <w:r>
              <w:rPr>
                <w:spacing w:val="-4"/>
                <w:sz w:val="22"/>
              </w:rPr>
              <w:t>55.0</w:t>
            </w:r>
          </w:p>
        </w:tc>
        <w:tc>
          <w:tcPr>
            <w:tcW w:w="1703" w:type="dxa"/>
          </w:tcPr>
          <w:p>
            <w:pPr>
              <w:pStyle w:val="TableParagraph"/>
              <w:spacing w:before="70"/>
              <w:ind w:left="597"/>
              <w:rPr>
                <w:sz w:val="22"/>
              </w:rPr>
            </w:pPr>
            <w:r>
              <w:rPr>
                <w:spacing w:val="-5"/>
                <w:sz w:val="22"/>
              </w:rPr>
              <w:t>NB</w:t>
            </w:r>
          </w:p>
        </w:tc>
        <w:tc>
          <w:tcPr>
            <w:tcW w:w="1874" w:type="dxa"/>
          </w:tcPr>
          <w:p>
            <w:pPr>
              <w:pStyle w:val="TableParagraph"/>
              <w:spacing w:before="70"/>
              <w:ind w:left="673"/>
              <w:rPr>
                <w:sz w:val="22"/>
              </w:rPr>
            </w:pPr>
            <w:r>
              <w:rPr>
                <w:spacing w:val="-4"/>
                <w:sz w:val="22"/>
              </w:rPr>
              <w:t>20.0</w:t>
            </w:r>
          </w:p>
        </w:tc>
        <w:tc>
          <w:tcPr>
            <w:tcW w:w="2252" w:type="dxa"/>
          </w:tcPr>
          <w:p>
            <w:pPr>
              <w:pStyle w:val="TableParagraph"/>
              <w:spacing w:before="70"/>
              <w:ind w:left="583"/>
              <w:rPr>
                <w:sz w:val="22"/>
              </w:rPr>
            </w:pPr>
            <w:r>
              <w:rPr>
                <w:spacing w:val="-4"/>
                <w:sz w:val="22"/>
              </w:rPr>
              <w:t>60.0</w:t>
            </w:r>
          </w:p>
        </w:tc>
      </w:tr>
      <w:tr>
        <w:trPr>
          <w:trHeight w:val="450" w:hRule="atLeast"/>
        </w:trPr>
        <w:tc>
          <w:tcPr>
            <w:tcW w:w="1680" w:type="dxa"/>
          </w:tcPr>
          <w:p>
            <w:pPr>
              <w:pStyle w:val="TableParagraph"/>
              <w:spacing w:before="71"/>
              <w:ind w:left="108"/>
              <w:rPr>
                <w:sz w:val="22"/>
              </w:rPr>
            </w:pPr>
            <w:r>
              <w:rPr>
                <w:sz w:val="22"/>
              </w:rPr>
              <w:t>SP</w:t>
            </w:r>
            <w:r>
              <w:rPr>
                <w:spacing w:val="1"/>
                <w:sz w:val="22"/>
              </w:rPr>
              <w:t> </w:t>
            </w:r>
            <w:r>
              <w:rPr>
                <w:spacing w:val="-5"/>
                <w:sz w:val="22"/>
              </w:rPr>
              <w:t>334</w:t>
            </w:r>
          </w:p>
        </w:tc>
        <w:tc>
          <w:tcPr>
            <w:tcW w:w="1433" w:type="dxa"/>
          </w:tcPr>
          <w:p>
            <w:pPr>
              <w:pStyle w:val="TableParagraph"/>
              <w:spacing w:before="71"/>
              <w:ind w:left="247"/>
              <w:rPr>
                <w:sz w:val="22"/>
              </w:rPr>
            </w:pPr>
            <w:r>
              <w:rPr>
                <w:spacing w:val="-4"/>
                <w:sz w:val="22"/>
              </w:rPr>
              <w:t>50.0</w:t>
            </w:r>
          </w:p>
        </w:tc>
        <w:tc>
          <w:tcPr>
            <w:tcW w:w="1703" w:type="dxa"/>
          </w:tcPr>
          <w:p>
            <w:pPr>
              <w:pStyle w:val="TableParagraph"/>
              <w:spacing w:before="71"/>
              <w:ind w:left="597"/>
              <w:rPr>
                <w:sz w:val="22"/>
              </w:rPr>
            </w:pPr>
            <w:r>
              <w:rPr>
                <w:spacing w:val="-4"/>
                <w:sz w:val="22"/>
              </w:rPr>
              <w:t>95.0</w:t>
            </w:r>
          </w:p>
        </w:tc>
        <w:tc>
          <w:tcPr>
            <w:tcW w:w="1874" w:type="dxa"/>
          </w:tcPr>
          <w:p>
            <w:pPr>
              <w:pStyle w:val="TableParagraph"/>
              <w:spacing w:before="71"/>
              <w:ind w:left="673"/>
              <w:rPr>
                <w:sz w:val="22"/>
              </w:rPr>
            </w:pPr>
            <w:r>
              <w:rPr>
                <w:spacing w:val="-4"/>
                <w:sz w:val="22"/>
              </w:rPr>
              <w:t>35.0</w:t>
            </w:r>
          </w:p>
        </w:tc>
        <w:tc>
          <w:tcPr>
            <w:tcW w:w="2252" w:type="dxa"/>
          </w:tcPr>
          <w:p>
            <w:pPr>
              <w:pStyle w:val="TableParagraph"/>
              <w:spacing w:before="71"/>
              <w:ind w:left="583"/>
              <w:rPr>
                <w:sz w:val="22"/>
              </w:rPr>
            </w:pPr>
            <w:r>
              <w:rPr>
                <w:spacing w:val="-4"/>
                <w:sz w:val="22"/>
              </w:rPr>
              <w:t>45.0</w:t>
            </w:r>
          </w:p>
        </w:tc>
      </w:tr>
      <w:tr>
        <w:trPr>
          <w:trHeight w:val="450" w:hRule="atLeast"/>
        </w:trPr>
        <w:tc>
          <w:tcPr>
            <w:tcW w:w="1680" w:type="dxa"/>
          </w:tcPr>
          <w:p>
            <w:pPr>
              <w:pStyle w:val="TableParagraph"/>
              <w:spacing w:before="70"/>
              <w:ind w:left="108"/>
              <w:rPr>
                <w:sz w:val="22"/>
              </w:rPr>
            </w:pPr>
            <w:r>
              <w:rPr>
                <w:spacing w:val="-2"/>
                <w:sz w:val="22"/>
              </w:rPr>
              <w:t>SP1096</w:t>
            </w:r>
          </w:p>
        </w:tc>
        <w:tc>
          <w:tcPr>
            <w:tcW w:w="1433" w:type="dxa"/>
          </w:tcPr>
          <w:p>
            <w:pPr>
              <w:pStyle w:val="TableParagraph"/>
              <w:spacing w:before="70"/>
              <w:ind w:left="247"/>
              <w:rPr>
                <w:sz w:val="22"/>
              </w:rPr>
            </w:pPr>
            <w:r>
              <w:rPr>
                <w:spacing w:val="-4"/>
                <w:sz w:val="22"/>
              </w:rPr>
              <w:t>75.0</w:t>
            </w:r>
          </w:p>
        </w:tc>
        <w:tc>
          <w:tcPr>
            <w:tcW w:w="1703" w:type="dxa"/>
          </w:tcPr>
          <w:p>
            <w:pPr>
              <w:pStyle w:val="TableParagraph"/>
              <w:spacing w:before="70"/>
              <w:ind w:left="597"/>
              <w:rPr>
                <w:sz w:val="22"/>
              </w:rPr>
            </w:pPr>
            <w:r>
              <w:rPr>
                <w:spacing w:val="-5"/>
                <w:sz w:val="22"/>
              </w:rPr>
              <w:t>NB</w:t>
            </w:r>
          </w:p>
        </w:tc>
        <w:tc>
          <w:tcPr>
            <w:tcW w:w="1874" w:type="dxa"/>
          </w:tcPr>
          <w:p>
            <w:pPr>
              <w:pStyle w:val="TableParagraph"/>
              <w:spacing w:before="70"/>
              <w:ind w:left="673"/>
              <w:rPr>
                <w:sz w:val="22"/>
              </w:rPr>
            </w:pPr>
            <w:r>
              <w:rPr>
                <w:spacing w:val="-4"/>
                <w:sz w:val="22"/>
              </w:rPr>
              <w:t>17.5</w:t>
            </w:r>
          </w:p>
        </w:tc>
        <w:tc>
          <w:tcPr>
            <w:tcW w:w="2252" w:type="dxa"/>
          </w:tcPr>
          <w:p>
            <w:pPr>
              <w:pStyle w:val="TableParagraph"/>
              <w:spacing w:before="70"/>
              <w:ind w:left="583"/>
              <w:rPr>
                <w:sz w:val="22"/>
              </w:rPr>
            </w:pPr>
            <w:r>
              <w:rPr>
                <w:spacing w:val="-4"/>
                <w:sz w:val="22"/>
              </w:rPr>
              <w:t>70.0</w:t>
            </w:r>
          </w:p>
        </w:tc>
      </w:tr>
      <w:tr>
        <w:trPr>
          <w:trHeight w:val="450" w:hRule="atLeast"/>
        </w:trPr>
        <w:tc>
          <w:tcPr>
            <w:tcW w:w="1680" w:type="dxa"/>
          </w:tcPr>
          <w:p>
            <w:pPr>
              <w:pStyle w:val="TableParagraph"/>
              <w:spacing w:before="71"/>
              <w:ind w:left="108"/>
              <w:rPr>
                <w:sz w:val="22"/>
              </w:rPr>
            </w:pPr>
            <w:r>
              <w:rPr>
                <w:spacing w:val="-2"/>
                <w:sz w:val="22"/>
              </w:rPr>
              <w:t>SP1308</w:t>
            </w:r>
          </w:p>
        </w:tc>
        <w:tc>
          <w:tcPr>
            <w:tcW w:w="1433" w:type="dxa"/>
          </w:tcPr>
          <w:p>
            <w:pPr>
              <w:pStyle w:val="TableParagraph"/>
              <w:spacing w:before="71"/>
              <w:ind w:left="247"/>
              <w:rPr>
                <w:sz w:val="22"/>
              </w:rPr>
            </w:pPr>
            <w:r>
              <w:rPr>
                <w:spacing w:val="-4"/>
                <w:sz w:val="22"/>
              </w:rPr>
              <w:t>37.5</w:t>
            </w:r>
          </w:p>
        </w:tc>
        <w:tc>
          <w:tcPr>
            <w:tcW w:w="1703" w:type="dxa"/>
          </w:tcPr>
          <w:p>
            <w:pPr>
              <w:pStyle w:val="TableParagraph"/>
              <w:spacing w:before="71"/>
              <w:ind w:left="597"/>
              <w:rPr>
                <w:sz w:val="22"/>
              </w:rPr>
            </w:pPr>
            <w:r>
              <w:rPr>
                <w:spacing w:val="-4"/>
                <w:sz w:val="22"/>
              </w:rPr>
              <w:t>70.0</w:t>
            </w:r>
          </w:p>
        </w:tc>
        <w:tc>
          <w:tcPr>
            <w:tcW w:w="1874" w:type="dxa"/>
          </w:tcPr>
          <w:p>
            <w:pPr>
              <w:pStyle w:val="TableParagraph"/>
              <w:spacing w:before="71"/>
              <w:ind w:left="673"/>
              <w:rPr>
                <w:sz w:val="22"/>
              </w:rPr>
            </w:pPr>
            <w:r>
              <w:rPr>
                <w:spacing w:val="-4"/>
                <w:sz w:val="22"/>
              </w:rPr>
              <w:t>15.0</w:t>
            </w:r>
          </w:p>
        </w:tc>
        <w:tc>
          <w:tcPr>
            <w:tcW w:w="2252" w:type="dxa"/>
          </w:tcPr>
          <w:p>
            <w:pPr>
              <w:pStyle w:val="TableParagraph"/>
              <w:spacing w:before="71"/>
              <w:ind w:left="583"/>
              <w:rPr>
                <w:sz w:val="22"/>
              </w:rPr>
            </w:pPr>
            <w:r>
              <w:rPr>
                <w:spacing w:val="-4"/>
                <w:sz w:val="22"/>
              </w:rPr>
              <w:t>25.0</w:t>
            </w:r>
          </w:p>
        </w:tc>
      </w:tr>
      <w:tr>
        <w:trPr>
          <w:trHeight w:val="449" w:hRule="atLeast"/>
        </w:trPr>
        <w:tc>
          <w:tcPr>
            <w:tcW w:w="1680" w:type="dxa"/>
          </w:tcPr>
          <w:p>
            <w:pPr>
              <w:pStyle w:val="TableParagraph"/>
              <w:spacing w:before="70"/>
              <w:ind w:left="108"/>
              <w:rPr>
                <w:sz w:val="22"/>
              </w:rPr>
            </w:pPr>
            <w:r>
              <w:rPr>
                <w:spacing w:val="-2"/>
                <w:sz w:val="22"/>
              </w:rPr>
              <w:t>SP1347</w:t>
            </w:r>
          </w:p>
        </w:tc>
        <w:tc>
          <w:tcPr>
            <w:tcW w:w="1433" w:type="dxa"/>
          </w:tcPr>
          <w:p>
            <w:pPr>
              <w:pStyle w:val="TableParagraph"/>
              <w:spacing w:before="70"/>
              <w:ind w:left="247"/>
              <w:rPr>
                <w:sz w:val="22"/>
              </w:rPr>
            </w:pPr>
            <w:r>
              <w:rPr>
                <w:spacing w:val="-4"/>
                <w:sz w:val="22"/>
              </w:rPr>
              <w:t>60.0</w:t>
            </w:r>
          </w:p>
        </w:tc>
        <w:tc>
          <w:tcPr>
            <w:tcW w:w="1703" w:type="dxa"/>
          </w:tcPr>
          <w:p>
            <w:pPr>
              <w:pStyle w:val="TableParagraph"/>
              <w:spacing w:before="70"/>
              <w:ind w:left="597"/>
              <w:rPr>
                <w:sz w:val="22"/>
              </w:rPr>
            </w:pPr>
            <w:r>
              <w:rPr>
                <w:spacing w:val="-5"/>
                <w:sz w:val="22"/>
              </w:rPr>
              <w:t>NB</w:t>
            </w:r>
          </w:p>
        </w:tc>
        <w:tc>
          <w:tcPr>
            <w:tcW w:w="1874" w:type="dxa"/>
          </w:tcPr>
          <w:p>
            <w:pPr>
              <w:pStyle w:val="TableParagraph"/>
              <w:spacing w:before="70"/>
              <w:ind w:left="673"/>
              <w:rPr>
                <w:sz w:val="22"/>
              </w:rPr>
            </w:pPr>
            <w:r>
              <w:rPr>
                <w:spacing w:val="-4"/>
                <w:sz w:val="22"/>
              </w:rPr>
              <w:t>15.0</w:t>
            </w:r>
          </w:p>
        </w:tc>
        <w:tc>
          <w:tcPr>
            <w:tcW w:w="2252" w:type="dxa"/>
          </w:tcPr>
          <w:p>
            <w:pPr>
              <w:pStyle w:val="TableParagraph"/>
              <w:spacing w:before="70"/>
              <w:ind w:left="583"/>
              <w:rPr>
                <w:sz w:val="22"/>
              </w:rPr>
            </w:pPr>
            <w:r>
              <w:rPr>
                <w:spacing w:val="-4"/>
                <w:sz w:val="22"/>
              </w:rPr>
              <w:t>90.0</w:t>
            </w:r>
          </w:p>
        </w:tc>
      </w:tr>
      <w:tr>
        <w:trPr>
          <w:trHeight w:val="335" w:hRule="atLeast"/>
        </w:trPr>
        <w:tc>
          <w:tcPr>
            <w:tcW w:w="1680" w:type="dxa"/>
          </w:tcPr>
          <w:p>
            <w:pPr>
              <w:pStyle w:val="TableParagraph"/>
              <w:spacing w:line="245" w:lineRule="exact" w:before="70"/>
              <w:ind w:left="108"/>
              <w:rPr>
                <w:sz w:val="22"/>
              </w:rPr>
            </w:pPr>
            <w:r>
              <w:rPr>
                <w:spacing w:val="-2"/>
                <w:sz w:val="22"/>
              </w:rPr>
              <w:t>SP1382</w:t>
            </w:r>
          </w:p>
        </w:tc>
        <w:tc>
          <w:tcPr>
            <w:tcW w:w="1433" w:type="dxa"/>
          </w:tcPr>
          <w:p>
            <w:pPr>
              <w:pStyle w:val="TableParagraph"/>
              <w:spacing w:line="245" w:lineRule="exact" w:before="70"/>
              <w:ind w:left="247"/>
              <w:rPr>
                <w:sz w:val="22"/>
              </w:rPr>
            </w:pPr>
            <w:r>
              <w:rPr>
                <w:spacing w:val="-4"/>
                <w:sz w:val="22"/>
              </w:rPr>
              <w:t>25.0</w:t>
            </w:r>
          </w:p>
        </w:tc>
        <w:tc>
          <w:tcPr>
            <w:tcW w:w="1703" w:type="dxa"/>
          </w:tcPr>
          <w:p>
            <w:pPr>
              <w:pStyle w:val="TableParagraph"/>
              <w:spacing w:line="245" w:lineRule="exact" w:before="70"/>
              <w:ind w:left="597"/>
              <w:rPr>
                <w:sz w:val="22"/>
              </w:rPr>
            </w:pPr>
            <w:r>
              <w:rPr>
                <w:spacing w:val="-5"/>
                <w:sz w:val="22"/>
              </w:rPr>
              <w:t>100</w:t>
            </w:r>
          </w:p>
        </w:tc>
        <w:tc>
          <w:tcPr>
            <w:tcW w:w="1874" w:type="dxa"/>
          </w:tcPr>
          <w:p>
            <w:pPr>
              <w:pStyle w:val="TableParagraph"/>
              <w:spacing w:line="245" w:lineRule="exact" w:before="70"/>
              <w:ind w:left="673"/>
              <w:rPr>
                <w:sz w:val="22"/>
              </w:rPr>
            </w:pPr>
            <w:r>
              <w:rPr>
                <w:spacing w:val="-4"/>
                <w:sz w:val="22"/>
              </w:rPr>
              <w:t>15.0</w:t>
            </w:r>
          </w:p>
        </w:tc>
        <w:tc>
          <w:tcPr>
            <w:tcW w:w="2252" w:type="dxa"/>
          </w:tcPr>
          <w:p>
            <w:pPr>
              <w:pStyle w:val="TableParagraph"/>
              <w:spacing w:line="245" w:lineRule="exact" w:before="70"/>
              <w:ind w:left="583"/>
              <w:rPr>
                <w:sz w:val="22"/>
              </w:rPr>
            </w:pPr>
            <w:r>
              <w:rPr>
                <w:spacing w:val="-4"/>
                <w:sz w:val="22"/>
              </w:rPr>
              <w:t>22.5</w:t>
            </w:r>
          </w:p>
        </w:tc>
      </w:tr>
    </w:tbl>
    <w:p>
      <w:pPr>
        <w:spacing w:after="0" w:line="245" w:lineRule="exact"/>
        <w:rPr>
          <w:sz w:val="22"/>
        </w:rPr>
        <w:sectPr>
          <w:pgSz w:w="11910" w:h="16840"/>
          <w:pgMar w:header="0" w:footer="1055" w:top="1920" w:bottom="1614" w:left="1060" w:right="460"/>
        </w:sect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3"/>
        <w:gridCol w:w="1670"/>
        <w:gridCol w:w="1782"/>
        <w:gridCol w:w="1782"/>
        <w:gridCol w:w="2367"/>
      </w:tblGrid>
      <w:tr>
        <w:trPr>
          <w:trHeight w:val="376" w:hRule="atLeast"/>
        </w:trPr>
        <w:tc>
          <w:tcPr>
            <w:tcW w:w="1353" w:type="dxa"/>
            <w:tcBorders>
              <w:top w:val="single" w:sz="4" w:space="0" w:color="000000"/>
            </w:tcBorders>
          </w:tcPr>
          <w:p>
            <w:pPr>
              <w:pStyle w:val="TableParagraph"/>
              <w:spacing w:line="265" w:lineRule="exact"/>
              <w:ind w:left="115"/>
              <w:rPr>
                <w:sz w:val="22"/>
              </w:rPr>
            </w:pPr>
            <w:r>
              <w:rPr>
                <w:sz w:val="22"/>
              </w:rPr>
              <w:t>TS</w:t>
            </w:r>
            <w:r>
              <w:rPr>
                <w:spacing w:val="-1"/>
                <w:sz w:val="22"/>
              </w:rPr>
              <w:t> </w:t>
            </w:r>
            <w:r>
              <w:rPr>
                <w:spacing w:val="-5"/>
                <w:sz w:val="22"/>
              </w:rPr>
              <w:t>227</w:t>
            </w:r>
          </w:p>
        </w:tc>
        <w:tc>
          <w:tcPr>
            <w:tcW w:w="1670" w:type="dxa"/>
            <w:tcBorders>
              <w:top w:val="single" w:sz="4" w:space="0" w:color="000000"/>
            </w:tcBorders>
          </w:tcPr>
          <w:p>
            <w:pPr>
              <w:pStyle w:val="TableParagraph"/>
              <w:spacing w:line="265" w:lineRule="exact"/>
              <w:ind w:right="112"/>
              <w:jc w:val="center"/>
              <w:rPr>
                <w:sz w:val="22"/>
              </w:rPr>
            </w:pPr>
            <w:r>
              <w:rPr>
                <w:spacing w:val="-4"/>
                <w:sz w:val="22"/>
              </w:rPr>
              <w:t>47.5</w:t>
            </w:r>
          </w:p>
        </w:tc>
        <w:tc>
          <w:tcPr>
            <w:tcW w:w="1782" w:type="dxa"/>
            <w:tcBorders>
              <w:top w:val="single" w:sz="4" w:space="0" w:color="000000"/>
            </w:tcBorders>
          </w:tcPr>
          <w:p>
            <w:pPr>
              <w:pStyle w:val="TableParagraph"/>
              <w:spacing w:line="265" w:lineRule="exact"/>
              <w:ind w:left="130" w:right="129"/>
              <w:jc w:val="center"/>
              <w:rPr>
                <w:sz w:val="22"/>
              </w:rPr>
            </w:pPr>
            <w:r>
              <w:rPr>
                <w:spacing w:val="-4"/>
                <w:sz w:val="22"/>
              </w:rPr>
              <w:t>80.0</w:t>
            </w:r>
          </w:p>
        </w:tc>
        <w:tc>
          <w:tcPr>
            <w:tcW w:w="1782" w:type="dxa"/>
            <w:tcBorders>
              <w:top w:val="single" w:sz="4" w:space="0" w:color="000000"/>
            </w:tcBorders>
          </w:tcPr>
          <w:p>
            <w:pPr>
              <w:pStyle w:val="TableParagraph"/>
              <w:spacing w:line="265" w:lineRule="exact"/>
              <w:ind w:left="126" w:right="129"/>
              <w:jc w:val="center"/>
              <w:rPr>
                <w:sz w:val="22"/>
              </w:rPr>
            </w:pPr>
            <w:r>
              <w:rPr>
                <w:spacing w:val="-4"/>
                <w:sz w:val="22"/>
              </w:rPr>
              <w:t>15.0</w:t>
            </w:r>
          </w:p>
        </w:tc>
        <w:tc>
          <w:tcPr>
            <w:tcW w:w="2367" w:type="dxa"/>
            <w:tcBorders>
              <w:top w:val="single" w:sz="4" w:space="0" w:color="000000"/>
            </w:tcBorders>
          </w:tcPr>
          <w:p>
            <w:pPr>
              <w:pStyle w:val="TableParagraph"/>
              <w:spacing w:line="265" w:lineRule="exact"/>
              <w:ind w:left="693"/>
              <w:rPr>
                <w:sz w:val="22"/>
              </w:rPr>
            </w:pPr>
            <w:r>
              <w:rPr>
                <w:spacing w:val="-4"/>
                <w:sz w:val="22"/>
              </w:rPr>
              <w:t>45.0</w:t>
            </w:r>
          </w:p>
        </w:tc>
      </w:tr>
      <w:tr>
        <w:trPr>
          <w:trHeight w:val="450" w:hRule="atLeast"/>
        </w:trPr>
        <w:tc>
          <w:tcPr>
            <w:tcW w:w="1353" w:type="dxa"/>
          </w:tcPr>
          <w:p>
            <w:pPr>
              <w:pStyle w:val="TableParagraph"/>
              <w:spacing w:before="71"/>
              <w:ind w:left="115"/>
              <w:rPr>
                <w:sz w:val="22"/>
              </w:rPr>
            </w:pPr>
            <w:r>
              <w:rPr>
                <w:sz w:val="22"/>
              </w:rPr>
              <w:t>TS</w:t>
            </w:r>
            <w:r>
              <w:rPr>
                <w:spacing w:val="-1"/>
                <w:sz w:val="22"/>
              </w:rPr>
              <w:t> </w:t>
            </w:r>
            <w:r>
              <w:rPr>
                <w:spacing w:val="-5"/>
                <w:sz w:val="22"/>
              </w:rPr>
              <w:t>312</w:t>
            </w:r>
          </w:p>
        </w:tc>
        <w:tc>
          <w:tcPr>
            <w:tcW w:w="1670" w:type="dxa"/>
          </w:tcPr>
          <w:p>
            <w:pPr>
              <w:pStyle w:val="TableParagraph"/>
              <w:spacing w:before="71"/>
              <w:ind w:right="112"/>
              <w:jc w:val="center"/>
              <w:rPr>
                <w:sz w:val="22"/>
              </w:rPr>
            </w:pPr>
            <w:r>
              <w:rPr>
                <w:spacing w:val="-4"/>
                <w:sz w:val="22"/>
              </w:rPr>
              <w:t>50.0</w:t>
            </w:r>
          </w:p>
        </w:tc>
        <w:tc>
          <w:tcPr>
            <w:tcW w:w="1782" w:type="dxa"/>
          </w:tcPr>
          <w:p>
            <w:pPr>
              <w:pStyle w:val="TableParagraph"/>
              <w:spacing w:before="71"/>
              <w:ind w:left="1" w:right="130"/>
              <w:jc w:val="center"/>
              <w:rPr>
                <w:sz w:val="22"/>
              </w:rPr>
            </w:pPr>
            <w:r>
              <w:rPr>
                <w:spacing w:val="-5"/>
                <w:sz w:val="22"/>
              </w:rPr>
              <w:t>NB</w:t>
            </w:r>
          </w:p>
        </w:tc>
        <w:tc>
          <w:tcPr>
            <w:tcW w:w="1782" w:type="dxa"/>
          </w:tcPr>
          <w:p>
            <w:pPr>
              <w:pStyle w:val="TableParagraph"/>
              <w:spacing w:before="71"/>
              <w:ind w:left="126" w:right="129"/>
              <w:jc w:val="center"/>
              <w:rPr>
                <w:sz w:val="22"/>
              </w:rPr>
            </w:pPr>
            <w:r>
              <w:rPr>
                <w:spacing w:val="-4"/>
                <w:sz w:val="22"/>
              </w:rPr>
              <w:t>17.5</w:t>
            </w:r>
          </w:p>
        </w:tc>
        <w:tc>
          <w:tcPr>
            <w:tcW w:w="2367" w:type="dxa"/>
          </w:tcPr>
          <w:p>
            <w:pPr>
              <w:pStyle w:val="TableParagraph"/>
              <w:spacing w:before="71"/>
              <w:ind w:left="693"/>
              <w:rPr>
                <w:sz w:val="22"/>
              </w:rPr>
            </w:pPr>
            <w:r>
              <w:rPr>
                <w:spacing w:val="-4"/>
                <w:sz w:val="22"/>
              </w:rPr>
              <w:t>60.0</w:t>
            </w:r>
          </w:p>
        </w:tc>
      </w:tr>
      <w:tr>
        <w:trPr>
          <w:trHeight w:val="524" w:hRule="atLeast"/>
        </w:trPr>
        <w:tc>
          <w:tcPr>
            <w:tcW w:w="1353" w:type="dxa"/>
            <w:tcBorders>
              <w:bottom w:val="single" w:sz="4" w:space="0" w:color="000000"/>
            </w:tcBorders>
          </w:tcPr>
          <w:p>
            <w:pPr>
              <w:pStyle w:val="TableParagraph"/>
              <w:spacing w:before="70"/>
              <w:ind w:left="115"/>
              <w:rPr>
                <w:sz w:val="22"/>
              </w:rPr>
            </w:pPr>
            <w:r>
              <w:rPr>
                <w:spacing w:val="-2"/>
                <w:sz w:val="22"/>
              </w:rPr>
              <w:t>TS1097</w:t>
            </w:r>
          </w:p>
        </w:tc>
        <w:tc>
          <w:tcPr>
            <w:tcW w:w="1670" w:type="dxa"/>
            <w:tcBorders>
              <w:bottom w:val="single" w:sz="4" w:space="0" w:color="000000"/>
            </w:tcBorders>
          </w:tcPr>
          <w:p>
            <w:pPr>
              <w:pStyle w:val="TableParagraph"/>
              <w:spacing w:before="70"/>
              <w:ind w:right="112"/>
              <w:jc w:val="center"/>
              <w:rPr>
                <w:sz w:val="22"/>
              </w:rPr>
            </w:pPr>
            <w:r>
              <w:rPr>
                <w:spacing w:val="-4"/>
                <w:sz w:val="22"/>
              </w:rPr>
              <w:t>60.0</w:t>
            </w:r>
          </w:p>
        </w:tc>
        <w:tc>
          <w:tcPr>
            <w:tcW w:w="1782" w:type="dxa"/>
            <w:tcBorders>
              <w:bottom w:val="single" w:sz="4" w:space="0" w:color="000000"/>
            </w:tcBorders>
          </w:tcPr>
          <w:p>
            <w:pPr>
              <w:pStyle w:val="TableParagraph"/>
              <w:spacing w:before="70"/>
              <w:ind w:left="1" w:right="130"/>
              <w:jc w:val="center"/>
              <w:rPr>
                <w:sz w:val="22"/>
              </w:rPr>
            </w:pPr>
            <w:r>
              <w:rPr>
                <w:spacing w:val="-5"/>
                <w:sz w:val="22"/>
              </w:rPr>
              <w:t>NB</w:t>
            </w:r>
          </w:p>
        </w:tc>
        <w:tc>
          <w:tcPr>
            <w:tcW w:w="1782" w:type="dxa"/>
            <w:tcBorders>
              <w:bottom w:val="single" w:sz="4" w:space="0" w:color="000000"/>
            </w:tcBorders>
          </w:tcPr>
          <w:p>
            <w:pPr>
              <w:pStyle w:val="TableParagraph"/>
              <w:spacing w:before="70"/>
              <w:ind w:left="126" w:right="129"/>
              <w:jc w:val="center"/>
              <w:rPr>
                <w:sz w:val="22"/>
              </w:rPr>
            </w:pPr>
            <w:r>
              <w:rPr>
                <w:spacing w:val="-4"/>
                <w:sz w:val="22"/>
              </w:rPr>
              <w:t>22.5</w:t>
            </w:r>
          </w:p>
        </w:tc>
        <w:tc>
          <w:tcPr>
            <w:tcW w:w="2367" w:type="dxa"/>
            <w:tcBorders>
              <w:bottom w:val="single" w:sz="4" w:space="0" w:color="000000"/>
            </w:tcBorders>
          </w:tcPr>
          <w:p>
            <w:pPr>
              <w:pStyle w:val="TableParagraph"/>
              <w:spacing w:before="70"/>
              <w:ind w:left="693"/>
              <w:rPr>
                <w:sz w:val="22"/>
              </w:rPr>
            </w:pPr>
            <w:r>
              <w:rPr>
                <w:spacing w:val="-4"/>
                <w:sz w:val="22"/>
              </w:rPr>
              <w:t>32.5</w:t>
            </w:r>
          </w:p>
        </w:tc>
      </w:tr>
    </w:tbl>
    <w:p>
      <w:pPr>
        <w:pStyle w:val="BodyText"/>
        <w:spacing w:line="357" w:lineRule="auto" w:before="19"/>
        <w:ind w:left="380" w:right="975"/>
      </w:pPr>
      <w:r>
        <w:rPr>
          <w:b/>
        </w:rPr>
        <w:t>Key:</w:t>
      </w:r>
      <w:r>
        <w:rPr>
          <w:b/>
          <w:spacing w:val="-3"/>
        </w:rPr>
        <w:t> </w:t>
      </w:r>
      <w:r>
        <w:rPr/>
        <w:t>MIC=Minimum</w:t>
      </w:r>
      <w:r>
        <w:rPr>
          <w:spacing w:val="-2"/>
        </w:rPr>
        <w:t> </w:t>
      </w:r>
      <w:r>
        <w:rPr/>
        <w:t>Inhibitory</w:t>
      </w:r>
      <w:r>
        <w:rPr>
          <w:spacing w:val="-5"/>
        </w:rPr>
        <w:t> </w:t>
      </w:r>
      <w:r>
        <w:rPr/>
        <w:t>Concentration,</w:t>
      </w:r>
      <w:r>
        <w:rPr>
          <w:spacing w:val="-5"/>
        </w:rPr>
        <w:t> </w:t>
      </w:r>
      <w:r>
        <w:rPr/>
        <w:t>MBC=</w:t>
      </w:r>
      <w:r>
        <w:rPr>
          <w:spacing w:val="-5"/>
        </w:rPr>
        <w:t> </w:t>
      </w:r>
      <w:r>
        <w:rPr/>
        <w:t>Minimum</w:t>
      </w:r>
      <w:r>
        <w:rPr>
          <w:spacing w:val="-2"/>
        </w:rPr>
        <w:t> </w:t>
      </w:r>
      <w:r>
        <w:rPr/>
        <w:t>Bactericidal</w:t>
      </w:r>
      <w:r>
        <w:rPr>
          <w:spacing w:val="-6"/>
        </w:rPr>
        <w:t> </w:t>
      </w:r>
      <w:r>
        <w:rPr/>
        <w:t>Concentration,</w:t>
      </w:r>
      <w:r>
        <w:rPr>
          <w:spacing w:val="-3"/>
        </w:rPr>
        <w:t> </w:t>
      </w:r>
      <w:r>
        <w:rPr/>
        <w:t>NS=Nasal Secretion, SP=Sputum, TS=Throat Swab, NB=Not Bactericidal.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spacing w:before="0"/>
        <w:ind w:left="997" w:right="0" w:firstLine="0"/>
        <w:jc w:val="left"/>
        <w:rPr>
          <w:b/>
          <w:i/>
          <w:sz w:val="22"/>
        </w:rPr>
      </w:pPr>
      <w:r>
        <w:rPr>
          <w:b/>
          <w:sz w:val="22"/>
        </w:rPr>
        <w:t>MIC</w:t>
      </w:r>
      <w:r>
        <w:rPr>
          <w:b/>
          <w:spacing w:val="-6"/>
          <w:sz w:val="22"/>
        </w:rPr>
        <w:t> </w:t>
      </w:r>
      <w:r>
        <w:rPr>
          <w:b/>
          <w:sz w:val="22"/>
        </w:rPr>
        <w:t>and</w:t>
      </w:r>
      <w:r>
        <w:rPr>
          <w:b/>
          <w:spacing w:val="-4"/>
          <w:sz w:val="22"/>
        </w:rPr>
        <w:t> </w:t>
      </w:r>
      <w:r>
        <w:rPr>
          <w:b/>
          <w:sz w:val="22"/>
        </w:rPr>
        <w:t>MBC</w:t>
      </w:r>
      <w:r>
        <w:rPr>
          <w:b/>
          <w:spacing w:val="-6"/>
          <w:sz w:val="22"/>
        </w:rPr>
        <w:t> </w:t>
      </w:r>
      <w:r>
        <w:rPr>
          <w:b/>
          <w:sz w:val="22"/>
        </w:rPr>
        <w:t>Test</w:t>
      </w:r>
      <w:r>
        <w:rPr>
          <w:b/>
          <w:spacing w:val="-3"/>
          <w:sz w:val="22"/>
        </w:rPr>
        <w:t> </w:t>
      </w:r>
      <w:r>
        <w:rPr>
          <w:b/>
          <w:sz w:val="22"/>
        </w:rPr>
        <w:t>of</w:t>
      </w:r>
      <w:r>
        <w:rPr>
          <w:b/>
          <w:spacing w:val="-5"/>
          <w:sz w:val="22"/>
        </w:rPr>
        <w:t> </w:t>
      </w:r>
      <w:r>
        <w:rPr>
          <w:b/>
          <w:sz w:val="22"/>
        </w:rPr>
        <w:t>Honey</w:t>
      </w:r>
      <w:r>
        <w:rPr>
          <w:b/>
          <w:spacing w:val="-4"/>
          <w:sz w:val="22"/>
        </w:rPr>
        <w:t> </w:t>
      </w:r>
      <w:r>
        <w:rPr>
          <w:b/>
          <w:sz w:val="22"/>
        </w:rPr>
        <w:t>and</w:t>
      </w:r>
      <w:r>
        <w:rPr>
          <w:b/>
          <w:spacing w:val="-4"/>
          <w:sz w:val="22"/>
        </w:rPr>
        <w:t> </w:t>
      </w:r>
      <w:r>
        <w:rPr>
          <w:b/>
          <w:sz w:val="22"/>
        </w:rPr>
        <w:t>Lemon</w:t>
      </w:r>
      <w:r>
        <w:rPr>
          <w:b/>
          <w:spacing w:val="-3"/>
          <w:sz w:val="22"/>
        </w:rPr>
        <w:t> </w:t>
      </w:r>
      <w:r>
        <w:rPr>
          <w:b/>
          <w:sz w:val="22"/>
        </w:rPr>
        <w:t>juice</w:t>
      </w:r>
      <w:r>
        <w:rPr>
          <w:b/>
          <w:spacing w:val="-5"/>
          <w:sz w:val="22"/>
        </w:rPr>
        <w:t> </w:t>
      </w:r>
      <w:r>
        <w:rPr>
          <w:b/>
          <w:sz w:val="22"/>
        </w:rPr>
        <w:t>(µg/ml)</w:t>
      </w:r>
      <w:r>
        <w:rPr>
          <w:b/>
          <w:spacing w:val="-4"/>
          <w:sz w:val="22"/>
        </w:rPr>
        <w:t> </w:t>
      </w:r>
      <w:r>
        <w:rPr>
          <w:b/>
          <w:sz w:val="22"/>
        </w:rPr>
        <w:t>against</w:t>
      </w:r>
      <w:r>
        <w:rPr>
          <w:b/>
          <w:spacing w:val="-2"/>
          <w:sz w:val="22"/>
        </w:rPr>
        <w:t> </w:t>
      </w:r>
      <w:r>
        <w:rPr>
          <w:b/>
          <w:i/>
          <w:sz w:val="22"/>
        </w:rPr>
        <w:t>Haemophilus</w:t>
      </w:r>
      <w:r>
        <w:rPr>
          <w:b/>
          <w:i/>
          <w:spacing w:val="-3"/>
          <w:sz w:val="22"/>
        </w:rPr>
        <w:t> </w:t>
      </w:r>
      <w:r>
        <w:rPr>
          <w:b/>
          <w:i/>
          <w:spacing w:val="-2"/>
          <w:sz w:val="22"/>
        </w:rPr>
        <w:t>influenzae</w:t>
      </w:r>
    </w:p>
    <w:p>
      <w:pPr>
        <w:spacing w:after="0"/>
        <w:jc w:val="left"/>
        <w:rPr>
          <w:sz w:val="22"/>
        </w:rPr>
        <w:sectPr>
          <w:type w:val="continuous"/>
          <w:pgSz w:w="11910" w:h="16840"/>
          <w:pgMar w:header="0" w:footer="1055" w:top="1400" w:bottom="1240" w:left="1060" w:right="460"/>
        </w:sect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0"/>
        <w:gridCol w:w="1433"/>
        <w:gridCol w:w="1716"/>
        <w:gridCol w:w="1888"/>
        <w:gridCol w:w="2274"/>
      </w:tblGrid>
      <w:tr>
        <w:trPr>
          <w:trHeight w:val="601" w:hRule="atLeast"/>
        </w:trPr>
        <w:tc>
          <w:tcPr>
            <w:tcW w:w="1680" w:type="dxa"/>
            <w:tcBorders>
              <w:top w:val="single" w:sz="4" w:space="0" w:color="000000"/>
            </w:tcBorders>
          </w:tcPr>
          <w:p>
            <w:pPr>
              <w:pStyle w:val="TableParagraph"/>
              <w:spacing w:line="265" w:lineRule="exact"/>
              <w:ind w:left="391"/>
              <w:rPr>
                <w:b/>
                <w:sz w:val="22"/>
              </w:rPr>
            </w:pPr>
            <w:r>
              <w:rPr>
                <w:b/>
                <w:sz w:val="22"/>
              </w:rPr>
              <w:t>Sample</w:t>
            </w:r>
            <w:r>
              <w:rPr>
                <w:b/>
                <w:spacing w:val="-7"/>
                <w:sz w:val="22"/>
              </w:rPr>
              <w:t> </w:t>
            </w:r>
            <w:r>
              <w:rPr>
                <w:b/>
                <w:spacing w:val="-5"/>
                <w:sz w:val="22"/>
              </w:rPr>
              <w:t>No.</w:t>
            </w:r>
          </w:p>
        </w:tc>
        <w:tc>
          <w:tcPr>
            <w:tcW w:w="1433" w:type="dxa"/>
            <w:tcBorders>
              <w:top w:val="single" w:sz="4" w:space="0" w:color="000000"/>
            </w:tcBorders>
          </w:tcPr>
          <w:p>
            <w:pPr>
              <w:pStyle w:val="TableParagraph"/>
              <w:spacing w:line="265" w:lineRule="exact"/>
              <w:ind w:left="242"/>
              <w:rPr>
                <w:b/>
                <w:sz w:val="22"/>
              </w:rPr>
            </w:pPr>
            <w:r>
              <w:rPr>
                <w:b/>
                <w:spacing w:val="-5"/>
                <w:sz w:val="22"/>
              </w:rPr>
              <w:t>MIC</w:t>
            </w:r>
          </w:p>
        </w:tc>
        <w:tc>
          <w:tcPr>
            <w:tcW w:w="1716" w:type="dxa"/>
            <w:tcBorders>
              <w:top w:val="single" w:sz="4" w:space="0" w:color="000000"/>
            </w:tcBorders>
          </w:tcPr>
          <w:p>
            <w:pPr>
              <w:pStyle w:val="TableParagraph"/>
              <w:spacing w:line="265" w:lineRule="exact"/>
              <w:ind w:left="40" w:right="115"/>
              <w:jc w:val="center"/>
              <w:rPr>
                <w:b/>
                <w:sz w:val="22"/>
              </w:rPr>
            </w:pPr>
            <w:r>
              <w:rPr>
                <w:b/>
                <w:spacing w:val="-5"/>
                <w:sz w:val="22"/>
              </w:rPr>
              <w:t>MBC</w:t>
            </w:r>
          </w:p>
        </w:tc>
        <w:tc>
          <w:tcPr>
            <w:tcW w:w="1888" w:type="dxa"/>
            <w:tcBorders>
              <w:top w:val="single" w:sz="4" w:space="0" w:color="000000"/>
            </w:tcBorders>
          </w:tcPr>
          <w:p>
            <w:pPr>
              <w:pStyle w:val="TableParagraph"/>
              <w:spacing w:line="265" w:lineRule="exact"/>
              <w:ind w:left="682"/>
              <w:rPr>
                <w:b/>
                <w:sz w:val="22"/>
              </w:rPr>
            </w:pPr>
            <w:r>
              <w:rPr>
                <w:b/>
                <w:spacing w:val="-5"/>
                <w:sz w:val="22"/>
              </w:rPr>
              <w:t>MIC</w:t>
            </w:r>
          </w:p>
        </w:tc>
        <w:tc>
          <w:tcPr>
            <w:tcW w:w="2274" w:type="dxa"/>
            <w:tcBorders>
              <w:top w:val="single" w:sz="4" w:space="0" w:color="000000"/>
            </w:tcBorders>
          </w:tcPr>
          <w:p>
            <w:pPr>
              <w:pStyle w:val="TableParagraph"/>
              <w:spacing w:line="265" w:lineRule="exact"/>
              <w:ind w:left="587"/>
              <w:rPr>
                <w:b/>
                <w:sz w:val="22"/>
              </w:rPr>
            </w:pPr>
            <w:r>
              <w:rPr>
                <w:b/>
                <w:spacing w:val="-5"/>
                <w:sz w:val="22"/>
              </w:rPr>
              <w:t>MBC</w:t>
            </w:r>
          </w:p>
        </w:tc>
      </w:tr>
      <w:tr>
        <w:trPr>
          <w:trHeight w:val="747" w:hRule="atLeast"/>
        </w:trPr>
        <w:tc>
          <w:tcPr>
            <w:tcW w:w="1680" w:type="dxa"/>
            <w:tcBorders>
              <w:bottom w:val="single" w:sz="4" w:space="0" w:color="000000"/>
            </w:tcBorders>
          </w:tcPr>
          <w:p>
            <w:pPr>
              <w:pStyle w:val="TableParagraph"/>
              <w:rPr>
                <w:rFonts w:ascii="Times New Roman"/>
                <w:sz w:val="22"/>
              </w:rPr>
            </w:pPr>
          </w:p>
        </w:tc>
        <w:tc>
          <w:tcPr>
            <w:tcW w:w="1433" w:type="dxa"/>
            <w:tcBorders>
              <w:bottom w:val="single" w:sz="4" w:space="0" w:color="000000"/>
            </w:tcBorders>
          </w:tcPr>
          <w:p>
            <w:pPr>
              <w:pStyle w:val="TableParagraph"/>
              <w:spacing w:before="27"/>
              <w:rPr>
                <w:b/>
                <w:i/>
                <w:sz w:val="22"/>
              </w:rPr>
            </w:pPr>
          </w:p>
          <w:p>
            <w:pPr>
              <w:pStyle w:val="TableParagraph"/>
              <w:ind w:left="242"/>
              <w:rPr>
                <w:b/>
                <w:sz w:val="22"/>
              </w:rPr>
            </w:pPr>
            <w:r>
              <w:rPr>
                <w:b/>
                <w:spacing w:val="-2"/>
                <w:sz w:val="22"/>
              </w:rPr>
              <w:t>Honey</w:t>
            </w:r>
          </w:p>
        </w:tc>
        <w:tc>
          <w:tcPr>
            <w:tcW w:w="1716" w:type="dxa"/>
            <w:tcBorders>
              <w:bottom w:val="single" w:sz="4" w:space="0" w:color="000000"/>
            </w:tcBorders>
          </w:tcPr>
          <w:p>
            <w:pPr>
              <w:pStyle w:val="TableParagraph"/>
              <w:rPr>
                <w:rFonts w:ascii="Times New Roman"/>
                <w:sz w:val="22"/>
              </w:rPr>
            </w:pPr>
          </w:p>
        </w:tc>
        <w:tc>
          <w:tcPr>
            <w:tcW w:w="1888" w:type="dxa"/>
            <w:tcBorders>
              <w:bottom w:val="single" w:sz="4" w:space="0" w:color="000000"/>
            </w:tcBorders>
          </w:tcPr>
          <w:p>
            <w:pPr>
              <w:pStyle w:val="TableParagraph"/>
              <w:spacing w:before="27"/>
              <w:rPr>
                <w:b/>
                <w:i/>
                <w:sz w:val="22"/>
              </w:rPr>
            </w:pPr>
          </w:p>
          <w:p>
            <w:pPr>
              <w:pStyle w:val="TableParagraph"/>
              <w:ind w:left="682"/>
              <w:rPr>
                <w:b/>
                <w:sz w:val="22"/>
              </w:rPr>
            </w:pPr>
            <w:r>
              <w:rPr>
                <w:b/>
                <w:spacing w:val="-2"/>
                <w:sz w:val="22"/>
              </w:rPr>
              <w:t>Lemon</w:t>
            </w:r>
          </w:p>
        </w:tc>
        <w:tc>
          <w:tcPr>
            <w:tcW w:w="2274" w:type="dxa"/>
            <w:tcBorders>
              <w:bottom w:val="single" w:sz="4" w:space="0" w:color="000000"/>
            </w:tcBorders>
          </w:tcPr>
          <w:p>
            <w:pPr>
              <w:pStyle w:val="TableParagraph"/>
              <w:rPr>
                <w:rFonts w:ascii="Times New Roman"/>
                <w:sz w:val="22"/>
              </w:rPr>
            </w:pPr>
          </w:p>
        </w:tc>
      </w:tr>
      <w:tr>
        <w:trPr>
          <w:trHeight w:val="377" w:hRule="atLeast"/>
        </w:trPr>
        <w:tc>
          <w:tcPr>
            <w:tcW w:w="1680" w:type="dxa"/>
            <w:tcBorders>
              <w:top w:val="single" w:sz="4" w:space="0" w:color="000000"/>
            </w:tcBorders>
          </w:tcPr>
          <w:p>
            <w:pPr>
              <w:pStyle w:val="TableParagraph"/>
              <w:spacing w:line="268" w:lineRule="exact"/>
              <w:ind w:left="122"/>
              <w:rPr>
                <w:sz w:val="22"/>
              </w:rPr>
            </w:pPr>
            <w:r>
              <w:rPr>
                <w:sz w:val="22"/>
              </w:rPr>
              <w:t>SP</w:t>
            </w:r>
            <w:r>
              <w:rPr>
                <w:spacing w:val="1"/>
                <w:sz w:val="22"/>
              </w:rPr>
              <w:t> </w:t>
            </w:r>
            <w:r>
              <w:rPr>
                <w:spacing w:val="-5"/>
                <w:sz w:val="22"/>
              </w:rPr>
              <w:t>267</w:t>
            </w:r>
          </w:p>
        </w:tc>
        <w:tc>
          <w:tcPr>
            <w:tcW w:w="1433" w:type="dxa"/>
            <w:tcBorders>
              <w:top w:val="single" w:sz="4" w:space="0" w:color="000000"/>
            </w:tcBorders>
          </w:tcPr>
          <w:p>
            <w:pPr>
              <w:pStyle w:val="TableParagraph"/>
              <w:spacing w:line="268" w:lineRule="exact"/>
              <w:ind w:left="242"/>
              <w:rPr>
                <w:sz w:val="22"/>
              </w:rPr>
            </w:pPr>
            <w:r>
              <w:rPr>
                <w:spacing w:val="-4"/>
                <w:sz w:val="22"/>
              </w:rPr>
              <w:t>22.5</w:t>
            </w:r>
          </w:p>
        </w:tc>
        <w:tc>
          <w:tcPr>
            <w:tcW w:w="1716" w:type="dxa"/>
            <w:tcBorders>
              <w:top w:val="single" w:sz="4" w:space="0" w:color="000000"/>
            </w:tcBorders>
          </w:tcPr>
          <w:p>
            <w:pPr>
              <w:pStyle w:val="TableParagraph"/>
              <w:spacing w:line="268" w:lineRule="exact"/>
              <w:ind w:right="115"/>
              <w:jc w:val="center"/>
              <w:rPr>
                <w:sz w:val="22"/>
              </w:rPr>
            </w:pPr>
            <w:r>
              <w:rPr>
                <w:spacing w:val="-4"/>
                <w:sz w:val="22"/>
              </w:rPr>
              <w:t>90.0</w:t>
            </w:r>
          </w:p>
        </w:tc>
        <w:tc>
          <w:tcPr>
            <w:tcW w:w="1888" w:type="dxa"/>
            <w:tcBorders>
              <w:top w:val="single" w:sz="4" w:space="0" w:color="000000"/>
            </w:tcBorders>
          </w:tcPr>
          <w:p>
            <w:pPr>
              <w:pStyle w:val="TableParagraph"/>
              <w:spacing w:line="268" w:lineRule="exact"/>
              <w:ind w:left="682"/>
              <w:rPr>
                <w:sz w:val="22"/>
              </w:rPr>
            </w:pPr>
            <w:r>
              <w:rPr>
                <w:spacing w:val="-4"/>
                <w:sz w:val="22"/>
              </w:rPr>
              <w:t>15.0</w:t>
            </w:r>
          </w:p>
        </w:tc>
        <w:tc>
          <w:tcPr>
            <w:tcW w:w="2274" w:type="dxa"/>
            <w:tcBorders>
              <w:top w:val="single" w:sz="4" w:space="0" w:color="000000"/>
            </w:tcBorders>
          </w:tcPr>
          <w:p>
            <w:pPr>
              <w:pStyle w:val="TableParagraph"/>
              <w:spacing w:line="268" w:lineRule="exact"/>
              <w:ind w:left="587"/>
              <w:rPr>
                <w:sz w:val="22"/>
              </w:rPr>
            </w:pPr>
            <w:r>
              <w:rPr>
                <w:spacing w:val="-4"/>
                <w:sz w:val="22"/>
              </w:rPr>
              <w:t>35.0</w:t>
            </w:r>
          </w:p>
        </w:tc>
      </w:tr>
      <w:tr>
        <w:trPr>
          <w:trHeight w:val="524" w:hRule="atLeast"/>
        </w:trPr>
        <w:tc>
          <w:tcPr>
            <w:tcW w:w="1680" w:type="dxa"/>
            <w:tcBorders>
              <w:bottom w:val="single" w:sz="4" w:space="0" w:color="000000"/>
            </w:tcBorders>
          </w:tcPr>
          <w:p>
            <w:pPr>
              <w:pStyle w:val="TableParagraph"/>
              <w:spacing w:before="70"/>
              <w:ind w:left="122"/>
              <w:rPr>
                <w:sz w:val="22"/>
              </w:rPr>
            </w:pPr>
            <w:r>
              <w:rPr>
                <w:spacing w:val="-2"/>
                <w:sz w:val="22"/>
              </w:rPr>
              <w:t>SP1270</w:t>
            </w:r>
          </w:p>
        </w:tc>
        <w:tc>
          <w:tcPr>
            <w:tcW w:w="1433" w:type="dxa"/>
            <w:tcBorders>
              <w:bottom w:val="single" w:sz="4" w:space="0" w:color="000000"/>
            </w:tcBorders>
          </w:tcPr>
          <w:p>
            <w:pPr>
              <w:pStyle w:val="TableParagraph"/>
              <w:spacing w:before="70"/>
              <w:ind w:left="242"/>
              <w:rPr>
                <w:sz w:val="22"/>
              </w:rPr>
            </w:pPr>
            <w:r>
              <w:rPr>
                <w:spacing w:val="-4"/>
                <w:sz w:val="22"/>
              </w:rPr>
              <w:t>30.0</w:t>
            </w:r>
          </w:p>
        </w:tc>
        <w:tc>
          <w:tcPr>
            <w:tcW w:w="1716" w:type="dxa"/>
            <w:tcBorders>
              <w:bottom w:val="single" w:sz="4" w:space="0" w:color="000000"/>
            </w:tcBorders>
          </w:tcPr>
          <w:p>
            <w:pPr>
              <w:pStyle w:val="TableParagraph"/>
              <w:spacing w:before="70"/>
              <w:ind w:right="115"/>
              <w:jc w:val="center"/>
              <w:rPr>
                <w:sz w:val="22"/>
              </w:rPr>
            </w:pPr>
            <w:r>
              <w:rPr>
                <w:spacing w:val="-4"/>
                <w:sz w:val="22"/>
              </w:rPr>
              <w:t>90.0</w:t>
            </w:r>
          </w:p>
        </w:tc>
        <w:tc>
          <w:tcPr>
            <w:tcW w:w="1888" w:type="dxa"/>
            <w:tcBorders>
              <w:bottom w:val="single" w:sz="4" w:space="0" w:color="000000"/>
            </w:tcBorders>
          </w:tcPr>
          <w:p>
            <w:pPr>
              <w:pStyle w:val="TableParagraph"/>
              <w:spacing w:before="70"/>
              <w:ind w:left="682"/>
              <w:rPr>
                <w:sz w:val="22"/>
              </w:rPr>
            </w:pPr>
            <w:r>
              <w:rPr>
                <w:spacing w:val="-4"/>
                <w:sz w:val="22"/>
              </w:rPr>
              <w:t>15.0</w:t>
            </w:r>
          </w:p>
        </w:tc>
        <w:tc>
          <w:tcPr>
            <w:tcW w:w="2274" w:type="dxa"/>
            <w:tcBorders>
              <w:bottom w:val="single" w:sz="4" w:space="0" w:color="000000"/>
            </w:tcBorders>
          </w:tcPr>
          <w:p>
            <w:pPr>
              <w:pStyle w:val="TableParagraph"/>
              <w:spacing w:before="70"/>
              <w:ind w:left="587"/>
              <w:rPr>
                <w:sz w:val="22"/>
              </w:rPr>
            </w:pPr>
            <w:r>
              <w:rPr>
                <w:spacing w:val="-4"/>
                <w:sz w:val="22"/>
              </w:rPr>
              <w:t>30.0</w:t>
            </w:r>
          </w:p>
        </w:tc>
      </w:tr>
    </w:tbl>
    <w:p>
      <w:pPr>
        <w:pStyle w:val="BodyText"/>
        <w:spacing w:line="357" w:lineRule="auto" w:before="20"/>
        <w:ind w:left="380" w:right="975"/>
      </w:pPr>
      <w:r>
        <w:rPr>
          <w:b/>
        </w:rPr>
        <w:t>Key:</w:t>
      </w:r>
      <w:r>
        <w:rPr>
          <w:b/>
          <w:spacing w:val="-4"/>
        </w:rPr>
        <w:t> </w:t>
      </w:r>
      <w:r>
        <w:rPr/>
        <w:t>MIC=Minimum</w:t>
      </w:r>
      <w:r>
        <w:rPr>
          <w:spacing w:val="-3"/>
        </w:rPr>
        <w:t> </w:t>
      </w:r>
      <w:r>
        <w:rPr/>
        <w:t>Inhibitory</w:t>
      </w:r>
      <w:r>
        <w:rPr>
          <w:spacing w:val="-6"/>
        </w:rPr>
        <w:t> </w:t>
      </w:r>
      <w:r>
        <w:rPr/>
        <w:t>Concentration,</w:t>
      </w:r>
      <w:r>
        <w:rPr>
          <w:spacing w:val="-6"/>
        </w:rPr>
        <w:t> </w:t>
      </w:r>
      <w:r>
        <w:rPr/>
        <w:t>MBC=</w:t>
      </w:r>
      <w:r>
        <w:rPr>
          <w:spacing w:val="-6"/>
        </w:rPr>
        <w:t> </w:t>
      </w:r>
      <w:r>
        <w:rPr/>
        <w:t>Minimum</w:t>
      </w:r>
      <w:r>
        <w:rPr>
          <w:spacing w:val="-3"/>
        </w:rPr>
        <w:t> </w:t>
      </w:r>
      <w:r>
        <w:rPr/>
        <w:t>Bactericidal</w:t>
      </w:r>
      <w:r>
        <w:rPr>
          <w:spacing w:val="-7"/>
        </w:rPr>
        <w:t> </w:t>
      </w:r>
      <w:r>
        <w:rPr/>
        <w:t>Concentration, </w:t>
      </w:r>
      <w:r>
        <w:rPr>
          <w:spacing w:val="-2"/>
        </w:rPr>
        <w:t>SP=Sputum.</w:t>
      </w:r>
    </w:p>
    <w:p>
      <w:pPr>
        <w:spacing w:after="0" w:line="357" w:lineRule="auto"/>
        <w:sectPr>
          <w:pgSz w:w="11910" w:h="16840"/>
          <w:pgMar w:header="0" w:footer="1055" w:top="140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7"/>
      </w:pPr>
    </w:p>
    <w:p>
      <w:pPr>
        <w:spacing w:before="0"/>
        <w:ind w:left="922" w:right="0" w:firstLine="0"/>
        <w:jc w:val="left"/>
        <w:rPr>
          <w:b/>
          <w:i/>
          <w:sz w:val="22"/>
        </w:rPr>
      </w:pPr>
      <w:r>
        <w:rPr>
          <w:b/>
          <w:sz w:val="22"/>
        </w:rPr>
        <w:t>MIC</w:t>
      </w:r>
      <w:r>
        <w:rPr>
          <w:b/>
          <w:spacing w:val="-6"/>
          <w:sz w:val="22"/>
        </w:rPr>
        <w:t> </w:t>
      </w:r>
      <w:r>
        <w:rPr>
          <w:b/>
          <w:sz w:val="22"/>
        </w:rPr>
        <w:t>and</w:t>
      </w:r>
      <w:r>
        <w:rPr>
          <w:b/>
          <w:spacing w:val="-5"/>
          <w:sz w:val="22"/>
        </w:rPr>
        <w:t> </w:t>
      </w:r>
      <w:r>
        <w:rPr>
          <w:b/>
          <w:sz w:val="22"/>
        </w:rPr>
        <w:t>MBC</w:t>
      </w:r>
      <w:r>
        <w:rPr>
          <w:b/>
          <w:spacing w:val="-5"/>
          <w:sz w:val="22"/>
        </w:rPr>
        <w:t> </w:t>
      </w:r>
      <w:r>
        <w:rPr>
          <w:b/>
          <w:sz w:val="22"/>
        </w:rPr>
        <w:t>Test</w:t>
      </w:r>
      <w:r>
        <w:rPr>
          <w:b/>
          <w:spacing w:val="-4"/>
          <w:sz w:val="22"/>
        </w:rPr>
        <w:t> </w:t>
      </w:r>
      <w:r>
        <w:rPr>
          <w:b/>
          <w:sz w:val="22"/>
        </w:rPr>
        <w:t>of</w:t>
      </w:r>
      <w:r>
        <w:rPr>
          <w:b/>
          <w:spacing w:val="-5"/>
          <w:sz w:val="22"/>
        </w:rPr>
        <w:t> </w:t>
      </w:r>
      <w:r>
        <w:rPr>
          <w:b/>
          <w:sz w:val="22"/>
        </w:rPr>
        <w:t>Honey</w:t>
      </w:r>
      <w:r>
        <w:rPr>
          <w:b/>
          <w:spacing w:val="-3"/>
          <w:sz w:val="22"/>
        </w:rPr>
        <w:t> </w:t>
      </w:r>
      <w:r>
        <w:rPr>
          <w:b/>
          <w:sz w:val="22"/>
        </w:rPr>
        <w:t>and</w:t>
      </w:r>
      <w:r>
        <w:rPr>
          <w:b/>
          <w:spacing w:val="-5"/>
          <w:sz w:val="22"/>
        </w:rPr>
        <w:t> </w:t>
      </w:r>
      <w:r>
        <w:rPr>
          <w:b/>
          <w:sz w:val="22"/>
        </w:rPr>
        <w:t>Lemon</w:t>
      </w:r>
      <w:r>
        <w:rPr>
          <w:b/>
          <w:spacing w:val="-3"/>
          <w:sz w:val="22"/>
        </w:rPr>
        <w:t> </w:t>
      </w:r>
      <w:r>
        <w:rPr>
          <w:b/>
          <w:sz w:val="22"/>
        </w:rPr>
        <w:t>juice</w:t>
      </w:r>
      <w:r>
        <w:rPr>
          <w:b/>
          <w:spacing w:val="-5"/>
          <w:sz w:val="22"/>
        </w:rPr>
        <w:t> </w:t>
      </w:r>
      <w:r>
        <w:rPr>
          <w:b/>
          <w:sz w:val="22"/>
        </w:rPr>
        <w:t>(µg/ml)</w:t>
      </w:r>
      <w:r>
        <w:rPr>
          <w:b/>
          <w:spacing w:val="-5"/>
          <w:sz w:val="22"/>
        </w:rPr>
        <w:t> </w:t>
      </w:r>
      <w:r>
        <w:rPr>
          <w:b/>
          <w:sz w:val="22"/>
        </w:rPr>
        <w:t>against</w:t>
      </w:r>
      <w:r>
        <w:rPr>
          <w:b/>
          <w:spacing w:val="-2"/>
          <w:sz w:val="22"/>
        </w:rPr>
        <w:t> </w:t>
      </w:r>
      <w:r>
        <w:rPr>
          <w:b/>
          <w:i/>
          <w:sz w:val="22"/>
        </w:rPr>
        <w:t>Pseudomonas</w:t>
      </w:r>
      <w:r>
        <w:rPr>
          <w:b/>
          <w:i/>
          <w:spacing w:val="-6"/>
          <w:sz w:val="22"/>
        </w:rPr>
        <w:t> </w:t>
      </w:r>
      <w:r>
        <w:rPr>
          <w:b/>
          <w:i/>
          <w:spacing w:val="-2"/>
          <w:sz w:val="22"/>
        </w:rPr>
        <w:t>aeruginosa</w:t>
      </w:r>
    </w:p>
    <w:p>
      <w:pPr>
        <w:pStyle w:val="BodyText"/>
        <w:rPr>
          <w:b/>
          <w:i/>
          <w:sz w:val="20"/>
        </w:rPr>
      </w:pPr>
    </w:p>
    <w:p>
      <w:pPr>
        <w:pStyle w:val="BodyText"/>
        <w:spacing w:before="146"/>
        <w:rPr>
          <w:b/>
          <w:i/>
          <w:sz w:val="20"/>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8"/>
        <w:gridCol w:w="1436"/>
        <w:gridCol w:w="1706"/>
        <w:gridCol w:w="1878"/>
        <w:gridCol w:w="2257"/>
      </w:tblGrid>
      <w:tr>
        <w:trPr>
          <w:trHeight w:val="600" w:hRule="atLeast"/>
        </w:trPr>
        <w:tc>
          <w:tcPr>
            <w:tcW w:w="1698" w:type="dxa"/>
            <w:tcBorders>
              <w:top w:val="single" w:sz="4" w:space="0" w:color="000000"/>
            </w:tcBorders>
          </w:tcPr>
          <w:p>
            <w:pPr>
              <w:pStyle w:val="TableParagraph"/>
              <w:spacing w:line="265" w:lineRule="exact"/>
              <w:ind w:left="403"/>
              <w:rPr>
                <w:b/>
                <w:sz w:val="22"/>
              </w:rPr>
            </w:pPr>
            <w:r>
              <w:rPr>
                <w:b/>
                <w:sz w:val="22"/>
              </w:rPr>
              <w:t>Sample</w:t>
            </w:r>
            <w:r>
              <w:rPr>
                <w:b/>
                <w:spacing w:val="-7"/>
                <w:sz w:val="22"/>
              </w:rPr>
              <w:t> </w:t>
            </w:r>
            <w:r>
              <w:rPr>
                <w:b/>
                <w:spacing w:val="-5"/>
                <w:sz w:val="22"/>
              </w:rPr>
              <w:t>No.</w:t>
            </w:r>
          </w:p>
        </w:tc>
        <w:tc>
          <w:tcPr>
            <w:tcW w:w="1436" w:type="dxa"/>
            <w:tcBorders>
              <w:top w:val="single" w:sz="4" w:space="0" w:color="000000"/>
            </w:tcBorders>
          </w:tcPr>
          <w:p>
            <w:pPr>
              <w:pStyle w:val="TableParagraph"/>
              <w:spacing w:line="265" w:lineRule="exact"/>
              <w:ind w:left="248"/>
              <w:rPr>
                <w:b/>
                <w:sz w:val="22"/>
              </w:rPr>
            </w:pPr>
            <w:r>
              <w:rPr>
                <w:b/>
                <w:spacing w:val="-5"/>
                <w:sz w:val="22"/>
              </w:rPr>
              <w:t>MIC</w:t>
            </w:r>
          </w:p>
        </w:tc>
        <w:tc>
          <w:tcPr>
            <w:tcW w:w="1706" w:type="dxa"/>
            <w:tcBorders>
              <w:top w:val="single" w:sz="4" w:space="0" w:color="000000"/>
            </w:tcBorders>
          </w:tcPr>
          <w:p>
            <w:pPr>
              <w:pStyle w:val="TableParagraph"/>
              <w:spacing w:line="265" w:lineRule="exact"/>
              <w:ind w:left="598"/>
              <w:rPr>
                <w:b/>
                <w:sz w:val="22"/>
              </w:rPr>
            </w:pPr>
            <w:r>
              <w:rPr>
                <w:b/>
                <w:spacing w:val="-5"/>
                <w:sz w:val="22"/>
              </w:rPr>
              <w:t>MBC</w:t>
            </w:r>
          </w:p>
        </w:tc>
        <w:tc>
          <w:tcPr>
            <w:tcW w:w="1878" w:type="dxa"/>
            <w:tcBorders>
              <w:top w:val="single" w:sz="4" w:space="0" w:color="000000"/>
            </w:tcBorders>
          </w:tcPr>
          <w:p>
            <w:pPr>
              <w:pStyle w:val="TableParagraph"/>
              <w:spacing w:line="265" w:lineRule="exact"/>
              <w:ind w:left="673"/>
              <w:rPr>
                <w:b/>
                <w:sz w:val="22"/>
              </w:rPr>
            </w:pPr>
            <w:r>
              <w:rPr>
                <w:b/>
                <w:spacing w:val="-5"/>
                <w:sz w:val="22"/>
              </w:rPr>
              <w:t>MIC</w:t>
            </w:r>
          </w:p>
        </w:tc>
        <w:tc>
          <w:tcPr>
            <w:tcW w:w="2257" w:type="dxa"/>
            <w:tcBorders>
              <w:top w:val="single" w:sz="4" w:space="0" w:color="000000"/>
            </w:tcBorders>
          </w:tcPr>
          <w:p>
            <w:pPr>
              <w:pStyle w:val="TableParagraph"/>
              <w:spacing w:line="265" w:lineRule="exact"/>
              <w:ind w:left="584"/>
              <w:rPr>
                <w:b/>
                <w:sz w:val="22"/>
              </w:rPr>
            </w:pPr>
            <w:r>
              <w:rPr>
                <w:b/>
                <w:spacing w:val="-5"/>
                <w:sz w:val="22"/>
              </w:rPr>
              <w:t>MBC</w:t>
            </w:r>
          </w:p>
        </w:tc>
      </w:tr>
      <w:tr>
        <w:trPr>
          <w:trHeight w:val="749" w:hRule="atLeast"/>
        </w:trPr>
        <w:tc>
          <w:tcPr>
            <w:tcW w:w="1698" w:type="dxa"/>
            <w:tcBorders>
              <w:bottom w:val="single" w:sz="4" w:space="0" w:color="000000"/>
            </w:tcBorders>
          </w:tcPr>
          <w:p>
            <w:pPr>
              <w:pStyle w:val="TableParagraph"/>
              <w:rPr>
                <w:rFonts w:ascii="Times New Roman"/>
                <w:sz w:val="22"/>
              </w:rPr>
            </w:pPr>
          </w:p>
        </w:tc>
        <w:tc>
          <w:tcPr>
            <w:tcW w:w="1436" w:type="dxa"/>
            <w:tcBorders>
              <w:bottom w:val="single" w:sz="4" w:space="0" w:color="000000"/>
            </w:tcBorders>
          </w:tcPr>
          <w:p>
            <w:pPr>
              <w:pStyle w:val="TableParagraph"/>
              <w:spacing w:before="27"/>
              <w:rPr>
                <w:b/>
                <w:i/>
                <w:sz w:val="22"/>
              </w:rPr>
            </w:pPr>
          </w:p>
          <w:p>
            <w:pPr>
              <w:pStyle w:val="TableParagraph"/>
              <w:ind w:left="248"/>
              <w:rPr>
                <w:b/>
                <w:sz w:val="22"/>
              </w:rPr>
            </w:pPr>
            <w:r>
              <w:rPr>
                <w:b/>
                <w:spacing w:val="-2"/>
                <w:sz w:val="22"/>
              </w:rPr>
              <w:t>Honey</w:t>
            </w:r>
          </w:p>
        </w:tc>
        <w:tc>
          <w:tcPr>
            <w:tcW w:w="1706" w:type="dxa"/>
            <w:tcBorders>
              <w:bottom w:val="single" w:sz="4" w:space="0" w:color="000000"/>
            </w:tcBorders>
          </w:tcPr>
          <w:p>
            <w:pPr>
              <w:pStyle w:val="TableParagraph"/>
              <w:rPr>
                <w:rFonts w:ascii="Times New Roman"/>
                <w:sz w:val="22"/>
              </w:rPr>
            </w:pPr>
          </w:p>
        </w:tc>
        <w:tc>
          <w:tcPr>
            <w:tcW w:w="1878" w:type="dxa"/>
            <w:tcBorders>
              <w:bottom w:val="single" w:sz="4" w:space="0" w:color="000000"/>
            </w:tcBorders>
          </w:tcPr>
          <w:p>
            <w:pPr>
              <w:pStyle w:val="TableParagraph"/>
              <w:spacing w:before="27"/>
              <w:rPr>
                <w:b/>
                <w:i/>
                <w:sz w:val="22"/>
              </w:rPr>
            </w:pPr>
          </w:p>
          <w:p>
            <w:pPr>
              <w:pStyle w:val="TableParagraph"/>
              <w:ind w:left="673"/>
              <w:rPr>
                <w:b/>
                <w:sz w:val="22"/>
              </w:rPr>
            </w:pPr>
            <w:r>
              <w:rPr>
                <w:b/>
                <w:spacing w:val="-2"/>
                <w:sz w:val="22"/>
              </w:rPr>
              <w:t>Lemon</w:t>
            </w:r>
          </w:p>
        </w:tc>
        <w:tc>
          <w:tcPr>
            <w:tcW w:w="2257" w:type="dxa"/>
            <w:tcBorders>
              <w:bottom w:val="single" w:sz="4" w:space="0" w:color="000000"/>
            </w:tcBorders>
          </w:tcPr>
          <w:p>
            <w:pPr>
              <w:pStyle w:val="TableParagraph"/>
              <w:rPr>
                <w:rFonts w:ascii="Times New Roman"/>
                <w:sz w:val="22"/>
              </w:rPr>
            </w:pPr>
          </w:p>
        </w:tc>
      </w:tr>
      <w:tr>
        <w:trPr>
          <w:trHeight w:val="375" w:hRule="atLeast"/>
        </w:trPr>
        <w:tc>
          <w:tcPr>
            <w:tcW w:w="1698" w:type="dxa"/>
            <w:tcBorders>
              <w:top w:val="single" w:sz="4" w:space="0" w:color="000000"/>
            </w:tcBorders>
          </w:tcPr>
          <w:p>
            <w:pPr>
              <w:pStyle w:val="TableParagraph"/>
              <w:spacing w:line="266" w:lineRule="exact"/>
              <w:ind w:left="122"/>
              <w:rPr>
                <w:sz w:val="22"/>
              </w:rPr>
            </w:pPr>
            <w:r>
              <w:rPr>
                <w:sz w:val="22"/>
              </w:rPr>
              <w:t>ES</w:t>
            </w:r>
            <w:r>
              <w:rPr>
                <w:spacing w:val="-1"/>
                <w:sz w:val="22"/>
              </w:rPr>
              <w:t> </w:t>
            </w:r>
            <w:r>
              <w:rPr>
                <w:spacing w:val="-5"/>
                <w:sz w:val="22"/>
              </w:rPr>
              <w:t>225</w:t>
            </w:r>
          </w:p>
        </w:tc>
        <w:tc>
          <w:tcPr>
            <w:tcW w:w="1436" w:type="dxa"/>
            <w:tcBorders>
              <w:top w:val="single" w:sz="4" w:space="0" w:color="000000"/>
            </w:tcBorders>
          </w:tcPr>
          <w:p>
            <w:pPr>
              <w:pStyle w:val="TableParagraph"/>
              <w:spacing w:line="266" w:lineRule="exact"/>
              <w:ind w:left="248"/>
              <w:rPr>
                <w:sz w:val="22"/>
              </w:rPr>
            </w:pPr>
            <w:r>
              <w:rPr>
                <w:spacing w:val="-4"/>
                <w:sz w:val="22"/>
              </w:rPr>
              <w:t>30.0</w:t>
            </w:r>
          </w:p>
        </w:tc>
        <w:tc>
          <w:tcPr>
            <w:tcW w:w="1706" w:type="dxa"/>
            <w:tcBorders>
              <w:top w:val="single" w:sz="4" w:space="0" w:color="000000"/>
            </w:tcBorders>
          </w:tcPr>
          <w:p>
            <w:pPr>
              <w:pStyle w:val="TableParagraph"/>
              <w:spacing w:line="266" w:lineRule="exact"/>
              <w:ind w:left="598"/>
              <w:rPr>
                <w:sz w:val="22"/>
              </w:rPr>
            </w:pPr>
            <w:r>
              <w:rPr>
                <w:spacing w:val="-4"/>
                <w:sz w:val="22"/>
              </w:rPr>
              <w:t>70.0</w:t>
            </w:r>
          </w:p>
        </w:tc>
        <w:tc>
          <w:tcPr>
            <w:tcW w:w="1878" w:type="dxa"/>
            <w:tcBorders>
              <w:top w:val="single" w:sz="4" w:space="0" w:color="000000"/>
            </w:tcBorders>
          </w:tcPr>
          <w:p>
            <w:pPr>
              <w:pStyle w:val="TableParagraph"/>
              <w:spacing w:line="266" w:lineRule="exact"/>
              <w:ind w:left="673"/>
              <w:rPr>
                <w:sz w:val="22"/>
              </w:rPr>
            </w:pPr>
            <w:r>
              <w:rPr>
                <w:spacing w:val="-4"/>
                <w:sz w:val="22"/>
              </w:rPr>
              <w:t>17.5</w:t>
            </w:r>
          </w:p>
        </w:tc>
        <w:tc>
          <w:tcPr>
            <w:tcW w:w="2257" w:type="dxa"/>
            <w:tcBorders>
              <w:top w:val="single" w:sz="4" w:space="0" w:color="000000"/>
            </w:tcBorders>
          </w:tcPr>
          <w:p>
            <w:pPr>
              <w:pStyle w:val="TableParagraph"/>
              <w:spacing w:line="266" w:lineRule="exact"/>
              <w:ind w:left="584"/>
              <w:rPr>
                <w:sz w:val="22"/>
              </w:rPr>
            </w:pPr>
            <w:r>
              <w:rPr>
                <w:spacing w:val="-4"/>
                <w:sz w:val="22"/>
              </w:rPr>
              <w:t>25.0</w:t>
            </w:r>
          </w:p>
        </w:tc>
      </w:tr>
      <w:tr>
        <w:trPr>
          <w:trHeight w:val="450" w:hRule="atLeast"/>
        </w:trPr>
        <w:tc>
          <w:tcPr>
            <w:tcW w:w="1698" w:type="dxa"/>
          </w:tcPr>
          <w:p>
            <w:pPr>
              <w:pStyle w:val="TableParagraph"/>
              <w:spacing w:before="70"/>
              <w:ind w:left="122"/>
              <w:rPr>
                <w:sz w:val="22"/>
              </w:rPr>
            </w:pPr>
            <w:r>
              <w:rPr>
                <w:sz w:val="22"/>
              </w:rPr>
              <w:t>ES</w:t>
            </w:r>
            <w:r>
              <w:rPr>
                <w:spacing w:val="-1"/>
                <w:sz w:val="22"/>
              </w:rPr>
              <w:t> </w:t>
            </w:r>
            <w:r>
              <w:rPr>
                <w:spacing w:val="-5"/>
                <w:sz w:val="22"/>
              </w:rPr>
              <w:t>235</w:t>
            </w:r>
          </w:p>
        </w:tc>
        <w:tc>
          <w:tcPr>
            <w:tcW w:w="1436" w:type="dxa"/>
          </w:tcPr>
          <w:p>
            <w:pPr>
              <w:pStyle w:val="TableParagraph"/>
              <w:spacing w:before="70"/>
              <w:ind w:left="248"/>
              <w:rPr>
                <w:sz w:val="22"/>
              </w:rPr>
            </w:pPr>
            <w:r>
              <w:rPr>
                <w:spacing w:val="-4"/>
                <w:sz w:val="22"/>
              </w:rPr>
              <w:t>30.0</w:t>
            </w:r>
          </w:p>
        </w:tc>
        <w:tc>
          <w:tcPr>
            <w:tcW w:w="1706" w:type="dxa"/>
          </w:tcPr>
          <w:p>
            <w:pPr>
              <w:pStyle w:val="TableParagraph"/>
              <w:spacing w:before="70"/>
              <w:ind w:left="598"/>
              <w:rPr>
                <w:sz w:val="22"/>
              </w:rPr>
            </w:pPr>
            <w:r>
              <w:rPr>
                <w:spacing w:val="-4"/>
                <w:sz w:val="22"/>
              </w:rPr>
              <w:t>70.0</w:t>
            </w:r>
          </w:p>
        </w:tc>
        <w:tc>
          <w:tcPr>
            <w:tcW w:w="1878" w:type="dxa"/>
          </w:tcPr>
          <w:p>
            <w:pPr>
              <w:pStyle w:val="TableParagraph"/>
              <w:spacing w:before="70"/>
              <w:ind w:left="673"/>
              <w:rPr>
                <w:sz w:val="22"/>
              </w:rPr>
            </w:pPr>
            <w:r>
              <w:rPr>
                <w:spacing w:val="-4"/>
                <w:sz w:val="22"/>
              </w:rPr>
              <w:t>15.0</w:t>
            </w:r>
          </w:p>
        </w:tc>
        <w:tc>
          <w:tcPr>
            <w:tcW w:w="2257" w:type="dxa"/>
          </w:tcPr>
          <w:p>
            <w:pPr>
              <w:pStyle w:val="TableParagraph"/>
              <w:spacing w:before="70"/>
              <w:ind w:left="584"/>
              <w:rPr>
                <w:sz w:val="22"/>
              </w:rPr>
            </w:pPr>
            <w:r>
              <w:rPr>
                <w:spacing w:val="-4"/>
                <w:sz w:val="22"/>
              </w:rPr>
              <w:t>50.0</w:t>
            </w:r>
          </w:p>
        </w:tc>
      </w:tr>
      <w:tr>
        <w:trPr>
          <w:trHeight w:val="450" w:hRule="atLeast"/>
        </w:trPr>
        <w:tc>
          <w:tcPr>
            <w:tcW w:w="1698" w:type="dxa"/>
          </w:tcPr>
          <w:p>
            <w:pPr>
              <w:pStyle w:val="TableParagraph"/>
              <w:spacing w:before="71"/>
              <w:ind w:left="122"/>
              <w:rPr>
                <w:sz w:val="22"/>
              </w:rPr>
            </w:pPr>
            <w:r>
              <w:rPr>
                <w:sz w:val="22"/>
              </w:rPr>
              <w:t>ES</w:t>
            </w:r>
            <w:r>
              <w:rPr>
                <w:spacing w:val="-1"/>
                <w:sz w:val="22"/>
              </w:rPr>
              <w:t> </w:t>
            </w:r>
            <w:r>
              <w:rPr>
                <w:spacing w:val="-5"/>
                <w:sz w:val="22"/>
              </w:rPr>
              <w:t>350</w:t>
            </w:r>
          </w:p>
        </w:tc>
        <w:tc>
          <w:tcPr>
            <w:tcW w:w="1436" w:type="dxa"/>
          </w:tcPr>
          <w:p>
            <w:pPr>
              <w:pStyle w:val="TableParagraph"/>
              <w:spacing w:before="71"/>
              <w:ind w:left="248"/>
              <w:rPr>
                <w:sz w:val="22"/>
              </w:rPr>
            </w:pPr>
            <w:r>
              <w:rPr>
                <w:spacing w:val="-4"/>
                <w:sz w:val="22"/>
              </w:rPr>
              <w:t>30.0</w:t>
            </w:r>
          </w:p>
        </w:tc>
        <w:tc>
          <w:tcPr>
            <w:tcW w:w="1706" w:type="dxa"/>
          </w:tcPr>
          <w:p>
            <w:pPr>
              <w:pStyle w:val="TableParagraph"/>
              <w:spacing w:before="71"/>
              <w:ind w:left="598"/>
              <w:rPr>
                <w:sz w:val="22"/>
              </w:rPr>
            </w:pPr>
            <w:r>
              <w:rPr>
                <w:spacing w:val="-4"/>
                <w:sz w:val="22"/>
              </w:rPr>
              <w:t>70.0</w:t>
            </w:r>
          </w:p>
        </w:tc>
        <w:tc>
          <w:tcPr>
            <w:tcW w:w="1878" w:type="dxa"/>
          </w:tcPr>
          <w:p>
            <w:pPr>
              <w:pStyle w:val="TableParagraph"/>
              <w:spacing w:before="71"/>
              <w:ind w:left="673"/>
              <w:rPr>
                <w:sz w:val="22"/>
              </w:rPr>
            </w:pPr>
            <w:r>
              <w:rPr>
                <w:spacing w:val="-4"/>
                <w:sz w:val="22"/>
              </w:rPr>
              <w:t>17.5</w:t>
            </w:r>
          </w:p>
        </w:tc>
        <w:tc>
          <w:tcPr>
            <w:tcW w:w="2257" w:type="dxa"/>
          </w:tcPr>
          <w:p>
            <w:pPr>
              <w:pStyle w:val="TableParagraph"/>
              <w:spacing w:before="71"/>
              <w:ind w:left="584"/>
              <w:rPr>
                <w:sz w:val="22"/>
              </w:rPr>
            </w:pPr>
            <w:r>
              <w:rPr>
                <w:spacing w:val="-4"/>
                <w:sz w:val="22"/>
              </w:rPr>
              <w:t>40.0</w:t>
            </w:r>
          </w:p>
        </w:tc>
      </w:tr>
      <w:tr>
        <w:trPr>
          <w:trHeight w:val="448" w:hRule="atLeast"/>
        </w:trPr>
        <w:tc>
          <w:tcPr>
            <w:tcW w:w="1698" w:type="dxa"/>
          </w:tcPr>
          <w:p>
            <w:pPr>
              <w:pStyle w:val="TableParagraph"/>
              <w:spacing w:before="70"/>
              <w:ind w:left="122"/>
              <w:rPr>
                <w:sz w:val="22"/>
              </w:rPr>
            </w:pPr>
            <w:r>
              <w:rPr>
                <w:sz w:val="22"/>
              </w:rPr>
              <w:t>ES</w:t>
            </w:r>
            <w:r>
              <w:rPr>
                <w:spacing w:val="-1"/>
                <w:sz w:val="22"/>
              </w:rPr>
              <w:t> </w:t>
            </w:r>
            <w:r>
              <w:rPr>
                <w:spacing w:val="-5"/>
                <w:sz w:val="22"/>
              </w:rPr>
              <w:t>876</w:t>
            </w:r>
          </w:p>
        </w:tc>
        <w:tc>
          <w:tcPr>
            <w:tcW w:w="1436" w:type="dxa"/>
          </w:tcPr>
          <w:p>
            <w:pPr>
              <w:pStyle w:val="TableParagraph"/>
              <w:spacing w:before="70"/>
              <w:ind w:left="248"/>
              <w:rPr>
                <w:sz w:val="22"/>
              </w:rPr>
            </w:pPr>
            <w:r>
              <w:rPr>
                <w:spacing w:val="-4"/>
                <w:sz w:val="22"/>
              </w:rPr>
              <w:t>25.0</w:t>
            </w:r>
          </w:p>
        </w:tc>
        <w:tc>
          <w:tcPr>
            <w:tcW w:w="1706" w:type="dxa"/>
          </w:tcPr>
          <w:p>
            <w:pPr>
              <w:pStyle w:val="TableParagraph"/>
              <w:spacing w:before="70"/>
              <w:ind w:left="598"/>
              <w:rPr>
                <w:sz w:val="22"/>
              </w:rPr>
            </w:pPr>
            <w:r>
              <w:rPr>
                <w:spacing w:val="-4"/>
                <w:sz w:val="22"/>
              </w:rPr>
              <w:t>60.0</w:t>
            </w:r>
          </w:p>
        </w:tc>
        <w:tc>
          <w:tcPr>
            <w:tcW w:w="1878" w:type="dxa"/>
          </w:tcPr>
          <w:p>
            <w:pPr>
              <w:pStyle w:val="TableParagraph"/>
              <w:spacing w:before="70"/>
              <w:ind w:left="673"/>
              <w:rPr>
                <w:sz w:val="22"/>
              </w:rPr>
            </w:pPr>
            <w:r>
              <w:rPr>
                <w:spacing w:val="-4"/>
                <w:sz w:val="22"/>
              </w:rPr>
              <w:t>15.0</w:t>
            </w:r>
          </w:p>
        </w:tc>
        <w:tc>
          <w:tcPr>
            <w:tcW w:w="2257" w:type="dxa"/>
          </w:tcPr>
          <w:p>
            <w:pPr>
              <w:pStyle w:val="TableParagraph"/>
              <w:spacing w:before="70"/>
              <w:ind w:left="584"/>
              <w:rPr>
                <w:sz w:val="22"/>
              </w:rPr>
            </w:pPr>
            <w:r>
              <w:rPr>
                <w:spacing w:val="-4"/>
                <w:sz w:val="22"/>
              </w:rPr>
              <w:t>25.0</w:t>
            </w:r>
          </w:p>
        </w:tc>
      </w:tr>
      <w:tr>
        <w:trPr>
          <w:trHeight w:val="450" w:hRule="atLeast"/>
        </w:trPr>
        <w:tc>
          <w:tcPr>
            <w:tcW w:w="1698" w:type="dxa"/>
          </w:tcPr>
          <w:p>
            <w:pPr>
              <w:pStyle w:val="TableParagraph"/>
              <w:spacing w:before="70"/>
              <w:ind w:left="122"/>
              <w:rPr>
                <w:sz w:val="22"/>
              </w:rPr>
            </w:pPr>
            <w:r>
              <w:rPr>
                <w:sz w:val="22"/>
              </w:rPr>
              <w:t>ES</w:t>
            </w:r>
            <w:r>
              <w:rPr>
                <w:spacing w:val="-1"/>
                <w:sz w:val="22"/>
              </w:rPr>
              <w:t> </w:t>
            </w:r>
            <w:r>
              <w:rPr>
                <w:spacing w:val="-5"/>
                <w:sz w:val="22"/>
              </w:rPr>
              <w:t>877</w:t>
            </w:r>
          </w:p>
        </w:tc>
        <w:tc>
          <w:tcPr>
            <w:tcW w:w="1436" w:type="dxa"/>
          </w:tcPr>
          <w:p>
            <w:pPr>
              <w:pStyle w:val="TableParagraph"/>
              <w:spacing w:before="70"/>
              <w:ind w:left="248"/>
              <w:rPr>
                <w:sz w:val="22"/>
              </w:rPr>
            </w:pPr>
            <w:r>
              <w:rPr>
                <w:spacing w:val="-4"/>
                <w:sz w:val="22"/>
              </w:rPr>
              <w:t>45.0</w:t>
            </w:r>
          </w:p>
        </w:tc>
        <w:tc>
          <w:tcPr>
            <w:tcW w:w="1706" w:type="dxa"/>
          </w:tcPr>
          <w:p>
            <w:pPr>
              <w:pStyle w:val="TableParagraph"/>
              <w:spacing w:before="70"/>
              <w:ind w:left="598"/>
              <w:rPr>
                <w:sz w:val="22"/>
              </w:rPr>
            </w:pPr>
            <w:r>
              <w:rPr>
                <w:spacing w:val="-5"/>
                <w:sz w:val="22"/>
              </w:rPr>
              <w:t>100</w:t>
            </w:r>
          </w:p>
        </w:tc>
        <w:tc>
          <w:tcPr>
            <w:tcW w:w="1878" w:type="dxa"/>
          </w:tcPr>
          <w:p>
            <w:pPr>
              <w:pStyle w:val="TableParagraph"/>
              <w:spacing w:before="70"/>
              <w:ind w:left="673"/>
              <w:rPr>
                <w:sz w:val="22"/>
              </w:rPr>
            </w:pPr>
            <w:r>
              <w:rPr>
                <w:spacing w:val="-4"/>
                <w:sz w:val="22"/>
              </w:rPr>
              <w:t>15.0</w:t>
            </w:r>
          </w:p>
        </w:tc>
        <w:tc>
          <w:tcPr>
            <w:tcW w:w="2257" w:type="dxa"/>
          </w:tcPr>
          <w:p>
            <w:pPr>
              <w:pStyle w:val="TableParagraph"/>
              <w:spacing w:before="70"/>
              <w:ind w:left="584"/>
              <w:rPr>
                <w:sz w:val="22"/>
              </w:rPr>
            </w:pPr>
            <w:r>
              <w:rPr>
                <w:spacing w:val="-4"/>
                <w:sz w:val="22"/>
              </w:rPr>
              <w:t>30.0</w:t>
            </w:r>
          </w:p>
        </w:tc>
      </w:tr>
      <w:tr>
        <w:trPr>
          <w:trHeight w:val="450" w:hRule="atLeast"/>
        </w:trPr>
        <w:tc>
          <w:tcPr>
            <w:tcW w:w="1698" w:type="dxa"/>
          </w:tcPr>
          <w:p>
            <w:pPr>
              <w:pStyle w:val="TableParagraph"/>
              <w:spacing w:before="71"/>
              <w:ind w:left="122"/>
              <w:rPr>
                <w:sz w:val="22"/>
              </w:rPr>
            </w:pPr>
            <w:r>
              <w:rPr>
                <w:sz w:val="22"/>
              </w:rPr>
              <w:t>ES</w:t>
            </w:r>
            <w:r>
              <w:rPr>
                <w:spacing w:val="-1"/>
                <w:sz w:val="22"/>
              </w:rPr>
              <w:t> </w:t>
            </w:r>
            <w:r>
              <w:rPr>
                <w:spacing w:val="-5"/>
                <w:sz w:val="22"/>
              </w:rPr>
              <w:t>895</w:t>
            </w:r>
          </w:p>
        </w:tc>
        <w:tc>
          <w:tcPr>
            <w:tcW w:w="1436" w:type="dxa"/>
          </w:tcPr>
          <w:p>
            <w:pPr>
              <w:pStyle w:val="TableParagraph"/>
              <w:spacing w:before="71"/>
              <w:ind w:left="248"/>
              <w:rPr>
                <w:sz w:val="22"/>
              </w:rPr>
            </w:pPr>
            <w:r>
              <w:rPr>
                <w:spacing w:val="-4"/>
                <w:sz w:val="22"/>
              </w:rPr>
              <w:t>50.0</w:t>
            </w:r>
          </w:p>
        </w:tc>
        <w:tc>
          <w:tcPr>
            <w:tcW w:w="1706" w:type="dxa"/>
          </w:tcPr>
          <w:p>
            <w:pPr>
              <w:pStyle w:val="TableParagraph"/>
              <w:spacing w:before="71"/>
              <w:ind w:left="598"/>
              <w:rPr>
                <w:sz w:val="22"/>
              </w:rPr>
            </w:pPr>
            <w:r>
              <w:rPr>
                <w:spacing w:val="-5"/>
                <w:sz w:val="22"/>
              </w:rPr>
              <w:t>NB</w:t>
            </w:r>
          </w:p>
        </w:tc>
        <w:tc>
          <w:tcPr>
            <w:tcW w:w="1878" w:type="dxa"/>
          </w:tcPr>
          <w:p>
            <w:pPr>
              <w:pStyle w:val="TableParagraph"/>
              <w:spacing w:before="71"/>
              <w:ind w:left="673"/>
              <w:rPr>
                <w:sz w:val="22"/>
              </w:rPr>
            </w:pPr>
            <w:r>
              <w:rPr>
                <w:spacing w:val="-4"/>
                <w:sz w:val="22"/>
              </w:rPr>
              <w:t>17.5</w:t>
            </w:r>
          </w:p>
        </w:tc>
        <w:tc>
          <w:tcPr>
            <w:tcW w:w="2257" w:type="dxa"/>
          </w:tcPr>
          <w:p>
            <w:pPr>
              <w:pStyle w:val="TableParagraph"/>
              <w:spacing w:before="71"/>
              <w:ind w:left="584"/>
              <w:rPr>
                <w:sz w:val="22"/>
              </w:rPr>
            </w:pPr>
            <w:r>
              <w:rPr>
                <w:spacing w:val="-4"/>
                <w:sz w:val="22"/>
              </w:rPr>
              <w:t>70.0</w:t>
            </w:r>
          </w:p>
        </w:tc>
      </w:tr>
      <w:tr>
        <w:trPr>
          <w:trHeight w:val="450" w:hRule="atLeast"/>
        </w:trPr>
        <w:tc>
          <w:tcPr>
            <w:tcW w:w="1698" w:type="dxa"/>
          </w:tcPr>
          <w:p>
            <w:pPr>
              <w:pStyle w:val="TableParagraph"/>
              <w:spacing w:before="70"/>
              <w:ind w:left="122"/>
              <w:rPr>
                <w:sz w:val="22"/>
              </w:rPr>
            </w:pPr>
            <w:r>
              <w:rPr>
                <w:spacing w:val="-2"/>
                <w:sz w:val="22"/>
              </w:rPr>
              <w:t>ES1243</w:t>
            </w:r>
          </w:p>
        </w:tc>
        <w:tc>
          <w:tcPr>
            <w:tcW w:w="1436" w:type="dxa"/>
          </w:tcPr>
          <w:p>
            <w:pPr>
              <w:pStyle w:val="TableParagraph"/>
              <w:spacing w:before="70"/>
              <w:ind w:left="248"/>
              <w:rPr>
                <w:sz w:val="22"/>
              </w:rPr>
            </w:pPr>
            <w:r>
              <w:rPr>
                <w:spacing w:val="-4"/>
                <w:sz w:val="22"/>
              </w:rPr>
              <w:t>30.0</w:t>
            </w:r>
          </w:p>
        </w:tc>
        <w:tc>
          <w:tcPr>
            <w:tcW w:w="1706" w:type="dxa"/>
          </w:tcPr>
          <w:p>
            <w:pPr>
              <w:pStyle w:val="TableParagraph"/>
              <w:spacing w:before="70"/>
              <w:ind w:left="598"/>
              <w:rPr>
                <w:sz w:val="22"/>
              </w:rPr>
            </w:pPr>
            <w:r>
              <w:rPr>
                <w:spacing w:val="-4"/>
                <w:sz w:val="22"/>
              </w:rPr>
              <w:t>60.0</w:t>
            </w:r>
          </w:p>
        </w:tc>
        <w:tc>
          <w:tcPr>
            <w:tcW w:w="1878" w:type="dxa"/>
          </w:tcPr>
          <w:p>
            <w:pPr>
              <w:pStyle w:val="TableParagraph"/>
              <w:spacing w:before="70"/>
              <w:ind w:left="673"/>
              <w:rPr>
                <w:sz w:val="22"/>
              </w:rPr>
            </w:pPr>
            <w:r>
              <w:rPr>
                <w:spacing w:val="-4"/>
                <w:sz w:val="22"/>
              </w:rPr>
              <w:t>17.5</w:t>
            </w:r>
          </w:p>
        </w:tc>
        <w:tc>
          <w:tcPr>
            <w:tcW w:w="2257" w:type="dxa"/>
          </w:tcPr>
          <w:p>
            <w:pPr>
              <w:pStyle w:val="TableParagraph"/>
              <w:spacing w:before="70"/>
              <w:ind w:left="584"/>
              <w:rPr>
                <w:sz w:val="22"/>
              </w:rPr>
            </w:pPr>
            <w:r>
              <w:rPr>
                <w:spacing w:val="-4"/>
                <w:sz w:val="22"/>
              </w:rPr>
              <w:t>60.0</w:t>
            </w:r>
          </w:p>
        </w:tc>
      </w:tr>
      <w:tr>
        <w:trPr>
          <w:trHeight w:val="450" w:hRule="atLeast"/>
        </w:trPr>
        <w:tc>
          <w:tcPr>
            <w:tcW w:w="1698" w:type="dxa"/>
          </w:tcPr>
          <w:p>
            <w:pPr>
              <w:pStyle w:val="TableParagraph"/>
              <w:spacing w:before="71"/>
              <w:ind w:left="122"/>
              <w:rPr>
                <w:sz w:val="22"/>
              </w:rPr>
            </w:pPr>
            <w:r>
              <w:rPr>
                <w:sz w:val="22"/>
              </w:rPr>
              <w:t>SP</w:t>
            </w:r>
            <w:r>
              <w:rPr>
                <w:spacing w:val="1"/>
                <w:sz w:val="22"/>
              </w:rPr>
              <w:t> </w:t>
            </w:r>
            <w:r>
              <w:rPr>
                <w:spacing w:val="-5"/>
                <w:sz w:val="22"/>
              </w:rPr>
              <w:t>259</w:t>
            </w:r>
          </w:p>
        </w:tc>
        <w:tc>
          <w:tcPr>
            <w:tcW w:w="1436" w:type="dxa"/>
          </w:tcPr>
          <w:p>
            <w:pPr>
              <w:pStyle w:val="TableParagraph"/>
              <w:spacing w:before="71"/>
              <w:ind w:left="248"/>
              <w:rPr>
                <w:sz w:val="22"/>
              </w:rPr>
            </w:pPr>
            <w:r>
              <w:rPr>
                <w:spacing w:val="-4"/>
                <w:sz w:val="22"/>
              </w:rPr>
              <w:t>30.0</w:t>
            </w:r>
          </w:p>
        </w:tc>
        <w:tc>
          <w:tcPr>
            <w:tcW w:w="1706" w:type="dxa"/>
          </w:tcPr>
          <w:p>
            <w:pPr>
              <w:pStyle w:val="TableParagraph"/>
              <w:spacing w:before="71"/>
              <w:ind w:left="598"/>
              <w:rPr>
                <w:sz w:val="22"/>
              </w:rPr>
            </w:pPr>
            <w:r>
              <w:rPr>
                <w:spacing w:val="-4"/>
                <w:sz w:val="22"/>
              </w:rPr>
              <w:t>60.0</w:t>
            </w:r>
          </w:p>
        </w:tc>
        <w:tc>
          <w:tcPr>
            <w:tcW w:w="1878" w:type="dxa"/>
          </w:tcPr>
          <w:p>
            <w:pPr>
              <w:pStyle w:val="TableParagraph"/>
              <w:spacing w:before="71"/>
              <w:ind w:left="673"/>
              <w:rPr>
                <w:sz w:val="22"/>
              </w:rPr>
            </w:pPr>
            <w:r>
              <w:rPr>
                <w:spacing w:val="-4"/>
                <w:sz w:val="22"/>
              </w:rPr>
              <w:t>17.5</w:t>
            </w:r>
          </w:p>
        </w:tc>
        <w:tc>
          <w:tcPr>
            <w:tcW w:w="2257" w:type="dxa"/>
          </w:tcPr>
          <w:p>
            <w:pPr>
              <w:pStyle w:val="TableParagraph"/>
              <w:spacing w:before="71"/>
              <w:ind w:left="584"/>
              <w:rPr>
                <w:sz w:val="22"/>
              </w:rPr>
            </w:pPr>
            <w:r>
              <w:rPr>
                <w:spacing w:val="-4"/>
                <w:sz w:val="22"/>
              </w:rPr>
              <w:t>60.0</w:t>
            </w:r>
          </w:p>
        </w:tc>
      </w:tr>
      <w:tr>
        <w:trPr>
          <w:trHeight w:val="449" w:hRule="atLeast"/>
        </w:trPr>
        <w:tc>
          <w:tcPr>
            <w:tcW w:w="1698" w:type="dxa"/>
          </w:tcPr>
          <w:p>
            <w:pPr>
              <w:pStyle w:val="TableParagraph"/>
              <w:spacing w:before="70"/>
              <w:ind w:left="122"/>
              <w:rPr>
                <w:sz w:val="22"/>
              </w:rPr>
            </w:pPr>
            <w:r>
              <w:rPr>
                <w:sz w:val="22"/>
              </w:rPr>
              <w:t>SP</w:t>
            </w:r>
            <w:r>
              <w:rPr>
                <w:spacing w:val="1"/>
                <w:sz w:val="22"/>
              </w:rPr>
              <w:t> </w:t>
            </w:r>
            <w:r>
              <w:rPr>
                <w:spacing w:val="-5"/>
                <w:sz w:val="22"/>
              </w:rPr>
              <w:t>897</w:t>
            </w:r>
          </w:p>
        </w:tc>
        <w:tc>
          <w:tcPr>
            <w:tcW w:w="1436" w:type="dxa"/>
          </w:tcPr>
          <w:p>
            <w:pPr>
              <w:pStyle w:val="TableParagraph"/>
              <w:spacing w:before="70"/>
              <w:ind w:left="248"/>
              <w:rPr>
                <w:sz w:val="22"/>
              </w:rPr>
            </w:pPr>
            <w:r>
              <w:rPr>
                <w:spacing w:val="-4"/>
                <w:sz w:val="22"/>
              </w:rPr>
              <w:t>25.0</w:t>
            </w:r>
          </w:p>
        </w:tc>
        <w:tc>
          <w:tcPr>
            <w:tcW w:w="1706" w:type="dxa"/>
          </w:tcPr>
          <w:p>
            <w:pPr>
              <w:pStyle w:val="TableParagraph"/>
              <w:spacing w:before="70"/>
              <w:ind w:left="598"/>
              <w:rPr>
                <w:sz w:val="22"/>
              </w:rPr>
            </w:pPr>
            <w:r>
              <w:rPr>
                <w:spacing w:val="-5"/>
                <w:sz w:val="22"/>
              </w:rPr>
              <w:t>100</w:t>
            </w:r>
          </w:p>
        </w:tc>
        <w:tc>
          <w:tcPr>
            <w:tcW w:w="1878" w:type="dxa"/>
          </w:tcPr>
          <w:p>
            <w:pPr>
              <w:pStyle w:val="TableParagraph"/>
              <w:spacing w:before="70"/>
              <w:ind w:left="673"/>
              <w:rPr>
                <w:sz w:val="22"/>
              </w:rPr>
            </w:pPr>
            <w:r>
              <w:rPr>
                <w:spacing w:val="-4"/>
                <w:sz w:val="22"/>
              </w:rPr>
              <w:t>15.0</w:t>
            </w:r>
          </w:p>
        </w:tc>
        <w:tc>
          <w:tcPr>
            <w:tcW w:w="2257" w:type="dxa"/>
          </w:tcPr>
          <w:p>
            <w:pPr>
              <w:pStyle w:val="TableParagraph"/>
              <w:spacing w:before="70"/>
              <w:ind w:left="584"/>
              <w:rPr>
                <w:sz w:val="22"/>
              </w:rPr>
            </w:pPr>
            <w:r>
              <w:rPr>
                <w:spacing w:val="-4"/>
                <w:sz w:val="22"/>
              </w:rPr>
              <w:t>25.0</w:t>
            </w:r>
          </w:p>
        </w:tc>
      </w:tr>
      <w:tr>
        <w:trPr>
          <w:trHeight w:val="450" w:hRule="atLeast"/>
        </w:trPr>
        <w:tc>
          <w:tcPr>
            <w:tcW w:w="1698" w:type="dxa"/>
          </w:tcPr>
          <w:p>
            <w:pPr>
              <w:pStyle w:val="TableParagraph"/>
              <w:spacing w:before="70"/>
              <w:ind w:left="122"/>
              <w:rPr>
                <w:sz w:val="22"/>
              </w:rPr>
            </w:pPr>
            <w:r>
              <w:rPr>
                <w:spacing w:val="-2"/>
                <w:sz w:val="22"/>
              </w:rPr>
              <w:t>SP1203</w:t>
            </w:r>
          </w:p>
        </w:tc>
        <w:tc>
          <w:tcPr>
            <w:tcW w:w="1436" w:type="dxa"/>
          </w:tcPr>
          <w:p>
            <w:pPr>
              <w:pStyle w:val="TableParagraph"/>
              <w:spacing w:before="70"/>
              <w:ind w:left="248"/>
              <w:rPr>
                <w:sz w:val="22"/>
              </w:rPr>
            </w:pPr>
            <w:r>
              <w:rPr>
                <w:spacing w:val="-4"/>
                <w:sz w:val="22"/>
              </w:rPr>
              <w:t>30.0</w:t>
            </w:r>
          </w:p>
        </w:tc>
        <w:tc>
          <w:tcPr>
            <w:tcW w:w="1706" w:type="dxa"/>
          </w:tcPr>
          <w:p>
            <w:pPr>
              <w:pStyle w:val="TableParagraph"/>
              <w:spacing w:before="70"/>
              <w:ind w:left="598"/>
              <w:rPr>
                <w:sz w:val="22"/>
              </w:rPr>
            </w:pPr>
            <w:r>
              <w:rPr>
                <w:spacing w:val="-4"/>
                <w:sz w:val="22"/>
              </w:rPr>
              <w:t>70.0</w:t>
            </w:r>
          </w:p>
        </w:tc>
        <w:tc>
          <w:tcPr>
            <w:tcW w:w="1878" w:type="dxa"/>
          </w:tcPr>
          <w:p>
            <w:pPr>
              <w:pStyle w:val="TableParagraph"/>
              <w:spacing w:before="70"/>
              <w:ind w:left="673"/>
              <w:rPr>
                <w:sz w:val="22"/>
              </w:rPr>
            </w:pPr>
            <w:r>
              <w:rPr>
                <w:spacing w:val="-4"/>
                <w:sz w:val="22"/>
              </w:rPr>
              <w:t>17.5</w:t>
            </w:r>
          </w:p>
        </w:tc>
        <w:tc>
          <w:tcPr>
            <w:tcW w:w="2257" w:type="dxa"/>
          </w:tcPr>
          <w:p>
            <w:pPr>
              <w:pStyle w:val="TableParagraph"/>
              <w:spacing w:before="70"/>
              <w:ind w:left="584"/>
              <w:rPr>
                <w:sz w:val="22"/>
              </w:rPr>
            </w:pPr>
            <w:r>
              <w:rPr>
                <w:spacing w:val="-4"/>
                <w:sz w:val="22"/>
              </w:rPr>
              <w:t>25.0</w:t>
            </w:r>
          </w:p>
        </w:tc>
      </w:tr>
      <w:tr>
        <w:trPr>
          <w:trHeight w:val="450" w:hRule="atLeast"/>
        </w:trPr>
        <w:tc>
          <w:tcPr>
            <w:tcW w:w="1698" w:type="dxa"/>
          </w:tcPr>
          <w:p>
            <w:pPr>
              <w:pStyle w:val="TableParagraph"/>
              <w:spacing w:before="71"/>
              <w:ind w:left="122"/>
              <w:rPr>
                <w:sz w:val="22"/>
              </w:rPr>
            </w:pPr>
            <w:r>
              <w:rPr>
                <w:spacing w:val="-2"/>
                <w:sz w:val="22"/>
              </w:rPr>
              <w:t>SP1204</w:t>
            </w:r>
          </w:p>
        </w:tc>
        <w:tc>
          <w:tcPr>
            <w:tcW w:w="1436" w:type="dxa"/>
          </w:tcPr>
          <w:p>
            <w:pPr>
              <w:pStyle w:val="TableParagraph"/>
              <w:spacing w:before="71"/>
              <w:ind w:left="248"/>
              <w:rPr>
                <w:sz w:val="22"/>
              </w:rPr>
            </w:pPr>
            <w:r>
              <w:rPr>
                <w:spacing w:val="-4"/>
                <w:sz w:val="22"/>
              </w:rPr>
              <w:t>30.0</w:t>
            </w:r>
          </w:p>
        </w:tc>
        <w:tc>
          <w:tcPr>
            <w:tcW w:w="1706" w:type="dxa"/>
          </w:tcPr>
          <w:p>
            <w:pPr>
              <w:pStyle w:val="TableParagraph"/>
              <w:spacing w:before="71"/>
              <w:ind w:left="598"/>
              <w:rPr>
                <w:sz w:val="22"/>
              </w:rPr>
            </w:pPr>
            <w:r>
              <w:rPr>
                <w:spacing w:val="-5"/>
                <w:sz w:val="22"/>
              </w:rPr>
              <w:t>100</w:t>
            </w:r>
          </w:p>
        </w:tc>
        <w:tc>
          <w:tcPr>
            <w:tcW w:w="1878" w:type="dxa"/>
          </w:tcPr>
          <w:p>
            <w:pPr>
              <w:pStyle w:val="TableParagraph"/>
              <w:spacing w:before="71"/>
              <w:ind w:left="673"/>
              <w:rPr>
                <w:sz w:val="22"/>
              </w:rPr>
            </w:pPr>
            <w:r>
              <w:rPr>
                <w:spacing w:val="-4"/>
                <w:sz w:val="22"/>
              </w:rPr>
              <w:t>17.5</w:t>
            </w:r>
          </w:p>
        </w:tc>
        <w:tc>
          <w:tcPr>
            <w:tcW w:w="2257" w:type="dxa"/>
          </w:tcPr>
          <w:p>
            <w:pPr>
              <w:pStyle w:val="TableParagraph"/>
              <w:spacing w:before="71"/>
              <w:ind w:left="584"/>
              <w:rPr>
                <w:sz w:val="22"/>
              </w:rPr>
            </w:pPr>
            <w:r>
              <w:rPr>
                <w:spacing w:val="-4"/>
                <w:sz w:val="22"/>
              </w:rPr>
              <w:t>40.0</w:t>
            </w:r>
          </w:p>
        </w:tc>
      </w:tr>
      <w:tr>
        <w:trPr>
          <w:trHeight w:val="524" w:hRule="atLeast"/>
        </w:trPr>
        <w:tc>
          <w:tcPr>
            <w:tcW w:w="1698" w:type="dxa"/>
            <w:tcBorders>
              <w:bottom w:val="single" w:sz="4" w:space="0" w:color="000000"/>
            </w:tcBorders>
          </w:tcPr>
          <w:p>
            <w:pPr>
              <w:pStyle w:val="TableParagraph"/>
              <w:spacing w:before="70"/>
              <w:ind w:left="122"/>
              <w:rPr>
                <w:sz w:val="22"/>
              </w:rPr>
            </w:pPr>
            <w:r>
              <w:rPr>
                <w:spacing w:val="-2"/>
                <w:sz w:val="22"/>
              </w:rPr>
              <w:t>SP1205</w:t>
            </w:r>
          </w:p>
        </w:tc>
        <w:tc>
          <w:tcPr>
            <w:tcW w:w="1436" w:type="dxa"/>
            <w:tcBorders>
              <w:bottom w:val="single" w:sz="4" w:space="0" w:color="000000"/>
            </w:tcBorders>
          </w:tcPr>
          <w:p>
            <w:pPr>
              <w:pStyle w:val="TableParagraph"/>
              <w:spacing w:before="70"/>
              <w:ind w:left="248"/>
              <w:rPr>
                <w:sz w:val="22"/>
              </w:rPr>
            </w:pPr>
            <w:r>
              <w:rPr>
                <w:spacing w:val="-4"/>
                <w:sz w:val="22"/>
              </w:rPr>
              <w:t>35.0</w:t>
            </w:r>
          </w:p>
        </w:tc>
        <w:tc>
          <w:tcPr>
            <w:tcW w:w="1706" w:type="dxa"/>
            <w:tcBorders>
              <w:bottom w:val="single" w:sz="4" w:space="0" w:color="000000"/>
            </w:tcBorders>
          </w:tcPr>
          <w:p>
            <w:pPr>
              <w:pStyle w:val="TableParagraph"/>
              <w:spacing w:before="70"/>
              <w:ind w:left="598"/>
              <w:rPr>
                <w:sz w:val="22"/>
              </w:rPr>
            </w:pPr>
            <w:r>
              <w:rPr>
                <w:spacing w:val="-4"/>
                <w:sz w:val="22"/>
              </w:rPr>
              <w:t>70.0</w:t>
            </w:r>
          </w:p>
        </w:tc>
        <w:tc>
          <w:tcPr>
            <w:tcW w:w="1878" w:type="dxa"/>
            <w:tcBorders>
              <w:bottom w:val="single" w:sz="4" w:space="0" w:color="000000"/>
            </w:tcBorders>
          </w:tcPr>
          <w:p>
            <w:pPr>
              <w:pStyle w:val="TableParagraph"/>
              <w:spacing w:before="70"/>
              <w:ind w:left="673"/>
              <w:rPr>
                <w:sz w:val="22"/>
              </w:rPr>
            </w:pPr>
            <w:r>
              <w:rPr>
                <w:spacing w:val="-4"/>
                <w:sz w:val="22"/>
              </w:rPr>
              <w:t>17.5</w:t>
            </w:r>
          </w:p>
        </w:tc>
        <w:tc>
          <w:tcPr>
            <w:tcW w:w="2257" w:type="dxa"/>
            <w:tcBorders>
              <w:bottom w:val="single" w:sz="4" w:space="0" w:color="000000"/>
            </w:tcBorders>
          </w:tcPr>
          <w:p>
            <w:pPr>
              <w:pStyle w:val="TableParagraph"/>
              <w:spacing w:before="70"/>
              <w:ind w:left="584"/>
              <w:rPr>
                <w:sz w:val="22"/>
              </w:rPr>
            </w:pPr>
            <w:r>
              <w:rPr>
                <w:spacing w:val="-4"/>
                <w:sz w:val="22"/>
              </w:rPr>
              <w:t>50.0</w:t>
            </w:r>
          </w:p>
        </w:tc>
      </w:tr>
    </w:tbl>
    <w:p>
      <w:pPr>
        <w:pStyle w:val="BodyText"/>
        <w:spacing w:line="360" w:lineRule="auto"/>
        <w:ind w:left="380" w:right="975"/>
      </w:pPr>
      <w:r>
        <w:rPr>
          <w:b/>
        </w:rPr>
        <w:t>Key:</w:t>
      </w:r>
      <w:r>
        <w:rPr>
          <w:b/>
          <w:spacing w:val="-3"/>
        </w:rPr>
        <w:t> </w:t>
      </w:r>
      <w:r>
        <w:rPr/>
        <w:t>MIC=Minimum</w:t>
      </w:r>
      <w:r>
        <w:rPr>
          <w:spacing w:val="-3"/>
        </w:rPr>
        <w:t> </w:t>
      </w:r>
      <w:r>
        <w:rPr/>
        <w:t>Inhibitory</w:t>
      </w:r>
      <w:r>
        <w:rPr>
          <w:spacing w:val="-5"/>
        </w:rPr>
        <w:t> </w:t>
      </w:r>
      <w:r>
        <w:rPr/>
        <w:t>Concentration,</w:t>
      </w:r>
      <w:r>
        <w:rPr>
          <w:spacing w:val="-5"/>
        </w:rPr>
        <w:t> </w:t>
      </w:r>
      <w:r>
        <w:rPr/>
        <w:t>MBC=</w:t>
      </w:r>
      <w:r>
        <w:rPr>
          <w:spacing w:val="-5"/>
        </w:rPr>
        <w:t> </w:t>
      </w:r>
      <w:r>
        <w:rPr/>
        <w:t>Minimum</w:t>
      </w:r>
      <w:r>
        <w:rPr>
          <w:spacing w:val="-3"/>
        </w:rPr>
        <w:t> </w:t>
      </w:r>
      <w:r>
        <w:rPr/>
        <w:t>Bactericidal</w:t>
      </w:r>
      <w:r>
        <w:rPr>
          <w:spacing w:val="-6"/>
        </w:rPr>
        <w:t> </w:t>
      </w:r>
      <w:r>
        <w:rPr/>
        <w:t>Concentration,</w:t>
      </w:r>
      <w:r>
        <w:rPr>
          <w:spacing w:val="-3"/>
        </w:rPr>
        <w:t> </w:t>
      </w:r>
      <w:r>
        <w:rPr/>
        <w:t>ES=Ear Swab, SP=Sputum, NB=Not Bactericidal.</w:t>
      </w:r>
    </w:p>
    <w:p>
      <w:pPr>
        <w:spacing w:after="0" w:line="360"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8"/>
      </w:pPr>
    </w:p>
    <w:p>
      <w:pPr>
        <w:spacing w:before="1"/>
        <w:ind w:left="865" w:right="0" w:firstLine="0"/>
        <w:jc w:val="left"/>
        <w:rPr>
          <w:b/>
          <w:i/>
          <w:sz w:val="22"/>
        </w:rPr>
      </w:pPr>
      <w:r>
        <w:rPr>
          <w:b/>
          <w:sz w:val="22"/>
        </w:rPr>
        <w:t>MIC</w:t>
      </w:r>
      <w:r>
        <w:rPr>
          <w:b/>
          <w:spacing w:val="-5"/>
          <w:sz w:val="22"/>
        </w:rPr>
        <w:t> </w:t>
      </w:r>
      <w:r>
        <w:rPr>
          <w:b/>
          <w:sz w:val="22"/>
        </w:rPr>
        <w:t>and</w:t>
      </w:r>
      <w:r>
        <w:rPr>
          <w:b/>
          <w:spacing w:val="-4"/>
          <w:sz w:val="22"/>
        </w:rPr>
        <w:t> </w:t>
      </w:r>
      <w:r>
        <w:rPr>
          <w:b/>
          <w:sz w:val="22"/>
        </w:rPr>
        <w:t>MBC</w:t>
      </w:r>
      <w:r>
        <w:rPr>
          <w:b/>
          <w:spacing w:val="-5"/>
          <w:sz w:val="22"/>
        </w:rPr>
        <w:t> </w:t>
      </w:r>
      <w:r>
        <w:rPr>
          <w:b/>
          <w:sz w:val="22"/>
        </w:rPr>
        <w:t>Test</w:t>
      </w:r>
      <w:r>
        <w:rPr>
          <w:b/>
          <w:spacing w:val="-3"/>
          <w:sz w:val="22"/>
        </w:rPr>
        <w:t> </w:t>
      </w:r>
      <w:r>
        <w:rPr>
          <w:b/>
          <w:sz w:val="22"/>
        </w:rPr>
        <w:t>of</w:t>
      </w:r>
      <w:r>
        <w:rPr>
          <w:b/>
          <w:spacing w:val="-5"/>
          <w:sz w:val="22"/>
        </w:rPr>
        <w:t> </w:t>
      </w:r>
      <w:r>
        <w:rPr>
          <w:b/>
          <w:sz w:val="22"/>
        </w:rPr>
        <w:t>Honey</w:t>
      </w:r>
      <w:r>
        <w:rPr>
          <w:b/>
          <w:spacing w:val="-3"/>
          <w:sz w:val="22"/>
        </w:rPr>
        <w:t> </w:t>
      </w:r>
      <w:r>
        <w:rPr>
          <w:b/>
          <w:sz w:val="22"/>
        </w:rPr>
        <w:t>and</w:t>
      </w:r>
      <w:r>
        <w:rPr>
          <w:b/>
          <w:spacing w:val="-4"/>
          <w:sz w:val="22"/>
        </w:rPr>
        <w:t> </w:t>
      </w:r>
      <w:r>
        <w:rPr>
          <w:b/>
          <w:sz w:val="22"/>
        </w:rPr>
        <w:t>Lemon</w:t>
      </w:r>
      <w:r>
        <w:rPr>
          <w:b/>
          <w:spacing w:val="-2"/>
          <w:sz w:val="22"/>
        </w:rPr>
        <w:t> </w:t>
      </w:r>
      <w:r>
        <w:rPr>
          <w:b/>
          <w:sz w:val="22"/>
        </w:rPr>
        <w:t>juice</w:t>
      </w:r>
      <w:r>
        <w:rPr>
          <w:b/>
          <w:spacing w:val="-5"/>
          <w:sz w:val="22"/>
        </w:rPr>
        <w:t> </w:t>
      </w:r>
      <w:r>
        <w:rPr>
          <w:b/>
          <w:sz w:val="22"/>
        </w:rPr>
        <w:t>(µg/ml)</w:t>
      </w:r>
      <w:r>
        <w:rPr>
          <w:b/>
          <w:spacing w:val="-4"/>
          <w:sz w:val="22"/>
        </w:rPr>
        <w:t> </w:t>
      </w:r>
      <w:r>
        <w:rPr>
          <w:b/>
          <w:sz w:val="22"/>
        </w:rPr>
        <w:t>against</w:t>
      </w:r>
      <w:r>
        <w:rPr>
          <w:b/>
          <w:spacing w:val="-4"/>
          <w:sz w:val="22"/>
        </w:rPr>
        <w:t> </w:t>
      </w:r>
      <w:r>
        <w:rPr>
          <w:b/>
          <w:i/>
          <w:sz w:val="22"/>
        </w:rPr>
        <w:t>Streptococcus</w:t>
      </w:r>
      <w:r>
        <w:rPr>
          <w:b/>
          <w:i/>
          <w:spacing w:val="-5"/>
          <w:sz w:val="22"/>
        </w:rPr>
        <w:t> </w:t>
      </w:r>
      <w:r>
        <w:rPr>
          <w:b/>
          <w:i/>
          <w:spacing w:val="-2"/>
          <w:sz w:val="22"/>
        </w:rPr>
        <w:t>pneumoniae</w:t>
      </w:r>
    </w:p>
    <w:p>
      <w:pPr>
        <w:pStyle w:val="BodyText"/>
        <w:rPr>
          <w:b/>
          <w:i/>
          <w:sz w:val="20"/>
        </w:rPr>
      </w:pPr>
    </w:p>
    <w:p>
      <w:pPr>
        <w:pStyle w:val="BodyText"/>
        <w:spacing w:before="146"/>
        <w:rPr>
          <w:b/>
          <w:i/>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5"/>
        <w:gridCol w:w="1426"/>
        <w:gridCol w:w="1707"/>
        <w:gridCol w:w="1878"/>
        <w:gridCol w:w="2261"/>
      </w:tblGrid>
      <w:tr>
        <w:trPr>
          <w:trHeight w:val="600" w:hRule="atLeast"/>
        </w:trPr>
        <w:tc>
          <w:tcPr>
            <w:tcW w:w="1655" w:type="dxa"/>
            <w:tcBorders>
              <w:top w:val="single" w:sz="4" w:space="0" w:color="000000"/>
            </w:tcBorders>
          </w:tcPr>
          <w:p>
            <w:pPr>
              <w:pStyle w:val="TableParagraph"/>
              <w:spacing w:line="265" w:lineRule="exact"/>
              <w:ind w:left="131"/>
              <w:jc w:val="center"/>
              <w:rPr>
                <w:b/>
                <w:sz w:val="22"/>
              </w:rPr>
            </w:pPr>
            <w:r>
              <w:rPr>
                <w:b/>
                <w:sz w:val="22"/>
              </w:rPr>
              <w:t>Sample</w:t>
            </w:r>
            <w:r>
              <w:rPr>
                <w:b/>
                <w:spacing w:val="-7"/>
                <w:sz w:val="22"/>
              </w:rPr>
              <w:t> </w:t>
            </w:r>
            <w:r>
              <w:rPr>
                <w:b/>
                <w:spacing w:val="-5"/>
                <w:sz w:val="22"/>
              </w:rPr>
              <w:t>No.</w:t>
            </w:r>
          </w:p>
        </w:tc>
        <w:tc>
          <w:tcPr>
            <w:tcW w:w="1426" w:type="dxa"/>
            <w:tcBorders>
              <w:top w:val="single" w:sz="4" w:space="0" w:color="000000"/>
            </w:tcBorders>
          </w:tcPr>
          <w:p>
            <w:pPr>
              <w:pStyle w:val="TableParagraph"/>
              <w:spacing w:line="265" w:lineRule="exact"/>
              <w:ind w:left="238"/>
              <w:rPr>
                <w:b/>
                <w:sz w:val="22"/>
              </w:rPr>
            </w:pPr>
            <w:r>
              <w:rPr>
                <w:b/>
                <w:spacing w:val="-5"/>
                <w:sz w:val="22"/>
              </w:rPr>
              <w:t>MIC</w:t>
            </w:r>
          </w:p>
        </w:tc>
        <w:tc>
          <w:tcPr>
            <w:tcW w:w="1707" w:type="dxa"/>
            <w:tcBorders>
              <w:top w:val="single" w:sz="4" w:space="0" w:color="000000"/>
            </w:tcBorders>
          </w:tcPr>
          <w:p>
            <w:pPr>
              <w:pStyle w:val="TableParagraph"/>
              <w:spacing w:line="265" w:lineRule="exact"/>
              <w:ind w:left="41" w:right="114"/>
              <w:jc w:val="center"/>
              <w:rPr>
                <w:b/>
                <w:sz w:val="22"/>
              </w:rPr>
            </w:pPr>
            <w:r>
              <w:rPr>
                <w:b/>
                <w:spacing w:val="-5"/>
                <w:sz w:val="22"/>
              </w:rPr>
              <w:t>MBC</w:t>
            </w:r>
          </w:p>
        </w:tc>
        <w:tc>
          <w:tcPr>
            <w:tcW w:w="1878" w:type="dxa"/>
            <w:tcBorders>
              <w:top w:val="single" w:sz="4" w:space="0" w:color="000000"/>
            </w:tcBorders>
          </w:tcPr>
          <w:p>
            <w:pPr>
              <w:pStyle w:val="TableParagraph"/>
              <w:spacing w:line="265" w:lineRule="exact"/>
              <w:ind w:left="675"/>
              <w:rPr>
                <w:b/>
                <w:sz w:val="22"/>
              </w:rPr>
            </w:pPr>
            <w:r>
              <w:rPr>
                <w:b/>
                <w:spacing w:val="-5"/>
                <w:sz w:val="22"/>
              </w:rPr>
              <w:t>MIC</w:t>
            </w:r>
          </w:p>
        </w:tc>
        <w:tc>
          <w:tcPr>
            <w:tcW w:w="2261" w:type="dxa"/>
            <w:tcBorders>
              <w:top w:val="single" w:sz="4" w:space="0" w:color="000000"/>
            </w:tcBorders>
          </w:tcPr>
          <w:p>
            <w:pPr>
              <w:pStyle w:val="TableParagraph"/>
              <w:spacing w:line="265" w:lineRule="exact"/>
              <w:ind w:left="583"/>
              <w:rPr>
                <w:b/>
                <w:sz w:val="22"/>
              </w:rPr>
            </w:pPr>
            <w:r>
              <w:rPr>
                <w:b/>
                <w:spacing w:val="-5"/>
                <w:sz w:val="22"/>
              </w:rPr>
              <w:t>MBC</w:t>
            </w:r>
          </w:p>
        </w:tc>
      </w:tr>
      <w:tr>
        <w:trPr>
          <w:trHeight w:val="747" w:hRule="atLeast"/>
        </w:trPr>
        <w:tc>
          <w:tcPr>
            <w:tcW w:w="1655" w:type="dxa"/>
            <w:tcBorders>
              <w:bottom w:val="single" w:sz="4" w:space="0" w:color="000000"/>
            </w:tcBorders>
          </w:tcPr>
          <w:p>
            <w:pPr>
              <w:pStyle w:val="TableParagraph"/>
              <w:rPr>
                <w:rFonts w:ascii="Times New Roman"/>
                <w:sz w:val="22"/>
              </w:rPr>
            </w:pPr>
          </w:p>
        </w:tc>
        <w:tc>
          <w:tcPr>
            <w:tcW w:w="1426" w:type="dxa"/>
            <w:tcBorders>
              <w:bottom w:val="single" w:sz="4" w:space="0" w:color="000000"/>
            </w:tcBorders>
          </w:tcPr>
          <w:p>
            <w:pPr>
              <w:pStyle w:val="TableParagraph"/>
              <w:spacing w:before="27"/>
              <w:rPr>
                <w:b/>
                <w:i/>
                <w:sz w:val="22"/>
              </w:rPr>
            </w:pPr>
          </w:p>
          <w:p>
            <w:pPr>
              <w:pStyle w:val="TableParagraph"/>
              <w:ind w:left="238"/>
              <w:rPr>
                <w:b/>
                <w:sz w:val="22"/>
              </w:rPr>
            </w:pPr>
            <w:r>
              <w:rPr>
                <w:b/>
                <w:spacing w:val="-2"/>
                <w:sz w:val="22"/>
              </w:rPr>
              <w:t>Honey</w:t>
            </w:r>
          </w:p>
        </w:tc>
        <w:tc>
          <w:tcPr>
            <w:tcW w:w="1707" w:type="dxa"/>
            <w:tcBorders>
              <w:bottom w:val="single" w:sz="4" w:space="0" w:color="000000"/>
            </w:tcBorders>
          </w:tcPr>
          <w:p>
            <w:pPr>
              <w:pStyle w:val="TableParagraph"/>
              <w:rPr>
                <w:rFonts w:ascii="Times New Roman"/>
                <w:sz w:val="22"/>
              </w:rPr>
            </w:pPr>
          </w:p>
        </w:tc>
        <w:tc>
          <w:tcPr>
            <w:tcW w:w="1878" w:type="dxa"/>
            <w:tcBorders>
              <w:bottom w:val="single" w:sz="4" w:space="0" w:color="000000"/>
            </w:tcBorders>
          </w:tcPr>
          <w:p>
            <w:pPr>
              <w:pStyle w:val="TableParagraph"/>
              <w:spacing w:before="27"/>
              <w:rPr>
                <w:b/>
                <w:i/>
                <w:sz w:val="22"/>
              </w:rPr>
            </w:pPr>
          </w:p>
          <w:p>
            <w:pPr>
              <w:pStyle w:val="TableParagraph"/>
              <w:ind w:left="675"/>
              <w:rPr>
                <w:b/>
                <w:sz w:val="22"/>
              </w:rPr>
            </w:pPr>
            <w:r>
              <w:rPr>
                <w:b/>
                <w:spacing w:val="-2"/>
                <w:sz w:val="22"/>
              </w:rPr>
              <w:t>Lemon</w:t>
            </w:r>
          </w:p>
        </w:tc>
        <w:tc>
          <w:tcPr>
            <w:tcW w:w="2261" w:type="dxa"/>
            <w:tcBorders>
              <w:bottom w:val="single" w:sz="4" w:space="0" w:color="000000"/>
            </w:tcBorders>
          </w:tcPr>
          <w:p>
            <w:pPr>
              <w:pStyle w:val="TableParagraph"/>
              <w:rPr>
                <w:rFonts w:ascii="Times New Roman"/>
                <w:sz w:val="22"/>
              </w:rPr>
            </w:pPr>
          </w:p>
        </w:tc>
      </w:tr>
      <w:tr>
        <w:trPr>
          <w:trHeight w:val="376" w:hRule="atLeast"/>
        </w:trPr>
        <w:tc>
          <w:tcPr>
            <w:tcW w:w="1655" w:type="dxa"/>
            <w:tcBorders>
              <w:top w:val="single" w:sz="4" w:space="0" w:color="000000"/>
            </w:tcBorders>
          </w:tcPr>
          <w:p>
            <w:pPr>
              <w:pStyle w:val="TableParagraph"/>
              <w:spacing w:line="265" w:lineRule="exact"/>
              <w:ind w:left="131"/>
              <w:jc w:val="center"/>
              <w:rPr>
                <w:sz w:val="22"/>
              </w:rPr>
            </w:pPr>
            <w:r>
              <w:rPr>
                <w:sz w:val="22"/>
              </w:rPr>
              <w:t>SP</w:t>
            </w:r>
            <w:r>
              <w:rPr>
                <w:spacing w:val="1"/>
                <w:sz w:val="22"/>
              </w:rPr>
              <w:t> </w:t>
            </w:r>
            <w:r>
              <w:rPr>
                <w:spacing w:val="-5"/>
                <w:sz w:val="22"/>
              </w:rPr>
              <w:t>228</w:t>
            </w:r>
          </w:p>
        </w:tc>
        <w:tc>
          <w:tcPr>
            <w:tcW w:w="1426" w:type="dxa"/>
            <w:tcBorders>
              <w:top w:val="single" w:sz="4" w:space="0" w:color="000000"/>
            </w:tcBorders>
          </w:tcPr>
          <w:p>
            <w:pPr>
              <w:pStyle w:val="TableParagraph"/>
              <w:spacing w:line="265" w:lineRule="exact"/>
              <w:ind w:left="238"/>
              <w:rPr>
                <w:sz w:val="22"/>
              </w:rPr>
            </w:pPr>
            <w:r>
              <w:rPr>
                <w:spacing w:val="-4"/>
                <w:sz w:val="22"/>
              </w:rPr>
              <w:t>55.0</w:t>
            </w:r>
          </w:p>
        </w:tc>
        <w:tc>
          <w:tcPr>
            <w:tcW w:w="1707" w:type="dxa"/>
            <w:tcBorders>
              <w:top w:val="single" w:sz="4" w:space="0" w:color="000000"/>
            </w:tcBorders>
          </w:tcPr>
          <w:p>
            <w:pPr>
              <w:pStyle w:val="TableParagraph"/>
              <w:spacing w:line="265" w:lineRule="exact"/>
              <w:ind w:right="114"/>
              <w:jc w:val="center"/>
              <w:rPr>
                <w:sz w:val="22"/>
              </w:rPr>
            </w:pPr>
            <w:r>
              <w:rPr>
                <w:spacing w:val="-4"/>
                <w:sz w:val="22"/>
              </w:rPr>
              <w:t>90.0</w:t>
            </w:r>
          </w:p>
        </w:tc>
        <w:tc>
          <w:tcPr>
            <w:tcW w:w="1878" w:type="dxa"/>
            <w:tcBorders>
              <w:top w:val="single" w:sz="4" w:space="0" w:color="000000"/>
            </w:tcBorders>
          </w:tcPr>
          <w:p>
            <w:pPr>
              <w:pStyle w:val="TableParagraph"/>
              <w:spacing w:line="265" w:lineRule="exact"/>
              <w:ind w:left="675"/>
              <w:rPr>
                <w:sz w:val="22"/>
              </w:rPr>
            </w:pPr>
            <w:r>
              <w:rPr>
                <w:spacing w:val="-4"/>
                <w:sz w:val="22"/>
              </w:rPr>
              <w:t>22.5</w:t>
            </w:r>
          </w:p>
        </w:tc>
        <w:tc>
          <w:tcPr>
            <w:tcW w:w="2261" w:type="dxa"/>
            <w:tcBorders>
              <w:top w:val="single" w:sz="4" w:space="0" w:color="000000"/>
            </w:tcBorders>
          </w:tcPr>
          <w:p>
            <w:pPr>
              <w:pStyle w:val="TableParagraph"/>
              <w:spacing w:line="265" w:lineRule="exact"/>
              <w:ind w:left="583"/>
              <w:rPr>
                <w:sz w:val="22"/>
              </w:rPr>
            </w:pPr>
            <w:r>
              <w:rPr>
                <w:spacing w:val="-4"/>
                <w:sz w:val="22"/>
              </w:rPr>
              <w:t>40.0</w:t>
            </w:r>
          </w:p>
        </w:tc>
      </w:tr>
      <w:tr>
        <w:trPr>
          <w:trHeight w:val="335" w:hRule="atLeast"/>
        </w:trPr>
        <w:tc>
          <w:tcPr>
            <w:tcW w:w="1655" w:type="dxa"/>
          </w:tcPr>
          <w:p>
            <w:pPr>
              <w:pStyle w:val="TableParagraph"/>
              <w:spacing w:line="245" w:lineRule="exact" w:before="71"/>
              <w:ind w:left="131"/>
              <w:jc w:val="center"/>
              <w:rPr>
                <w:sz w:val="22"/>
              </w:rPr>
            </w:pPr>
            <w:r>
              <w:rPr>
                <w:sz w:val="22"/>
              </w:rPr>
              <w:t>SP</w:t>
            </w:r>
            <w:r>
              <w:rPr>
                <w:spacing w:val="1"/>
                <w:sz w:val="22"/>
              </w:rPr>
              <w:t> </w:t>
            </w:r>
            <w:r>
              <w:rPr>
                <w:spacing w:val="-5"/>
                <w:sz w:val="22"/>
              </w:rPr>
              <w:t>232</w:t>
            </w:r>
          </w:p>
        </w:tc>
        <w:tc>
          <w:tcPr>
            <w:tcW w:w="1426" w:type="dxa"/>
          </w:tcPr>
          <w:p>
            <w:pPr>
              <w:pStyle w:val="TableParagraph"/>
              <w:spacing w:line="245" w:lineRule="exact" w:before="71"/>
              <w:ind w:left="238"/>
              <w:rPr>
                <w:sz w:val="22"/>
              </w:rPr>
            </w:pPr>
            <w:r>
              <w:rPr>
                <w:spacing w:val="-4"/>
                <w:sz w:val="22"/>
              </w:rPr>
              <w:t>32.5</w:t>
            </w:r>
          </w:p>
        </w:tc>
        <w:tc>
          <w:tcPr>
            <w:tcW w:w="1707" w:type="dxa"/>
          </w:tcPr>
          <w:p>
            <w:pPr>
              <w:pStyle w:val="TableParagraph"/>
              <w:spacing w:line="245" w:lineRule="exact" w:before="71"/>
              <w:ind w:right="114"/>
              <w:jc w:val="center"/>
              <w:rPr>
                <w:sz w:val="22"/>
              </w:rPr>
            </w:pPr>
            <w:r>
              <w:rPr>
                <w:spacing w:val="-4"/>
                <w:sz w:val="22"/>
              </w:rPr>
              <w:t>50.0</w:t>
            </w:r>
          </w:p>
        </w:tc>
        <w:tc>
          <w:tcPr>
            <w:tcW w:w="1878" w:type="dxa"/>
          </w:tcPr>
          <w:p>
            <w:pPr>
              <w:pStyle w:val="TableParagraph"/>
              <w:spacing w:line="245" w:lineRule="exact" w:before="71"/>
              <w:ind w:left="675"/>
              <w:rPr>
                <w:sz w:val="22"/>
              </w:rPr>
            </w:pPr>
            <w:r>
              <w:rPr>
                <w:spacing w:val="-4"/>
                <w:sz w:val="22"/>
              </w:rPr>
              <w:t>35.0</w:t>
            </w:r>
          </w:p>
        </w:tc>
        <w:tc>
          <w:tcPr>
            <w:tcW w:w="2261" w:type="dxa"/>
          </w:tcPr>
          <w:p>
            <w:pPr>
              <w:pStyle w:val="TableParagraph"/>
              <w:spacing w:line="245" w:lineRule="exact" w:before="71"/>
              <w:ind w:left="583"/>
              <w:rPr>
                <w:sz w:val="22"/>
              </w:rPr>
            </w:pPr>
            <w:r>
              <w:rPr>
                <w:spacing w:val="-4"/>
                <w:sz w:val="22"/>
              </w:rPr>
              <w:t>45.0</w:t>
            </w:r>
          </w:p>
        </w:tc>
      </w:tr>
    </w:tbl>
    <w:p>
      <w:pPr>
        <w:spacing w:after="0" w:line="245" w:lineRule="exact"/>
        <w:rPr>
          <w:sz w:val="22"/>
        </w:rPr>
        <w:sectPr>
          <w:pgSz w:w="11910" w:h="16840"/>
          <w:pgMar w:header="0" w:footer="1055" w:top="1920" w:bottom="1903" w:left="1060" w:right="460"/>
        </w:sect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1"/>
        <w:gridCol w:w="1439"/>
        <w:gridCol w:w="1785"/>
        <w:gridCol w:w="1785"/>
        <w:gridCol w:w="2375"/>
      </w:tblGrid>
      <w:tr>
        <w:trPr>
          <w:trHeight w:val="376" w:hRule="atLeast"/>
        </w:trPr>
        <w:tc>
          <w:tcPr>
            <w:tcW w:w="1551" w:type="dxa"/>
            <w:tcBorders>
              <w:top w:val="single" w:sz="4" w:space="0" w:color="000000"/>
            </w:tcBorders>
          </w:tcPr>
          <w:p>
            <w:pPr>
              <w:pStyle w:val="TableParagraph"/>
              <w:spacing w:line="265" w:lineRule="exact"/>
              <w:ind w:right="347"/>
              <w:jc w:val="right"/>
              <w:rPr>
                <w:sz w:val="22"/>
              </w:rPr>
            </w:pPr>
            <w:r>
              <w:rPr>
                <w:sz w:val="22"/>
              </w:rPr>
              <w:t>SP</w:t>
            </w:r>
            <w:r>
              <w:rPr>
                <w:spacing w:val="1"/>
                <w:sz w:val="22"/>
              </w:rPr>
              <w:t> </w:t>
            </w:r>
            <w:r>
              <w:rPr>
                <w:spacing w:val="-5"/>
                <w:sz w:val="22"/>
              </w:rPr>
              <w:t>285</w:t>
            </w:r>
          </w:p>
        </w:tc>
        <w:tc>
          <w:tcPr>
            <w:tcW w:w="1439" w:type="dxa"/>
            <w:tcBorders>
              <w:top w:val="single" w:sz="4" w:space="0" w:color="000000"/>
            </w:tcBorders>
          </w:tcPr>
          <w:p>
            <w:pPr>
              <w:pStyle w:val="TableParagraph"/>
              <w:spacing w:line="265" w:lineRule="exact"/>
              <w:ind w:left="349"/>
              <w:rPr>
                <w:sz w:val="22"/>
              </w:rPr>
            </w:pPr>
            <w:r>
              <w:rPr>
                <w:spacing w:val="-4"/>
                <w:sz w:val="22"/>
              </w:rPr>
              <w:t>22.5</w:t>
            </w:r>
          </w:p>
        </w:tc>
        <w:tc>
          <w:tcPr>
            <w:tcW w:w="1785" w:type="dxa"/>
            <w:tcBorders>
              <w:top w:val="single" w:sz="4" w:space="0" w:color="000000"/>
            </w:tcBorders>
          </w:tcPr>
          <w:p>
            <w:pPr>
              <w:pStyle w:val="TableParagraph"/>
              <w:spacing w:line="265" w:lineRule="exact"/>
              <w:ind w:left="696"/>
              <w:rPr>
                <w:sz w:val="22"/>
              </w:rPr>
            </w:pPr>
            <w:r>
              <w:rPr>
                <w:spacing w:val="-4"/>
                <w:sz w:val="22"/>
              </w:rPr>
              <w:t>60.0</w:t>
            </w:r>
          </w:p>
        </w:tc>
        <w:tc>
          <w:tcPr>
            <w:tcW w:w="1785" w:type="dxa"/>
            <w:tcBorders>
              <w:top w:val="single" w:sz="4" w:space="0" w:color="000000"/>
            </w:tcBorders>
          </w:tcPr>
          <w:p>
            <w:pPr>
              <w:pStyle w:val="TableParagraph"/>
              <w:spacing w:line="265" w:lineRule="exact"/>
              <w:ind w:right="1"/>
              <w:jc w:val="center"/>
              <w:rPr>
                <w:sz w:val="22"/>
              </w:rPr>
            </w:pPr>
            <w:r>
              <w:rPr>
                <w:spacing w:val="-4"/>
                <w:sz w:val="22"/>
              </w:rPr>
              <w:t>40.0</w:t>
            </w:r>
          </w:p>
        </w:tc>
        <w:tc>
          <w:tcPr>
            <w:tcW w:w="2375" w:type="dxa"/>
            <w:tcBorders>
              <w:top w:val="single" w:sz="4" w:space="0" w:color="000000"/>
            </w:tcBorders>
          </w:tcPr>
          <w:p>
            <w:pPr>
              <w:pStyle w:val="TableParagraph"/>
              <w:spacing w:line="265" w:lineRule="exact"/>
              <w:ind w:left="696"/>
              <w:rPr>
                <w:sz w:val="22"/>
              </w:rPr>
            </w:pPr>
            <w:r>
              <w:rPr>
                <w:spacing w:val="-4"/>
                <w:sz w:val="22"/>
              </w:rPr>
              <w:t>70.0</w:t>
            </w:r>
          </w:p>
        </w:tc>
      </w:tr>
      <w:tr>
        <w:trPr>
          <w:trHeight w:val="450" w:hRule="atLeast"/>
        </w:trPr>
        <w:tc>
          <w:tcPr>
            <w:tcW w:w="1551" w:type="dxa"/>
          </w:tcPr>
          <w:p>
            <w:pPr>
              <w:pStyle w:val="TableParagraph"/>
              <w:spacing w:before="71"/>
              <w:ind w:right="347"/>
              <w:jc w:val="right"/>
              <w:rPr>
                <w:sz w:val="22"/>
              </w:rPr>
            </w:pPr>
            <w:r>
              <w:rPr>
                <w:sz w:val="22"/>
              </w:rPr>
              <w:t>SP</w:t>
            </w:r>
            <w:r>
              <w:rPr>
                <w:spacing w:val="1"/>
                <w:sz w:val="22"/>
              </w:rPr>
              <w:t> </w:t>
            </w:r>
            <w:r>
              <w:rPr>
                <w:spacing w:val="-5"/>
                <w:sz w:val="22"/>
              </w:rPr>
              <w:t>803</w:t>
            </w:r>
          </w:p>
        </w:tc>
        <w:tc>
          <w:tcPr>
            <w:tcW w:w="1439" w:type="dxa"/>
          </w:tcPr>
          <w:p>
            <w:pPr>
              <w:pStyle w:val="TableParagraph"/>
              <w:spacing w:before="71"/>
              <w:ind w:left="349"/>
              <w:rPr>
                <w:sz w:val="22"/>
              </w:rPr>
            </w:pPr>
            <w:r>
              <w:rPr>
                <w:spacing w:val="-4"/>
                <w:sz w:val="22"/>
              </w:rPr>
              <w:t>60.0</w:t>
            </w:r>
          </w:p>
        </w:tc>
        <w:tc>
          <w:tcPr>
            <w:tcW w:w="1785" w:type="dxa"/>
          </w:tcPr>
          <w:p>
            <w:pPr>
              <w:pStyle w:val="TableParagraph"/>
              <w:spacing w:before="71"/>
              <w:ind w:left="696"/>
              <w:rPr>
                <w:sz w:val="22"/>
              </w:rPr>
            </w:pPr>
            <w:r>
              <w:rPr>
                <w:spacing w:val="-5"/>
                <w:sz w:val="22"/>
              </w:rPr>
              <w:t>NB</w:t>
            </w:r>
          </w:p>
        </w:tc>
        <w:tc>
          <w:tcPr>
            <w:tcW w:w="1785" w:type="dxa"/>
          </w:tcPr>
          <w:p>
            <w:pPr>
              <w:pStyle w:val="TableParagraph"/>
              <w:spacing w:before="71"/>
              <w:ind w:right="1"/>
              <w:jc w:val="center"/>
              <w:rPr>
                <w:sz w:val="22"/>
              </w:rPr>
            </w:pPr>
            <w:r>
              <w:rPr>
                <w:spacing w:val="-4"/>
                <w:sz w:val="22"/>
              </w:rPr>
              <w:t>22.5</w:t>
            </w:r>
          </w:p>
        </w:tc>
        <w:tc>
          <w:tcPr>
            <w:tcW w:w="2375" w:type="dxa"/>
          </w:tcPr>
          <w:p>
            <w:pPr>
              <w:pStyle w:val="TableParagraph"/>
              <w:spacing w:before="71"/>
              <w:ind w:left="696"/>
              <w:rPr>
                <w:sz w:val="22"/>
              </w:rPr>
            </w:pPr>
            <w:r>
              <w:rPr>
                <w:spacing w:val="-4"/>
                <w:sz w:val="22"/>
              </w:rPr>
              <w:t>45.0</w:t>
            </w:r>
          </w:p>
        </w:tc>
      </w:tr>
      <w:tr>
        <w:trPr>
          <w:trHeight w:val="448" w:hRule="atLeast"/>
        </w:trPr>
        <w:tc>
          <w:tcPr>
            <w:tcW w:w="1551" w:type="dxa"/>
          </w:tcPr>
          <w:p>
            <w:pPr>
              <w:pStyle w:val="TableParagraph"/>
              <w:spacing w:before="70"/>
              <w:ind w:right="347"/>
              <w:jc w:val="right"/>
              <w:rPr>
                <w:sz w:val="22"/>
              </w:rPr>
            </w:pPr>
            <w:r>
              <w:rPr>
                <w:sz w:val="22"/>
              </w:rPr>
              <w:t>SP</w:t>
            </w:r>
            <w:r>
              <w:rPr>
                <w:spacing w:val="1"/>
                <w:sz w:val="22"/>
              </w:rPr>
              <w:t> </w:t>
            </w:r>
            <w:r>
              <w:rPr>
                <w:spacing w:val="-5"/>
                <w:sz w:val="22"/>
              </w:rPr>
              <w:t>903</w:t>
            </w:r>
          </w:p>
        </w:tc>
        <w:tc>
          <w:tcPr>
            <w:tcW w:w="1439" w:type="dxa"/>
          </w:tcPr>
          <w:p>
            <w:pPr>
              <w:pStyle w:val="TableParagraph"/>
              <w:spacing w:before="70"/>
              <w:ind w:left="349"/>
              <w:rPr>
                <w:sz w:val="22"/>
              </w:rPr>
            </w:pPr>
            <w:r>
              <w:rPr>
                <w:spacing w:val="-4"/>
                <w:sz w:val="22"/>
              </w:rPr>
              <w:t>20.0</w:t>
            </w:r>
          </w:p>
        </w:tc>
        <w:tc>
          <w:tcPr>
            <w:tcW w:w="1785" w:type="dxa"/>
          </w:tcPr>
          <w:p>
            <w:pPr>
              <w:pStyle w:val="TableParagraph"/>
              <w:spacing w:before="70"/>
              <w:ind w:left="696"/>
              <w:rPr>
                <w:sz w:val="22"/>
              </w:rPr>
            </w:pPr>
            <w:r>
              <w:rPr>
                <w:spacing w:val="-4"/>
                <w:sz w:val="22"/>
              </w:rPr>
              <w:t>60.0</w:t>
            </w:r>
          </w:p>
        </w:tc>
        <w:tc>
          <w:tcPr>
            <w:tcW w:w="1785" w:type="dxa"/>
          </w:tcPr>
          <w:p>
            <w:pPr>
              <w:pStyle w:val="TableParagraph"/>
              <w:spacing w:before="70"/>
              <w:ind w:right="1"/>
              <w:jc w:val="center"/>
              <w:rPr>
                <w:sz w:val="22"/>
              </w:rPr>
            </w:pPr>
            <w:r>
              <w:rPr>
                <w:spacing w:val="-4"/>
                <w:sz w:val="22"/>
              </w:rPr>
              <w:t>30.0</w:t>
            </w:r>
          </w:p>
        </w:tc>
        <w:tc>
          <w:tcPr>
            <w:tcW w:w="2375" w:type="dxa"/>
          </w:tcPr>
          <w:p>
            <w:pPr>
              <w:pStyle w:val="TableParagraph"/>
              <w:spacing w:before="70"/>
              <w:ind w:left="696"/>
              <w:rPr>
                <w:sz w:val="22"/>
              </w:rPr>
            </w:pPr>
            <w:r>
              <w:rPr>
                <w:spacing w:val="-4"/>
                <w:sz w:val="22"/>
              </w:rPr>
              <w:t>60.0</w:t>
            </w:r>
          </w:p>
        </w:tc>
      </w:tr>
      <w:tr>
        <w:trPr>
          <w:trHeight w:val="450" w:hRule="atLeast"/>
        </w:trPr>
        <w:tc>
          <w:tcPr>
            <w:tcW w:w="1551" w:type="dxa"/>
          </w:tcPr>
          <w:p>
            <w:pPr>
              <w:pStyle w:val="TableParagraph"/>
              <w:spacing w:before="70"/>
              <w:ind w:right="352"/>
              <w:jc w:val="right"/>
              <w:rPr>
                <w:sz w:val="22"/>
              </w:rPr>
            </w:pPr>
            <w:r>
              <w:rPr>
                <w:sz w:val="22"/>
              </w:rPr>
              <w:t>TS</w:t>
            </w:r>
            <w:r>
              <w:rPr>
                <w:spacing w:val="-1"/>
                <w:sz w:val="22"/>
              </w:rPr>
              <w:t> </w:t>
            </w:r>
            <w:r>
              <w:rPr>
                <w:spacing w:val="-5"/>
                <w:sz w:val="22"/>
              </w:rPr>
              <w:t>328</w:t>
            </w:r>
          </w:p>
        </w:tc>
        <w:tc>
          <w:tcPr>
            <w:tcW w:w="1439" w:type="dxa"/>
          </w:tcPr>
          <w:p>
            <w:pPr>
              <w:pStyle w:val="TableParagraph"/>
              <w:spacing w:before="70"/>
              <w:ind w:left="349"/>
              <w:rPr>
                <w:sz w:val="22"/>
              </w:rPr>
            </w:pPr>
            <w:r>
              <w:rPr>
                <w:spacing w:val="-4"/>
                <w:sz w:val="22"/>
              </w:rPr>
              <w:t>25.0</w:t>
            </w:r>
          </w:p>
        </w:tc>
        <w:tc>
          <w:tcPr>
            <w:tcW w:w="1785" w:type="dxa"/>
          </w:tcPr>
          <w:p>
            <w:pPr>
              <w:pStyle w:val="TableParagraph"/>
              <w:spacing w:before="70"/>
              <w:ind w:left="696"/>
              <w:rPr>
                <w:sz w:val="22"/>
              </w:rPr>
            </w:pPr>
            <w:r>
              <w:rPr>
                <w:spacing w:val="-4"/>
                <w:sz w:val="22"/>
              </w:rPr>
              <w:t>90.0</w:t>
            </w:r>
          </w:p>
        </w:tc>
        <w:tc>
          <w:tcPr>
            <w:tcW w:w="1785" w:type="dxa"/>
          </w:tcPr>
          <w:p>
            <w:pPr>
              <w:pStyle w:val="TableParagraph"/>
              <w:spacing w:before="70"/>
              <w:ind w:right="1"/>
              <w:jc w:val="center"/>
              <w:rPr>
                <w:sz w:val="22"/>
              </w:rPr>
            </w:pPr>
            <w:r>
              <w:rPr>
                <w:spacing w:val="-4"/>
                <w:sz w:val="22"/>
              </w:rPr>
              <w:t>45.0</w:t>
            </w:r>
          </w:p>
        </w:tc>
        <w:tc>
          <w:tcPr>
            <w:tcW w:w="2375" w:type="dxa"/>
          </w:tcPr>
          <w:p>
            <w:pPr>
              <w:pStyle w:val="TableParagraph"/>
              <w:spacing w:before="70"/>
              <w:ind w:left="696"/>
              <w:rPr>
                <w:sz w:val="22"/>
              </w:rPr>
            </w:pPr>
            <w:r>
              <w:rPr>
                <w:spacing w:val="-4"/>
                <w:sz w:val="22"/>
              </w:rPr>
              <w:t>70.0</w:t>
            </w:r>
          </w:p>
        </w:tc>
      </w:tr>
      <w:tr>
        <w:trPr>
          <w:trHeight w:val="522" w:hRule="atLeast"/>
        </w:trPr>
        <w:tc>
          <w:tcPr>
            <w:tcW w:w="1551" w:type="dxa"/>
            <w:tcBorders>
              <w:bottom w:val="single" w:sz="4" w:space="0" w:color="000000"/>
            </w:tcBorders>
          </w:tcPr>
          <w:p>
            <w:pPr>
              <w:pStyle w:val="TableParagraph"/>
              <w:spacing w:before="71"/>
              <w:ind w:right="352"/>
              <w:jc w:val="right"/>
              <w:rPr>
                <w:sz w:val="22"/>
              </w:rPr>
            </w:pPr>
            <w:r>
              <w:rPr>
                <w:sz w:val="22"/>
              </w:rPr>
              <w:t>TS</w:t>
            </w:r>
            <w:r>
              <w:rPr>
                <w:spacing w:val="-1"/>
                <w:sz w:val="22"/>
              </w:rPr>
              <w:t> </w:t>
            </w:r>
            <w:r>
              <w:rPr>
                <w:spacing w:val="-5"/>
                <w:sz w:val="22"/>
              </w:rPr>
              <w:t>901</w:t>
            </w:r>
          </w:p>
        </w:tc>
        <w:tc>
          <w:tcPr>
            <w:tcW w:w="1439" w:type="dxa"/>
            <w:tcBorders>
              <w:bottom w:val="single" w:sz="4" w:space="0" w:color="000000"/>
            </w:tcBorders>
          </w:tcPr>
          <w:p>
            <w:pPr>
              <w:pStyle w:val="TableParagraph"/>
              <w:spacing w:before="71"/>
              <w:ind w:left="349"/>
              <w:rPr>
                <w:sz w:val="22"/>
              </w:rPr>
            </w:pPr>
            <w:r>
              <w:rPr>
                <w:spacing w:val="-4"/>
                <w:sz w:val="22"/>
              </w:rPr>
              <w:t>45.0</w:t>
            </w:r>
          </w:p>
        </w:tc>
        <w:tc>
          <w:tcPr>
            <w:tcW w:w="1785" w:type="dxa"/>
            <w:tcBorders>
              <w:bottom w:val="single" w:sz="4" w:space="0" w:color="000000"/>
            </w:tcBorders>
          </w:tcPr>
          <w:p>
            <w:pPr>
              <w:pStyle w:val="TableParagraph"/>
              <w:spacing w:before="71"/>
              <w:ind w:left="696"/>
              <w:rPr>
                <w:sz w:val="22"/>
              </w:rPr>
            </w:pPr>
            <w:r>
              <w:rPr>
                <w:spacing w:val="-4"/>
                <w:sz w:val="22"/>
              </w:rPr>
              <w:t>80.0</w:t>
            </w:r>
          </w:p>
        </w:tc>
        <w:tc>
          <w:tcPr>
            <w:tcW w:w="1785" w:type="dxa"/>
            <w:tcBorders>
              <w:bottom w:val="single" w:sz="4" w:space="0" w:color="000000"/>
            </w:tcBorders>
          </w:tcPr>
          <w:p>
            <w:pPr>
              <w:pStyle w:val="TableParagraph"/>
              <w:spacing w:before="71"/>
              <w:ind w:right="1"/>
              <w:jc w:val="center"/>
              <w:rPr>
                <w:sz w:val="22"/>
              </w:rPr>
            </w:pPr>
            <w:r>
              <w:rPr>
                <w:spacing w:val="-4"/>
                <w:sz w:val="22"/>
              </w:rPr>
              <w:t>22.5</w:t>
            </w:r>
          </w:p>
        </w:tc>
        <w:tc>
          <w:tcPr>
            <w:tcW w:w="2375" w:type="dxa"/>
            <w:tcBorders>
              <w:bottom w:val="single" w:sz="4" w:space="0" w:color="000000"/>
            </w:tcBorders>
          </w:tcPr>
          <w:p>
            <w:pPr>
              <w:pStyle w:val="TableParagraph"/>
              <w:spacing w:before="71"/>
              <w:ind w:left="696"/>
              <w:rPr>
                <w:sz w:val="22"/>
              </w:rPr>
            </w:pPr>
            <w:r>
              <w:rPr>
                <w:spacing w:val="-4"/>
                <w:sz w:val="22"/>
              </w:rPr>
              <w:t>35.0</w:t>
            </w:r>
          </w:p>
        </w:tc>
      </w:tr>
    </w:tbl>
    <w:p>
      <w:pPr>
        <w:pStyle w:val="BodyText"/>
        <w:spacing w:line="360" w:lineRule="auto" w:before="21"/>
        <w:ind w:left="380" w:right="975"/>
      </w:pPr>
      <w:r>
        <w:rPr>
          <w:b/>
        </w:rPr>
        <w:t>Key:</w:t>
      </w:r>
      <w:r>
        <w:rPr>
          <w:b/>
          <w:spacing w:val="-4"/>
        </w:rPr>
        <w:t> </w:t>
      </w:r>
      <w:r>
        <w:rPr/>
        <w:t>MIC=Minimum</w:t>
      </w:r>
      <w:r>
        <w:rPr>
          <w:spacing w:val="-3"/>
        </w:rPr>
        <w:t> </w:t>
      </w:r>
      <w:r>
        <w:rPr/>
        <w:t>Inhibitory</w:t>
      </w:r>
      <w:r>
        <w:rPr>
          <w:spacing w:val="-6"/>
        </w:rPr>
        <w:t> </w:t>
      </w:r>
      <w:r>
        <w:rPr/>
        <w:t>Concentration,</w:t>
      </w:r>
      <w:r>
        <w:rPr>
          <w:spacing w:val="-6"/>
        </w:rPr>
        <w:t> </w:t>
      </w:r>
      <w:r>
        <w:rPr/>
        <w:t>MBC=</w:t>
      </w:r>
      <w:r>
        <w:rPr>
          <w:spacing w:val="-6"/>
        </w:rPr>
        <w:t> </w:t>
      </w:r>
      <w:r>
        <w:rPr/>
        <w:t>Minimum</w:t>
      </w:r>
      <w:r>
        <w:rPr>
          <w:spacing w:val="-3"/>
        </w:rPr>
        <w:t> </w:t>
      </w:r>
      <w:r>
        <w:rPr/>
        <w:t>Bactericidal</w:t>
      </w:r>
      <w:r>
        <w:rPr>
          <w:spacing w:val="-7"/>
        </w:rPr>
        <w:t> </w:t>
      </w:r>
      <w:r>
        <w:rPr/>
        <w:t>Concentration, SP=Sputum, TS=Throat Swab, NB=Not Bactericidal.</w:t>
      </w:r>
    </w:p>
    <w:p>
      <w:pPr>
        <w:spacing w:after="0" w:line="360" w:lineRule="auto"/>
        <w:sectPr>
          <w:type w:val="continuous"/>
          <w:pgSz w:w="11910" w:h="16840"/>
          <w:pgMar w:header="0" w:footer="1055" w:top="1400" w:bottom="1240" w:left="1060" w:right="460"/>
        </w:sectPr>
      </w:pPr>
    </w:p>
    <w:p>
      <w:pPr>
        <w:pStyle w:val="BodyText"/>
      </w:pPr>
    </w:p>
    <w:p>
      <w:pPr>
        <w:pStyle w:val="BodyText"/>
      </w:pPr>
    </w:p>
    <w:p>
      <w:pPr>
        <w:pStyle w:val="BodyText"/>
      </w:pPr>
    </w:p>
    <w:p>
      <w:pPr>
        <w:pStyle w:val="BodyText"/>
      </w:pPr>
    </w:p>
    <w:p>
      <w:pPr>
        <w:pStyle w:val="BodyText"/>
      </w:pPr>
    </w:p>
    <w:p>
      <w:pPr>
        <w:pStyle w:val="BodyText"/>
        <w:spacing w:before="136"/>
      </w:pPr>
    </w:p>
    <w:p>
      <w:pPr>
        <w:spacing w:before="0"/>
        <w:ind w:left="380" w:right="0" w:firstLine="0"/>
        <w:jc w:val="left"/>
        <w:rPr>
          <w:b/>
          <w:i/>
          <w:sz w:val="22"/>
        </w:rPr>
      </w:pPr>
      <w:r>
        <w:rPr>
          <w:b/>
          <w:sz w:val="22"/>
        </w:rPr>
        <w:t>MIC</w:t>
      </w:r>
      <w:r>
        <w:rPr>
          <w:b/>
          <w:spacing w:val="-5"/>
          <w:sz w:val="22"/>
        </w:rPr>
        <w:t> </w:t>
      </w:r>
      <w:r>
        <w:rPr>
          <w:b/>
          <w:sz w:val="22"/>
        </w:rPr>
        <w:t>and</w:t>
      </w:r>
      <w:r>
        <w:rPr>
          <w:b/>
          <w:spacing w:val="-4"/>
          <w:sz w:val="22"/>
        </w:rPr>
        <w:t> </w:t>
      </w:r>
      <w:r>
        <w:rPr>
          <w:b/>
          <w:sz w:val="22"/>
        </w:rPr>
        <w:t>MBC</w:t>
      </w:r>
      <w:r>
        <w:rPr>
          <w:b/>
          <w:spacing w:val="-5"/>
          <w:sz w:val="22"/>
        </w:rPr>
        <w:t> </w:t>
      </w:r>
      <w:r>
        <w:rPr>
          <w:b/>
          <w:sz w:val="22"/>
        </w:rPr>
        <w:t>Test</w:t>
      </w:r>
      <w:r>
        <w:rPr>
          <w:b/>
          <w:spacing w:val="-2"/>
          <w:sz w:val="22"/>
        </w:rPr>
        <w:t> </w:t>
      </w:r>
      <w:r>
        <w:rPr>
          <w:b/>
          <w:sz w:val="22"/>
        </w:rPr>
        <w:t>of</w:t>
      </w:r>
      <w:r>
        <w:rPr>
          <w:b/>
          <w:spacing w:val="-5"/>
          <w:sz w:val="22"/>
        </w:rPr>
        <w:t> </w:t>
      </w:r>
      <w:r>
        <w:rPr>
          <w:b/>
          <w:sz w:val="22"/>
        </w:rPr>
        <w:t>Honey</w:t>
      </w:r>
      <w:r>
        <w:rPr>
          <w:b/>
          <w:spacing w:val="-3"/>
          <w:sz w:val="22"/>
        </w:rPr>
        <w:t> </w:t>
      </w:r>
      <w:r>
        <w:rPr>
          <w:b/>
          <w:sz w:val="22"/>
        </w:rPr>
        <w:t>and</w:t>
      </w:r>
      <w:r>
        <w:rPr>
          <w:b/>
          <w:spacing w:val="-4"/>
          <w:sz w:val="22"/>
        </w:rPr>
        <w:t> </w:t>
      </w:r>
      <w:r>
        <w:rPr>
          <w:b/>
          <w:sz w:val="22"/>
        </w:rPr>
        <w:t>Lemon</w:t>
      </w:r>
      <w:r>
        <w:rPr>
          <w:b/>
          <w:spacing w:val="-3"/>
          <w:sz w:val="22"/>
        </w:rPr>
        <w:t> </w:t>
      </w:r>
      <w:r>
        <w:rPr>
          <w:b/>
          <w:sz w:val="22"/>
        </w:rPr>
        <w:t>juice</w:t>
      </w:r>
      <w:r>
        <w:rPr>
          <w:b/>
          <w:spacing w:val="-5"/>
          <w:sz w:val="22"/>
        </w:rPr>
        <w:t> </w:t>
      </w:r>
      <w:r>
        <w:rPr>
          <w:b/>
          <w:sz w:val="22"/>
        </w:rPr>
        <w:t>(µg/ml)</w:t>
      </w:r>
      <w:r>
        <w:rPr>
          <w:b/>
          <w:spacing w:val="-4"/>
          <w:sz w:val="22"/>
        </w:rPr>
        <w:t> </w:t>
      </w:r>
      <w:r>
        <w:rPr>
          <w:b/>
          <w:sz w:val="22"/>
        </w:rPr>
        <w:t>against</w:t>
      </w:r>
      <w:r>
        <w:rPr>
          <w:b/>
          <w:spacing w:val="-4"/>
          <w:sz w:val="22"/>
        </w:rPr>
        <w:t> </w:t>
      </w:r>
      <w:r>
        <w:rPr>
          <w:b/>
          <w:i/>
          <w:sz w:val="22"/>
        </w:rPr>
        <w:t>Streptococcus</w:t>
      </w:r>
      <w:r>
        <w:rPr>
          <w:b/>
          <w:i/>
          <w:spacing w:val="-5"/>
          <w:sz w:val="22"/>
        </w:rPr>
        <w:t> </w:t>
      </w:r>
      <w:r>
        <w:rPr>
          <w:b/>
          <w:i/>
          <w:spacing w:val="-2"/>
          <w:sz w:val="22"/>
        </w:rPr>
        <w:t>pyogenes</w:t>
      </w:r>
    </w:p>
    <w:p>
      <w:pPr>
        <w:pStyle w:val="BodyText"/>
        <w:rPr>
          <w:b/>
          <w:i/>
          <w:sz w:val="20"/>
        </w:rPr>
      </w:pPr>
    </w:p>
    <w:p>
      <w:pPr>
        <w:pStyle w:val="BodyText"/>
        <w:spacing w:before="146"/>
        <w:rPr>
          <w:b/>
          <w:i/>
          <w:sz w:val="20"/>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5"/>
        <w:gridCol w:w="1447"/>
        <w:gridCol w:w="1734"/>
        <w:gridCol w:w="1908"/>
        <w:gridCol w:w="2300"/>
      </w:tblGrid>
      <w:tr>
        <w:trPr>
          <w:trHeight w:val="264" w:hRule="atLeast"/>
        </w:trPr>
        <w:tc>
          <w:tcPr>
            <w:tcW w:w="1695" w:type="dxa"/>
            <w:tcBorders>
              <w:top w:val="single" w:sz="4" w:space="0" w:color="000000"/>
            </w:tcBorders>
          </w:tcPr>
          <w:p>
            <w:pPr>
              <w:pStyle w:val="TableParagraph"/>
              <w:rPr>
                <w:rFonts w:ascii="Times New Roman"/>
                <w:sz w:val="18"/>
              </w:rPr>
            </w:pPr>
          </w:p>
        </w:tc>
        <w:tc>
          <w:tcPr>
            <w:tcW w:w="1447" w:type="dxa"/>
            <w:tcBorders>
              <w:top w:val="single" w:sz="4" w:space="0" w:color="000000"/>
            </w:tcBorders>
          </w:tcPr>
          <w:p>
            <w:pPr>
              <w:pStyle w:val="TableParagraph"/>
              <w:spacing w:line="244" w:lineRule="exact"/>
              <w:ind w:left="246"/>
              <w:rPr>
                <w:b/>
                <w:sz w:val="22"/>
              </w:rPr>
            </w:pPr>
            <w:r>
              <w:rPr>
                <w:b/>
                <w:spacing w:val="-5"/>
                <w:sz w:val="22"/>
              </w:rPr>
              <w:t>MIC</w:t>
            </w:r>
          </w:p>
        </w:tc>
        <w:tc>
          <w:tcPr>
            <w:tcW w:w="1734" w:type="dxa"/>
            <w:tcBorders>
              <w:top w:val="single" w:sz="4" w:space="0" w:color="000000"/>
            </w:tcBorders>
          </w:tcPr>
          <w:p>
            <w:pPr>
              <w:pStyle w:val="TableParagraph"/>
              <w:spacing w:line="244" w:lineRule="exact"/>
              <w:ind w:left="609"/>
              <w:rPr>
                <w:b/>
                <w:sz w:val="22"/>
              </w:rPr>
            </w:pPr>
            <w:r>
              <w:rPr>
                <w:b/>
                <w:spacing w:val="-5"/>
                <w:sz w:val="22"/>
              </w:rPr>
              <w:t>MBC</w:t>
            </w:r>
          </w:p>
        </w:tc>
        <w:tc>
          <w:tcPr>
            <w:tcW w:w="1908" w:type="dxa"/>
            <w:tcBorders>
              <w:top w:val="single" w:sz="4" w:space="0" w:color="000000"/>
            </w:tcBorders>
          </w:tcPr>
          <w:p>
            <w:pPr>
              <w:pStyle w:val="TableParagraph"/>
              <w:spacing w:line="244" w:lineRule="exact"/>
              <w:ind w:left="688"/>
              <w:rPr>
                <w:b/>
                <w:sz w:val="22"/>
              </w:rPr>
            </w:pPr>
            <w:r>
              <w:rPr>
                <w:b/>
                <w:spacing w:val="-5"/>
                <w:sz w:val="22"/>
              </w:rPr>
              <w:t>MIC</w:t>
            </w:r>
          </w:p>
        </w:tc>
        <w:tc>
          <w:tcPr>
            <w:tcW w:w="2300" w:type="dxa"/>
            <w:tcBorders>
              <w:top w:val="single" w:sz="4" w:space="0" w:color="000000"/>
            </w:tcBorders>
          </w:tcPr>
          <w:p>
            <w:pPr>
              <w:pStyle w:val="TableParagraph"/>
              <w:spacing w:line="244" w:lineRule="exact"/>
              <w:ind w:left="595"/>
              <w:rPr>
                <w:b/>
                <w:sz w:val="22"/>
              </w:rPr>
            </w:pPr>
            <w:r>
              <w:rPr>
                <w:b/>
                <w:spacing w:val="-5"/>
                <w:sz w:val="22"/>
              </w:rPr>
              <w:t>MBC</w:t>
            </w:r>
          </w:p>
        </w:tc>
      </w:tr>
      <w:tr>
        <w:trPr>
          <w:trHeight w:val="450" w:hRule="atLeast"/>
        </w:trPr>
        <w:tc>
          <w:tcPr>
            <w:tcW w:w="3142" w:type="dxa"/>
            <w:gridSpan w:val="2"/>
          </w:tcPr>
          <w:p>
            <w:pPr>
              <w:pStyle w:val="TableParagraph"/>
              <w:spacing w:line="227" w:lineRule="exact"/>
              <w:ind w:left="400"/>
              <w:rPr>
                <w:b/>
                <w:sz w:val="22"/>
              </w:rPr>
            </w:pPr>
            <w:r>
              <w:rPr>
                <w:b/>
                <w:sz w:val="22"/>
              </w:rPr>
              <w:t>Sample</w:t>
            </w:r>
            <w:r>
              <w:rPr>
                <w:b/>
                <w:spacing w:val="-7"/>
                <w:sz w:val="22"/>
              </w:rPr>
              <w:t> </w:t>
            </w:r>
            <w:r>
              <w:rPr>
                <w:b/>
                <w:spacing w:val="-5"/>
                <w:sz w:val="22"/>
              </w:rPr>
              <w:t>No.</w:t>
            </w:r>
          </w:p>
        </w:tc>
        <w:tc>
          <w:tcPr>
            <w:tcW w:w="1734" w:type="dxa"/>
          </w:tcPr>
          <w:p>
            <w:pPr>
              <w:pStyle w:val="TableParagraph"/>
              <w:rPr>
                <w:rFonts w:ascii="Times New Roman"/>
                <w:sz w:val="22"/>
              </w:rPr>
            </w:pPr>
          </w:p>
        </w:tc>
        <w:tc>
          <w:tcPr>
            <w:tcW w:w="1908" w:type="dxa"/>
          </w:tcPr>
          <w:p>
            <w:pPr>
              <w:pStyle w:val="TableParagraph"/>
              <w:rPr>
                <w:rFonts w:ascii="Times New Roman"/>
                <w:sz w:val="22"/>
              </w:rPr>
            </w:pPr>
          </w:p>
        </w:tc>
        <w:tc>
          <w:tcPr>
            <w:tcW w:w="2300" w:type="dxa"/>
          </w:tcPr>
          <w:p>
            <w:pPr>
              <w:pStyle w:val="TableParagraph"/>
              <w:rPr>
                <w:rFonts w:ascii="Times New Roman"/>
                <w:sz w:val="22"/>
              </w:rPr>
            </w:pPr>
          </w:p>
        </w:tc>
      </w:tr>
      <w:tr>
        <w:trPr>
          <w:trHeight w:val="634" w:hRule="atLeast"/>
        </w:trPr>
        <w:tc>
          <w:tcPr>
            <w:tcW w:w="1695" w:type="dxa"/>
            <w:tcBorders>
              <w:bottom w:val="single" w:sz="4" w:space="0" w:color="000000"/>
            </w:tcBorders>
          </w:tcPr>
          <w:p>
            <w:pPr>
              <w:pStyle w:val="TableParagraph"/>
              <w:rPr>
                <w:rFonts w:ascii="Times New Roman"/>
                <w:sz w:val="22"/>
              </w:rPr>
            </w:pPr>
          </w:p>
        </w:tc>
        <w:tc>
          <w:tcPr>
            <w:tcW w:w="1447" w:type="dxa"/>
            <w:tcBorders>
              <w:bottom w:val="single" w:sz="4" w:space="0" w:color="000000"/>
            </w:tcBorders>
          </w:tcPr>
          <w:p>
            <w:pPr>
              <w:pStyle w:val="TableParagraph"/>
              <w:spacing w:before="183"/>
              <w:ind w:left="246"/>
              <w:rPr>
                <w:b/>
                <w:sz w:val="22"/>
              </w:rPr>
            </w:pPr>
            <w:r>
              <w:rPr>
                <w:b/>
                <w:spacing w:val="-2"/>
                <w:sz w:val="22"/>
              </w:rPr>
              <w:t>Honey</w:t>
            </w:r>
          </w:p>
        </w:tc>
        <w:tc>
          <w:tcPr>
            <w:tcW w:w="1734" w:type="dxa"/>
            <w:tcBorders>
              <w:bottom w:val="single" w:sz="4" w:space="0" w:color="000000"/>
            </w:tcBorders>
          </w:tcPr>
          <w:p>
            <w:pPr>
              <w:pStyle w:val="TableParagraph"/>
              <w:rPr>
                <w:rFonts w:ascii="Times New Roman"/>
                <w:sz w:val="22"/>
              </w:rPr>
            </w:pPr>
          </w:p>
        </w:tc>
        <w:tc>
          <w:tcPr>
            <w:tcW w:w="1908" w:type="dxa"/>
            <w:tcBorders>
              <w:bottom w:val="single" w:sz="4" w:space="0" w:color="000000"/>
            </w:tcBorders>
          </w:tcPr>
          <w:p>
            <w:pPr>
              <w:pStyle w:val="TableParagraph"/>
              <w:spacing w:before="183"/>
              <w:ind w:left="688"/>
              <w:rPr>
                <w:b/>
                <w:sz w:val="22"/>
              </w:rPr>
            </w:pPr>
            <w:r>
              <w:rPr>
                <w:b/>
                <w:spacing w:val="-2"/>
                <w:sz w:val="22"/>
              </w:rPr>
              <w:t>Lemon</w:t>
            </w:r>
          </w:p>
        </w:tc>
        <w:tc>
          <w:tcPr>
            <w:tcW w:w="2300" w:type="dxa"/>
            <w:tcBorders>
              <w:bottom w:val="single" w:sz="4" w:space="0" w:color="000000"/>
            </w:tcBorders>
          </w:tcPr>
          <w:p>
            <w:pPr>
              <w:pStyle w:val="TableParagraph"/>
              <w:rPr>
                <w:rFonts w:ascii="Times New Roman"/>
                <w:sz w:val="22"/>
              </w:rPr>
            </w:pPr>
          </w:p>
        </w:tc>
      </w:tr>
      <w:tr>
        <w:trPr>
          <w:trHeight w:val="377" w:hRule="atLeast"/>
        </w:trPr>
        <w:tc>
          <w:tcPr>
            <w:tcW w:w="1695" w:type="dxa"/>
            <w:tcBorders>
              <w:top w:val="single" w:sz="4" w:space="0" w:color="000000"/>
            </w:tcBorders>
          </w:tcPr>
          <w:p>
            <w:pPr>
              <w:pStyle w:val="TableParagraph"/>
              <w:spacing w:line="268" w:lineRule="exact"/>
              <w:ind w:left="122"/>
              <w:rPr>
                <w:sz w:val="22"/>
              </w:rPr>
            </w:pPr>
            <w:r>
              <w:rPr>
                <w:sz w:val="22"/>
              </w:rPr>
              <w:t>SP</w:t>
            </w:r>
            <w:r>
              <w:rPr>
                <w:spacing w:val="1"/>
                <w:sz w:val="22"/>
              </w:rPr>
              <w:t> </w:t>
            </w:r>
            <w:r>
              <w:rPr>
                <w:spacing w:val="-5"/>
                <w:sz w:val="22"/>
              </w:rPr>
              <w:t>265</w:t>
            </w:r>
          </w:p>
        </w:tc>
        <w:tc>
          <w:tcPr>
            <w:tcW w:w="1447" w:type="dxa"/>
            <w:tcBorders>
              <w:top w:val="single" w:sz="4" w:space="0" w:color="000000"/>
            </w:tcBorders>
          </w:tcPr>
          <w:p>
            <w:pPr>
              <w:pStyle w:val="TableParagraph"/>
              <w:spacing w:line="268" w:lineRule="exact"/>
              <w:ind w:left="246"/>
              <w:rPr>
                <w:sz w:val="22"/>
              </w:rPr>
            </w:pPr>
            <w:r>
              <w:rPr>
                <w:spacing w:val="-4"/>
                <w:sz w:val="22"/>
              </w:rPr>
              <w:t>20.0</w:t>
            </w:r>
          </w:p>
        </w:tc>
        <w:tc>
          <w:tcPr>
            <w:tcW w:w="1734" w:type="dxa"/>
            <w:tcBorders>
              <w:top w:val="single" w:sz="4" w:space="0" w:color="000000"/>
            </w:tcBorders>
          </w:tcPr>
          <w:p>
            <w:pPr>
              <w:pStyle w:val="TableParagraph"/>
              <w:spacing w:line="268" w:lineRule="exact"/>
              <w:ind w:left="609"/>
              <w:rPr>
                <w:sz w:val="22"/>
              </w:rPr>
            </w:pPr>
            <w:r>
              <w:rPr>
                <w:spacing w:val="-4"/>
                <w:sz w:val="22"/>
              </w:rPr>
              <w:t>60.0</w:t>
            </w:r>
          </w:p>
        </w:tc>
        <w:tc>
          <w:tcPr>
            <w:tcW w:w="1908" w:type="dxa"/>
            <w:tcBorders>
              <w:top w:val="single" w:sz="4" w:space="0" w:color="000000"/>
            </w:tcBorders>
          </w:tcPr>
          <w:p>
            <w:pPr>
              <w:pStyle w:val="TableParagraph"/>
              <w:spacing w:line="268" w:lineRule="exact"/>
              <w:ind w:left="688"/>
              <w:rPr>
                <w:sz w:val="22"/>
              </w:rPr>
            </w:pPr>
            <w:r>
              <w:rPr>
                <w:spacing w:val="-4"/>
                <w:sz w:val="22"/>
              </w:rPr>
              <w:t>30.0</w:t>
            </w:r>
          </w:p>
        </w:tc>
        <w:tc>
          <w:tcPr>
            <w:tcW w:w="2300" w:type="dxa"/>
            <w:tcBorders>
              <w:top w:val="single" w:sz="4" w:space="0" w:color="000000"/>
            </w:tcBorders>
          </w:tcPr>
          <w:p>
            <w:pPr>
              <w:pStyle w:val="TableParagraph"/>
              <w:spacing w:line="268" w:lineRule="exact"/>
              <w:ind w:left="595"/>
              <w:rPr>
                <w:sz w:val="22"/>
              </w:rPr>
            </w:pPr>
            <w:r>
              <w:rPr>
                <w:spacing w:val="-4"/>
                <w:sz w:val="22"/>
              </w:rPr>
              <w:t>50.0</w:t>
            </w:r>
          </w:p>
        </w:tc>
      </w:tr>
      <w:tr>
        <w:trPr>
          <w:trHeight w:val="448" w:hRule="atLeast"/>
        </w:trPr>
        <w:tc>
          <w:tcPr>
            <w:tcW w:w="1695" w:type="dxa"/>
          </w:tcPr>
          <w:p>
            <w:pPr>
              <w:pStyle w:val="TableParagraph"/>
              <w:spacing w:before="70"/>
              <w:ind w:left="122"/>
              <w:rPr>
                <w:sz w:val="22"/>
              </w:rPr>
            </w:pPr>
            <w:r>
              <w:rPr>
                <w:spacing w:val="-2"/>
                <w:sz w:val="22"/>
              </w:rPr>
              <w:t>SP1349</w:t>
            </w:r>
          </w:p>
        </w:tc>
        <w:tc>
          <w:tcPr>
            <w:tcW w:w="1447" w:type="dxa"/>
          </w:tcPr>
          <w:p>
            <w:pPr>
              <w:pStyle w:val="TableParagraph"/>
              <w:spacing w:before="70"/>
              <w:ind w:left="246"/>
              <w:rPr>
                <w:sz w:val="22"/>
              </w:rPr>
            </w:pPr>
            <w:r>
              <w:rPr>
                <w:spacing w:val="-4"/>
                <w:sz w:val="22"/>
              </w:rPr>
              <w:t>60.0</w:t>
            </w:r>
          </w:p>
        </w:tc>
        <w:tc>
          <w:tcPr>
            <w:tcW w:w="1734" w:type="dxa"/>
          </w:tcPr>
          <w:p>
            <w:pPr>
              <w:pStyle w:val="TableParagraph"/>
              <w:spacing w:before="70"/>
              <w:ind w:left="609"/>
              <w:rPr>
                <w:sz w:val="22"/>
              </w:rPr>
            </w:pPr>
            <w:r>
              <w:rPr>
                <w:spacing w:val="-5"/>
                <w:sz w:val="22"/>
              </w:rPr>
              <w:t>NB</w:t>
            </w:r>
          </w:p>
        </w:tc>
        <w:tc>
          <w:tcPr>
            <w:tcW w:w="1908" w:type="dxa"/>
          </w:tcPr>
          <w:p>
            <w:pPr>
              <w:pStyle w:val="TableParagraph"/>
              <w:spacing w:before="70"/>
              <w:ind w:left="688"/>
              <w:rPr>
                <w:sz w:val="22"/>
              </w:rPr>
            </w:pPr>
            <w:r>
              <w:rPr>
                <w:spacing w:val="-4"/>
                <w:sz w:val="22"/>
              </w:rPr>
              <w:t>42.5</w:t>
            </w:r>
          </w:p>
        </w:tc>
        <w:tc>
          <w:tcPr>
            <w:tcW w:w="2300" w:type="dxa"/>
          </w:tcPr>
          <w:p>
            <w:pPr>
              <w:pStyle w:val="TableParagraph"/>
              <w:spacing w:before="70"/>
              <w:ind w:left="595"/>
              <w:rPr>
                <w:sz w:val="22"/>
              </w:rPr>
            </w:pPr>
            <w:r>
              <w:rPr>
                <w:spacing w:val="-4"/>
                <w:sz w:val="22"/>
              </w:rPr>
              <w:t>70.0</w:t>
            </w:r>
          </w:p>
        </w:tc>
      </w:tr>
      <w:tr>
        <w:trPr>
          <w:trHeight w:val="450" w:hRule="atLeast"/>
        </w:trPr>
        <w:tc>
          <w:tcPr>
            <w:tcW w:w="1695" w:type="dxa"/>
          </w:tcPr>
          <w:p>
            <w:pPr>
              <w:pStyle w:val="TableParagraph"/>
              <w:spacing w:before="70"/>
              <w:ind w:left="122"/>
              <w:rPr>
                <w:sz w:val="22"/>
              </w:rPr>
            </w:pPr>
            <w:r>
              <w:rPr>
                <w:sz w:val="22"/>
              </w:rPr>
              <w:t>SP</w:t>
            </w:r>
            <w:r>
              <w:rPr>
                <w:spacing w:val="1"/>
                <w:sz w:val="22"/>
              </w:rPr>
              <w:t> </w:t>
            </w:r>
            <w:r>
              <w:rPr>
                <w:spacing w:val="-5"/>
                <w:sz w:val="22"/>
              </w:rPr>
              <w:t>275</w:t>
            </w:r>
          </w:p>
        </w:tc>
        <w:tc>
          <w:tcPr>
            <w:tcW w:w="1447" w:type="dxa"/>
          </w:tcPr>
          <w:p>
            <w:pPr>
              <w:pStyle w:val="TableParagraph"/>
              <w:spacing w:before="70"/>
              <w:ind w:left="246"/>
              <w:rPr>
                <w:sz w:val="22"/>
              </w:rPr>
            </w:pPr>
            <w:r>
              <w:rPr>
                <w:spacing w:val="-4"/>
                <w:sz w:val="22"/>
              </w:rPr>
              <w:t>22.5</w:t>
            </w:r>
          </w:p>
        </w:tc>
        <w:tc>
          <w:tcPr>
            <w:tcW w:w="1734" w:type="dxa"/>
          </w:tcPr>
          <w:p>
            <w:pPr>
              <w:pStyle w:val="TableParagraph"/>
              <w:spacing w:before="70"/>
              <w:ind w:left="609"/>
              <w:rPr>
                <w:sz w:val="22"/>
              </w:rPr>
            </w:pPr>
            <w:r>
              <w:rPr>
                <w:spacing w:val="-4"/>
                <w:sz w:val="22"/>
              </w:rPr>
              <w:t>90.0</w:t>
            </w:r>
          </w:p>
        </w:tc>
        <w:tc>
          <w:tcPr>
            <w:tcW w:w="1908" w:type="dxa"/>
          </w:tcPr>
          <w:p>
            <w:pPr>
              <w:pStyle w:val="TableParagraph"/>
              <w:spacing w:before="70"/>
              <w:ind w:left="688"/>
              <w:rPr>
                <w:sz w:val="22"/>
              </w:rPr>
            </w:pPr>
            <w:r>
              <w:rPr>
                <w:spacing w:val="-4"/>
                <w:sz w:val="22"/>
              </w:rPr>
              <w:t>22.5</w:t>
            </w:r>
          </w:p>
        </w:tc>
        <w:tc>
          <w:tcPr>
            <w:tcW w:w="2300" w:type="dxa"/>
          </w:tcPr>
          <w:p>
            <w:pPr>
              <w:pStyle w:val="TableParagraph"/>
              <w:spacing w:before="70"/>
              <w:ind w:left="595"/>
              <w:rPr>
                <w:sz w:val="22"/>
              </w:rPr>
            </w:pPr>
            <w:r>
              <w:rPr>
                <w:spacing w:val="-4"/>
                <w:sz w:val="22"/>
              </w:rPr>
              <w:t>35.0</w:t>
            </w:r>
          </w:p>
        </w:tc>
      </w:tr>
      <w:tr>
        <w:trPr>
          <w:trHeight w:val="450" w:hRule="atLeast"/>
        </w:trPr>
        <w:tc>
          <w:tcPr>
            <w:tcW w:w="1695" w:type="dxa"/>
          </w:tcPr>
          <w:p>
            <w:pPr>
              <w:pStyle w:val="TableParagraph"/>
              <w:spacing w:before="71"/>
              <w:ind w:left="122"/>
              <w:rPr>
                <w:sz w:val="22"/>
              </w:rPr>
            </w:pPr>
            <w:r>
              <w:rPr>
                <w:sz w:val="22"/>
              </w:rPr>
              <w:t>SP</w:t>
            </w:r>
            <w:r>
              <w:rPr>
                <w:spacing w:val="1"/>
                <w:sz w:val="22"/>
              </w:rPr>
              <w:t> </w:t>
            </w:r>
            <w:r>
              <w:rPr>
                <w:spacing w:val="-5"/>
                <w:sz w:val="22"/>
              </w:rPr>
              <w:t>321</w:t>
            </w:r>
          </w:p>
        </w:tc>
        <w:tc>
          <w:tcPr>
            <w:tcW w:w="1447" w:type="dxa"/>
          </w:tcPr>
          <w:p>
            <w:pPr>
              <w:pStyle w:val="TableParagraph"/>
              <w:spacing w:before="71"/>
              <w:ind w:left="246"/>
              <w:rPr>
                <w:sz w:val="22"/>
              </w:rPr>
            </w:pPr>
            <w:r>
              <w:rPr>
                <w:spacing w:val="-4"/>
                <w:sz w:val="22"/>
              </w:rPr>
              <w:t>75.0</w:t>
            </w:r>
          </w:p>
        </w:tc>
        <w:tc>
          <w:tcPr>
            <w:tcW w:w="1734" w:type="dxa"/>
          </w:tcPr>
          <w:p>
            <w:pPr>
              <w:pStyle w:val="TableParagraph"/>
              <w:spacing w:before="71"/>
              <w:ind w:left="609"/>
              <w:rPr>
                <w:sz w:val="22"/>
              </w:rPr>
            </w:pPr>
            <w:r>
              <w:rPr>
                <w:spacing w:val="-5"/>
                <w:sz w:val="22"/>
              </w:rPr>
              <w:t>NB</w:t>
            </w:r>
          </w:p>
        </w:tc>
        <w:tc>
          <w:tcPr>
            <w:tcW w:w="1908" w:type="dxa"/>
          </w:tcPr>
          <w:p>
            <w:pPr>
              <w:pStyle w:val="TableParagraph"/>
              <w:spacing w:before="71"/>
              <w:ind w:left="688"/>
              <w:rPr>
                <w:sz w:val="22"/>
              </w:rPr>
            </w:pPr>
            <w:r>
              <w:rPr>
                <w:spacing w:val="-4"/>
                <w:sz w:val="22"/>
              </w:rPr>
              <w:t>47.5</w:t>
            </w:r>
          </w:p>
        </w:tc>
        <w:tc>
          <w:tcPr>
            <w:tcW w:w="2300" w:type="dxa"/>
          </w:tcPr>
          <w:p>
            <w:pPr>
              <w:pStyle w:val="TableParagraph"/>
              <w:spacing w:before="71"/>
              <w:ind w:left="595"/>
              <w:rPr>
                <w:sz w:val="22"/>
              </w:rPr>
            </w:pPr>
            <w:r>
              <w:rPr>
                <w:spacing w:val="-4"/>
                <w:sz w:val="22"/>
              </w:rPr>
              <w:t>95.9</w:t>
            </w:r>
          </w:p>
        </w:tc>
      </w:tr>
      <w:tr>
        <w:trPr>
          <w:trHeight w:val="450" w:hRule="atLeast"/>
        </w:trPr>
        <w:tc>
          <w:tcPr>
            <w:tcW w:w="1695" w:type="dxa"/>
          </w:tcPr>
          <w:p>
            <w:pPr>
              <w:pStyle w:val="TableParagraph"/>
              <w:spacing w:before="70"/>
              <w:ind w:left="122"/>
              <w:rPr>
                <w:sz w:val="22"/>
              </w:rPr>
            </w:pPr>
            <w:r>
              <w:rPr>
                <w:sz w:val="22"/>
              </w:rPr>
              <w:t>SP</w:t>
            </w:r>
            <w:r>
              <w:rPr>
                <w:spacing w:val="1"/>
                <w:sz w:val="22"/>
              </w:rPr>
              <w:t> </w:t>
            </w:r>
            <w:r>
              <w:rPr>
                <w:spacing w:val="-5"/>
                <w:sz w:val="22"/>
              </w:rPr>
              <w:t>266</w:t>
            </w:r>
          </w:p>
        </w:tc>
        <w:tc>
          <w:tcPr>
            <w:tcW w:w="1447" w:type="dxa"/>
          </w:tcPr>
          <w:p>
            <w:pPr>
              <w:pStyle w:val="TableParagraph"/>
              <w:spacing w:before="70"/>
              <w:ind w:left="246"/>
              <w:rPr>
                <w:sz w:val="22"/>
              </w:rPr>
            </w:pPr>
            <w:r>
              <w:rPr>
                <w:spacing w:val="-4"/>
                <w:sz w:val="22"/>
              </w:rPr>
              <w:t>60.0</w:t>
            </w:r>
          </w:p>
        </w:tc>
        <w:tc>
          <w:tcPr>
            <w:tcW w:w="1734" w:type="dxa"/>
          </w:tcPr>
          <w:p>
            <w:pPr>
              <w:pStyle w:val="TableParagraph"/>
              <w:spacing w:before="70"/>
              <w:ind w:left="609"/>
              <w:rPr>
                <w:sz w:val="22"/>
              </w:rPr>
            </w:pPr>
            <w:r>
              <w:rPr>
                <w:spacing w:val="-5"/>
                <w:sz w:val="22"/>
              </w:rPr>
              <w:t>NB</w:t>
            </w:r>
          </w:p>
        </w:tc>
        <w:tc>
          <w:tcPr>
            <w:tcW w:w="1908" w:type="dxa"/>
          </w:tcPr>
          <w:p>
            <w:pPr>
              <w:pStyle w:val="TableParagraph"/>
              <w:spacing w:before="70"/>
              <w:ind w:left="688"/>
              <w:rPr>
                <w:sz w:val="22"/>
              </w:rPr>
            </w:pPr>
            <w:r>
              <w:rPr>
                <w:spacing w:val="-4"/>
                <w:sz w:val="22"/>
              </w:rPr>
              <w:t>40.0</w:t>
            </w:r>
          </w:p>
        </w:tc>
        <w:tc>
          <w:tcPr>
            <w:tcW w:w="2300" w:type="dxa"/>
          </w:tcPr>
          <w:p>
            <w:pPr>
              <w:pStyle w:val="TableParagraph"/>
              <w:spacing w:before="70"/>
              <w:ind w:left="595"/>
              <w:rPr>
                <w:sz w:val="22"/>
              </w:rPr>
            </w:pPr>
            <w:r>
              <w:rPr>
                <w:spacing w:val="-4"/>
                <w:sz w:val="22"/>
              </w:rPr>
              <w:t>90.0</w:t>
            </w:r>
          </w:p>
        </w:tc>
      </w:tr>
      <w:tr>
        <w:trPr>
          <w:trHeight w:val="523" w:hRule="atLeast"/>
        </w:trPr>
        <w:tc>
          <w:tcPr>
            <w:tcW w:w="1695" w:type="dxa"/>
            <w:tcBorders>
              <w:bottom w:val="single" w:sz="4" w:space="0" w:color="000000"/>
            </w:tcBorders>
          </w:tcPr>
          <w:p>
            <w:pPr>
              <w:pStyle w:val="TableParagraph"/>
              <w:spacing w:before="71"/>
              <w:ind w:left="122"/>
              <w:rPr>
                <w:sz w:val="22"/>
              </w:rPr>
            </w:pPr>
            <w:r>
              <w:rPr>
                <w:sz w:val="22"/>
              </w:rPr>
              <w:t>SP</w:t>
            </w:r>
            <w:r>
              <w:rPr>
                <w:spacing w:val="1"/>
                <w:sz w:val="22"/>
              </w:rPr>
              <w:t> </w:t>
            </w:r>
            <w:r>
              <w:rPr>
                <w:spacing w:val="-5"/>
                <w:sz w:val="22"/>
              </w:rPr>
              <w:t>269</w:t>
            </w:r>
          </w:p>
        </w:tc>
        <w:tc>
          <w:tcPr>
            <w:tcW w:w="1447" w:type="dxa"/>
            <w:tcBorders>
              <w:bottom w:val="single" w:sz="4" w:space="0" w:color="000000"/>
            </w:tcBorders>
          </w:tcPr>
          <w:p>
            <w:pPr>
              <w:pStyle w:val="TableParagraph"/>
              <w:spacing w:before="71"/>
              <w:ind w:left="246"/>
              <w:rPr>
                <w:sz w:val="22"/>
              </w:rPr>
            </w:pPr>
            <w:r>
              <w:rPr>
                <w:spacing w:val="-4"/>
                <w:sz w:val="22"/>
              </w:rPr>
              <w:t>22.5</w:t>
            </w:r>
          </w:p>
        </w:tc>
        <w:tc>
          <w:tcPr>
            <w:tcW w:w="1734" w:type="dxa"/>
            <w:tcBorders>
              <w:bottom w:val="single" w:sz="4" w:space="0" w:color="000000"/>
            </w:tcBorders>
          </w:tcPr>
          <w:p>
            <w:pPr>
              <w:pStyle w:val="TableParagraph"/>
              <w:spacing w:before="71"/>
              <w:ind w:left="609"/>
              <w:rPr>
                <w:sz w:val="22"/>
              </w:rPr>
            </w:pPr>
            <w:r>
              <w:rPr>
                <w:spacing w:val="-4"/>
                <w:sz w:val="22"/>
              </w:rPr>
              <w:t>90.0</w:t>
            </w:r>
          </w:p>
        </w:tc>
        <w:tc>
          <w:tcPr>
            <w:tcW w:w="1908" w:type="dxa"/>
            <w:tcBorders>
              <w:bottom w:val="single" w:sz="4" w:space="0" w:color="000000"/>
            </w:tcBorders>
          </w:tcPr>
          <w:p>
            <w:pPr>
              <w:pStyle w:val="TableParagraph"/>
              <w:spacing w:before="71"/>
              <w:ind w:left="688"/>
              <w:rPr>
                <w:sz w:val="22"/>
              </w:rPr>
            </w:pPr>
            <w:r>
              <w:rPr>
                <w:spacing w:val="-4"/>
                <w:sz w:val="22"/>
              </w:rPr>
              <w:t>25.0</w:t>
            </w:r>
          </w:p>
        </w:tc>
        <w:tc>
          <w:tcPr>
            <w:tcW w:w="2300" w:type="dxa"/>
            <w:tcBorders>
              <w:bottom w:val="single" w:sz="4" w:space="0" w:color="000000"/>
            </w:tcBorders>
          </w:tcPr>
          <w:p>
            <w:pPr>
              <w:pStyle w:val="TableParagraph"/>
              <w:spacing w:before="71"/>
              <w:ind w:left="595"/>
              <w:rPr>
                <w:sz w:val="22"/>
              </w:rPr>
            </w:pPr>
            <w:r>
              <w:rPr>
                <w:spacing w:val="-4"/>
                <w:sz w:val="22"/>
              </w:rPr>
              <w:t>50.0</w:t>
            </w:r>
          </w:p>
        </w:tc>
      </w:tr>
    </w:tbl>
    <w:p>
      <w:pPr>
        <w:pStyle w:val="BodyText"/>
        <w:spacing w:line="360" w:lineRule="auto"/>
        <w:ind w:left="380" w:right="975"/>
      </w:pPr>
      <w:r>
        <w:rPr>
          <w:b/>
        </w:rPr>
        <w:t>Key:</w:t>
      </w:r>
      <w:r>
        <w:rPr>
          <w:b/>
          <w:spacing w:val="-4"/>
        </w:rPr>
        <w:t> </w:t>
      </w:r>
      <w:r>
        <w:rPr/>
        <w:t>MIC=Minimum</w:t>
      </w:r>
      <w:r>
        <w:rPr>
          <w:spacing w:val="-3"/>
        </w:rPr>
        <w:t> </w:t>
      </w:r>
      <w:r>
        <w:rPr/>
        <w:t>Inhibitory</w:t>
      </w:r>
      <w:r>
        <w:rPr>
          <w:spacing w:val="-6"/>
        </w:rPr>
        <w:t> </w:t>
      </w:r>
      <w:r>
        <w:rPr/>
        <w:t>Concentration,</w:t>
      </w:r>
      <w:r>
        <w:rPr>
          <w:spacing w:val="-6"/>
        </w:rPr>
        <w:t> </w:t>
      </w:r>
      <w:r>
        <w:rPr/>
        <w:t>MBC=</w:t>
      </w:r>
      <w:r>
        <w:rPr>
          <w:spacing w:val="-6"/>
        </w:rPr>
        <w:t> </w:t>
      </w:r>
      <w:r>
        <w:rPr/>
        <w:t>Minimum</w:t>
      </w:r>
      <w:r>
        <w:rPr>
          <w:spacing w:val="-3"/>
        </w:rPr>
        <w:t> </w:t>
      </w:r>
      <w:r>
        <w:rPr/>
        <w:t>Bactericidal</w:t>
      </w:r>
      <w:r>
        <w:rPr>
          <w:spacing w:val="-7"/>
        </w:rPr>
        <w:t> </w:t>
      </w:r>
      <w:r>
        <w:rPr/>
        <w:t>Concentration, SP=Sputum, NB=Not Bactericidal.</w:t>
      </w:r>
    </w:p>
    <w:p>
      <w:pPr>
        <w:spacing w:after="0" w:line="360"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9"/>
      </w:pPr>
    </w:p>
    <w:p>
      <w:pPr>
        <w:spacing w:before="1"/>
        <w:ind w:left="678" w:right="0" w:firstLine="0"/>
        <w:jc w:val="left"/>
        <w:rPr>
          <w:b/>
          <w:i/>
          <w:sz w:val="22"/>
        </w:rPr>
      </w:pPr>
      <w:r>
        <w:rPr>
          <w:b/>
          <w:sz w:val="22"/>
        </w:rPr>
        <w:t>MIC</w:t>
      </w:r>
      <w:r>
        <w:rPr>
          <w:b/>
          <w:spacing w:val="-6"/>
          <w:sz w:val="22"/>
        </w:rPr>
        <w:t> </w:t>
      </w:r>
      <w:r>
        <w:rPr>
          <w:b/>
          <w:sz w:val="22"/>
        </w:rPr>
        <w:t>and</w:t>
      </w:r>
      <w:r>
        <w:rPr>
          <w:b/>
          <w:spacing w:val="-4"/>
          <w:sz w:val="22"/>
        </w:rPr>
        <w:t> </w:t>
      </w:r>
      <w:r>
        <w:rPr>
          <w:b/>
          <w:sz w:val="22"/>
        </w:rPr>
        <w:t>MBC</w:t>
      </w:r>
      <w:r>
        <w:rPr>
          <w:b/>
          <w:spacing w:val="-5"/>
          <w:sz w:val="22"/>
        </w:rPr>
        <w:t> </w:t>
      </w:r>
      <w:r>
        <w:rPr>
          <w:b/>
          <w:sz w:val="22"/>
        </w:rPr>
        <w:t>Test</w:t>
      </w:r>
      <w:r>
        <w:rPr>
          <w:b/>
          <w:spacing w:val="-5"/>
          <w:sz w:val="22"/>
        </w:rPr>
        <w:t> </w:t>
      </w:r>
      <w:r>
        <w:rPr>
          <w:b/>
          <w:sz w:val="22"/>
        </w:rPr>
        <w:t>(µg/ml)</w:t>
      </w:r>
      <w:r>
        <w:rPr>
          <w:b/>
          <w:spacing w:val="-5"/>
          <w:sz w:val="22"/>
        </w:rPr>
        <w:t> </w:t>
      </w:r>
      <w:r>
        <w:rPr>
          <w:b/>
          <w:sz w:val="22"/>
        </w:rPr>
        <w:t>of</w:t>
      </w:r>
      <w:r>
        <w:rPr>
          <w:b/>
          <w:spacing w:val="-3"/>
          <w:sz w:val="22"/>
        </w:rPr>
        <w:t> </w:t>
      </w:r>
      <w:r>
        <w:rPr>
          <w:b/>
          <w:sz w:val="22"/>
        </w:rPr>
        <w:t>Honey</w:t>
      </w:r>
      <w:r>
        <w:rPr>
          <w:b/>
          <w:spacing w:val="-3"/>
          <w:sz w:val="22"/>
        </w:rPr>
        <w:t> </w:t>
      </w:r>
      <w:r>
        <w:rPr>
          <w:b/>
          <w:sz w:val="22"/>
        </w:rPr>
        <w:t>and</w:t>
      </w:r>
      <w:r>
        <w:rPr>
          <w:b/>
          <w:spacing w:val="-4"/>
          <w:sz w:val="22"/>
        </w:rPr>
        <w:t> </w:t>
      </w:r>
      <w:r>
        <w:rPr>
          <w:b/>
          <w:sz w:val="22"/>
        </w:rPr>
        <w:t>Lemon</w:t>
      </w:r>
      <w:r>
        <w:rPr>
          <w:b/>
          <w:spacing w:val="-2"/>
          <w:sz w:val="22"/>
        </w:rPr>
        <w:t> </w:t>
      </w:r>
      <w:r>
        <w:rPr>
          <w:b/>
          <w:sz w:val="22"/>
        </w:rPr>
        <w:t>juice</w:t>
      </w:r>
      <w:r>
        <w:rPr>
          <w:b/>
          <w:spacing w:val="-6"/>
          <w:sz w:val="22"/>
        </w:rPr>
        <w:t> </w:t>
      </w:r>
      <w:r>
        <w:rPr>
          <w:b/>
          <w:sz w:val="22"/>
        </w:rPr>
        <w:t>mixture</w:t>
      </w:r>
      <w:r>
        <w:rPr>
          <w:b/>
          <w:spacing w:val="-4"/>
          <w:sz w:val="22"/>
        </w:rPr>
        <w:t> </w:t>
      </w:r>
      <w:r>
        <w:rPr>
          <w:b/>
          <w:sz w:val="22"/>
        </w:rPr>
        <w:t>against</w:t>
      </w:r>
      <w:r>
        <w:rPr>
          <w:b/>
          <w:spacing w:val="-2"/>
          <w:sz w:val="22"/>
        </w:rPr>
        <w:t> </w:t>
      </w:r>
      <w:r>
        <w:rPr>
          <w:b/>
          <w:i/>
          <w:sz w:val="22"/>
        </w:rPr>
        <w:t>Klebsiella</w:t>
      </w:r>
      <w:r>
        <w:rPr>
          <w:b/>
          <w:i/>
          <w:spacing w:val="-4"/>
          <w:sz w:val="22"/>
        </w:rPr>
        <w:t> </w:t>
      </w:r>
      <w:r>
        <w:rPr>
          <w:b/>
          <w:i/>
          <w:spacing w:val="-2"/>
          <w:sz w:val="22"/>
        </w:rPr>
        <w:t>pneumoniae</w:t>
      </w:r>
    </w:p>
    <w:p>
      <w:pPr>
        <w:pStyle w:val="BodyText"/>
        <w:rPr>
          <w:b/>
          <w:i/>
          <w:sz w:val="20"/>
        </w:rPr>
      </w:pPr>
    </w:p>
    <w:p>
      <w:pPr>
        <w:pStyle w:val="BodyText"/>
        <w:spacing w:before="146"/>
        <w:rPr>
          <w:b/>
          <w:i/>
          <w:sz w:val="20"/>
        </w:r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
        <w:gridCol w:w="809"/>
        <w:gridCol w:w="806"/>
        <w:gridCol w:w="778"/>
        <w:gridCol w:w="797"/>
        <w:gridCol w:w="797"/>
        <w:gridCol w:w="845"/>
        <w:gridCol w:w="833"/>
        <w:gridCol w:w="872"/>
        <w:gridCol w:w="831"/>
        <w:gridCol w:w="855"/>
      </w:tblGrid>
      <w:tr>
        <w:trPr>
          <w:trHeight w:val="667" w:hRule="atLeast"/>
        </w:trPr>
        <w:tc>
          <w:tcPr>
            <w:tcW w:w="1122" w:type="dxa"/>
            <w:tcBorders>
              <w:top w:val="single" w:sz="4" w:space="0" w:color="000000"/>
            </w:tcBorders>
          </w:tcPr>
          <w:p>
            <w:pPr>
              <w:pStyle w:val="TableParagraph"/>
              <w:spacing w:line="259" w:lineRule="auto"/>
              <w:ind w:left="405" w:right="212" w:hanging="178"/>
              <w:rPr>
                <w:b/>
                <w:sz w:val="22"/>
              </w:rPr>
            </w:pPr>
            <w:r>
              <w:rPr>
                <w:b/>
                <w:spacing w:val="-2"/>
                <w:sz w:val="22"/>
              </w:rPr>
              <w:t>Sample </w:t>
            </w:r>
            <w:r>
              <w:rPr>
                <w:b/>
                <w:spacing w:val="-4"/>
                <w:sz w:val="22"/>
              </w:rPr>
              <w:t>No.</w:t>
            </w:r>
          </w:p>
        </w:tc>
        <w:tc>
          <w:tcPr>
            <w:tcW w:w="809" w:type="dxa"/>
            <w:tcBorders>
              <w:top w:val="single" w:sz="4" w:space="0" w:color="000000"/>
            </w:tcBorders>
          </w:tcPr>
          <w:p>
            <w:pPr>
              <w:pStyle w:val="TableParagraph"/>
              <w:spacing w:before="143"/>
              <w:ind w:right="209"/>
              <w:jc w:val="right"/>
              <w:rPr>
                <w:b/>
                <w:sz w:val="22"/>
              </w:rPr>
            </w:pPr>
            <w:r>
              <w:rPr>
                <w:b/>
                <w:spacing w:val="-5"/>
                <w:sz w:val="22"/>
              </w:rPr>
              <w:t>MIC</w:t>
            </w:r>
          </w:p>
        </w:tc>
        <w:tc>
          <w:tcPr>
            <w:tcW w:w="806" w:type="dxa"/>
            <w:tcBorders>
              <w:top w:val="single" w:sz="4" w:space="0" w:color="000000"/>
            </w:tcBorders>
          </w:tcPr>
          <w:p>
            <w:pPr>
              <w:pStyle w:val="TableParagraph"/>
              <w:spacing w:before="143"/>
              <w:ind w:right="2"/>
              <w:jc w:val="center"/>
              <w:rPr>
                <w:b/>
                <w:sz w:val="22"/>
              </w:rPr>
            </w:pPr>
            <w:r>
              <w:rPr>
                <w:b/>
                <w:spacing w:val="-5"/>
                <w:sz w:val="22"/>
              </w:rPr>
              <w:t>MBC</w:t>
            </w:r>
          </w:p>
        </w:tc>
        <w:tc>
          <w:tcPr>
            <w:tcW w:w="778" w:type="dxa"/>
            <w:tcBorders>
              <w:top w:val="single" w:sz="4" w:space="0" w:color="000000"/>
            </w:tcBorders>
          </w:tcPr>
          <w:p>
            <w:pPr>
              <w:pStyle w:val="TableParagraph"/>
              <w:spacing w:before="143"/>
              <w:ind w:right="208"/>
              <w:jc w:val="right"/>
              <w:rPr>
                <w:b/>
                <w:sz w:val="22"/>
              </w:rPr>
            </w:pPr>
            <w:r>
              <w:rPr>
                <w:b/>
                <w:spacing w:val="-5"/>
                <w:sz w:val="22"/>
              </w:rPr>
              <w:t>MIC</w:t>
            </w:r>
          </w:p>
        </w:tc>
        <w:tc>
          <w:tcPr>
            <w:tcW w:w="797" w:type="dxa"/>
            <w:tcBorders>
              <w:top w:val="single" w:sz="4" w:space="0" w:color="000000"/>
            </w:tcBorders>
          </w:tcPr>
          <w:p>
            <w:pPr>
              <w:pStyle w:val="TableParagraph"/>
              <w:spacing w:before="143"/>
              <w:ind w:right="12"/>
              <w:jc w:val="center"/>
              <w:rPr>
                <w:b/>
                <w:sz w:val="22"/>
              </w:rPr>
            </w:pPr>
            <w:r>
              <w:rPr>
                <w:b/>
                <w:spacing w:val="-5"/>
                <w:sz w:val="22"/>
              </w:rPr>
              <w:t>MBC</w:t>
            </w:r>
          </w:p>
        </w:tc>
        <w:tc>
          <w:tcPr>
            <w:tcW w:w="797" w:type="dxa"/>
            <w:tcBorders>
              <w:top w:val="single" w:sz="4" w:space="0" w:color="000000"/>
            </w:tcBorders>
          </w:tcPr>
          <w:p>
            <w:pPr>
              <w:pStyle w:val="TableParagraph"/>
              <w:spacing w:before="143"/>
              <w:ind w:right="230"/>
              <w:jc w:val="right"/>
              <w:rPr>
                <w:b/>
                <w:sz w:val="22"/>
              </w:rPr>
            </w:pPr>
            <w:r>
              <w:rPr>
                <w:b/>
                <w:spacing w:val="-5"/>
                <w:sz w:val="22"/>
              </w:rPr>
              <w:t>MIC</w:t>
            </w:r>
          </w:p>
        </w:tc>
        <w:tc>
          <w:tcPr>
            <w:tcW w:w="845" w:type="dxa"/>
            <w:tcBorders>
              <w:top w:val="single" w:sz="4" w:space="0" w:color="000000"/>
            </w:tcBorders>
          </w:tcPr>
          <w:p>
            <w:pPr>
              <w:pStyle w:val="TableParagraph"/>
              <w:spacing w:before="143"/>
              <w:ind w:right="27"/>
              <w:jc w:val="center"/>
              <w:rPr>
                <w:b/>
                <w:sz w:val="22"/>
              </w:rPr>
            </w:pPr>
            <w:r>
              <w:rPr>
                <w:b/>
                <w:spacing w:val="-5"/>
                <w:sz w:val="22"/>
              </w:rPr>
              <w:t>MBC</w:t>
            </w:r>
          </w:p>
        </w:tc>
        <w:tc>
          <w:tcPr>
            <w:tcW w:w="833" w:type="dxa"/>
            <w:tcBorders>
              <w:top w:val="single" w:sz="4" w:space="0" w:color="000000"/>
            </w:tcBorders>
          </w:tcPr>
          <w:p>
            <w:pPr>
              <w:pStyle w:val="TableParagraph"/>
              <w:spacing w:before="143"/>
              <w:ind w:right="242"/>
              <w:jc w:val="right"/>
              <w:rPr>
                <w:b/>
                <w:sz w:val="22"/>
              </w:rPr>
            </w:pPr>
            <w:r>
              <w:rPr>
                <w:b/>
                <w:spacing w:val="-5"/>
                <w:sz w:val="22"/>
              </w:rPr>
              <w:t>MIC</w:t>
            </w:r>
          </w:p>
        </w:tc>
        <w:tc>
          <w:tcPr>
            <w:tcW w:w="872" w:type="dxa"/>
            <w:tcBorders>
              <w:top w:val="single" w:sz="4" w:space="0" w:color="000000"/>
            </w:tcBorders>
          </w:tcPr>
          <w:p>
            <w:pPr>
              <w:pStyle w:val="TableParagraph"/>
              <w:spacing w:before="143"/>
              <w:ind w:right="5"/>
              <w:jc w:val="center"/>
              <w:rPr>
                <w:b/>
                <w:sz w:val="22"/>
              </w:rPr>
            </w:pPr>
            <w:r>
              <w:rPr>
                <w:b/>
                <w:spacing w:val="-5"/>
                <w:sz w:val="22"/>
              </w:rPr>
              <w:t>MBC</w:t>
            </w:r>
          </w:p>
        </w:tc>
        <w:tc>
          <w:tcPr>
            <w:tcW w:w="831" w:type="dxa"/>
            <w:tcBorders>
              <w:top w:val="single" w:sz="4" w:space="0" w:color="000000"/>
            </w:tcBorders>
          </w:tcPr>
          <w:p>
            <w:pPr>
              <w:pStyle w:val="TableParagraph"/>
              <w:spacing w:before="143"/>
              <w:ind w:left="72" w:right="93"/>
              <w:jc w:val="center"/>
              <w:rPr>
                <w:b/>
                <w:sz w:val="22"/>
              </w:rPr>
            </w:pPr>
            <w:r>
              <w:rPr>
                <w:b/>
                <w:spacing w:val="-5"/>
                <w:sz w:val="22"/>
              </w:rPr>
              <w:t>MIC</w:t>
            </w:r>
          </w:p>
        </w:tc>
        <w:tc>
          <w:tcPr>
            <w:tcW w:w="855" w:type="dxa"/>
            <w:tcBorders>
              <w:top w:val="single" w:sz="4" w:space="0" w:color="000000"/>
            </w:tcBorders>
          </w:tcPr>
          <w:p>
            <w:pPr>
              <w:pStyle w:val="TableParagraph"/>
              <w:spacing w:before="143"/>
              <w:ind w:right="38"/>
              <w:jc w:val="center"/>
              <w:rPr>
                <w:b/>
                <w:sz w:val="22"/>
              </w:rPr>
            </w:pPr>
            <w:r>
              <w:rPr>
                <w:b/>
                <w:spacing w:val="-5"/>
                <w:sz w:val="22"/>
              </w:rPr>
              <w:t>MBC</w:t>
            </w:r>
          </w:p>
        </w:tc>
      </w:tr>
      <w:tr>
        <w:trPr>
          <w:trHeight w:val="523" w:hRule="atLeast"/>
        </w:trPr>
        <w:tc>
          <w:tcPr>
            <w:tcW w:w="1122" w:type="dxa"/>
            <w:tcBorders>
              <w:bottom w:val="single" w:sz="4" w:space="0" w:color="000000"/>
            </w:tcBorders>
          </w:tcPr>
          <w:p>
            <w:pPr>
              <w:pStyle w:val="TableParagraph"/>
              <w:rPr>
                <w:rFonts w:ascii="Times New Roman"/>
                <w:sz w:val="22"/>
              </w:rPr>
            </w:pPr>
          </w:p>
        </w:tc>
        <w:tc>
          <w:tcPr>
            <w:tcW w:w="809" w:type="dxa"/>
            <w:tcBorders>
              <w:bottom w:val="single" w:sz="4" w:space="0" w:color="000000"/>
            </w:tcBorders>
          </w:tcPr>
          <w:p>
            <w:pPr>
              <w:pStyle w:val="TableParagraph"/>
              <w:spacing w:before="71"/>
              <w:ind w:right="183"/>
              <w:jc w:val="right"/>
              <w:rPr>
                <w:b/>
                <w:sz w:val="22"/>
              </w:rPr>
            </w:pPr>
            <w:r>
              <w:rPr>
                <w:b/>
                <w:spacing w:val="-2"/>
                <w:sz w:val="22"/>
              </w:rPr>
              <w:t>10:50</w:t>
            </w:r>
          </w:p>
        </w:tc>
        <w:tc>
          <w:tcPr>
            <w:tcW w:w="806" w:type="dxa"/>
            <w:tcBorders>
              <w:bottom w:val="single" w:sz="4" w:space="0" w:color="000000"/>
            </w:tcBorders>
          </w:tcPr>
          <w:p>
            <w:pPr>
              <w:pStyle w:val="TableParagraph"/>
              <w:rPr>
                <w:rFonts w:ascii="Times New Roman"/>
                <w:sz w:val="22"/>
              </w:rPr>
            </w:pPr>
          </w:p>
        </w:tc>
        <w:tc>
          <w:tcPr>
            <w:tcW w:w="778" w:type="dxa"/>
            <w:tcBorders>
              <w:bottom w:val="single" w:sz="4" w:space="0" w:color="000000"/>
            </w:tcBorders>
          </w:tcPr>
          <w:p>
            <w:pPr>
              <w:pStyle w:val="TableParagraph"/>
              <w:spacing w:before="71"/>
              <w:ind w:right="175"/>
              <w:jc w:val="right"/>
              <w:rPr>
                <w:b/>
                <w:sz w:val="22"/>
              </w:rPr>
            </w:pPr>
            <w:r>
              <w:rPr>
                <w:b/>
                <w:spacing w:val="-2"/>
                <w:sz w:val="22"/>
              </w:rPr>
              <w:t>20:50</w:t>
            </w:r>
          </w:p>
        </w:tc>
        <w:tc>
          <w:tcPr>
            <w:tcW w:w="797" w:type="dxa"/>
            <w:tcBorders>
              <w:bottom w:val="single" w:sz="4" w:space="0" w:color="000000"/>
            </w:tcBorders>
          </w:tcPr>
          <w:p>
            <w:pPr>
              <w:pStyle w:val="TableParagraph"/>
              <w:rPr>
                <w:rFonts w:ascii="Times New Roman"/>
                <w:sz w:val="22"/>
              </w:rPr>
            </w:pPr>
          </w:p>
        </w:tc>
        <w:tc>
          <w:tcPr>
            <w:tcW w:w="797" w:type="dxa"/>
            <w:tcBorders>
              <w:bottom w:val="single" w:sz="4" w:space="0" w:color="000000"/>
            </w:tcBorders>
          </w:tcPr>
          <w:p>
            <w:pPr>
              <w:pStyle w:val="TableParagraph"/>
              <w:spacing w:before="71"/>
              <w:ind w:right="196"/>
              <w:jc w:val="right"/>
              <w:rPr>
                <w:b/>
                <w:sz w:val="22"/>
              </w:rPr>
            </w:pPr>
            <w:r>
              <w:rPr>
                <w:b/>
                <w:spacing w:val="-2"/>
                <w:sz w:val="22"/>
              </w:rPr>
              <w:t>30:50</w:t>
            </w:r>
          </w:p>
        </w:tc>
        <w:tc>
          <w:tcPr>
            <w:tcW w:w="845" w:type="dxa"/>
            <w:tcBorders>
              <w:bottom w:val="single" w:sz="4" w:space="0" w:color="000000"/>
            </w:tcBorders>
          </w:tcPr>
          <w:p>
            <w:pPr>
              <w:pStyle w:val="TableParagraph"/>
              <w:rPr>
                <w:rFonts w:ascii="Times New Roman"/>
                <w:sz w:val="22"/>
              </w:rPr>
            </w:pPr>
          </w:p>
        </w:tc>
        <w:tc>
          <w:tcPr>
            <w:tcW w:w="833" w:type="dxa"/>
            <w:tcBorders>
              <w:bottom w:val="single" w:sz="4" w:space="0" w:color="000000"/>
            </w:tcBorders>
          </w:tcPr>
          <w:p>
            <w:pPr>
              <w:pStyle w:val="TableParagraph"/>
              <w:spacing w:before="71"/>
              <w:ind w:right="226"/>
              <w:jc w:val="right"/>
              <w:rPr>
                <w:b/>
                <w:sz w:val="22"/>
              </w:rPr>
            </w:pPr>
            <w:r>
              <w:rPr>
                <w:b/>
                <w:spacing w:val="-2"/>
                <w:sz w:val="22"/>
              </w:rPr>
              <w:t>40:50</w:t>
            </w:r>
          </w:p>
        </w:tc>
        <w:tc>
          <w:tcPr>
            <w:tcW w:w="872" w:type="dxa"/>
            <w:tcBorders>
              <w:bottom w:val="single" w:sz="4" w:space="0" w:color="000000"/>
            </w:tcBorders>
          </w:tcPr>
          <w:p>
            <w:pPr>
              <w:pStyle w:val="TableParagraph"/>
              <w:rPr>
                <w:rFonts w:ascii="Times New Roman"/>
                <w:sz w:val="22"/>
              </w:rPr>
            </w:pPr>
          </w:p>
        </w:tc>
        <w:tc>
          <w:tcPr>
            <w:tcW w:w="831" w:type="dxa"/>
            <w:tcBorders>
              <w:bottom w:val="single" w:sz="4" w:space="0" w:color="000000"/>
            </w:tcBorders>
          </w:tcPr>
          <w:p>
            <w:pPr>
              <w:pStyle w:val="TableParagraph"/>
              <w:spacing w:before="71"/>
              <w:ind w:right="93"/>
              <w:jc w:val="center"/>
              <w:rPr>
                <w:b/>
                <w:sz w:val="22"/>
              </w:rPr>
            </w:pPr>
            <w:r>
              <w:rPr>
                <w:b/>
                <w:spacing w:val="-2"/>
                <w:sz w:val="22"/>
              </w:rPr>
              <w:t>50:50</w:t>
            </w:r>
          </w:p>
        </w:tc>
        <w:tc>
          <w:tcPr>
            <w:tcW w:w="855" w:type="dxa"/>
            <w:tcBorders>
              <w:bottom w:val="single" w:sz="4" w:space="0" w:color="000000"/>
            </w:tcBorders>
          </w:tcPr>
          <w:p>
            <w:pPr>
              <w:pStyle w:val="TableParagraph"/>
              <w:rPr>
                <w:rFonts w:ascii="Times New Roman"/>
                <w:sz w:val="22"/>
              </w:rPr>
            </w:pPr>
          </w:p>
        </w:tc>
      </w:tr>
      <w:tr>
        <w:trPr>
          <w:trHeight w:val="376" w:hRule="atLeast"/>
        </w:trPr>
        <w:tc>
          <w:tcPr>
            <w:tcW w:w="1122" w:type="dxa"/>
            <w:tcBorders>
              <w:top w:val="single" w:sz="4" w:space="0" w:color="000000"/>
            </w:tcBorders>
          </w:tcPr>
          <w:p>
            <w:pPr>
              <w:pStyle w:val="TableParagraph"/>
              <w:spacing w:line="265" w:lineRule="exact"/>
              <w:ind w:left="107"/>
              <w:rPr>
                <w:sz w:val="22"/>
              </w:rPr>
            </w:pPr>
            <w:r>
              <w:rPr>
                <w:sz w:val="22"/>
              </w:rPr>
              <w:t>ES</w:t>
            </w:r>
            <w:r>
              <w:rPr>
                <w:spacing w:val="-1"/>
                <w:sz w:val="22"/>
              </w:rPr>
              <w:t> </w:t>
            </w:r>
            <w:r>
              <w:rPr>
                <w:spacing w:val="-5"/>
                <w:sz w:val="22"/>
              </w:rPr>
              <w:t>848</w:t>
            </w:r>
          </w:p>
        </w:tc>
        <w:tc>
          <w:tcPr>
            <w:tcW w:w="809" w:type="dxa"/>
            <w:tcBorders>
              <w:top w:val="single" w:sz="4" w:space="0" w:color="000000"/>
            </w:tcBorders>
          </w:tcPr>
          <w:p>
            <w:pPr>
              <w:pStyle w:val="TableParagraph"/>
              <w:spacing w:line="265" w:lineRule="exact"/>
              <w:ind w:right="194"/>
              <w:jc w:val="right"/>
              <w:rPr>
                <w:sz w:val="22"/>
              </w:rPr>
            </w:pPr>
            <w:r>
              <w:rPr>
                <w:spacing w:val="-4"/>
                <w:sz w:val="22"/>
              </w:rPr>
              <w:t>35.0</w:t>
            </w:r>
          </w:p>
        </w:tc>
        <w:tc>
          <w:tcPr>
            <w:tcW w:w="806" w:type="dxa"/>
            <w:tcBorders>
              <w:top w:val="single" w:sz="4" w:space="0" w:color="000000"/>
            </w:tcBorders>
          </w:tcPr>
          <w:p>
            <w:pPr>
              <w:pStyle w:val="TableParagraph"/>
              <w:spacing w:line="265" w:lineRule="exact"/>
              <w:ind w:left="2" w:right="2"/>
              <w:jc w:val="center"/>
              <w:rPr>
                <w:sz w:val="22"/>
              </w:rPr>
            </w:pPr>
            <w:r>
              <w:rPr>
                <w:spacing w:val="-4"/>
                <w:sz w:val="22"/>
              </w:rPr>
              <w:t>60.0</w:t>
            </w:r>
          </w:p>
        </w:tc>
        <w:tc>
          <w:tcPr>
            <w:tcW w:w="778" w:type="dxa"/>
            <w:tcBorders>
              <w:top w:val="single" w:sz="4" w:space="0" w:color="000000"/>
            </w:tcBorders>
          </w:tcPr>
          <w:p>
            <w:pPr>
              <w:pStyle w:val="TableParagraph"/>
              <w:spacing w:line="265" w:lineRule="exact"/>
              <w:ind w:right="196"/>
              <w:jc w:val="right"/>
              <w:rPr>
                <w:sz w:val="22"/>
              </w:rPr>
            </w:pPr>
            <w:r>
              <w:rPr>
                <w:spacing w:val="-4"/>
                <w:sz w:val="22"/>
              </w:rPr>
              <w:t>35.0</w:t>
            </w:r>
          </w:p>
        </w:tc>
        <w:tc>
          <w:tcPr>
            <w:tcW w:w="797" w:type="dxa"/>
            <w:tcBorders>
              <w:top w:val="single" w:sz="4" w:space="0" w:color="000000"/>
            </w:tcBorders>
          </w:tcPr>
          <w:p>
            <w:pPr>
              <w:pStyle w:val="TableParagraph"/>
              <w:spacing w:line="265" w:lineRule="exact"/>
              <w:ind w:left="2" w:right="12"/>
              <w:jc w:val="center"/>
              <w:rPr>
                <w:sz w:val="22"/>
              </w:rPr>
            </w:pPr>
            <w:r>
              <w:rPr>
                <w:spacing w:val="-4"/>
                <w:sz w:val="22"/>
              </w:rPr>
              <w:t>60.0</w:t>
            </w:r>
          </w:p>
        </w:tc>
        <w:tc>
          <w:tcPr>
            <w:tcW w:w="797" w:type="dxa"/>
            <w:tcBorders>
              <w:top w:val="single" w:sz="4" w:space="0" w:color="000000"/>
            </w:tcBorders>
          </w:tcPr>
          <w:p>
            <w:pPr>
              <w:pStyle w:val="TableParagraph"/>
              <w:spacing w:line="265" w:lineRule="exact"/>
              <w:ind w:right="217"/>
              <w:jc w:val="right"/>
              <w:rPr>
                <w:sz w:val="22"/>
              </w:rPr>
            </w:pPr>
            <w:r>
              <w:rPr>
                <w:spacing w:val="-4"/>
                <w:sz w:val="22"/>
              </w:rPr>
              <w:t>35.0</w:t>
            </w:r>
          </w:p>
        </w:tc>
        <w:tc>
          <w:tcPr>
            <w:tcW w:w="845" w:type="dxa"/>
            <w:tcBorders>
              <w:top w:val="single" w:sz="4" w:space="0" w:color="000000"/>
            </w:tcBorders>
          </w:tcPr>
          <w:p>
            <w:pPr>
              <w:pStyle w:val="TableParagraph"/>
              <w:spacing w:line="265" w:lineRule="exact"/>
              <w:ind w:left="3" w:right="27"/>
              <w:jc w:val="center"/>
              <w:rPr>
                <w:sz w:val="22"/>
              </w:rPr>
            </w:pPr>
            <w:r>
              <w:rPr>
                <w:spacing w:val="-4"/>
                <w:sz w:val="22"/>
              </w:rPr>
              <w:t>60.0</w:t>
            </w:r>
          </w:p>
        </w:tc>
        <w:tc>
          <w:tcPr>
            <w:tcW w:w="833" w:type="dxa"/>
            <w:tcBorders>
              <w:top w:val="single" w:sz="4" w:space="0" w:color="000000"/>
            </w:tcBorders>
          </w:tcPr>
          <w:p>
            <w:pPr>
              <w:pStyle w:val="TableParagraph"/>
              <w:spacing w:line="265" w:lineRule="exact"/>
              <w:ind w:right="227"/>
              <w:jc w:val="right"/>
              <w:rPr>
                <w:sz w:val="22"/>
              </w:rPr>
            </w:pPr>
            <w:r>
              <w:rPr>
                <w:spacing w:val="-4"/>
                <w:sz w:val="22"/>
              </w:rPr>
              <w:t>40.0</w:t>
            </w:r>
          </w:p>
        </w:tc>
        <w:tc>
          <w:tcPr>
            <w:tcW w:w="872" w:type="dxa"/>
            <w:tcBorders>
              <w:top w:val="single" w:sz="4" w:space="0" w:color="000000"/>
            </w:tcBorders>
          </w:tcPr>
          <w:p>
            <w:pPr>
              <w:pStyle w:val="TableParagraph"/>
              <w:spacing w:line="265" w:lineRule="exact"/>
              <w:ind w:left="2" w:right="5"/>
              <w:jc w:val="center"/>
              <w:rPr>
                <w:sz w:val="22"/>
              </w:rPr>
            </w:pPr>
            <w:r>
              <w:rPr>
                <w:spacing w:val="-4"/>
                <w:sz w:val="22"/>
              </w:rPr>
              <w:t>60.0</w:t>
            </w:r>
          </w:p>
        </w:tc>
        <w:tc>
          <w:tcPr>
            <w:tcW w:w="831" w:type="dxa"/>
            <w:tcBorders>
              <w:top w:val="single" w:sz="4" w:space="0" w:color="000000"/>
            </w:tcBorders>
          </w:tcPr>
          <w:p>
            <w:pPr>
              <w:pStyle w:val="TableParagraph"/>
              <w:spacing w:line="265" w:lineRule="exact"/>
              <w:ind w:left="72" w:right="93"/>
              <w:jc w:val="center"/>
              <w:rPr>
                <w:sz w:val="22"/>
              </w:rPr>
            </w:pPr>
            <w:r>
              <w:rPr>
                <w:spacing w:val="-4"/>
                <w:sz w:val="22"/>
              </w:rPr>
              <w:t>50.0</w:t>
            </w:r>
          </w:p>
        </w:tc>
        <w:tc>
          <w:tcPr>
            <w:tcW w:w="855" w:type="dxa"/>
            <w:tcBorders>
              <w:top w:val="single" w:sz="4" w:space="0" w:color="000000"/>
            </w:tcBorders>
          </w:tcPr>
          <w:p>
            <w:pPr>
              <w:pStyle w:val="TableParagraph"/>
              <w:spacing w:line="265" w:lineRule="exact"/>
              <w:ind w:left="2" w:right="38"/>
              <w:jc w:val="center"/>
              <w:rPr>
                <w:sz w:val="22"/>
              </w:rPr>
            </w:pPr>
            <w:r>
              <w:rPr>
                <w:spacing w:val="-4"/>
                <w:sz w:val="22"/>
              </w:rPr>
              <w:t>80.0</w:t>
            </w:r>
          </w:p>
        </w:tc>
      </w:tr>
      <w:tr>
        <w:trPr>
          <w:trHeight w:val="450" w:hRule="atLeast"/>
        </w:trPr>
        <w:tc>
          <w:tcPr>
            <w:tcW w:w="1122" w:type="dxa"/>
          </w:tcPr>
          <w:p>
            <w:pPr>
              <w:pStyle w:val="TableParagraph"/>
              <w:spacing w:before="71"/>
              <w:ind w:left="107"/>
              <w:rPr>
                <w:sz w:val="22"/>
              </w:rPr>
            </w:pPr>
            <w:r>
              <w:rPr>
                <w:sz w:val="22"/>
              </w:rPr>
              <w:t>SP</w:t>
            </w:r>
            <w:r>
              <w:rPr>
                <w:spacing w:val="1"/>
                <w:sz w:val="22"/>
              </w:rPr>
              <w:t> </w:t>
            </w:r>
            <w:r>
              <w:rPr>
                <w:spacing w:val="-4"/>
                <w:sz w:val="22"/>
              </w:rPr>
              <w:t>1348</w:t>
            </w:r>
          </w:p>
        </w:tc>
        <w:tc>
          <w:tcPr>
            <w:tcW w:w="809" w:type="dxa"/>
          </w:tcPr>
          <w:p>
            <w:pPr>
              <w:pStyle w:val="TableParagraph"/>
              <w:spacing w:before="71"/>
              <w:ind w:right="194"/>
              <w:jc w:val="right"/>
              <w:rPr>
                <w:sz w:val="22"/>
              </w:rPr>
            </w:pPr>
            <w:r>
              <w:rPr>
                <w:spacing w:val="-4"/>
                <w:sz w:val="22"/>
              </w:rPr>
              <w:t>25.0</w:t>
            </w:r>
          </w:p>
        </w:tc>
        <w:tc>
          <w:tcPr>
            <w:tcW w:w="806" w:type="dxa"/>
          </w:tcPr>
          <w:p>
            <w:pPr>
              <w:pStyle w:val="TableParagraph"/>
              <w:spacing w:before="71"/>
              <w:ind w:left="2" w:right="2"/>
              <w:jc w:val="center"/>
              <w:rPr>
                <w:sz w:val="22"/>
              </w:rPr>
            </w:pPr>
            <w:r>
              <w:rPr>
                <w:spacing w:val="-4"/>
                <w:sz w:val="22"/>
              </w:rPr>
              <w:t>45.0</w:t>
            </w:r>
          </w:p>
        </w:tc>
        <w:tc>
          <w:tcPr>
            <w:tcW w:w="778" w:type="dxa"/>
          </w:tcPr>
          <w:p>
            <w:pPr>
              <w:pStyle w:val="TableParagraph"/>
              <w:spacing w:before="71"/>
              <w:ind w:right="196"/>
              <w:jc w:val="right"/>
              <w:rPr>
                <w:sz w:val="22"/>
              </w:rPr>
            </w:pPr>
            <w:r>
              <w:rPr>
                <w:spacing w:val="-4"/>
                <w:sz w:val="22"/>
              </w:rPr>
              <w:t>25.0</w:t>
            </w:r>
          </w:p>
        </w:tc>
        <w:tc>
          <w:tcPr>
            <w:tcW w:w="797" w:type="dxa"/>
          </w:tcPr>
          <w:p>
            <w:pPr>
              <w:pStyle w:val="TableParagraph"/>
              <w:spacing w:before="71"/>
              <w:ind w:left="2" w:right="12"/>
              <w:jc w:val="center"/>
              <w:rPr>
                <w:sz w:val="22"/>
              </w:rPr>
            </w:pPr>
            <w:r>
              <w:rPr>
                <w:spacing w:val="-4"/>
                <w:sz w:val="22"/>
              </w:rPr>
              <w:t>45.0</w:t>
            </w:r>
          </w:p>
        </w:tc>
        <w:tc>
          <w:tcPr>
            <w:tcW w:w="797" w:type="dxa"/>
          </w:tcPr>
          <w:p>
            <w:pPr>
              <w:pStyle w:val="TableParagraph"/>
              <w:spacing w:before="71"/>
              <w:ind w:right="217"/>
              <w:jc w:val="right"/>
              <w:rPr>
                <w:sz w:val="22"/>
              </w:rPr>
            </w:pPr>
            <w:r>
              <w:rPr>
                <w:spacing w:val="-4"/>
                <w:sz w:val="22"/>
              </w:rPr>
              <w:t>25.0</w:t>
            </w:r>
          </w:p>
        </w:tc>
        <w:tc>
          <w:tcPr>
            <w:tcW w:w="845" w:type="dxa"/>
          </w:tcPr>
          <w:p>
            <w:pPr>
              <w:pStyle w:val="TableParagraph"/>
              <w:spacing w:before="71"/>
              <w:ind w:left="3" w:right="27"/>
              <w:jc w:val="center"/>
              <w:rPr>
                <w:sz w:val="22"/>
              </w:rPr>
            </w:pPr>
            <w:r>
              <w:rPr>
                <w:spacing w:val="-4"/>
                <w:sz w:val="22"/>
              </w:rPr>
              <w:t>40.0</w:t>
            </w:r>
          </w:p>
        </w:tc>
        <w:tc>
          <w:tcPr>
            <w:tcW w:w="833" w:type="dxa"/>
          </w:tcPr>
          <w:p>
            <w:pPr>
              <w:pStyle w:val="TableParagraph"/>
              <w:spacing w:before="71"/>
              <w:ind w:right="227"/>
              <w:jc w:val="right"/>
              <w:rPr>
                <w:sz w:val="22"/>
              </w:rPr>
            </w:pPr>
            <w:r>
              <w:rPr>
                <w:spacing w:val="-4"/>
                <w:sz w:val="22"/>
              </w:rPr>
              <w:t>25.0</w:t>
            </w:r>
          </w:p>
        </w:tc>
        <w:tc>
          <w:tcPr>
            <w:tcW w:w="872" w:type="dxa"/>
          </w:tcPr>
          <w:p>
            <w:pPr>
              <w:pStyle w:val="TableParagraph"/>
              <w:spacing w:before="71"/>
              <w:ind w:left="2" w:right="5"/>
              <w:jc w:val="center"/>
              <w:rPr>
                <w:sz w:val="22"/>
              </w:rPr>
            </w:pPr>
            <w:r>
              <w:rPr>
                <w:spacing w:val="-4"/>
                <w:sz w:val="22"/>
              </w:rPr>
              <w:t>45.0</w:t>
            </w:r>
          </w:p>
        </w:tc>
        <w:tc>
          <w:tcPr>
            <w:tcW w:w="831" w:type="dxa"/>
          </w:tcPr>
          <w:p>
            <w:pPr>
              <w:pStyle w:val="TableParagraph"/>
              <w:spacing w:before="71"/>
              <w:ind w:left="72" w:right="93"/>
              <w:jc w:val="center"/>
              <w:rPr>
                <w:sz w:val="22"/>
              </w:rPr>
            </w:pPr>
            <w:r>
              <w:rPr>
                <w:spacing w:val="-4"/>
                <w:sz w:val="22"/>
              </w:rPr>
              <w:t>25.0</w:t>
            </w:r>
          </w:p>
        </w:tc>
        <w:tc>
          <w:tcPr>
            <w:tcW w:w="855" w:type="dxa"/>
          </w:tcPr>
          <w:p>
            <w:pPr>
              <w:pStyle w:val="TableParagraph"/>
              <w:spacing w:before="71"/>
              <w:ind w:left="2" w:right="38"/>
              <w:jc w:val="center"/>
              <w:rPr>
                <w:sz w:val="22"/>
              </w:rPr>
            </w:pPr>
            <w:r>
              <w:rPr>
                <w:spacing w:val="-4"/>
                <w:sz w:val="22"/>
              </w:rPr>
              <w:t>50.0</w:t>
            </w:r>
          </w:p>
        </w:tc>
      </w:tr>
      <w:tr>
        <w:trPr>
          <w:trHeight w:val="450" w:hRule="atLeast"/>
        </w:trPr>
        <w:tc>
          <w:tcPr>
            <w:tcW w:w="1122" w:type="dxa"/>
          </w:tcPr>
          <w:p>
            <w:pPr>
              <w:pStyle w:val="TableParagraph"/>
              <w:spacing w:before="70"/>
              <w:ind w:left="107"/>
              <w:rPr>
                <w:sz w:val="22"/>
              </w:rPr>
            </w:pPr>
            <w:r>
              <w:rPr>
                <w:sz w:val="22"/>
              </w:rPr>
              <w:t>SP</w:t>
            </w:r>
            <w:r>
              <w:rPr>
                <w:spacing w:val="1"/>
                <w:sz w:val="22"/>
              </w:rPr>
              <w:t> </w:t>
            </w:r>
            <w:r>
              <w:rPr>
                <w:spacing w:val="-4"/>
                <w:sz w:val="22"/>
              </w:rPr>
              <w:t>1386</w:t>
            </w:r>
          </w:p>
        </w:tc>
        <w:tc>
          <w:tcPr>
            <w:tcW w:w="809" w:type="dxa"/>
          </w:tcPr>
          <w:p>
            <w:pPr>
              <w:pStyle w:val="TableParagraph"/>
              <w:spacing w:before="70"/>
              <w:ind w:right="194"/>
              <w:jc w:val="right"/>
              <w:rPr>
                <w:sz w:val="22"/>
              </w:rPr>
            </w:pPr>
            <w:r>
              <w:rPr>
                <w:spacing w:val="-4"/>
                <w:sz w:val="22"/>
              </w:rPr>
              <w:t>15.0</w:t>
            </w:r>
          </w:p>
        </w:tc>
        <w:tc>
          <w:tcPr>
            <w:tcW w:w="806" w:type="dxa"/>
          </w:tcPr>
          <w:p>
            <w:pPr>
              <w:pStyle w:val="TableParagraph"/>
              <w:spacing w:before="70"/>
              <w:ind w:left="2" w:right="2"/>
              <w:jc w:val="center"/>
              <w:rPr>
                <w:sz w:val="22"/>
              </w:rPr>
            </w:pPr>
            <w:r>
              <w:rPr>
                <w:spacing w:val="-4"/>
                <w:sz w:val="22"/>
              </w:rPr>
              <w:t>25.0</w:t>
            </w:r>
          </w:p>
        </w:tc>
        <w:tc>
          <w:tcPr>
            <w:tcW w:w="778" w:type="dxa"/>
          </w:tcPr>
          <w:p>
            <w:pPr>
              <w:pStyle w:val="TableParagraph"/>
              <w:spacing w:before="70"/>
              <w:ind w:right="196"/>
              <w:jc w:val="right"/>
              <w:rPr>
                <w:sz w:val="22"/>
              </w:rPr>
            </w:pPr>
            <w:r>
              <w:rPr>
                <w:spacing w:val="-4"/>
                <w:sz w:val="22"/>
              </w:rPr>
              <w:t>17.5</w:t>
            </w:r>
          </w:p>
        </w:tc>
        <w:tc>
          <w:tcPr>
            <w:tcW w:w="797" w:type="dxa"/>
          </w:tcPr>
          <w:p>
            <w:pPr>
              <w:pStyle w:val="TableParagraph"/>
              <w:spacing w:before="70"/>
              <w:ind w:left="2" w:right="12"/>
              <w:jc w:val="center"/>
              <w:rPr>
                <w:sz w:val="22"/>
              </w:rPr>
            </w:pPr>
            <w:r>
              <w:rPr>
                <w:spacing w:val="-4"/>
                <w:sz w:val="22"/>
              </w:rPr>
              <w:t>25.0</w:t>
            </w:r>
          </w:p>
        </w:tc>
        <w:tc>
          <w:tcPr>
            <w:tcW w:w="797" w:type="dxa"/>
          </w:tcPr>
          <w:p>
            <w:pPr>
              <w:pStyle w:val="TableParagraph"/>
              <w:spacing w:before="70"/>
              <w:ind w:right="217"/>
              <w:jc w:val="right"/>
              <w:rPr>
                <w:sz w:val="22"/>
              </w:rPr>
            </w:pPr>
            <w:r>
              <w:rPr>
                <w:spacing w:val="-4"/>
                <w:sz w:val="22"/>
              </w:rPr>
              <w:t>22.5</w:t>
            </w:r>
          </w:p>
        </w:tc>
        <w:tc>
          <w:tcPr>
            <w:tcW w:w="845" w:type="dxa"/>
          </w:tcPr>
          <w:p>
            <w:pPr>
              <w:pStyle w:val="TableParagraph"/>
              <w:spacing w:before="70"/>
              <w:ind w:left="3" w:right="27"/>
              <w:jc w:val="center"/>
              <w:rPr>
                <w:sz w:val="22"/>
              </w:rPr>
            </w:pPr>
            <w:r>
              <w:rPr>
                <w:spacing w:val="-4"/>
                <w:sz w:val="22"/>
              </w:rPr>
              <w:t>40.0</w:t>
            </w:r>
          </w:p>
        </w:tc>
        <w:tc>
          <w:tcPr>
            <w:tcW w:w="833" w:type="dxa"/>
          </w:tcPr>
          <w:p>
            <w:pPr>
              <w:pStyle w:val="TableParagraph"/>
              <w:spacing w:before="70"/>
              <w:ind w:right="227"/>
              <w:jc w:val="right"/>
              <w:rPr>
                <w:sz w:val="22"/>
              </w:rPr>
            </w:pPr>
            <w:r>
              <w:rPr>
                <w:spacing w:val="-4"/>
                <w:sz w:val="22"/>
              </w:rPr>
              <w:t>25.0</w:t>
            </w:r>
          </w:p>
        </w:tc>
        <w:tc>
          <w:tcPr>
            <w:tcW w:w="872" w:type="dxa"/>
          </w:tcPr>
          <w:p>
            <w:pPr>
              <w:pStyle w:val="TableParagraph"/>
              <w:spacing w:before="70"/>
              <w:ind w:left="2" w:right="5"/>
              <w:jc w:val="center"/>
              <w:rPr>
                <w:sz w:val="22"/>
              </w:rPr>
            </w:pPr>
            <w:r>
              <w:rPr>
                <w:spacing w:val="-4"/>
                <w:sz w:val="22"/>
              </w:rPr>
              <w:t>50.0</w:t>
            </w:r>
          </w:p>
        </w:tc>
        <w:tc>
          <w:tcPr>
            <w:tcW w:w="831" w:type="dxa"/>
          </w:tcPr>
          <w:p>
            <w:pPr>
              <w:pStyle w:val="TableParagraph"/>
              <w:spacing w:before="70"/>
              <w:ind w:left="72" w:right="93"/>
              <w:jc w:val="center"/>
              <w:rPr>
                <w:sz w:val="22"/>
              </w:rPr>
            </w:pPr>
            <w:r>
              <w:rPr>
                <w:spacing w:val="-4"/>
                <w:sz w:val="22"/>
              </w:rPr>
              <w:t>22.5</w:t>
            </w:r>
          </w:p>
        </w:tc>
        <w:tc>
          <w:tcPr>
            <w:tcW w:w="855" w:type="dxa"/>
          </w:tcPr>
          <w:p>
            <w:pPr>
              <w:pStyle w:val="TableParagraph"/>
              <w:spacing w:before="70"/>
              <w:ind w:left="2" w:right="38"/>
              <w:jc w:val="center"/>
              <w:rPr>
                <w:sz w:val="22"/>
              </w:rPr>
            </w:pPr>
            <w:r>
              <w:rPr>
                <w:spacing w:val="-4"/>
                <w:sz w:val="22"/>
              </w:rPr>
              <w:t>40.0</w:t>
            </w:r>
          </w:p>
        </w:tc>
      </w:tr>
      <w:tr>
        <w:trPr>
          <w:trHeight w:val="450" w:hRule="atLeast"/>
        </w:trPr>
        <w:tc>
          <w:tcPr>
            <w:tcW w:w="1122" w:type="dxa"/>
          </w:tcPr>
          <w:p>
            <w:pPr>
              <w:pStyle w:val="TableParagraph"/>
              <w:spacing w:before="71"/>
              <w:ind w:left="107"/>
              <w:rPr>
                <w:sz w:val="22"/>
              </w:rPr>
            </w:pPr>
            <w:r>
              <w:rPr>
                <w:sz w:val="22"/>
              </w:rPr>
              <w:t>SP</w:t>
            </w:r>
            <w:r>
              <w:rPr>
                <w:spacing w:val="1"/>
                <w:sz w:val="22"/>
              </w:rPr>
              <w:t> </w:t>
            </w:r>
            <w:r>
              <w:rPr>
                <w:spacing w:val="-4"/>
                <w:sz w:val="22"/>
              </w:rPr>
              <w:t>1715</w:t>
            </w:r>
          </w:p>
        </w:tc>
        <w:tc>
          <w:tcPr>
            <w:tcW w:w="809" w:type="dxa"/>
          </w:tcPr>
          <w:p>
            <w:pPr>
              <w:pStyle w:val="TableParagraph"/>
              <w:spacing w:before="71"/>
              <w:ind w:right="194"/>
              <w:jc w:val="right"/>
              <w:rPr>
                <w:sz w:val="22"/>
              </w:rPr>
            </w:pPr>
            <w:r>
              <w:rPr>
                <w:spacing w:val="-4"/>
                <w:sz w:val="22"/>
              </w:rPr>
              <w:t>17.5</w:t>
            </w:r>
          </w:p>
        </w:tc>
        <w:tc>
          <w:tcPr>
            <w:tcW w:w="806" w:type="dxa"/>
          </w:tcPr>
          <w:p>
            <w:pPr>
              <w:pStyle w:val="TableParagraph"/>
              <w:spacing w:before="71"/>
              <w:ind w:left="2" w:right="2"/>
              <w:jc w:val="center"/>
              <w:rPr>
                <w:sz w:val="22"/>
              </w:rPr>
            </w:pPr>
            <w:r>
              <w:rPr>
                <w:spacing w:val="-4"/>
                <w:sz w:val="22"/>
              </w:rPr>
              <w:t>25.0</w:t>
            </w:r>
          </w:p>
        </w:tc>
        <w:tc>
          <w:tcPr>
            <w:tcW w:w="778" w:type="dxa"/>
          </w:tcPr>
          <w:p>
            <w:pPr>
              <w:pStyle w:val="TableParagraph"/>
              <w:spacing w:before="71"/>
              <w:ind w:right="196"/>
              <w:jc w:val="right"/>
              <w:rPr>
                <w:sz w:val="22"/>
              </w:rPr>
            </w:pPr>
            <w:r>
              <w:rPr>
                <w:spacing w:val="-4"/>
                <w:sz w:val="22"/>
              </w:rPr>
              <w:t>20.0</w:t>
            </w:r>
          </w:p>
        </w:tc>
        <w:tc>
          <w:tcPr>
            <w:tcW w:w="797" w:type="dxa"/>
          </w:tcPr>
          <w:p>
            <w:pPr>
              <w:pStyle w:val="TableParagraph"/>
              <w:spacing w:before="71"/>
              <w:ind w:left="2" w:right="12"/>
              <w:jc w:val="center"/>
              <w:rPr>
                <w:sz w:val="22"/>
              </w:rPr>
            </w:pPr>
            <w:r>
              <w:rPr>
                <w:spacing w:val="-4"/>
                <w:sz w:val="22"/>
              </w:rPr>
              <w:t>35.0</w:t>
            </w:r>
          </w:p>
        </w:tc>
        <w:tc>
          <w:tcPr>
            <w:tcW w:w="797" w:type="dxa"/>
          </w:tcPr>
          <w:p>
            <w:pPr>
              <w:pStyle w:val="TableParagraph"/>
              <w:spacing w:before="71"/>
              <w:ind w:right="217"/>
              <w:jc w:val="right"/>
              <w:rPr>
                <w:sz w:val="22"/>
              </w:rPr>
            </w:pPr>
            <w:r>
              <w:rPr>
                <w:spacing w:val="-4"/>
                <w:sz w:val="22"/>
              </w:rPr>
              <w:t>30.0</w:t>
            </w:r>
          </w:p>
        </w:tc>
        <w:tc>
          <w:tcPr>
            <w:tcW w:w="845" w:type="dxa"/>
          </w:tcPr>
          <w:p>
            <w:pPr>
              <w:pStyle w:val="TableParagraph"/>
              <w:spacing w:before="71"/>
              <w:ind w:left="3" w:right="27"/>
              <w:jc w:val="center"/>
              <w:rPr>
                <w:sz w:val="22"/>
              </w:rPr>
            </w:pPr>
            <w:r>
              <w:rPr>
                <w:spacing w:val="-4"/>
                <w:sz w:val="22"/>
              </w:rPr>
              <w:t>50.0</w:t>
            </w:r>
          </w:p>
        </w:tc>
        <w:tc>
          <w:tcPr>
            <w:tcW w:w="833" w:type="dxa"/>
          </w:tcPr>
          <w:p>
            <w:pPr>
              <w:pStyle w:val="TableParagraph"/>
              <w:spacing w:before="71"/>
              <w:ind w:right="227"/>
              <w:jc w:val="right"/>
              <w:rPr>
                <w:sz w:val="22"/>
              </w:rPr>
            </w:pPr>
            <w:r>
              <w:rPr>
                <w:spacing w:val="-4"/>
                <w:sz w:val="22"/>
              </w:rPr>
              <w:t>30.0</w:t>
            </w:r>
          </w:p>
        </w:tc>
        <w:tc>
          <w:tcPr>
            <w:tcW w:w="872" w:type="dxa"/>
          </w:tcPr>
          <w:p>
            <w:pPr>
              <w:pStyle w:val="TableParagraph"/>
              <w:spacing w:before="71"/>
              <w:ind w:left="2" w:right="5"/>
              <w:jc w:val="center"/>
              <w:rPr>
                <w:sz w:val="22"/>
              </w:rPr>
            </w:pPr>
            <w:r>
              <w:rPr>
                <w:spacing w:val="-4"/>
                <w:sz w:val="22"/>
              </w:rPr>
              <w:t>60.0</w:t>
            </w:r>
          </w:p>
        </w:tc>
        <w:tc>
          <w:tcPr>
            <w:tcW w:w="831" w:type="dxa"/>
          </w:tcPr>
          <w:p>
            <w:pPr>
              <w:pStyle w:val="TableParagraph"/>
              <w:spacing w:before="71"/>
              <w:ind w:left="72" w:right="93"/>
              <w:jc w:val="center"/>
              <w:rPr>
                <w:sz w:val="22"/>
              </w:rPr>
            </w:pPr>
            <w:r>
              <w:rPr>
                <w:spacing w:val="-4"/>
                <w:sz w:val="22"/>
              </w:rPr>
              <w:t>35.0</w:t>
            </w:r>
          </w:p>
        </w:tc>
        <w:tc>
          <w:tcPr>
            <w:tcW w:w="855" w:type="dxa"/>
          </w:tcPr>
          <w:p>
            <w:pPr>
              <w:pStyle w:val="TableParagraph"/>
              <w:spacing w:before="71"/>
              <w:ind w:left="2" w:right="38"/>
              <w:jc w:val="center"/>
              <w:rPr>
                <w:sz w:val="22"/>
              </w:rPr>
            </w:pPr>
            <w:r>
              <w:rPr>
                <w:spacing w:val="-4"/>
                <w:sz w:val="22"/>
              </w:rPr>
              <w:t>50.0</w:t>
            </w:r>
          </w:p>
        </w:tc>
      </w:tr>
      <w:tr>
        <w:trPr>
          <w:trHeight w:val="449" w:hRule="atLeast"/>
        </w:trPr>
        <w:tc>
          <w:tcPr>
            <w:tcW w:w="1122" w:type="dxa"/>
          </w:tcPr>
          <w:p>
            <w:pPr>
              <w:pStyle w:val="TableParagraph"/>
              <w:spacing w:before="70"/>
              <w:ind w:left="107"/>
              <w:rPr>
                <w:sz w:val="22"/>
              </w:rPr>
            </w:pPr>
            <w:r>
              <w:rPr>
                <w:sz w:val="22"/>
              </w:rPr>
              <w:t>SP</w:t>
            </w:r>
            <w:r>
              <w:rPr>
                <w:spacing w:val="1"/>
                <w:sz w:val="22"/>
              </w:rPr>
              <w:t> </w:t>
            </w:r>
            <w:r>
              <w:rPr>
                <w:spacing w:val="-5"/>
                <w:sz w:val="22"/>
              </w:rPr>
              <w:t>224</w:t>
            </w:r>
          </w:p>
        </w:tc>
        <w:tc>
          <w:tcPr>
            <w:tcW w:w="809" w:type="dxa"/>
          </w:tcPr>
          <w:p>
            <w:pPr>
              <w:pStyle w:val="TableParagraph"/>
              <w:spacing w:before="70"/>
              <w:ind w:right="194"/>
              <w:jc w:val="right"/>
              <w:rPr>
                <w:sz w:val="22"/>
              </w:rPr>
            </w:pPr>
            <w:r>
              <w:rPr>
                <w:spacing w:val="-4"/>
                <w:sz w:val="22"/>
              </w:rPr>
              <w:t>17.5</w:t>
            </w:r>
          </w:p>
        </w:tc>
        <w:tc>
          <w:tcPr>
            <w:tcW w:w="806" w:type="dxa"/>
          </w:tcPr>
          <w:p>
            <w:pPr>
              <w:pStyle w:val="TableParagraph"/>
              <w:spacing w:before="70"/>
              <w:ind w:left="2" w:right="2"/>
              <w:jc w:val="center"/>
              <w:rPr>
                <w:sz w:val="22"/>
              </w:rPr>
            </w:pPr>
            <w:r>
              <w:rPr>
                <w:spacing w:val="-4"/>
                <w:sz w:val="22"/>
              </w:rPr>
              <w:t>25.0</w:t>
            </w:r>
          </w:p>
        </w:tc>
        <w:tc>
          <w:tcPr>
            <w:tcW w:w="778" w:type="dxa"/>
          </w:tcPr>
          <w:p>
            <w:pPr>
              <w:pStyle w:val="TableParagraph"/>
              <w:spacing w:before="70"/>
              <w:ind w:right="196"/>
              <w:jc w:val="right"/>
              <w:rPr>
                <w:sz w:val="22"/>
              </w:rPr>
            </w:pPr>
            <w:r>
              <w:rPr>
                <w:spacing w:val="-4"/>
                <w:sz w:val="22"/>
              </w:rPr>
              <w:t>20.0</w:t>
            </w:r>
          </w:p>
        </w:tc>
        <w:tc>
          <w:tcPr>
            <w:tcW w:w="797" w:type="dxa"/>
          </w:tcPr>
          <w:p>
            <w:pPr>
              <w:pStyle w:val="TableParagraph"/>
              <w:spacing w:before="70"/>
              <w:ind w:left="2" w:right="12"/>
              <w:jc w:val="center"/>
              <w:rPr>
                <w:sz w:val="22"/>
              </w:rPr>
            </w:pPr>
            <w:r>
              <w:rPr>
                <w:spacing w:val="-4"/>
                <w:sz w:val="22"/>
              </w:rPr>
              <w:t>30.0</w:t>
            </w:r>
          </w:p>
        </w:tc>
        <w:tc>
          <w:tcPr>
            <w:tcW w:w="797" w:type="dxa"/>
          </w:tcPr>
          <w:p>
            <w:pPr>
              <w:pStyle w:val="TableParagraph"/>
              <w:spacing w:before="70"/>
              <w:ind w:right="217"/>
              <w:jc w:val="right"/>
              <w:rPr>
                <w:sz w:val="22"/>
              </w:rPr>
            </w:pPr>
            <w:r>
              <w:rPr>
                <w:spacing w:val="-4"/>
                <w:sz w:val="22"/>
              </w:rPr>
              <w:t>30.0</w:t>
            </w:r>
          </w:p>
        </w:tc>
        <w:tc>
          <w:tcPr>
            <w:tcW w:w="845" w:type="dxa"/>
          </w:tcPr>
          <w:p>
            <w:pPr>
              <w:pStyle w:val="TableParagraph"/>
              <w:spacing w:before="70"/>
              <w:ind w:left="3" w:right="27"/>
              <w:jc w:val="center"/>
              <w:rPr>
                <w:sz w:val="22"/>
              </w:rPr>
            </w:pPr>
            <w:r>
              <w:rPr>
                <w:spacing w:val="-4"/>
                <w:sz w:val="22"/>
              </w:rPr>
              <w:t>45.0</w:t>
            </w:r>
          </w:p>
        </w:tc>
        <w:tc>
          <w:tcPr>
            <w:tcW w:w="833" w:type="dxa"/>
          </w:tcPr>
          <w:p>
            <w:pPr>
              <w:pStyle w:val="TableParagraph"/>
              <w:spacing w:before="70"/>
              <w:ind w:right="227"/>
              <w:jc w:val="right"/>
              <w:rPr>
                <w:sz w:val="22"/>
              </w:rPr>
            </w:pPr>
            <w:r>
              <w:rPr>
                <w:spacing w:val="-4"/>
                <w:sz w:val="22"/>
              </w:rPr>
              <w:t>30.0</w:t>
            </w:r>
          </w:p>
        </w:tc>
        <w:tc>
          <w:tcPr>
            <w:tcW w:w="872" w:type="dxa"/>
          </w:tcPr>
          <w:p>
            <w:pPr>
              <w:pStyle w:val="TableParagraph"/>
              <w:spacing w:before="70"/>
              <w:ind w:left="2" w:right="5"/>
              <w:jc w:val="center"/>
              <w:rPr>
                <w:sz w:val="22"/>
              </w:rPr>
            </w:pPr>
            <w:r>
              <w:rPr>
                <w:spacing w:val="-4"/>
                <w:sz w:val="22"/>
              </w:rPr>
              <w:t>50.0</w:t>
            </w:r>
          </w:p>
        </w:tc>
        <w:tc>
          <w:tcPr>
            <w:tcW w:w="831" w:type="dxa"/>
          </w:tcPr>
          <w:p>
            <w:pPr>
              <w:pStyle w:val="TableParagraph"/>
              <w:spacing w:before="70"/>
              <w:ind w:left="72" w:right="93"/>
              <w:jc w:val="center"/>
              <w:rPr>
                <w:sz w:val="22"/>
              </w:rPr>
            </w:pPr>
            <w:r>
              <w:rPr>
                <w:spacing w:val="-4"/>
                <w:sz w:val="22"/>
              </w:rPr>
              <w:t>17.5</w:t>
            </w:r>
          </w:p>
        </w:tc>
        <w:tc>
          <w:tcPr>
            <w:tcW w:w="855" w:type="dxa"/>
          </w:tcPr>
          <w:p>
            <w:pPr>
              <w:pStyle w:val="TableParagraph"/>
              <w:spacing w:before="70"/>
              <w:ind w:left="2" w:right="38"/>
              <w:jc w:val="center"/>
              <w:rPr>
                <w:sz w:val="22"/>
              </w:rPr>
            </w:pPr>
            <w:r>
              <w:rPr>
                <w:spacing w:val="-4"/>
                <w:sz w:val="22"/>
              </w:rPr>
              <w:t>25.0</w:t>
            </w:r>
          </w:p>
        </w:tc>
      </w:tr>
      <w:tr>
        <w:trPr>
          <w:trHeight w:val="335" w:hRule="atLeast"/>
        </w:trPr>
        <w:tc>
          <w:tcPr>
            <w:tcW w:w="1122" w:type="dxa"/>
          </w:tcPr>
          <w:p>
            <w:pPr>
              <w:pStyle w:val="TableParagraph"/>
              <w:spacing w:line="245" w:lineRule="exact" w:before="70"/>
              <w:ind w:left="107"/>
              <w:rPr>
                <w:sz w:val="22"/>
              </w:rPr>
            </w:pPr>
            <w:r>
              <w:rPr>
                <w:sz w:val="22"/>
              </w:rPr>
              <w:t>SP</w:t>
            </w:r>
            <w:r>
              <w:rPr>
                <w:spacing w:val="1"/>
                <w:sz w:val="22"/>
              </w:rPr>
              <w:t> </w:t>
            </w:r>
            <w:r>
              <w:rPr>
                <w:spacing w:val="-5"/>
                <w:sz w:val="22"/>
              </w:rPr>
              <w:t>229</w:t>
            </w:r>
          </w:p>
        </w:tc>
        <w:tc>
          <w:tcPr>
            <w:tcW w:w="809" w:type="dxa"/>
          </w:tcPr>
          <w:p>
            <w:pPr>
              <w:pStyle w:val="TableParagraph"/>
              <w:spacing w:line="245" w:lineRule="exact" w:before="70"/>
              <w:ind w:right="194"/>
              <w:jc w:val="right"/>
              <w:rPr>
                <w:sz w:val="22"/>
              </w:rPr>
            </w:pPr>
            <w:r>
              <w:rPr>
                <w:spacing w:val="-4"/>
                <w:sz w:val="22"/>
              </w:rPr>
              <w:t>15.0</w:t>
            </w:r>
          </w:p>
        </w:tc>
        <w:tc>
          <w:tcPr>
            <w:tcW w:w="806" w:type="dxa"/>
          </w:tcPr>
          <w:p>
            <w:pPr>
              <w:pStyle w:val="TableParagraph"/>
              <w:spacing w:line="245" w:lineRule="exact" w:before="70"/>
              <w:ind w:left="2" w:right="2"/>
              <w:jc w:val="center"/>
              <w:rPr>
                <w:sz w:val="22"/>
              </w:rPr>
            </w:pPr>
            <w:r>
              <w:rPr>
                <w:spacing w:val="-4"/>
                <w:sz w:val="22"/>
              </w:rPr>
              <w:t>25.0</w:t>
            </w:r>
          </w:p>
        </w:tc>
        <w:tc>
          <w:tcPr>
            <w:tcW w:w="778" w:type="dxa"/>
          </w:tcPr>
          <w:p>
            <w:pPr>
              <w:pStyle w:val="TableParagraph"/>
              <w:spacing w:line="245" w:lineRule="exact" w:before="70"/>
              <w:ind w:right="196"/>
              <w:jc w:val="right"/>
              <w:rPr>
                <w:sz w:val="22"/>
              </w:rPr>
            </w:pPr>
            <w:r>
              <w:rPr>
                <w:spacing w:val="-4"/>
                <w:sz w:val="22"/>
              </w:rPr>
              <w:t>17.5</w:t>
            </w:r>
          </w:p>
        </w:tc>
        <w:tc>
          <w:tcPr>
            <w:tcW w:w="797" w:type="dxa"/>
          </w:tcPr>
          <w:p>
            <w:pPr>
              <w:pStyle w:val="TableParagraph"/>
              <w:spacing w:line="245" w:lineRule="exact" w:before="70"/>
              <w:ind w:left="2" w:right="12"/>
              <w:jc w:val="center"/>
              <w:rPr>
                <w:sz w:val="22"/>
              </w:rPr>
            </w:pPr>
            <w:r>
              <w:rPr>
                <w:spacing w:val="-4"/>
                <w:sz w:val="22"/>
              </w:rPr>
              <w:t>25.0</w:t>
            </w:r>
          </w:p>
        </w:tc>
        <w:tc>
          <w:tcPr>
            <w:tcW w:w="797" w:type="dxa"/>
          </w:tcPr>
          <w:p>
            <w:pPr>
              <w:pStyle w:val="TableParagraph"/>
              <w:spacing w:line="245" w:lineRule="exact" w:before="70"/>
              <w:ind w:right="217"/>
              <w:jc w:val="right"/>
              <w:rPr>
                <w:sz w:val="22"/>
              </w:rPr>
            </w:pPr>
            <w:r>
              <w:rPr>
                <w:spacing w:val="-4"/>
                <w:sz w:val="22"/>
              </w:rPr>
              <w:t>20.0</w:t>
            </w:r>
          </w:p>
        </w:tc>
        <w:tc>
          <w:tcPr>
            <w:tcW w:w="845" w:type="dxa"/>
          </w:tcPr>
          <w:p>
            <w:pPr>
              <w:pStyle w:val="TableParagraph"/>
              <w:spacing w:line="245" w:lineRule="exact" w:before="70"/>
              <w:ind w:left="3" w:right="27"/>
              <w:jc w:val="center"/>
              <w:rPr>
                <w:sz w:val="22"/>
              </w:rPr>
            </w:pPr>
            <w:r>
              <w:rPr>
                <w:spacing w:val="-4"/>
                <w:sz w:val="22"/>
              </w:rPr>
              <w:t>40.0</w:t>
            </w:r>
          </w:p>
        </w:tc>
        <w:tc>
          <w:tcPr>
            <w:tcW w:w="833" w:type="dxa"/>
          </w:tcPr>
          <w:p>
            <w:pPr>
              <w:pStyle w:val="TableParagraph"/>
              <w:spacing w:line="245" w:lineRule="exact" w:before="70"/>
              <w:ind w:right="227"/>
              <w:jc w:val="right"/>
              <w:rPr>
                <w:sz w:val="22"/>
              </w:rPr>
            </w:pPr>
            <w:r>
              <w:rPr>
                <w:spacing w:val="-4"/>
                <w:sz w:val="22"/>
              </w:rPr>
              <w:t>25.0</w:t>
            </w:r>
          </w:p>
        </w:tc>
        <w:tc>
          <w:tcPr>
            <w:tcW w:w="872" w:type="dxa"/>
          </w:tcPr>
          <w:p>
            <w:pPr>
              <w:pStyle w:val="TableParagraph"/>
              <w:spacing w:line="245" w:lineRule="exact" w:before="70"/>
              <w:ind w:left="2" w:right="5"/>
              <w:jc w:val="center"/>
              <w:rPr>
                <w:sz w:val="22"/>
              </w:rPr>
            </w:pPr>
            <w:r>
              <w:rPr>
                <w:spacing w:val="-4"/>
                <w:sz w:val="22"/>
              </w:rPr>
              <w:t>40.0</w:t>
            </w:r>
          </w:p>
        </w:tc>
        <w:tc>
          <w:tcPr>
            <w:tcW w:w="831" w:type="dxa"/>
          </w:tcPr>
          <w:p>
            <w:pPr>
              <w:pStyle w:val="TableParagraph"/>
              <w:spacing w:line="245" w:lineRule="exact" w:before="70"/>
              <w:ind w:left="72" w:right="93"/>
              <w:jc w:val="center"/>
              <w:rPr>
                <w:sz w:val="22"/>
              </w:rPr>
            </w:pPr>
            <w:r>
              <w:rPr>
                <w:spacing w:val="-4"/>
                <w:sz w:val="22"/>
              </w:rPr>
              <w:t>25.0</w:t>
            </w:r>
          </w:p>
        </w:tc>
        <w:tc>
          <w:tcPr>
            <w:tcW w:w="855" w:type="dxa"/>
          </w:tcPr>
          <w:p>
            <w:pPr>
              <w:pStyle w:val="TableParagraph"/>
              <w:spacing w:line="245" w:lineRule="exact" w:before="70"/>
              <w:ind w:left="2" w:right="38"/>
              <w:jc w:val="center"/>
              <w:rPr>
                <w:sz w:val="22"/>
              </w:rPr>
            </w:pPr>
            <w:r>
              <w:rPr>
                <w:spacing w:val="-4"/>
                <w:sz w:val="22"/>
              </w:rPr>
              <w:t>50.0</w:t>
            </w:r>
          </w:p>
        </w:tc>
      </w:tr>
    </w:tbl>
    <w:p>
      <w:pPr>
        <w:spacing w:after="0" w:line="245" w:lineRule="exact"/>
        <w:jc w:val="center"/>
        <w:rPr>
          <w:sz w:val="22"/>
        </w:rPr>
        <w:sectPr>
          <w:pgSz w:w="11910" w:h="16840"/>
          <w:pgMar w:header="0" w:footer="1055" w:top="1920" w:bottom="1634" w:left="1060" w:right="460"/>
        </w:sect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1"/>
        <w:gridCol w:w="858"/>
        <w:gridCol w:w="791"/>
        <w:gridCol w:w="787"/>
        <w:gridCol w:w="786"/>
        <w:gridCol w:w="805"/>
        <w:gridCol w:w="834"/>
        <w:gridCol w:w="851"/>
        <w:gridCol w:w="851"/>
        <w:gridCol w:w="839"/>
        <w:gridCol w:w="853"/>
      </w:tblGrid>
      <w:tr>
        <w:trPr>
          <w:trHeight w:val="335" w:hRule="atLeast"/>
        </w:trPr>
        <w:tc>
          <w:tcPr>
            <w:tcW w:w="1091" w:type="dxa"/>
          </w:tcPr>
          <w:p>
            <w:pPr>
              <w:pStyle w:val="TableParagraph"/>
              <w:spacing w:line="225" w:lineRule="exact"/>
              <w:ind w:left="122"/>
              <w:rPr>
                <w:sz w:val="22"/>
              </w:rPr>
            </w:pPr>
            <w:r>
              <w:rPr>
                <w:sz w:val="22"/>
              </w:rPr>
              <w:t>SP</w:t>
            </w:r>
            <w:r>
              <w:rPr>
                <w:spacing w:val="1"/>
                <w:sz w:val="22"/>
              </w:rPr>
              <w:t> </w:t>
            </w:r>
            <w:r>
              <w:rPr>
                <w:spacing w:val="-5"/>
                <w:sz w:val="22"/>
              </w:rPr>
              <w:t>270</w:t>
            </w:r>
          </w:p>
        </w:tc>
        <w:tc>
          <w:tcPr>
            <w:tcW w:w="858" w:type="dxa"/>
          </w:tcPr>
          <w:p>
            <w:pPr>
              <w:pStyle w:val="TableParagraph"/>
              <w:spacing w:line="225" w:lineRule="exact"/>
              <w:ind w:left="151" w:right="87"/>
              <w:jc w:val="center"/>
              <w:rPr>
                <w:sz w:val="22"/>
              </w:rPr>
            </w:pPr>
            <w:r>
              <w:rPr>
                <w:spacing w:val="-4"/>
                <w:sz w:val="22"/>
              </w:rPr>
              <w:t>15.0</w:t>
            </w:r>
          </w:p>
        </w:tc>
        <w:tc>
          <w:tcPr>
            <w:tcW w:w="791" w:type="dxa"/>
          </w:tcPr>
          <w:p>
            <w:pPr>
              <w:pStyle w:val="TableParagraph"/>
              <w:spacing w:line="225" w:lineRule="exact"/>
              <w:ind w:left="92" w:right="87"/>
              <w:jc w:val="center"/>
              <w:rPr>
                <w:sz w:val="22"/>
              </w:rPr>
            </w:pPr>
            <w:r>
              <w:rPr>
                <w:spacing w:val="-4"/>
                <w:sz w:val="22"/>
              </w:rPr>
              <w:t>25.0</w:t>
            </w:r>
          </w:p>
        </w:tc>
        <w:tc>
          <w:tcPr>
            <w:tcW w:w="787" w:type="dxa"/>
          </w:tcPr>
          <w:p>
            <w:pPr>
              <w:pStyle w:val="TableParagraph"/>
              <w:spacing w:line="225" w:lineRule="exact"/>
              <w:ind w:left="2"/>
              <w:jc w:val="center"/>
              <w:rPr>
                <w:sz w:val="22"/>
              </w:rPr>
            </w:pPr>
            <w:r>
              <w:rPr>
                <w:spacing w:val="-4"/>
                <w:sz w:val="22"/>
              </w:rPr>
              <w:t>17.5</w:t>
            </w:r>
          </w:p>
        </w:tc>
        <w:tc>
          <w:tcPr>
            <w:tcW w:w="786" w:type="dxa"/>
          </w:tcPr>
          <w:p>
            <w:pPr>
              <w:pStyle w:val="TableParagraph"/>
              <w:spacing w:line="225" w:lineRule="exact"/>
              <w:ind w:left="3"/>
              <w:jc w:val="center"/>
              <w:rPr>
                <w:sz w:val="22"/>
              </w:rPr>
            </w:pPr>
            <w:r>
              <w:rPr>
                <w:spacing w:val="-4"/>
                <w:sz w:val="22"/>
              </w:rPr>
              <w:t>25.0</w:t>
            </w:r>
          </w:p>
        </w:tc>
        <w:tc>
          <w:tcPr>
            <w:tcW w:w="805" w:type="dxa"/>
          </w:tcPr>
          <w:p>
            <w:pPr>
              <w:pStyle w:val="TableParagraph"/>
              <w:spacing w:line="225" w:lineRule="exact"/>
              <w:ind w:right="15"/>
              <w:jc w:val="center"/>
              <w:rPr>
                <w:sz w:val="22"/>
              </w:rPr>
            </w:pPr>
            <w:r>
              <w:rPr>
                <w:spacing w:val="-4"/>
                <w:sz w:val="22"/>
              </w:rPr>
              <w:t>20.0</w:t>
            </w:r>
          </w:p>
        </w:tc>
        <w:tc>
          <w:tcPr>
            <w:tcW w:w="834" w:type="dxa"/>
          </w:tcPr>
          <w:p>
            <w:pPr>
              <w:pStyle w:val="TableParagraph"/>
              <w:spacing w:line="225" w:lineRule="exact"/>
              <w:ind w:left="4" w:right="6"/>
              <w:jc w:val="center"/>
              <w:rPr>
                <w:sz w:val="22"/>
              </w:rPr>
            </w:pPr>
            <w:r>
              <w:rPr>
                <w:spacing w:val="-4"/>
                <w:sz w:val="22"/>
              </w:rPr>
              <w:t>40.0</w:t>
            </w:r>
          </w:p>
        </w:tc>
        <w:tc>
          <w:tcPr>
            <w:tcW w:w="851" w:type="dxa"/>
          </w:tcPr>
          <w:p>
            <w:pPr>
              <w:pStyle w:val="TableParagraph"/>
              <w:spacing w:line="225" w:lineRule="exact"/>
              <w:ind w:left="12" w:right="15"/>
              <w:jc w:val="center"/>
              <w:rPr>
                <w:sz w:val="22"/>
              </w:rPr>
            </w:pPr>
            <w:r>
              <w:rPr>
                <w:spacing w:val="-4"/>
                <w:sz w:val="22"/>
              </w:rPr>
              <w:t>25.0</w:t>
            </w:r>
          </w:p>
        </w:tc>
        <w:tc>
          <w:tcPr>
            <w:tcW w:w="851" w:type="dxa"/>
          </w:tcPr>
          <w:p>
            <w:pPr>
              <w:pStyle w:val="TableParagraph"/>
              <w:spacing w:line="225" w:lineRule="exact"/>
              <w:ind w:left="17" w:right="5"/>
              <w:jc w:val="center"/>
              <w:rPr>
                <w:sz w:val="22"/>
              </w:rPr>
            </w:pPr>
            <w:r>
              <w:rPr>
                <w:spacing w:val="-4"/>
                <w:sz w:val="22"/>
              </w:rPr>
              <w:t>40.0</w:t>
            </w:r>
          </w:p>
        </w:tc>
        <w:tc>
          <w:tcPr>
            <w:tcW w:w="839" w:type="dxa"/>
          </w:tcPr>
          <w:p>
            <w:pPr>
              <w:pStyle w:val="TableParagraph"/>
              <w:spacing w:line="225" w:lineRule="exact"/>
              <w:ind w:left="19" w:right="12"/>
              <w:jc w:val="center"/>
              <w:rPr>
                <w:sz w:val="22"/>
              </w:rPr>
            </w:pPr>
            <w:r>
              <w:rPr>
                <w:spacing w:val="-4"/>
                <w:sz w:val="22"/>
              </w:rPr>
              <w:t>15.0</w:t>
            </w:r>
          </w:p>
        </w:tc>
        <w:tc>
          <w:tcPr>
            <w:tcW w:w="853" w:type="dxa"/>
          </w:tcPr>
          <w:p>
            <w:pPr>
              <w:pStyle w:val="TableParagraph"/>
              <w:spacing w:line="225" w:lineRule="exact"/>
              <w:ind w:right="11"/>
              <w:jc w:val="center"/>
              <w:rPr>
                <w:sz w:val="22"/>
              </w:rPr>
            </w:pPr>
            <w:r>
              <w:rPr>
                <w:spacing w:val="-4"/>
                <w:sz w:val="22"/>
              </w:rPr>
              <w:t>25.0</w:t>
            </w:r>
          </w:p>
        </w:tc>
      </w:tr>
      <w:tr>
        <w:trPr>
          <w:trHeight w:val="450" w:hRule="atLeast"/>
        </w:trPr>
        <w:tc>
          <w:tcPr>
            <w:tcW w:w="1091" w:type="dxa"/>
          </w:tcPr>
          <w:p>
            <w:pPr>
              <w:pStyle w:val="TableParagraph"/>
              <w:spacing w:before="70"/>
              <w:ind w:left="122"/>
              <w:rPr>
                <w:sz w:val="22"/>
              </w:rPr>
            </w:pPr>
            <w:r>
              <w:rPr>
                <w:sz w:val="22"/>
              </w:rPr>
              <w:t>SP </w:t>
            </w:r>
            <w:r>
              <w:rPr>
                <w:spacing w:val="-5"/>
                <w:sz w:val="22"/>
              </w:rPr>
              <w:t>340</w:t>
            </w:r>
          </w:p>
        </w:tc>
        <w:tc>
          <w:tcPr>
            <w:tcW w:w="858" w:type="dxa"/>
          </w:tcPr>
          <w:p>
            <w:pPr>
              <w:pStyle w:val="TableParagraph"/>
              <w:spacing w:before="70"/>
              <w:ind w:left="151" w:right="87"/>
              <w:jc w:val="center"/>
              <w:rPr>
                <w:sz w:val="22"/>
              </w:rPr>
            </w:pPr>
            <w:r>
              <w:rPr>
                <w:spacing w:val="-4"/>
                <w:sz w:val="22"/>
              </w:rPr>
              <w:t>17.5</w:t>
            </w:r>
          </w:p>
        </w:tc>
        <w:tc>
          <w:tcPr>
            <w:tcW w:w="791" w:type="dxa"/>
          </w:tcPr>
          <w:p>
            <w:pPr>
              <w:pStyle w:val="TableParagraph"/>
              <w:spacing w:before="70"/>
              <w:ind w:left="92" w:right="87"/>
              <w:jc w:val="center"/>
              <w:rPr>
                <w:sz w:val="22"/>
              </w:rPr>
            </w:pPr>
            <w:r>
              <w:rPr>
                <w:spacing w:val="-4"/>
                <w:sz w:val="22"/>
              </w:rPr>
              <w:t>25.0</w:t>
            </w:r>
          </w:p>
        </w:tc>
        <w:tc>
          <w:tcPr>
            <w:tcW w:w="787" w:type="dxa"/>
          </w:tcPr>
          <w:p>
            <w:pPr>
              <w:pStyle w:val="TableParagraph"/>
              <w:spacing w:before="70"/>
              <w:ind w:left="2"/>
              <w:jc w:val="center"/>
              <w:rPr>
                <w:sz w:val="22"/>
              </w:rPr>
            </w:pPr>
            <w:r>
              <w:rPr>
                <w:spacing w:val="-4"/>
                <w:sz w:val="22"/>
              </w:rPr>
              <w:t>20.0</w:t>
            </w:r>
          </w:p>
        </w:tc>
        <w:tc>
          <w:tcPr>
            <w:tcW w:w="786" w:type="dxa"/>
          </w:tcPr>
          <w:p>
            <w:pPr>
              <w:pStyle w:val="TableParagraph"/>
              <w:spacing w:before="70"/>
              <w:ind w:left="3"/>
              <w:jc w:val="center"/>
              <w:rPr>
                <w:sz w:val="22"/>
              </w:rPr>
            </w:pPr>
            <w:r>
              <w:rPr>
                <w:spacing w:val="-4"/>
                <w:sz w:val="22"/>
              </w:rPr>
              <w:t>30.0</w:t>
            </w:r>
          </w:p>
        </w:tc>
        <w:tc>
          <w:tcPr>
            <w:tcW w:w="805" w:type="dxa"/>
          </w:tcPr>
          <w:p>
            <w:pPr>
              <w:pStyle w:val="TableParagraph"/>
              <w:spacing w:before="70"/>
              <w:ind w:right="15"/>
              <w:jc w:val="center"/>
              <w:rPr>
                <w:sz w:val="22"/>
              </w:rPr>
            </w:pPr>
            <w:r>
              <w:rPr>
                <w:spacing w:val="-4"/>
                <w:sz w:val="22"/>
              </w:rPr>
              <w:t>25.0</w:t>
            </w:r>
          </w:p>
        </w:tc>
        <w:tc>
          <w:tcPr>
            <w:tcW w:w="834" w:type="dxa"/>
          </w:tcPr>
          <w:p>
            <w:pPr>
              <w:pStyle w:val="TableParagraph"/>
              <w:spacing w:before="70"/>
              <w:ind w:left="4" w:right="6"/>
              <w:jc w:val="center"/>
              <w:rPr>
                <w:sz w:val="22"/>
              </w:rPr>
            </w:pPr>
            <w:r>
              <w:rPr>
                <w:spacing w:val="-4"/>
                <w:sz w:val="22"/>
              </w:rPr>
              <w:t>40.0</w:t>
            </w:r>
          </w:p>
        </w:tc>
        <w:tc>
          <w:tcPr>
            <w:tcW w:w="851" w:type="dxa"/>
          </w:tcPr>
          <w:p>
            <w:pPr>
              <w:pStyle w:val="TableParagraph"/>
              <w:spacing w:before="70"/>
              <w:ind w:left="12" w:right="15"/>
              <w:jc w:val="center"/>
              <w:rPr>
                <w:sz w:val="22"/>
              </w:rPr>
            </w:pPr>
            <w:r>
              <w:rPr>
                <w:spacing w:val="-4"/>
                <w:sz w:val="22"/>
              </w:rPr>
              <w:t>22.5</w:t>
            </w:r>
          </w:p>
        </w:tc>
        <w:tc>
          <w:tcPr>
            <w:tcW w:w="851" w:type="dxa"/>
          </w:tcPr>
          <w:p>
            <w:pPr>
              <w:pStyle w:val="TableParagraph"/>
              <w:spacing w:before="70"/>
              <w:ind w:left="17" w:right="5"/>
              <w:jc w:val="center"/>
              <w:rPr>
                <w:sz w:val="22"/>
              </w:rPr>
            </w:pPr>
            <w:r>
              <w:rPr>
                <w:spacing w:val="-4"/>
                <w:sz w:val="22"/>
              </w:rPr>
              <w:t>40.0</w:t>
            </w:r>
          </w:p>
        </w:tc>
        <w:tc>
          <w:tcPr>
            <w:tcW w:w="839" w:type="dxa"/>
          </w:tcPr>
          <w:p>
            <w:pPr>
              <w:pStyle w:val="TableParagraph"/>
              <w:spacing w:before="70"/>
              <w:ind w:left="19" w:right="12"/>
              <w:jc w:val="center"/>
              <w:rPr>
                <w:sz w:val="22"/>
              </w:rPr>
            </w:pPr>
            <w:r>
              <w:rPr>
                <w:spacing w:val="-4"/>
                <w:sz w:val="22"/>
              </w:rPr>
              <w:t>25.0</w:t>
            </w:r>
          </w:p>
        </w:tc>
        <w:tc>
          <w:tcPr>
            <w:tcW w:w="853" w:type="dxa"/>
          </w:tcPr>
          <w:p>
            <w:pPr>
              <w:pStyle w:val="TableParagraph"/>
              <w:spacing w:before="70"/>
              <w:ind w:right="11"/>
              <w:jc w:val="center"/>
              <w:rPr>
                <w:sz w:val="22"/>
              </w:rPr>
            </w:pPr>
            <w:r>
              <w:rPr>
                <w:spacing w:val="-4"/>
                <w:sz w:val="22"/>
              </w:rPr>
              <w:t>45.0</w:t>
            </w:r>
          </w:p>
        </w:tc>
      </w:tr>
      <w:tr>
        <w:trPr>
          <w:trHeight w:val="450" w:hRule="atLeast"/>
        </w:trPr>
        <w:tc>
          <w:tcPr>
            <w:tcW w:w="1091" w:type="dxa"/>
          </w:tcPr>
          <w:p>
            <w:pPr>
              <w:pStyle w:val="TableParagraph"/>
              <w:spacing w:before="71"/>
              <w:ind w:left="122"/>
              <w:rPr>
                <w:sz w:val="22"/>
              </w:rPr>
            </w:pPr>
            <w:r>
              <w:rPr>
                <w:sz w:val="22"/>
              </w:rPr>
              <w:t>SP</w:t>
            </w:r>
            <w:r>
              <w:rPr>
                <w:spacing w:val="1"/>
                <w:sz w:val="22"/>
              </w:rPr>
              <w:t> </w:t>
            </w:r>
            <w:r>
              <w:rPr>
                <w:spacing w:val="-5"/>
                <w:sz w:val="22"/>
              </w:rPr>
              <w:t>867</w:t>
            </w:r>
          </w:p>
        </w:tc>
        <w:tc>
          <w:tcPr>
            <w:tcW w:w="858" w:type="dxa"/>
          </w:tcPr>
          <w:p>
            <w:pPr>
              <w:pStyle w:val="TableParagraph"/>
              <w:spacing w:before="71"/>
              <w:ind w:left="151" w:right="87"/>
              <w:jc w:val="center"/>
              <w:rPr>
                <w:sz w:val="22"/>
              </w:rPr>
            </w:pPr>
            <w:r>
              <w:rPr>
                <w:spacing w:val="-4"/>
                <w:sz w:val="22"/>
              </w:rPr>
              <w:t>20.0</w:t>
            </w:r>
          </w:p>
        </w:tc>
        <w:tc>
          <w:tcPr>
            <w:tcW w:w="791" w:type="dxa"/>
          </w:tcPr>
          <w:p>
            <w:pPr>
              <w:pStyle w:val="TableParagraph"/>
              <w:spacing w:before="71"/>
              <w:ind w:left="92" w:right="87"/>
              <w:jc w:val="center"/>
              <w:rPr>
                <w:sz w:val="22"/>
              </w:rPr>
            </w:pPr>
            <w:r>
              <w:rPr>
                <w:spacing w:val="-4"/>
                <w:sz w:val="22"/>
              </w:rPr>
              <w:t>30.0</w:t>
            </w:r>
          </w:p>
        </w:tc>
        <w:tc>
          <w:tcPr>
            <w:tcW w:w="787" w:type="dxa"/>
          </w:tcPr>
          <w:p>
            <w:pPr>
              <w:pStyle w:val="TableParagraph"/>
              <w:spacing w:before="71"/>
              <w:ind w:left="2"/>
              <w:jc w:val="center"/>
              <w:rPr>
                <w:sz w:val="22"/>
              </w:rPr>
            </w:pPr>
            <w:r>
              <w:rPr>
                <w:spacing w:val="-4"/>
                <w:sz w:val="22"/>
              </w:rPr>
              <w:t>25.0</w:t>
            </w:r>
          </w:p>
        </w:tc>
        <w:tc>
          <w:tcPr>
            <w:tcW w:w="786" w:type="dxa"/>
          </w:tcPr>
          <w:p>
            <w:pPr>
              <w:pStyle w:val="TableParagraph"/>
              <w:spacing w:before="71"/>
              <w:ind w:left="3"/>
              <w:jc w:val="center"/>
              <w:rPr>
                <w:sz w:val="22"/>
              </w:rPr>
            </w:pPr>
            <w:r>
              <w:rPr>
                <w:spacing w:val="-4"/>
                <w:sz w:val="22"/>
              </w:rPr>
              <w:t>40.0</w:t>
            </w:r>
          </w:p>
        </w:tc>
        <w:tc>
          <w:tcPr>
            <w:tcW w:w="805" w:type="dxa"/>
          </w:tcPr>
          <w:p>
            <w:pPr>
              <w:pStyle w:val="TableParagraph"/>
              <w:spacing w:before="71"/>
              <w:ind w:right="15"/>
              <w:jc w:val="center"/>
              <w:rPr>
                <w:sz w:val="22"/>
              </w:rPr>
            </w:pPr>
            <w:r>
              <w:rPr>
                <w:spacing w:val="-4"/>
                <w:sz w:val="22"/>
              </w:rPr>
              <w:t>30.0</w:t>
            </w:r>
          </w:p>
        </w:tc>
        <w:tc>
          <w:tcPr>
            <w:tcW w:w="834" w:type="dxa"/>
          </w:tcPr>
          <w:p>
            <w:pPr>
              <w:pStyle w:val="TableParagraph"/>
              <w:spacing w:before="71"/>
              <w:ind w:left="4" w:right="6"/>
              <w:jc w:val="center"/>
              <w:rPr>
                <w:sz w:val="22"/>
              </w:rPr>
            </w:pPr>
            <w:r>
              <w:rPr>
                <w:spacing w:val="-4"/>
                <w:sz w:val="22"/>
              </w:rPr>
              <w:t>45.0</w:t>
            </w:r>
          </w:p>
        </w:tc>
        <w:tc>
          <w:tcPr>
            <w:tcW w:w="851" w:type="dxa"/>
          </w:tcPr>
          <w:p>
            <w:pPr>
              <w:pStyle w:val="TableParagraph"/>
              <w:spacing w:before="71"/>
              <w:ind w:left="12" w:right="15"/>
              <w:jc w:val="center"/>
              <w:rPr>
                <w:sz w:val="22"/>
              </w:rPr>
            </w:pPr>
            <w:r>
              <w:rPr>
                <w:spacing w:val="-4"/>
                <w:sz w:val="22"/>
              </w:rPr>
              <w:t>35.0</w:t>
            </w:r>
          </w:p>
        </w:tc>
        <w:tc>
          <w:tcPr>
            <w:tcW w:w="851" w:type="dxa"/>
          </w:tcPr>
          <w:p>
            <w:pPr>
              <w:pStyle w:val="TableParagraph"/>
              <w:spacing w:before="71"/>
              <w:ind w:left="17" w:right="5"/>
              <w:jc w:val="center"/>
              <w:rPr>
                <w:sz w:val="22"/>
              </w:rPr>
            </w:pPr>
            <w:r>
              <w:rPr>
                <w:spacing w:val="-4"/>
                <w:sz w:val="22"/>
              </w:rPr>
              <w:t>50.0</w:t>
            </w:r>
          </w:p>
        </w:tc>
        <w:tc>
          <w:tcPr>
            <w:tcW w:w="839" w:type="dxa"/>
          </w:tcPr>
          <w:p>
            <w:pPr>
              <w:pStyle w:val="TableParagraph"/>
              <w:spacing w:before="71"/>
              <w:ind w:left="19" w:right="12"/>
              <w:jc w:val="center"/>
              <w:rPr>
                <w:sz w:val="22"/>
              </w:rPr>
            </w:pPr>
            <w:r>
              <w:rPr>
                <w:spacing w:val="-4"/>
                <w:sz w:val="22"/>
              </w:rPr>
              <w:t>25.0</w:t>
            </w:r>
          </w:p>
        </w:tc>
        <w:tc>
          <w:tcPr>
            <w:tcW w:w="853" w:type="dxa"/>
          </w:tcPr>
          <w:p>
            <w:pPr>
              <w:pStyle w:val="TableParagraph"/>
              <w:spacing w:before="71"/>
              <w:ind w:right="11"/>
              <w:jc w:val="center"/>
              <w:rPr>
                <w:sz w:val="22"/>
              </w:rPr>
            </w:pPr>
            <w:r>
              <w:rPr>
                <w:spacing w:val="-4"/>
                <w:sz w:val="22"/>
              </w:rPr>
              <w:t>50.0</w:t>
            </w:r>
          </w:p>
        </w:tc>
      </w:tr>
      <w:tr>
        <w:trPr>
          <w:trHeight w:val="450" w:hRule="atLeast"/>
        </w:trPr>
        <w:tc>
          <w:tcPr>
            <w:tcW w:w="1091" w:type="dxa"/>
          </w:tcPr>
          <w:p>
            <w:pPr>
              <w:pStyle w:val="TableParagraph"/>
              <w:spacing w:before="70"/>
              <w:ind w:left="122"/>
              <w:rPr>
                <w:sz w:val="22"/>
              </w:rPr>
            </w:pPr>
            <w:r>
              <w:rPr>
                <w:sz w:val="22"/>
              </w:rPr>
              <w:t>SP</w:t>
            </w:r>
            <w:r>
              <w:rPr>
                <w:spacing w:val="1"/>
                <w:sz w:val="22"/>
              </w:rPr>
              <w:t> </w:t>
            </w:r>
            <w:r>
              <w:rPr>
                <w:spacing w:val="-5"/>
                <w:sz w:val="22"/>
              </w:rPr>
              <w:t>870</w:t>
            </w:r>
          </w:p>
        </w:tc>
        <w:tc>
          <w:tcPr>
            <w:tcW w:w="858" w:type="dxa"/>
          </w:tcPr>
          <w:p>
            <w:pPr>
              <w:pStyle w:val="TableParagraph"/>
              <w:spacing w:before="70"/>
              <w:ind w:left="151" w:right="87"/>
              <w:jc w:val="center"/>
              <w:rPr>
                <w:sz w:val="22"/>
              </w:rPr>
            </w:pPr>
            <w:r>
              <w:rPr>
                <w:spacing w:val="-4"/>
                <w:sz w:val="22"/>
              </w:rPr>
              <w:t>20.0</w:t>
            </w:r>
          </w:p>
        </w:tc>
        <w:tc>
          <w:tcPr>
            <w:tcW w:w="791" w:type="dxa"/>
          </w:tcPr>
          <w:p>
            <w:pPr>
              <w:pStyle w:val="TableParagraph"/>
              <w:spacing w:before="70"/>
              <w:ind w:left="92" w:right="87"/>
              <w:jc w:val="center"/>
              <w:rPr>
                <w:sz w:val="22"/>
              </w:rPr>
            </w:pPr>
            <w:r>
              <w:rPr>
                <w:spacing w:val="-4"/>
                <w:sz w:val="22"/>
              </w:rPr>
              <w:t>35.0</w:t>
            </w:r>
          </w:p>
        </w:tc>
        <w:tc>
          <w:tcPr>
            <w:tcW w:w="787" w:type="dxa"/>
          </w:tcPr>
          <w:p>
            <w:pPr>
              <w:pStyle w:val="TableParagraph"/>
              <w:spacing w:before="70"/>
              <w:ind w:left="2"/>
              <w:jc w:val="center"/>
              <w:rPr>
                <w:sz w:val="22"/>
              </w:rPr>
            </w:pPr>
            <w:r>
              <w:rPr>
                <w:spacing w:val="-4"/>
                <w:sz w:val="22"/>
              </w:rPr>
              <w:t>20.0</w:t>
            </w:r>
          </w:p>
        </w:tc>
        <w:tc>
          <w:tcPr>
            <w:tcW w:w="786" w:type="dxa"/>
          </w:tcPr>
          <w:p>
            <w:pPr>
              <w:pStyle w:val="TableParagraph"/>
              <w:spacing w:before="70"/>
              <w:ind w:left="3"/>
              <w:jc w:val="center"/>
              <w:rPr>
                <w:sz w:val="22"/>
              </w:rPr>
            </w:pPr>
            <w:r>
              <w:rPr>
                <w:spacing w:val="-4"/>
                <w:sz w:val="22"/>
              </w:rPr>
              <w:t>40.0</w:t>
            </w:r>
          </w:p>
        </w:tc>
        <w:tc>
          <w:tcPr>
            <w:tcW w:w="805" w:type="dxa"/>
          </w:tcPr>
          <w:p>
            <w:pPr>
              <w:pStyle w:val="TableParagraph"/>
              <w:spacing w:before="70"/>
              <w:ind w:right="15"/>
              <w:jc w:val="center"/>
              <w:rPr>
                <w:sz w:val="22"/>
              </w:rPr>
            </w:pPr>
            <w:r>
              <w:rPr>
                <w:spacing w:val="-4"/>
                <w:sz w:val="22"/>
              </w:rPr>
              <w:t>22.5</w:t>
            </w:r>
          </w:p>
        </w:tc>
        <w:tc>
          <w:tcPr>
            <w:tcW w:w="834" w:type="dxa"/>
          </w:tcPr>
          <w:p>
            <w:pPr>
              <w:pStyle w:val="TableParagraph"/>
              <w:spacing w:before="70"/>
              <w:ind w:left="4" w:right="6"/>
              <w:jc w:val="center"/>
              <w:rPr>
                <w:sz w:val="22"/>
              </w:rPr>
            </w:pPr>
            <w:r>
              <w:rPr>
                <w:spacing w:val="-4"/>
                <w:sz w:val="22"/>
              </w:rPr>
              <w:t>35.0</w:t>
            </w:r>
          </w:p>
        </w:tc>
        <w:tc>
          <w:tcPr>
            <w:tcW w:w="851" w:type="dxa"/>
          </w:tcPr>
          <w:p>
            <w:pPr>
              <w:pStyle w:val="TableParagraph"/>
              <w:spacing w:before="70"/>
              <w:ind w:left="12" w:right="15"/>
              <w:jc w:val="center"/>
              <w:rPr>
                <w:sz w:val="22"/>
              </w:rPr>
            </w:pPr>
            <w:r>
              <w:rPr>
                <w:spacing w:val="-4"/>
                <w:sz w:val="22"/>
              </w:rPr>
              <w:t>25.0</w:t>
            </w:r>
          </w:p>
        </w:tc>
        <w:tc>
          <w:tcPr>
            <w:tcW w:w="851" w:type="dxa"/>
          </w:tcPr>
          <w:p>
            <w:pPr>
              <w:pStyle w:val="TableParagraph"/>
              <w:spacing w:before="70"/>
              <w:ind w:left="17" w:right="5"/>
              <w:jc w:val="center"/>
              <w:rPr>
                <w:sz w:val="22"/>
              </w:rPr>
            </w:pPr>
            <w:r>
              <w:rPr>
                <w:spacing w:val="-4"/>
                <w:sz w:val="22"/>
              </w:rPr>
              <w:t>45.0</w:t>
            </w:r>
          </w:p>
        </w:tc>
        <w:tc>
          <w:tcPr>
            <w:tcW w:w="839" w:type="dxa"/>
          </w:tcPr>
          <w:p>
            <w:pPr>
              <w:pStyle w:val="TableParagraph"/>
              <w:spacing w:before="70"/>
              <w:ind w:left="19" w:right="12"/>
              <w:jc w:val="center"/>
              <w:rPr>
                <w:sz w:val="22"/>
              </w:rPr>
            </w:pPr>
            <w:r>
              <w:rPr>
                <w:spacing w:val="-4"/>
                <w:sz w:val="22"/>
              </w:rPr>
              <w:t>17.5</w:t>
            </w:r>
          </w:p>
        </w:tc>
        <w:tc>
          <w:tcPr>
            <w:tcW w:w="853" w:type="dxa"/>
          </w:tcPr>
          <w:p>
            <w:pPr>
              <w:pStyle w:val="TableParagraph"/>
              <w:spacing w:before="70"/>
              <w:ind w:right="11"/>
              <w:jc w:val="center"/>
              <w:rPr>
                <w:sz w:val="22"/>
              </w:rPr>
            </w:pPr>
            <w:r>
              <w:rPr>
                <w:spacing w:val="-4"/>
                <w:sz w:val="22"/>
              </w:rPr>
              <w:t>25.0</w:t>
            </w:r>
          </w:p>
        </w:tc>
      </w:tr>
      <w:tr>
        <w:trPr>
          <w:trHeight w:val="450" w:hRule="atLeast"/>
        </w:trPr>
        <w:tc>
          <w:tcPr>
            <w:tcW w:w="1091" w:type="dxa"/>
          </w:tcPr>
          <w:p>
            <w:pPr>
              <w:pStyle w:val="TableParagraph"/>
              <w:spacing w:before="71"/>
              <w:ind w:left="122"/>
              <w:rPr>
                <w:sz w:val="22"/>
              </w:rPr>
            </w:pPr>
            <w:r>
              <w:rPr>
                <w:sz w:val="22"/>
              </w:rPr>
              <w:t>SP</w:t>
            </w:r>
            <w:r>
              <w:rPr>
                <w:spacing w:val="1"/>
                <w:sz w:val="22"/>
              </w:rPr>
              <w:t> </w:t>
            </w:r>
            <w:r>
              <w:rPr>
                <w:spacing w:val="-5"/>
                <w:sz w:val="22"/>
              </w:rPr>
              <w:t>871</w:t>
            </w:r>
          </w:p>
        </w:tc>
        <w:tc>
          <w:tcPr>
            <w:tcW w:w="858" w:type="dxa"/>
          </w:tcPr>
          <w:p>
            <w:pPr>
              <w:pStyle w:val="TableParagraph"/>
              <w:spacing w:before="71"/>
              <w:ind w:left="151" w:right="87"/>
              <w:jc w:val="center"/>
              <w:rPr>
                <w:sz w:val="22"/>
              </w:rPr>
            </w:pPr>
            <w:r>
              <w:rPr>
                <w:spacing w:val="-4"/>
                <w:sz w:val="22"/>
              </w:rPr>
              <w:t>15.0</w:t>
            </w:r>
          </w:p>
        </w:tc>
        <w:tc>
          <w:tcPr>
            <w:tcW w:w="791" w:type="dxa"/>
          </w:tcPr>
          <w:p>
            <w:pPr>
              <w:pStyle w:val="TableParagraph"/>
              <w:spacing w:before="71"/>
              <w:ind w:left="92" w:right="87"/>
              <w:jc w:val="center"/>
              <w:rPr>
                <w:sz w:val="22"/>
              </w:rPr>
            </w:pPr>
            <w:r>
              <w:rPr>
                <w:spacing w:val="-4"/>
                <w:sz w:val="22"/>
              </w:rPr>
              <w:t>25.0</w:t>
            </w:r>
          </w:p>
        </w:tc>
        <w:tc>
          <w:tcPr>
            <w:tcW w:w="787" w:type="dxa"/>
          </w:tcPr>
          <w:p>
            <w:pPr>
              <w:pStyle w:val="TableParagraph"/>
              <w:spacing w:before="71"/>
              <w:ind w:left="2"/>
              <w:jc w:val="center"/>
              <w:rPr>
                <w:sz w:val="22"/>
              </w:rPr>
            </w:pPr>
            <w:r>
              <w:rPr>
                <w:spacing w:val="-4"/>
                <w:sz w:val="22"/>
              </w:rPr>
              <w:t>15.0</w:t>
            </w:r>
          </w:p>
        </w:tc>
        <w:tc>
          <w:tcPr>
            <w:tcW w:w="786" w:type="dxa"/>
          </w:tcPr>
          <w:p>
            <w:pPr>
              <w:pStyle w:val="TableParagraph"/>
              <w:spacing w:before="71"/>
              <w:ind w:left="3"/>
              <w:jc w:val="center"/>
              <w:rPr>
                <w:sz w:val="22"/>
              </w:rPr>
            </w:pPr>
            <w:r>
              <w:rPr>
                <w:spacing w:val="-4"/>
                <w:sz w:val="22"/>
              </w:rPr>
              <w:t>25.0</w:t>
            </w:r>
          </w:p>
        </w:tc>
        <w:tc>
          <w:tcPr>
            <w:tcW w:w="805" w:type="dxa"/>
          </w:tcPr>
          <w:p>
            <w:pPr>
              <w:pStyle w:val="TableParagraph"/>
              <w:spacing w:before="71"/>
              <w:ind w:right="15"/>
              <w:jc w:val="center"/>
              <w:rPr>
                <w:sz w:val="22"/>
              </w:rPr>
            </w:pPr>
            <w:r>
              <w:rPr>
                <w:spacing w:val="-4"/>
                <w:sz w:val="22"/>
              </w:rPr>
              <w:t>25.0</w:t>
            </w:r>
          </w:p>
        </w:tc>
        <w:tc>
          <w:tcPr>
            <w:tcW w:w="834" w:type="dxa"/>
          </w:tcPr>
          <w:p>
            <w:pPr>
              <w:pStyle w:val="TableParagraph"/>
              <w:spacing w:before="71"/>
              <w:ind w:left="4" w:right="6"/>
              <w:jc w:val="center"/>
              <w:rPr>
                <w:sz w:val="22"/>
              </w:rPr>
            </w:pPr>
            <w:r>
              <w:rPr>
                <w:spacing w:val="-4"/>
                <w:sz w:val="22"/>
              </w:rPr>
              <w:t>40.0</w:t>
            </w:r>
          </w:p>
        </w:tc>
        <w:tc>
          <w:tcPr>
            <w:tcW w:w="851" w:type="dxa"/>
          </w:tcPr>
          <w:p>
            <w:pPr>
              <w:pStyle w:val="TableParagraph"/>
              <w:spacing w:before="71"/>
              <w:ind w:left="12" w:right="15"/>
              <w:jc w:val="center"/>
              <w:rPr>
                <w:sz w:val="22"/>
              </w:rPr>
            </w:pPr>
            <w:r>
              <w:rPr>
                <w:spacing w:val="-4"/>
                <w:sz w:val="22"/>
              </w:rPr>
              <w:t>30.0</w:t>
            </w:r>
          </w:p>
        </w:tc>
        <w:tc>
          <w:tcPr>
            <w:tcW w:w="851" w:type="dxa"/>
          </w:tcPr>
          <w:p>
            <w:pPr>
              <w:pStyle w:val="TableParagraph"/>
              <w:spacing w:before="71"/>
              <w:ind w:left="17" w:right="5"/>
              <w:jc w:val="center"/>
              <w:rPr>
                <w:sz w:val="22"/>
              </w:rPr>
            </w:pPr>
            <w:r>
              <w:rPr>
                <w:spacing w:val="-4"/>
                <w:sz w:val="22"/>
              </w:rPr>
              <w:t>45.0</w:t>
            </w:r>
          </w:p>
        </w:tc>
        <w:tc>
          <w:tcPr>
            <w:tcW w:w="839" w:type="dxa"/>
          </w:tcPr>
          <w:p>
            <w:pPr>
              <w:pStyle w:val="TableParagraph"/>
              <w:spacing w:before="71"/>
              <w:ind w:left="19" w:right="12"/>
              <w:jc w:val="center"/>
              <w:rPr>
                <w:sz w:val="22"/>
              </w:rPr>
            </w:pPr>
            <w:r>
              <w:rPr>
                <w:spacing w:val="-4"/>
                <w:sz w:val="22"/>
              </w:rPr>
              <w:t>35.0</w:t>
            </w:r>
          </w:p>
        </w:tc>
        <w:tc>
          <w:tcPr>
            <w:tcW w:w="853" w:type="dxa"/>
          </w:tcPr>
          <w:p>
            <w:pPr>
              <w:pStyle w:val="TableParagraph"/>
              <w:spacing w:before="71"/>
              <w:ind w:right="11"/>
              <w:jc w:val="center"/>
              <w:rPr>
                <w:sz w:val="22"/>
              </w:rPr>
            </w:pPr>
            <w:r>
              <w:rPr>
                <w:spacing w:val="-4"/>
                <w:sz w:val="22"/>
              </w:rPr>
              <w:t>60.0</w:t>
            </w:r>
          </w:p>
        </w:tc>
      </w:tr>
      <w:tr>
        <w:trPr>
          <w:trHeight w:val="450" w:hRule="atLeast"/>
        </w:trPr>
        <w:tc>
          <w:tcPr>
            <w:tcW w:w="1091" w:type="dxa"/>
          </w:tcPr>
          <w:p>
            <w:pPr>
              <w:pStyle w:val="TableParagraph"/>
              <w:spacing w:before="70"/>
              <w:ind w:left="122"/>
              <w:rPr>
                <w:sz w:val="22"/>
              </w:rPr>
            </w:pPr>
            <w:r>
              <w:rPr>
                <w:sz w:val="22"/>
              </w:rPr>
              <w:t>SP</w:t>
            </w:r>
            <w:r>
              <w:rPr>
                <w:spacing w:val="1"/>
                <w:sz w:val="22"/>
              </w:rPr>
              <w:t> </w:t>
            </w:r>
            <w:r>
              <w:rPr>
                <w:spacing w:val="-5"/>
                <w:sz w:val="22"/>
              </w:rPr>
              <w:t>892</w:t>
            </w:r>
          </w:p>
        </w:tc>
        <w:tc>
          <w:tcPr>
            <w:tcW w:w="858" w:type="dxa"/>
          </w:tcPr>
          <w:p>
            <w:pPr>
              <w:pStyle w:val="TableParagraph"/>
              <w:spacing w:before="70"/>
              <w:ind w:left="151" w:right="87"/>
              <w:jc w:val="center"/>
              <w:rPr>
                <w:sz w:val="22"/>
              </w:rPr>
            </w:pPr>
            <w:r>
              <w:rPr>
                <w:spacing w:val="-4"/>
                <w:sz w:val="22"/>
              </w:rPr>
              <w:t>22.5</w:t>
            </w:r>
          </w:p>
        </w:tc>
        <w:tc>
          <w:tcPr>
            <w:tcW w:w="791" w:type="dxa"/>
          </w:tcPr>
          <w:p>
            <w:pPr>
              <w:pStyle w:val="TableParagraph"/>
              <w:spacing w:before="70"/>
              <w:ind w:left="92" w:right="87"/>
              <w:jc w:val="center"/>
              <w:rPr>
                <w:sz w:val="22"/>
              </w:rPr>
            </w:pPr>
            <w:r>
              <w:rPr>
                <w:spacing w:val="-4"/>
                <w:sz w:val="22"/>
              </w:rPr>
              <w:t>30.0</w:t>
            </w:r>
          </w:p>
        </w:tc>
        <w:tc>
          <w:tcPr>
            <w:tcW w:w="787" w:type="dxa"/>
          </w:tcPr>
          <w:p>
            <w:pPr>
              <w:pStyle w:val="TableParagraph"/>
              <w:spacing w:before="70"/>
              <w:ind w:left="2"/>
              <w:jc w:val="center"/>
              <w:rPr>
                <w:sz w:val="22"/>
              </w:rPr>
            </w:pPr>
            <w:r>
              <w:rPr>
                <w:spacing w:val="-4"/>
                <w:sz w:val="22"/>
              </w:rPr>
              <w:t>25.0</w:t>
            </w:r>
          </w:p>
        </w:tc>
        <w:tc>
          <w:tcPr>
            <w:tcW w:w="786" w:type="dxa"/>
          </w:tcPr>
          <w:p>
            <w:pPr>
              <w:pStyle w:val="TableParagraph"/>
              <w:spacing w:before="70"/>
              <w:ind w:left="3"/>
              <w:jc w:val="center"/>
              <w:rPr>
                <w:sz w:val="22"/>
              </w:rPr>
            </w:pPr>
            <w:r>
              <w:rPr>
                <w:spacing w:val="-4"/>
                <w:sz w:val="22"/>
              </w:rPr>
              <w:t>40.0</w:t>
            </w:r>
          </w:p>
        </w:tc>
        <w:tc>
          <w:tcPr>
            <w:tcW w:w="805" w:type="dxa"/>
          </w:tcPr>
          <w:p>
            <w:pPr>
              <w:pStyle w:val="TableParagraph"/>
              <w:spacing w:before="70"/>
              <w:ind w:right="15"/>
              <w:jc w:val="center"/>
              <w:rPr>
                <w:sz w:val="22"/>
              </w:rPr>
            </w:pPr>
            <w:r>
              <w:rPr>
                <w:spacing w:val="-4"/>
                <w:sz w:val="22"/>
              </w:rPr>
              <w:t>22.5</w:t>
            </w:r>
          </w:p>
        </w:tc>
        <w:tc>
          <w:tcPr>
            <w:tcW w:w="834" w:type="dxa"/>
          </w:tcPr>
          <w:p>
            <w:pPr>
              <w:pStyle w:val="TableParagraph"/>
              <w:spacing w:before="70"/>
              <w:ind w:left="4" w:right="6"/>
              <w:jc w:val="center"/>
              <w:rPr>
                <w:sz w:val="22"/>
              </w:rPr>
            </w:pPr>
            <w:r>
              <w:rPr>
                <w:spacing w:val="-4"/>
                <w:sz w:val="22"/>
              </w:rPr>
              <w:t>35.0</w:t>
            </w:r>
          </w:p>
        </w:tc>
        <w:tc>
          <w:tcPr>
            <w:tcW w:w="851" w:type="dxa"/>
          </w:tcPr>
          <w:p>
            <w:pPr>
              <w:pStyle w:val="TableParagraph"/>
              <w:spacing w:before="70"/>
              <w:ind w:left="12" w:right="15"/>
              <w:jc w:val="center"/>
              <w:rPr>
                <w:sz w:val="22"/>
              </w:rPr>
            </w:pPr>
            <w:r>
              <w:rPr>
                <w:spacing w:val="-4"/>
                <w:sz w:val="22"/>
              </w:rPr>
              <w:t>25.0</w:t>
            </w:r>
          </w:p>
        </w:tc>
        <w:tc>
          <w:tcPr>
            <w:tcW w:w="851" w:type="dxa"/>
          </w:tcPr>
          <w:p>
            <w:pPr>
              <w:pStyle w:val="TableParagraph"/>
              <w:spacing w:before="70"/>
              <w:ind w:left="17" w:right="5"/>
              <w:jc w:val="center"/>
              <w:rPr>
                <w:sz w:val="22"/>
              </w:rPr>
            </w:pPr>
            <w:r>
              <w:rPr>
                <w:spacing w:val="-4"/>
                <w:sz w:val="22"/>
              </w:rPr>
              <w:t>40.0</w:t>
            </w:r>
          </w:p>
        </w:tc>
        <w:tc>
          <w:tcPr>
            <w:tcW w:w="839" w:type="dxa"/>
          </w:tcPr>
          <w:p>
            <w:pPr>
              <w:pStyle w:val="TableParagraph"/>
              <w:spacing w:before="70"/>
              <w:ind w:left="19" w:right="12"/>
              <w:jc w:val="center"/>
              <w:rPr>
                <w:sz w:val="22"/>
              </w:rPr>
            </w:pPr>
            <w:r>
              <w:rPr>
                <w:spacing w:val="-4"/>
                <w:sz w:val="22"/>
              </w:rPr>
              <w:t>25.0</w:t>
            </w:r>
          </w:p>
        </w:tc>
        <w:tc>
          <w:tcPr>
            <w:tcW w:w="853" w:type="dxa"/>
          </w:tcPr>
          <w:p>
            <w:pPr>
              <w:pStyle w:val="TableParagraph"/>
              <w:spacing w:before="70"/>
              <w:ind w:right="11"/>
              <w:jc w:val="center"/>
              <w:rPr>
                <w:sz w:val="22"/>
              </w:rPr>
            </w:pPr>
            <w:r>
              <w:rPr>
                <w:spacing w:val="-4"/>
                <w:sz w:val="22"/>
              </w:rPr>
              <w:t>50.0</w:t>
            </w:r>
          </w:p>
        </w:tc>
      </w:tr>
      <w:tr>
        <w:trPr>
          <w:trHeight w:val="450" w:hRule="atLeast"/>
        </w:trPr>
        <w:tc>
          <w:tcPr>
            <w:tcW w:w="1091" w:type="dxa"/>
          </w:tcPr>
          <w:p>
            <w:pPr>
              <w:pStyle w:val="TableParagraph"/>
              <w:spacing w:before="71"/>
              <w:ind w:left="122"/>
              <w:rPr>
                <w:sz w:val="22"/>
              </w:rPr>
            </w:pPr>
            <w:r>
              <w:rPr>
                <w:sz w:val="22"/>
              </w:rPr>
              <w:t>SP</w:t>
            </w:r>
            <w:r>
              <w:rPr>
                <w:spacing w:val="1"/>
                <w:sz w:val="22"/>
              </w:rPr>
              <w:t> </w:t>
            </w:r>
            <w:r>
              <w:rPr>
                <w:spacing w:val="-5"/>
                <w:sz w:val="22"/>
              </w:rPr>
              <w:t>894</w:t>
            </w:r>
          </w:p>
        </w:tc>
        <w:tc>
          <w:tcPr>
            <w:tcW w:w="858" w:type="dxa"/>
          </w:tcPr>
          <w:p>
            <w:pPr>
              <w:pStyle w:val="TableParagraph"/>
              <w:spacing w:before="71"/>
              <w:ind w:left="151" w:right="87"/>
              <w:jc w:val="center"/>
              <w:rPr>
                <w:sz w:val="22"/>
              </w:rPr>
            </w:pPr>
            <w:r>
              <w:rPr>
                <w:spacing w:val="-4"/>
                <w:sz w:val="22"/>
              </w:rPr>
              <w:t>17.5</w:t>
            </w:r>
          </w:p>
        </w:tc>
        <w:tc>
          <w:tcPr>
            <w:tcW w:w="791" w:type="dxa"/>
          </w:tcPr>
          <w:p>
            <w:pPr>
              <w:pStyle w:val="TableParagraph"/>
              <w:spacing w:before="71"/>
              <w:ind w:left="92" w:right="87"/>
              <w:jc w:val="center"/>
              <w:rPr>
                <w:sz w:val="22"/>
              </w:rPr>
            </w:pPr>
            <w:r>
              <w:rPr>
                <w:spacing w:val="-4"/>
                <w:sz w:val="22"/>
              </w:rPr>
              <w:t>25.0</w:t>
            </w:r>
          </w:p>
        </w:tc>
        <w:tc>
          <w:tcPr>
            <w:tcW w:w="787" w:type="dxa"/>
          </w:tcPr>
          <w:p>
            <w:pPr>
              <w:pStyle w:val="TableParagraph"/>
              <w:spacing w:before="71"/>
              <w:ind w:left="2"/>
              <w:jc w:val="center"/>
              <w:rPr>
                <w:sz w:val="22"/>
              </w:rPr>
            </w:pPr>
            <w:r>
              <w:rPr>
                <w:spacing w:val="-4"/>
                <w:sz w:val="22"/>
              </w:rPr>
              <w:t>20.0</w:t>
            </w:r>
          </w:p>
        </w:tc>
        <w:tc>
          <w:tcPr>
            <w:tcW w:w="786" w:type="dxa"/>
          </w:tcPr>
          <w:p>
            <w:pPr>
              <w:pStyle w:val="TableParagraph"/>
              <w:spacing w:before="71"/>
              <w:ind w:left="3"/>
              <w:jc w:val="center"/>
              <w:rPr>
                <w:sz w:val="22"/>
              </w:rPr>
            </w:pPr>
            <w:r>
              <w:rPr>
                <w:spacing w:val="-4"/>
                <w:sz w:val="22"/>
              </w:rPr>
              <w:t>30.0</w:t>
            </w:r>
          </w:p>
        </w:tc>
        <w:tc>
          <w:tcPr>
            <w:tcW w:w="805" w:type="dxa"/>
          </w:tcPr>
          <w:p>
            <w:pPr>
              <w:pStyle w:val="TableParagraph"/>
              <w:spacing w:before="71"/>
              <w:ind w:right="15"/>
              <w:jc w:val="center"/>
              <w:rPr>
                <w:sz w:val="22"/>
              </w:rPr>
            </w:pPr>
            <w:r>
              <w:rPr>
                <w:spacing w:val="-4"/>
                <w:sz w:val="22"/>
              </w:rPr>
              <w:t>20.0</w:t>
            </w:r>
          </w:p>
        </w:tc>
        <w:tc>
          <w:tcPr>
            <w:tcW w:w="834" w:type="dxa"/>
          </w:tcPr>
          <w:p>
            <w:pPr>
              <w:pStyle w:val="TableParagraph"/>
              <w:spacing w:before="71"/>
              <w:ind w:left="4" w:right="6"/>
              <w:jc w:val="center"/>
              <w:rPr>
                <w:sz w:val="22"/>
              </w:rPr>
            </w:pPr>
            <w:r>
              <w:rPr>
                <w:spacing w:val="-4"/>
                <w:sz w:val="22"/>
              </w:rPr>
              <w:t>35.0</w:t>
            </w:r>
          </w:p>
        </w:tc>
        <w:tc>
          <w:tcPr>
            <w:tcW w:w="851" w:type="dxa"/>
          </w:tcPr>
          <w:p>
            <w:pPr>
              <w:pStyle w:val="TableParagraph"/>
              <w:spacing w:before="71"/>
              <w:ind w:left="12" w:right="15"/>
              <w:jc w:val="center"/>
              <w:rPr>
                <w:sz w:val="22"/>
              </w:rPr>
            </w:pPr>
            <w:r>
              <w:rPr>
                <w:spacing w:val="-4"/>
                <w:sz w:val="22"/>
              </w:rPr>
              <w:t>25.0</w:t>
            </w:r>
          </w:p>
        </w:tc>
        <w:tc>
          <w:tcPr>
            <w:tcW w:w="851" w:type="dxa"/>
          </w:tcPr>
          <w:p>
            <w:pPr>
              <w:pStyle w:val="TableParagraph"/>
              <w:spacing w:before="71"/>
              <w:ind w:left="17" w:right="5"/>
              <w:jc w:val="center"/>
              <w:rPr>
                <w:sz w:val="22"/>
              </w:rPr>
            </w:pPr>
            <w:r>
              <w:rPr>
                <w:spacing w:val="-4"/>
                <w:sz w:val="22"/>
              </w:rPr>
              <w:t>50.0</w:t>
            </w:r>
          </w:p>
        </w:tc>
        <w:tc>
          <w:tcPr>
            <w:tcW w:w="839" w:type="dxa"/>
          </w:tcPr>
          <w:p>
            <w:pPr>
              <w:pStyle w:val="TableParagraph"/>
              <w:spacing w:before="71"/>
              <w:ind w:left="19" w:right="12"/>
              <w:jc w:val="center"/>
              <w:rPr>
                <w:sz w:val="22"/>
              </w:rPr>
            </w:pPr>
            <w:r>
              <w:rPr>
                <w:spacing w:val="-4"/>
                <w:sz w:val="22"/>
              </w:rPr>
              <w:t>40.0</w:t>
            </w:r>
          </w:p>
        </w:tc>
        <w:tc>
          <w:tcPr>
            <w:tcW w:w="853" w:type="dxa"/>
          </w:tcPr>
          <w:p>
            <w:pPr>
              <w:pStyle w:val="TableParagraph"/>
              <w:spacing w:before="71"/>
              <w:ind w:right="11"/>
              <w:jc w:val="center"/>
              <w:rPr>
                <w:sz w:val="22"/>
              </w:rPr>
            </w:pPr>
            <w:r>
              <w:rPr>
                <w:spacing w:val="-4"/>
                <w:sz w:val="22"/>
              </w:rPr>
              <w:t>70.0</w:t>
            </w:r>
          </w:p>
        </w:tc>
      </w:tr>
      <w:tr>
        <w:trPr>
          <w:trHeight w:val="449" w:hRule="atLeast"/>
        </w:trPr>
        <w:tc>
          <w:tcPr>
            <w:tcW w:w="1091" w:type="dxa"/>
          </w:tcPr>
          <w:p>
            <w:pPr>
              <w:pStyle w:val="TableParagraph"/>
              <w:spacing w:before="70"/>
              <w:ind w:left="122"/>
              <w:rPr>
                <w:sz w:val="22"/>
              </w:rPr>
            </w:pPr>
            <w:r>
              <w:rPr>
                <w:sz w:val="22"/>
              </w:rPr>
              <w:t>TS</w:t>
            </w:r>
            <w:r>
              <w:rPr>
                <w:spacing w:val="-1"/>
                <w:sz w:val="22"/>
              </w:rPr>
              <w:t> </w:t>
            </w:r>
            <w:r>
              <w:rPr>
                <w:spacing w:val="-4"/>
                <w:sz w:val="22"/>
              </w:rPr>
              <w:t>1234</w:t>
            </w:r>
          </w:p>
        </w:tc>
        <w:tc>
          <w:tcPr>
            <w:tcW w:w="858" w:type="dxa"/>
          </w:tcPr>
          <w:p>
            <w:pPr>
              <w:pStyle w:val="TableParagraph"/>
              <w:spacing w:before="70"/>
              <w:ind w:left="151" w:right="87"/>
              <w:jc w:val="center"/>
              <w:rPr>
                <w:sz w:val="22"/>
              </w:rPr>
            </w:pPr>
            <w:r>
              <w:rPr>
                <w:spacing w:val="-4"/>
                <w:sz w:val="22"/>
              </w:rPr>
              <w:t>20.0</w:t>
            </w:r>
          </w:p>
        </w:tc>
        <w:tc>
          <w:tcPr>
            <w:tcW w:w="791" w:type="dxa"/>
          </w:tcPr>
          <w:p>
            <w:pPr>
              <w:pStyle w:val="TableParagraph"/>
              <w:spacing w:before="70"/>
              <w:ind w:left="92" w:right="87"/>
              <w:jc w:val="center"/>
              <w:rPr>
                <w:sz w:val="22"/>
              </w:rPr>
            </w:pPr>
            <w:r>
              <w:rPr>
                <w:spacing w:val="-4"/>
                <w:sz w:val="22"/>
              </w:rPr>
              <w:t>30.0</w:t>
            </w:r>
          </w:p>
        </w:tc>
        <w:tc>
          <w:tcPr>
            <w:tcW w:w="787" w:type="dxa"/>
          </w:tcPr>
          <w:p>
            <w:pPr>
              <w:pStyle w:val="TableParagraph"/>
              <w:spacing w:before="70"/>
              <w:ind w:left="2"/>
              <w:jc w:val="center"/>
              <w:rPr>
                <w:sz w:val="22"/>
              </w:rPr>
            </w:pPr>
            <w:r>
              <w:rPr>
                <w:spacing w:val="-4"/>
                <w:sz w:val="22"/>
              </w:rPr>
              <w:t>25.0</w:t>
            </w:r>
          </w:p>
        </w:tc>
        <w:tc>
          <w:tcPr>
            <w:tcW w:w="786" w:type="dxa"/>
          </w:tcPr>
          <w:p>
            <w:pPr>
              <w:pStyle w:val="TableParagraph"/>
              <w:spacing w:before="70"/>
              <w:ind w:left="3"/>
              <w:jc w:val="center"/>
              <w:rPr>
                <w:sz w:val="22"/>
              </w:rPr>
            </w:pPr>
            <w:r>
              <w:rPr>
                <w:spacing w:val="-4"/>
                <w:sz w:val="22"/>
              </w:rPr>
              <w:t>40.0</w:t>
            </w:r>
          </w:p>
        </w:tc>
        <w:tc>
          <w:tcPr>
            <w:tcW w:w="805" w:type="dxa"/>
          </w:tcPr>
          <w:p>
            <w:pPr>
              <w:pStyle w:val="TableParagraph"/>
              <w:spacing w:before="70"/>
              <w:ind w:right="15"/>
              <w:jc w:val="center"/>
              <w:rPr>
                <w:sz w:val="22"/>
              </w:rPr>
            </w:pPr>
            <w:r>
              <w:rPr>
                <w:spacing w:val="-4"/>
                <w:sz w:val="22"/>
              </w:rPr>
              <w:t>22.5</w:t>
            </w:r>
          </w:p>
        </w:tc>
        <w:tc>
          <w:tcPr>
            <w:tcW w:w="834" w:type="dxa"/>
          </w:tcPr>
          <w:p>
            <w:pPr>
              <w:pStyle w:val="TableParagraph"/>
              <w:spacing w:before="70"/>
              <w:ind w:left="4" w:right="6"/>
              <w:jc w:val="center"/>
              <w:rPr>
                <w:sz w:val="22"/>
              </w:rPr>
            </w:pPr>
            <w:r>
              <w:rPr>
                <w:spacing w:val="-4"/>
                <w:sz w:val="22"/>
              </w:rPr>
              <w:t>35.0</w:t>
            </w:r>
          </w:p>
        </w:tc>
        <w:tc>
          <w:tcPr>
            <w:tcW w:w="851" w:type="dxa"/>
          </w:tcPr>
          <w:p>
            <w:pPr>
              <w:pStyle w:val="TableParagraph"/>
              <w:spacing w:before="70"/>
              <w:ind w:left="12" w:right="15"/>
              <w:jc w:val="center"/>
              <w:rPr>
                <w:sz w:val="22"/>
              </w:rPr>
            </w:pPr>
            <w:r>
              <w:rPr>
                <w:spacing w:val="-4"/>
                <w:sz w:val="22"/>
              </w:rPr>
              <w:t>22.5</w:t>
            </w:r>
          </w:p>
        </w:tc>
        <w:tc>
          <w:tcPr>
            <w:tcW w:w="851" w:type="dxa"/>
          </w:tcPr>
          <w:p>
            <w:pPr>
              <w:pStyle w:val="TableParagraph"/>
              <w:spacing w:before="70"/>
              <w:ind w:left="17" w:right="5"/>
              <w:jc w:val="center"/>
              <w:rPr>
                <w:sz w:val="22"/>
              </w:rPr>
            </w:pPr>
            <w:r>
              <w:rPr>
                <w:spacing w:val="-4"/>
                <w:sz w:val="22"/>
              </w:rPr>
              <w:t>35.0</w:t>
            </w:r>
          </w:p>
        </w:tc>
        <w:tc>
          <w:tcPr>
            <w:tcW w:w="839" w:type="dxa"/>
          </w:tcPr>
          <w:p>
            <w:pPr>
              <w:pStyle w:val="TableParagraph"/>
              <w:spacing w:before="70"/>
              <w:ind w:left="19" w:right="12"/>
              <w:jc w:val="center"/>
              <w:rPr>
                <w:sz w:val="22"/>
              </w:rPr>
            </w:pPr>
            <w:r>
              <w:rPr>
                <w:spacing w:val="-4"/>
                <w:sz w:val="22"/>
              </w:rPr>
              <w:t>45.0</w:t>
            </w:r>
          </w:p>
        </w:tc>
        <w:tc>
          <w:tcPr>
            <w:tcW w:w="853" w:type="dxa"/>
          </w:tcPr>
          <w:p>
            <w:pPr>
              <w:pStyle w:val="TableParagraph"/>
              <w:spacing w:before="70"/>
              <w:ind w:right="11"/>
              <w:jc w:val="center"/>
              <w:rPr>
                <w:sz w:val="22"/>
              </w:rPr>
            </w:pPr>
            <w:r>
              <w:rPr>
                <w:spacing w:val="-4"/>
                <w:sz w:val="22"/>
              </w:rPr>
              <w:t>70.0</w:t>
            </w:r>
          </w:p>
        </w:tc>
      </w:tr>
      <w:tr>
        <w:trPr>
          <w:trHeight w:val="524" w:hRule="atLeast"/>
        </w:trPr>
        <w:tc>
          <w:tcPr>
            <w:tcW w:w="1091" w:type="dxa"/>
            <w:tcBorders>
              <w:bottom w:val="single" w:sz="4" w:space="0" w:color="000000"/>
            </w:tcBorders>
          </w:tcPr>
          <w:p>
            <w:pPr>
              <w:pStyle w:val="TableParagraph"/>
              <w:spacing w:before="70"/>
              <w:ind w:left="122"/>
              <w:rPr>
                <w:sz w:val="22"/>
              </w:rPr>
            </w:pPr>
            <w:r>
              <w:rPr>
                <w:sz w:val="22"/>
              </w:rPr>
              <w:t>TS</w:t>
            </w:r>
            <w:r>
              <w:rPr>
                <w:spacing w:val="-1"/>
                <w:sz w:val="22"/>
              </w:rPr>
              <w:t> </w:t>
            </w:r>
            <w:r>
              <w:rPr>
                <w:spacing w:val="-5"/>
                <w:sz w:val="22"/>
              </w:rPr>
              <w:t>320</w:t>
            </w:r>
          </w:p>
        </w:tc>
        <w:tc>
          <w:tcPr>
            <w:tcW w:w="858" w:type="dxa"/>
            <w:tcBorders>
              <w:bottom w:val="single" w:sz="4" w:space="0" w:color="000000"/>
            </w:tcBorders>
          </w:tcPr>
          <w:p>
            <w:pPr>
              <w:pStyle w:val="TableParagraph"/>
              <w:spacing w:before="70"/>
              <w:ind w:left="151" w:right="87"/>
              <w:jc w:val="center"/>
              <w:rPr>
                <w:sz w:val="22"/>
              </w:rPr>
            </w:pPr>
            <w:r>
              <w:rPr>
                <w:spacing w:val="-4"/>
                <w:sz w:val="22"/>
              </w:rPr>
              <w:t>17.5</w:t>
            </w:r>
          </w:p>
        </w:tc>
        <w:tc>
          <w:tcPr>
            <w:tcW w:w="791" w:type="dxa"/>
            <w:tcBorders>
              <w:bottom w:val="single" w:sz="4" w:space="0" w:color="000000"/>
            </w:tcBorders>
          </w:tcPr>
          <w:p>
            <w:pPr>
              <w:pStyle w:val="TableParagraph"/>
              <w:spacing w:before="70"/>
              <w:ind w:left="92" w:right="87"/>
              <w:jc w:val="center"/>
              <w:rPr>
                <w:sz w:val="22"/>
              </w:rPr>
            </w:pPr>
            <w:r>
              <w:rPr>
                <w:spacing w:val="-4"/>
                <w:sz w:val="22"/>
              </w:rPr>
              <w:t>25.0</w:t>
            </w:r>
          </w:p>
        </w:tc>
        <w:tc>
          <w:tcPr>
            <w:tcW w:w="787" w:type="dxa"/>
            <w:tcBorders>
              <w:bottom w:val="single" w:sz="4" w:space="0" w:color="000000"/>
            </w:tcBorders>
          </w:tcPr>
          <w:p>
            <w:pPr>
              <w:pStyle w:val="TableParagraph"/>
              <w:spacing w:before="70"/>
              <w:ind w:left="2"/>
              <w:jc w:val="center"/>
              <w:rPr>
                <w:sz w:val="22"/>
              </w:rPr>
            </w:pPr>
            <w:r>
              <w:rPr>
                <w:spacing w:val="-4"/>
                <w:sz w:val="22"/>
              </w:rPr>
              <w:t>17.5</w:t>
            </w:r>
          </w:p>
        </w:tc>
        <w:tc>
          <w:tcPr>
            <w:tcW w:w="786" w:type="dxa"/>
            <w:tcBorders>
              <w:bottom w:val="single" w:sz="4" w:space="0" w:color="000000"/>
            </w:tcBorders>
          </w:tcPr>
          <w:p>
            <w:pPr>
              <w:pStyle w:val="TableParagraph"/>
              <w:spacing w:before="70"/>
              <w:ind w:left="3"/>
              <w:jc w:val="center"/>
              <w:rPr>
                <w:sz w:val="22"/>
              </w:rPr>
            </w:pPr>
            <w:r>
              <w:rPr>
                <w:spacing w:val="-4"/>
                <w:sz w:val="22"/>
              </w:rPr>
              <w:t>25.0</w:t>
            </w:r>
          </w:p>
        </w:tc>
        <w:tc>
          <w:tcPr>
            <w:tcW w:w="805" w:type="dxa"/>
            <w:tcBorders>
              <w:bottom w:val="single" w:sz="4" w:space="0" w:color="000000"/>
            </w:tcBorders>
          </w:tcPr>
          <w:p>
            <w:pPr>
              <w:pStyle w:val="TableParagraph"/>
              <w:spacing w:before="70"/>
              <w:ind w:right="15"/>
              <w:jc w:val="center"/>
              <w:rPr>
                <w:sz w:val="22"/>
              </w:rPr>
            </w:pPr>
            <w:r>
              <w:rPr>
                <w:spacing w:val="-4"/>
                <w:sz w:val="22"/>
              </w:rPr>
              <w:t>30.0</w:t>
            </w:r>
          </w:p>
        </w:tc>
        <w:tc>
          <w:tcPr>
            <w:tcW w:w="834" w:type="dxa"/>
            <w:tcBorders>
              <w:bottom w:val="single" w:sz="4" w:space="0" w:color="000000"/>
            </w:tcBorders>
          </w:tcPr>
          <w:p>
            <w:pPr>
              <w:pStyle w:val="TableParagraph"/>
              <w:spacing w:before="70"/>
              <w:ind w:left="4" w:right="6"/>
              <w:jc w:val="center"/>
              <w:rPr>
                <w:sz w:val="22"/>
              </w:rPr>
            </w:pPr>
            <w:r>
              <w:rPr>
                <w:spacing w:val="-4"/>
                <w:sz w:val="22"/>
              </w:rPr>
              <w:t>45.0</w:t>
            </w:r>
          </w:p>
        </w:tc>
        <w:tc>
          <w:tcPr>
            <w:tcW w:w="851" w:type="dxa"/>
            <w:tcBorders>
              <w:bottom w:val="single" w:sz="4" w:space="0" w:color="000000"/>
            </w:tcBorders>
          </w:tcPr>
          <w:p>
            <w:pPr>
              <w:pStyle w:val="TableParagraph"/>
              <w:spacing w:before="70"/>
              <w:ind w:left="12" w:right="15"/>
              <w:jc w:val="center"/>
              <w:rPr>
                <w:sz w:val="22"/>
              </w:rPr>
            </w:pPr>
            <w:r>
              <w:rPr>
                <w:spacing w:val="-4"/>
                <w:sz w:val="22"/>
              </w:rPr>
              <w:t>30.0</w:t>
            </w:r>
          </w:p>
        </w:tc>
        <w:tc>
          <w:tcPr>
            <w:tcW w:w="851" w:type="dxa"/>
            <w:tcBorders>
              <w:bottom w:val="single" w:sz="4" w:space="0" w:color="000000"/>
            </w:tcBorders>
          </w:tcPr>
          <w:p>
            <w:pPr>
              <w:pStyle w:val="TableParagraph"/>
              <w:spacing w:before="70"/>
              <w:ind w:left="17" w:right="5"/>
              <w:jc w:val="center"/>
              <w:rPr>
                <w:sz w:val="22"/>
              </w:rPr>
            </w:pPr>
            <w:r>
              <w:rPr>
                <w:spacing w:val="-4"/>
                <w:sz w:val="22"/>
              </w:rPr>
              <w:t>50.0</w:t>
            </w:r>
          </w:p>
        </w:tc>
        <w:tc>
          <w:tcPr>
            <w:tcW w:w="839" w:type="dxa"/>
            <w:tcBorders>
              <w:bottom w:val="single" w:sz="4" w:space="0" w:color="000000"/>
            </w:tcBorders>
          </w:tcPr>
          <w:p>
            <w:pPr>
              <w:pStyle w:val="TableParagraph"/>
              <w:spacing w:before="70"/>
              <w:ind w:left="19" w:right="12"/>
              <w:jc w:val="center"/>
              <w:rPr>
                <w:sz w:val="22"/>
              </w:rPr>
            </w:pPr>
            <w:r>
              <w:rPr>
                <w:spacing w:val="-4"/>
                <w:sz w:val="22"/>
              </w:rPr>
              <w:t>22.5</w:t>
            </w:r>
          </w:p>
        </w:tc>
        <w:tc>
          <w:tcPr>
            <w:tcW w:w="853" w:type="dxa"/>
            <w:tcBorders>
              <w:bottom w:val="single" w:sz="4" w:space="0" w:color="000000"/>
            </w:tcBorders>
          </w:tcPr>
          <w:p>
            <w:pPr>
              <w:pStyle w:val="TableParagraph"/>
              <w:spacing w:before="70"/>
              <w:ind w:right="11"/>
              <w:jc w:val="center"/>
              <w:rPr>
                <w:sz w:val="22"/>
              </w:rPr>
            </w:pPr>
            <w:r>
              <w:rPr>
                <w:spacing w:val="-4"/>
                <w:sz w:val="22"/>
              </w:rPr>
              <w:t>40.0</w:t>
            </w:r>
          </w:p>
        </w:tc>
      </w:tr>
    </w:tbl>
    <w:p>
      <w:pPr>
        <w:pStyle w:val="BodyText"/>
        <w:spacing w:line="360" w:lineRule="auto" w:before="20"/>
        <w:ind w:left="380" w:right="975"/>
      </w:pPr>
      <w:r>
        <w:rPr>
          <w:b/>
        </w:rPr>
        <w:t>Key:</w:t>
      </w:r>
      <w:r>
        <w:rPr>
          <w:b/>
          <w:spacing w:val="-3"/>
        </w:rPr>
        <w:t> </w:t>
      </w:r>
      <w:r>
        <w:rPr/>
        <w:t>MIC=Minimum</w:t>
      </w:r>
      <w:r>
        <w:rPr>
          <w:spacing w:val="-3"/>
        </w:rPr>
        <w:t> </w:t>
      </w:r>
      <w:r>
        <w:rPr/>
        <w:t>Inhibitory</w:t>
      </w:r>
      <w:r>
        <w:rPr>
          <w:spacing w:val="-5"/>
        </w:rPr>
        <w:t> </w:t>
      </w:r>
      <w:r>
        <w:rPr/>
        <w:t>Concentration,</w:t>
      </w:r>
      <w:r>
        <w:rPr>
          <w:spacing w:val="-5"/>
        </w:rPr>
        <w:t> </w:t>
      </w:r>
      <w:r>
        <w:rPr/>
        <w:t>MBC=</w:t>
      </w:r>
      <w:r>
        <w:rPr>
          <w:spacing w:val="-5"/>
        </w:rPr>
        <w:t> </w:t>
      </w:r>
      <w:r>
        <w:rPr/>
        <w:t>Minimum</w:t>
      </w:r>
      <w:r>
        <w:rPr>
          <w:spacing w:val="-3"/>
        </w:rPr>
        <w:t> </w:t>
      </w:r>
      <w:r>
        <w:rPr/>
        <w:t>Bactericidal</w:t>
      </w:r>
      <w:r>
        <w:rPr>
          <w:spacing w:val="-6"/>
        </w:rPr>
        <w:t> </w:t>
      </w:r>
      <w:r>
        <w:rPr/>
        <w:t>Concentration,</w:t>
      </w:r>
      <w:r>
        <w:rPr>
          <w:spacing w:val="-3"/>
        </w:rPr>
        <w:t> </w:t>
      </w:r>
      <w:r>
        <w:rPr/>
        <w:t>ES=Ear Swab, SP=Sputum, TS=Throat Swab.</w:t>
      </w:r>
    </w:p>
    <w:p>
      <w:pPr>
        <w:spacing w:after="0" w:line="360" w:lineRule="auto"/>
        <w:sectPr>
          <w:type w:val="continuous"/>
          <w:pgSz w:w="11910" w:h="16840"/>
          <w:pgMar w:header="0" w:footer="1055" w:top="1440" w:bottom="1240" w:left="1060" w:right="460"/>
        </w:sectPr>
      </w:pPr>
    </w:p>
    <w:p>
      <w:pPr>
        <w:spacing w:before="38"/>
        <w:ind w:left="680" w:right="0" w:firstLine="0"/>
        <w:jc w:val="left"/>
        <w:rPr>
          <w:b/>
          <w:i/>
          <w:sz w:val="22"/>
        </w:rPr>
      </w:pPr>
      <w:r>
        <w:rPr>
          <w:b/>
          <w:sz w:val="22"/>
        </w:rPr>
        <w:t>MIC</w:t>
      </w:r>
      <w:r>
        <w:rPr>
          <w:b/>
          <w:spacing w:val="-6"/>
          <w:sz w:val="22"/>
        </w:rPr>
        <w:t> </w:t>
      </w:r>
      <w:r>
        <w:rPr>
          <w:b/>
          <w:sz w:val="22"/>
        </w:rPr>
        <w:t>and</w:t>
      </w:r>
      <w:r>
        <w:rPr>
          <w:b/>
          <w:spacing w:val="-4"/>
          <w:sz w:val="22"/>
        </w:rPr>
        <w:t> </w:t>
      </w:r>
      <w:r>
        <w:rPr>
          <w:b/>
          <w:sz w:val="22"/>
        </w:rPr>
        <w:t>MBC</w:t>
      </w:r>
      <w:r>
        <w:rPr>
          <w:b/>
          <w:spacing w:val="-5"/>
          <w:sz w:val="22"/>
        </w:rPr>
        <w:t> </w:t>
      </w:r>
      <w:r>
        <w:rPr>
          <w:b/>
          <w:sz w:val="22"/>
        </w:rPr>
        <w:t>Test</w:t>
      </w:r>
      <w:r>
        <w:rPr>
          <w:b/>
          <w:spacing w:val="-5"/>
          <w:sz w:val="22"/>
        </w:rPr>
        <w:t> </w:t>
      </w:r>
      <w:r>
        <w:rPr>
          <w:b/>
          <w:sz w:val="22"/>
        </w:rPr>
        <w:t>(µg/ml)</w:t>
      </w:r>
      <w:r>
        <w:rPr>
          <w:b/>
          <w:spacing w:val="-5"/>
          <w:sz w:val="22"/>
        </w:rPr>
        <w:t> </w:t>
      </w:r>
      <w:r>
        <w:rPr>
          <w:b/>
          <w:sz w:val="22"/>
        </w:rPr>
        <w:t>of</w:t>
      </w:r>
      <w:r>
        <w:rPr>
          <w:b/>
          <w:spacing w:val="-3"/>
          <w:sz w:val="22"/>
        </w:rPr>
        <w:t> </w:t>
      </w:r>
      <w:r>
        <w:rPr>
          <w:b/>
          <w:sz w:val="22"/>
        </w:rPr>
        <w:t>Honey</w:t>
      </w:r>
      <w:r>
        <w:rPr>
          <w:b/>
          <w:spacing w:val="-4"/>
          <w:sz w:val="22"/>
        </w:rPr>
        <w:t> </w:t>
      </w:r>
      <w:r>
        <w:rPr>
          <w:b/>
          <w:sz w:val="22"/>
        </w:rPr>
        <w:t>and</w:t>
      </w:r>
      <w:r>
        <w:rPr>
          <w:b/>
          <w:spacing w:val="-4"/>
          <w:sz w:val="22"/>
        </w:rPr>
        <w:t> </w:t>
      </w:r>
      <w:r>
        <w:rPr>
          <w:b/>
          <w:sz w:val="22"/>
        </w:rPr>
        <w:t>Lemon</w:t>
      </w:r>
      <w:r>
        <w:rPr>
          <w:b/>
          <w:spacing w:val="-4"/>
          <w:sz w:val="22"/>
        </w:rPr>
        <w:t> </w:t>
      </w:r>
      <w:r>
        <w:rPr>
          <w:b/>
          <w:sz w:val="22"/>
        </w:rPr>
        <w:t>juice</w:t>
      </w:r>
      <w:r>
        <w:rPr>
          <w:b/>
          <w:spacing w:val="-7"/>
          <w:sz w:val="22"/>
        </w:rPr>
        <w:t> </w:t>
      </w:r>
      <w:r>
        <w:rPr>
          <w:b/>
          <w:sz w:val="22"/>
        </w:rPr>
        <w:t>mixture</w:t>
      </w:r>
      <w:r>
        <w:rPr>
          <w:b/>
          <w:spacing w:val="-4"/>
          <w:sz w:val="22"/>
        </w:rPr>
        <w:t> </w:t>
      </w:r>
      <w:r>
        <w:rPr>
          <w:b/>
          <w:sz w:val="22"/>
        </w:rPr>
        <w:t>against</w:t>
      </w:r>
      <w:r>
        <w:rPr>
          <w:b/>
          <w:spacing w:val="1"/>
          <w:sz w:val="22"/>
        </w:rPr>
        <w:t> </w:t>
      </w:r>
      <w:r>
        <w:rPr>
          <w:b/>
          <w:i/>
          <w:sz w:val="22"/>
        </w:rPr>
        <w:t>Staphylococcus</w:t>
      </w:r>
      <w:r>
        <w:rPr>
          <w:b/>
          <w:i/>
          <w:spacing w:val="-6"/>
          <w:sz w:val="22"/>
        </w:rPr>
        <w:t> </w:t>
      </w:r>
      <w:r>
        <w:rPr>
          <w:b/>
          <w:i/>
          <w:spacing w:val="-2"/>
          <w:sz w:val="22"/>
        </w:rPr>
        <w:t>aureus</w:t>
      </w:r>
    </w:p>
    <w:p>
      <w:pPr>
        <w:pStyle w:val="BodyText"/>
        <w:rPr>
          <w:b/>
          <w:i/>
          <w:sz w:val="20"/>
        </w:rPr>
      </w:pPr>
    </w:p>
    <w:p>
      <w:pPr>
        <w:pStyle w:val="BodyText"/>
        <w:spacing w:before="147"/>
        <w:rPr>
          <w:b/>
          <w:i/>
          <w:sz w:val="20"/>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0"/>
        <w:gridCol w:w="845"/>
        <w:gridCol w:w="999"/>
        <w:gridCol w:w="1002"/>
        <w:gridCol w:w="928"/>
        <w:gridCol w:w="833"/>
        <w:gridCol w:w="923"/>
        <w:gridCol w:w="850"/>
        <w:gridCol w:w="852"/>
        <w:gridCol w:w="849"/>
        <w:gridCol w:w="913"/>
      </w:tblGrid>
      <w:tr>
        <w:trPr>
          <w:trHeight w:val="665" w:hRule="atLeast"/>
        </w:trPr>
        <w:tc>
          <w:tcPr>
            <w:tcW w:w="1020" w:type="dxa"/>
            <w:tcBorders>
              <w:top w:val="single" w:sz="4" w:space="0" w:color="000000"/>
            </w:tcBorders>
          </w:tcPr>
          <w:p>
            <w:pPr>
              <w:pStyle w:val="TableParagraph"/>
              <w:spacing w:line="259" w:lineRule="auto"/>
              <w:ind w:left="372" w:right="141" w:hanging="176"/>
              <w:rPr>
                <w:b/>
                <w:sz w:val="22"/>
              </w:rPr>
            </w:pPr>
            <w:r>
              <w:rPr>
                <w:b/>
                <w:spacing w:val="-2"/>
                <w:sz w:val="22"/>
              </w:rPr>
              <w:t>Sample </w:t>
            </w:r>
            <w:r>
              <w:rPr>
                <w:b/>
                <w:spacing w:val="-4"/>
                <w:sz w:val="22"/>
              </w:rPr>
              <w:t>No.</w:t>
            </w:r>
          </w:p>
        </w:tc>
        <w:tc>
          <w:tcPr>
            <w:tcW w:w="845" w:type="dxa"/>
            <w:tcBorders>
              <w:top w:val="single" w:sz="4" w:space="0" w:color="000000"/>
            </w:tcBorders>
          </w:tcPr>
          <w:p>
            <w:pPr>
              <w:pStyle w:val="TableParagraph"/>
              <w:spacing w:before="140"/>
              <w:ind w:left="148"/>
              <w:rPr>
                <w:b/>
                <w:sz w:val="22"/>
              </w:rPr>
            </w:pPr>
            <w:r>
              <w:rPr>
                <w:b/>
                <w:spacing w:val="-5"/>
                <w:sz w:val="22"/>
              </w:rPr>
              <w:t>MIC</w:t>
            </w:r>
          </w:p>
        </w:tc>
        <w:tc>
          <w:tcPr>
            <w:tcW w:w="999" w:type="dxa"/>
            <w:tcBorders>
              <w:top w:val="single" w:sz="4" w:space="0" w:color="000000"/>
            </w:tcBorders>
          </w:tcPr>
          <w:p>
            <w:pPr>
              <w:pStyle w:val="TableParagraph"/>
              <w:spacing w:before="140"/>
              <w:ind w:left="173"/>
              <w:rPr>
                <w:b/>
                <w:sz w:val="22"/>
              </w:rPr>
            </w:pPr>
            <w:r>
              <w:rPr>
                <w:b/>
                <w:spacing w:val="-5"/>
                <w:sz w:val="22"/>
              </w:rPr>
              <w:t>MBC</w:t>
            </w:r>
          </w:p>
        </w:tc>
        <w:tc>
          <w:tcPr>
            <w:tcW w:w="1002" w:type="dxa"/>
            <w:tcBorders>
              <w:top w:val="single" w:sz="4" w:space="0" w:color="000000"/>
            </w:tcBorders>
          </w:tcPr>
          <w:p>
            <w:pPr>
              <w:pStyle w:val="TableParagraph"/>
              <w:spacing w:before="140"/>
              <w:ind w:left="309"/>
              <w:rPr>
                <w:b/>
                <w:sz w:val="22"/>
              </w:rPr>
            </w:pPr>
            <w:r>
              <w:rPr>
                <w:b/>
                <w:spacing w:val="-5"/>
                <w:sz w:val="22"/>
              </w:rPr>
              <w:t>MIC</w:t>
            </w:r>
          </w:p>
        </w:tc>
        <w:tc>
          <w:tcPr>
            <w:tcW w:w="928" w:type="dxa"/>
            <w:tcBorders>
              <w:top w:val="single" w:sz="4" w:space="0" w:color="000000"/>
            </w:tcBorders>
          </w:tcPr>
          <w:p>
            <w:pPr>
              <w:pStyle w:val="TableParagraph"/>
              <w:spacing w:before="140"/>
              <w:ind w:left="301"/>
              <w:rPr>
                <w:b/>
                <w:sz w:val="22"/>
              </w:rPr>
            </w:pPr>
            <w:r>
              <w:rPr>
                <w:b/>
                <w:spacing w:val="-5"/>
                <w:sz w:val="22"/>
              </w:rPr>
              <w:t>MBC</w:t>
            </w:r>
          </w:p>
        </w:tc>
        <w:tc>
          <w:tcPr>
            <w:tcW w:w="833" w:type="dxa"/>
            <w:tcBorders>
              <w:top w:val="single" w:sz="4" w:space="0" w:color="000000"/>
            </w:tcBorders>
          </w:tcPr>
          <w:p>
            <w:pPr>
              <w:pStyle w:val="TableParagraph"/>
              <w:spacing w:before="140"/>
              <w:ind w:left="38" w:right="54"/>
              <w:jc w:val="center"/>
              <w:rPr>
                <w:b/>
                <w:sz w:val="22"/>
              </w:rPr>
            </w:pPr>
            <w:r>
              <w:rPr>
                <w:b/>
                <w:spacing w:val="-5"/>
                <w:sz w:val="22"/>
              </w:rPr>
              <w:t>MIC</w:t>
            </w:r>
          </w:p>
        </w:tc>
        <w:tc>
          <w:tcPr>
            <w:tcW w:w="923" w:type="dxa"/>
            <w:tcBorders>
              <w:top w:val="single" w:sz="4" w:space="0" w:color="000000"/>
            </w:tcBorders>
          </w:tcPr>
          <w:p>
            <w:pPr>
              <w:pStyle w:val="TableParagraph"/>
              <w:spacing w:before="140"/>
              <w:ind w:left="239"/>
              <w:rPr>
                <w:b/>
                <w:sz w:val="22"/>
              </w:rPr>
            </w:pPr>
            <w:r>
              <w:rPr>
                <w:b/>
                <w:spacing w:val="-5"/>
                <w:sz w:val="22"/>
              </w:rPr>
              <w:t>MBC</w:t>
            </w:r>
          </w:p>
        </w:tc>
        <w:tc>
          <w:tcPr>
            <w:tcW w:w="850" w:type="dxa"/>
            <w:tcBorders>
              <w:top w:val="single" w:sz="4" w:space="0" w:color="000000"/>
            </w:tcBorders>
          </w:tcPr>
          <w:p>
            <w:pPr>
              <w:pStyle w:val="TableParagraph"/>
              <w:spacing w:before="140"/>
              <w:ind w:left="166"/>
              <w:rPr>
                <w:b/>
                <w:sz w:val="22"/>
              </w:rPr>
            </w:pPr>
            <w:r>
              <w:rPr>
                <w:b/>
                <w:spacing w:val="-5"/>
                <w:sz w:val="22"/>
              </w:rPr>
              <w:t>MIC</w:t>
            </w:r>
          </w:p>
        </w:tc>
        <w:tc>
          <w:tcPr>
            <w:tcW w:w="852" w:type="dxa"/>
            <w:tcBorders>
              <w:top w:val="single" w:sz="4" w:space="0" w:color="000000"/>
            </w:tcBorders>
          </w:tcPr>
          <w:p>
            <w:pPr>
              <w:pStyle w:val="TableParagraph"/>
              <w:spacing w:before="140"/>
              <w:ind w:left="168"/>
              <w:rPr>
                <w:b/>
                <w:sz w:val="22"/>
              </w:rPr>
            </w:pPr>
            <w:r>
              <w:rPr>
                <w:b/>
                <w:spacing w:val="-5"/>
                <w:sz w:val="22"/>
              </w:rPr>
              <w:t>MBC</w:t>
            </w:r>
          </w:p>
        </w:tc>
        <w:tc>
          <w:tcPr>
            <w:tcW w:w="849" w:type="dxa"/>
            <w:tcBorders>
              <w:top w:val="single" w:sz="4" w:space="0" w:color="000000"/>
            </w:tcBorders>
          </w:tcPr>
          <w:p>
            <w:pPr>
              <w:pStyle w:val="TableParagraph"/>
              <w:spacing w:before="140"/>
              <w:ind w:left="166"/>
              <w:rPr>
                <w:b/>
                <w:sz w:val="22"/>
              </w:rPr>
            </w:pPr>
            <w:r>
              <w:rPr>
                <w:b/>
                <w:spacing w:val="-5"/>
                <w:sz w:val="22"/>
              </w:rPr>
              <w:t>MIC</w:t>
            </w:r>
          </w:p>
        </w:tc>
        <w:tc>
          <w:tcPr>
            <w:tcW w:w="913" w:type="dxa"/>
            <w:tcBorders>
              <w:top w:val="single" w:sz="4" w:space="0" w:color="000000"/>
            </w:tcBorders>
          </w:tcPr>
          <w:p>
            <w:pPr>
              <w:pStyle w:val="TableParagraph"/>
              <w:spacing w:before="140"/>
              <w:ind w:left="167"/>
              <w:rPr>
                <w:b/>
                <w:sz w:val="22"/>
              </w:rPr>
            </w:pPr>
            <w:r>
              <w:rPr>
                <w:b/>
                <w:spacing w:val="-5"/>
                <w:sz w:val="22"/>
              </w:rPr>
              <w:t>MBC</w:t>
            </w:r>
          </w:p>
        </w:tc>
      </w:tr>
      <w:tr>
        <w:trPr>
          <w:trHeight w:val="524" w:hRule="atLeast"/>
        </w:trPr>
        <w:tc>
          <w:tcPr>
            <w:tcW w:w="1020" w:type="dxa"/>
            <w:tcBorders>
              <w:bottom w:val="single" w:sz="4" w:space="0" w:color="000000"/>
            </w:tcBorders>
          </w:tcPr>
          <w:p>
            <w:pPr>
              <w:pStyle w:val="TableParagraph"/>
              <w:rPr>
                <w:rFonts w:ascii="Times New Roman"/>
                <w:sz w:val="22"/>
              </w:rPr>
            </w:pPr>
          </w:p>
        </w:tc>
        <w:tc>
          <w:tcPr>
            <w:tcW w:w="845" w:type="dxa"/>
            <w:tcBorders>
              <w:bottom w:val="single" w:sz="4" w:space="0" w:color="000000"/>
            </w:tcBorders>
          </w:tcPr>
          <w:p>
            <w:pPr>
              <w:pStyle w:val="TableParagraph"/>
              <w:spacing w:before="70"/>
              <w:ind w:left="148"/>
              <w:rPr>
                <w:b/>
                <w:sz w:val="22"/>
              </w:rPr>
            </w:pPr>
            <w:r>
              <w:rPr>
                <w:b/>
                <w:spacing w:val="-2"/>
                <w:sz w:val="22"/>
              </w:rPr>
              <w:t>10:50</w:t>
            </w:r>
          </w:p>
        </w:tc>
        <w:tc>
          <w:tcPr>
            <w:tcW w:w="999" w:type="dxa"/>
            <w:tcBorders>
              <w:bottom w:val="single" w:sz="4" w:space="0" w:color="000000"/>
            </w:tcBorders>
          </w:tcPr>
          <w:p>
            <w:pPr>
              <w:pStyle w:val="TableParagraph"/>
              <w:rPr>
                <w:rFonts w:ascii="Times New Roman"/>
                <w:sz w:val="22"/>
              </w:rPr>
            </w:pPr>
          </w:p>
        </w:tc>
        <w:tc>
          <w:tcPr>
            <w:tcW w:w="1002" w:type="dxa"/>
            <w:tcBorders>
              <w:bottom w:val="single" w:sz="4" w:space="0" w:color="000000"/>
            </w:tcBorders>
          </w:tcPr>
          <w:p>
            <w:pPr>
              <w:pStyle w:val="TableParagraph"/>
              <w:spacing w:before="70"/>
              <w:ind w:right="183"/>
              <w:jc w:val="right"/>
              <w:rPr>
                <w:b/>
                <w:sz w:val="22"/>
              </w:rPr>
            </w:pPr>
            <w:r>
              <w:rPr>
                <w:b/>
                <w:spacing w:val="-2"/>
                <w:sz w:val="22"/>
              </w:rPr>
              <w:t>20:50</w:t>
            </w:r>
          </w:p>
        </w:tc>
        <w:tc>
          <w:tcPr>
            <w:tcW w:w="1761" w:type="dxa"/>
            <w:gridSpan w:val="2"/>
            <w:tcBorders>
              <w:bottom w:val="single" w:sz="4" w:space="0" w:color="000000"/>
            </w:tcBorders>
          </w:tcPr>
          <w:p>
            <w:pPr>
              <w:pStyle w:val="TableParagraph"/>
              <w:spacing w:before="70"/>
              <w:ind w:left="848"/>
              <w:rPr>
                <w:b/>
                <w:sz w:val="22"/>
              </w:rPr>
            </w:pPr>
            <w:r>
              <w:rPr>
                <w:b/>
                <w:spacing w:val="-2"/>
                <w:sz w:val="22"/>
              </w:rPr>
              <w:t>30:50</w:t>
            </w:r>
          </w:p>
        </w:tc>
        <w:tc>
          <w:tcPr>
            <w:tcW w:w="923" w:type="dxa"/>
            <w:tcBorders>
              <w:bottom w:val="single" w:sz="4" w:space="0" w:color="000000"/>
            </w:tcBorders>
          </w:tcPr>
          <w:p>
            <w:pPr>
              <w:pStyle w:val="TableParagraph"/>
              <w:rPr>
                <w:rFonts w:ascii="Times New Roman"/>
                <w:sz w:val="22"/>
              </w:rPr>
            </w:pPr>
          </w:p>
        </w:tc>
        <w:tc>
          <w:tcPr>
            <w:tcW w:w="850" w:type="dxa"/>
            <w:tcBorders>
              <w:bottom w:val="single" w:sz="4" w:space="0" w:color="000000"/>
            </w:tcBorders>
          </w:tcPr>
          <w:p>
            <w:pPr>
              <w:pStyle w:val="TableParagraph"/>
              <w:spacing w:before="70"/>
              <w:ind w:right="173"/>
              <w:jc w:val="right"/>
              <w:rPr>
                <w:b/>
                <w:sz w:val="22"/>
              </w:rPr>
            </w:pPr>
            <w:r>
              <w:rPr>
                <w:b/>
                <w:spacing w:val="-2"/>
                <w:sz w:val="22"/>
              </w:rPr>
              <w:t>40:50</w:t>
            </w:r>
          </w:p>
        </w:tc>
        <w:tc>
          <w:tcPr>
            <w:tcW w:w="852" w:type="dxa"/>
            <w:tcBorders>
              <w:bottom w:val="single" w:sz="4" w:space="0" w:color="000000"/>
            </w:tcBorders>
          </w:tcPr>
          <w:p>
            <w:pPr>
              <w:pStyle w:val="TableParagraph"/>
              <w:rPr>
                <w:rFonts w:ascii="Times New Roman"/>
                <w:sz w:val="22"/>
              </w:rPr>
            </w:pPr>
          </w:p>
        </w:tc>
        <w:tc>
          <w:tcPr>
            <w:tcW w:w="849" w:type="dxa"/>
            <w:tcBorders>
              <w:bottom w:val="single" w:sz="4" w:space="0" w:color="000000"/>
            </w:tcBorders>
          </w:tcPr>
          <w:p>
            <w:pPr>
              <w:pStyle w:val="TableParagraph"/>
              <w:spacing w:before="70"/>
              <w:ind w:left="166"/>
              <w:rPr>
                <w:b/>
                <w:sz w:val="22"/>
              </w:rPr>
            </w:pPr>
            <w:r>
              <w:rPr>
                <w:b/>
                <w:spacing w:val="-2"/>
                <w:sz w:val="22"/>
              </w:rPr>
              <w:t>50:50</w:t>
            </w:r>
          </w:p>
        </w:tc>
        <w:tc>
          <w:tcPr>
            <w:tcW w:w="913" w:type="dxa"/>
            <w:tcBorders>
              <w:bottom w:val="single" w:sz="4" w:space="0" w:color="000000"/>
            </w:tcBorders>
          </w:tcPr>
          <w:p>
            <w:pPr>
              <w:pStyle w:val="TableParagraph"/>
              <w:rPr>
                <w:rFonts w:ascii="Times New Roman"/>
                <w:sz w:val="22"/>
              </w:rPr>
            </w:pPr>
          </w:p>
        </w:tc>
      </w:tr>
      <w:tr>
        <w:trPr>
          <w:trHeight w:val="375" w:hRule="atLeast"/>
        </w:trPr>
        <w:tc>
          <w:tcPr>
            <w:tcW w:w="1020" w:type="dxa"/>
            <w:tcBorders>
              <w:top w:val="single" w:sz="4" w:space="0" w:color="000000"/>
            </w:tcBorders>
          </w:tcPr>
          <w:p>
            <w:pPr>
              <w:pStyle w:val="TableParagraph"/>
              <w:spacing w:line="265" w:lineRule="exact"/>
              <w:ind w:right="159"/>
              <w:jc w:val="center"/>
              <w:rPr>
                <w:sz w:val="22"/>
              </w:rPr>
            </w:pPr>
            <w:r>
              <w:rPr>
                <w:sz w:val="22"/>
              </w:rPr>
              <w:t>NS</w:t>
            </w:r>
            <w:r>
              <w:rPr>
                <w:spacing w:val="-1"/>
                <w:sz w:val="22"/>
              </w:rPr>
              <w:t> </w:t>
            </w:r>
            <w:r>
              <w:rPr>
                <w:spacing w:val="-5"/>
                <w:sz w:val="22"/>
              </w:rPr>
              <w:t>256</w:t>
            </w:r>
          </w:p>
        </w:tc>
        <w:tc>
          <w:tcPr>
            <w:tcW w:w="845" w:type="dxa"/>
            <w:tcBorders>
              <w:top w:val="single" w:sz="4" w:space="0" w:color="000000"/>
            </w:tcBorders>
          </w:tcPr>
          <w:p>
            <w:pPr>
              <w:pStyle w:val="TableParagraph"/>
              <w:spacing w:line="265" w:lineRule="exact"/>
              <w:ind w:right="171"/>
              <w:jc w:val="right"/>
              <w:rPr>
                <w:sz w:val="22"/>
              </w:rPr>
            </w:pPr>
            <w:r>
              <w:rPr>
                <w:spacing w:val="-4"/>
                <w:sz w:val="22"/>
              </w:rPr>
              <w:t>15.0</w:t>
            </w:r>
          </w:p>
        </w:tc>
        <w:tc>
          <w:tcPr>
            <w:tcW w:w="999" w:type="dxa"/>
            <w:tcBorders>
              <w:top w:val="single" w:sz="4" w:space="0" w:color="000000"/>
            </w:tcBorders>
          </w:tcPr>
          <w:p>
            <w:pPr>
              <w:pStyle w:val="TableParagraph"/>
              <w:spacing w:line="265" w:lineRule="exact"/>
              <w:ind w:right="308"/>
              <w:jc w:val="right"/>
              <w:rPr>
                <w:sz w:val="22"/>
              </w:rPr>
            </w:pPr>
            <w:r>
              <w:rPr>
                <w:spacing w:val="-4"/>
                <w:sz w:val="22"/>
              </w:rPr>
              <w:t>25.0</w:t>
            </w:r>
          </w:p>
        </w:tc>
        <w:tc>
          <w:tcPr>
            <w:tcW w:w="1002" w:type="dxa"/>
            <w:tcBorders>
              <w:top w:val="single" w:sz="4" w:space="0" w:color="000000"/>
            </w:tcBorders>
          </w:tcPr>
          <w:p>
            <w:pPr>
              <w:pStyle w:val="TableParagraph"/>
              <w:spacing w:line="265" w:lineRule="exact"/>
              <w:ind w:right="192"/>
              <w:jc w:val="right"/>
              <w:rPr>
                <w:sz w:val="22"/>
              </w:rPr>
            </w:pPr>
            <w:r>
              <w:rPr>
                <w:spacing w:val="-4"/>
                <w:sz w:val="22"/>
              </w:rPr>
              <w:t>17.5</w:t>
            </w:r>
          </w:p>
        </w:tc>
        <w:tc>
          <w:tcPr>
            <w:tcW w:w="928" w:type="dxa"/>
            <w:tcBorders>
              <w:top w:val="single" w:sz="4" w:space="0" w:color="000000"/>
            </w:tcBorders>
          </w:tcPr>
          <w:p>
            <w:pPr>
              <w:pStyle w:val="TableParagraph"/>
              <w:spacing w:line="265" w:lineRule="exact"/>
              <w:ind w:left="183"/>
              <w:rPr>
                <w:sz w:val="22"/>
              </w:rPr>
            </w:pPr>
            <w:r>
              <w:rPr>
                <w:spacing w:val="-4"/>
                <w:sz w:val="22"/>
              </w:rPr>
              <w:t>25.0</w:t>
            </w:r>
          </w:p>
        </w:tc>
        <w:tc>
          <w:tcPr>
            <w:tcW w:w="833" w:type="dxa"/>
            <w:tcBorders>
              <w:top w:val="single" w:sz="4" w:space="0" w:color="000000"/>
            </w:tcBorders>
          </w:tcPr>
          <w:p>
            <w:pPr>
              <w:pStyle w:val="TableParagraph"/>
              <w:spacing w:line="265" w:lineRule="exact"/>
              <w:ind w:right="54"/>
              <w:jc w:val="center"/>
              <w:rPr>
                <w:sz w:val="22"/>
              </w:rPr>
            </w:pPr>
            <w:r>
              <w:rPr>
                <w:spacing w:val="-4"/>
                <w:sz w:val="22"/>
              </w:rPr>
              <w:t>25.0</w:t>
            </w:r>
          </w:p>
        </w:tc>
        <w:tc>
          <w:tcPr>
            <w:tcW w:w="923" w:type="dxa"/>
            <w:tcBorders>
              <w:top w:val="single" w:sz="4" w:space="0" w:color="000000"/>
            </w:tcBorders>
          </w:tcPr>
          <w:p>
            <w:pPr>
              <w:pStyle w:val="TableParagraph"/>
              <w:spacing w:line="265" w:lineRule="exact"/>
              <w:ind w:right="166"/>
              <w:jc w:val="right"/>
              <w:rPr>
                <w:sz w:val="22"/>
              </w:rPr>
            </w:pPr>
            <w:r>
              <w:rPr>
                <w:spacing w:val="-4"/>
                <w:sz w:val="22"/>
              </w:rPr>
              <w:t>45.0</w:t>
            </w:r>
          </w:p>
        </w:tc>
        <w:tc>
          <w:tcPr>
            <w:tcW w:w="850" w:type="dxa"/>
            <w:tcBorders>
              <w:top w:val="single" w:sz="4" w:space="0" w:color="000000"/>
            </w:tcBorders>
          </w:tcPr>
          <w:p>
            <w:pPr>
              <w:pStyle w:val="TableParagraph"/>
              <w:spacing w:line="265" w:lineRule="exact"/>
              <w:ind w:right="168"/>
              <w:jc w:val="right"/>
              <w:rPr>
                <w:sz w:val="22"/>
              </w:rPr>
            </w:pPr>
            <w:r>
              <w:rPr>
                <w:spacing w:val="-4"/>
                <w:sz w:val="22"/>
              </w:rPr>
              <w:t>25.0</w:t>
            </w:r>
          </w:p>
        </w:tc>
        <w:tc>
          <w:tcPr>
            <w:tcW w:w="852" w:type="dxa"/>
            <w:tcBorders>
              <w:top w:val="single" w:sz="4" w:space="0" w:color="000000"/>
            </w:tcBorders>
          </w:tcPr>
          <w:p>
            <w:pPr>
              <w:pStyle w:val="TableParagraph"/>
              <w:spacing w:line="265" w:lineRule="exact"/>
              <w:ind w:right="165"/>
              <w:jc w:val="right"/>
              <w:rPr>
                <w:sz w:val="22"/>
              </w:rPr>
            </w:pPr>
            <w:r>
              <w:rPr>
                <w:spacing w:val="-4"/>
                <w:sz w:val="22"/>
              </w:rPr>
              <w:t>50.0</w:t>
            </w:r>
          </w:p>
        </w:tc>
        <w:tc>
          <w:tcPr>
            <w:tcW w:w="849" w:type="dxa"/>
            <w:tcBorders>
              <w:top w:val="single" w:sz="4" w:space="0" w:color="000000"/>
            </w:tcBorders>
          </w:tcPr>
          <w:p>
            <w:pPr>
              <w:pStyle w:val="TableParagraph"/>
              <w:spacing w:line="265" w:lineRule="exact"/>
              <w:ind w:right="167"/>
              <w:jc w:val="right"/>
              <w:rPr>
                <w:sz w:val="22"/>
              </w:rPr>
            </w:pPr>
            <w:r>
              <w:rPr>
                <w:spacing w:val="-4"/>
                <w:sz w:val="22"/>
              </w:rPr>
              <w:t>20.0</w:t>
            </w:r>
          </w:p>
        </w:tc>
        <w:tc>
          <w:tcPr>
            <w:tcW w:w="913" w:type="dxa"/>
            <w:tcBorders>
              <w:top w:val="single" w:sz="4" w:space="0" w:color="000000"/>
            </w:tcBorders>
          </w:tcPr>
          <w:p>
            <w:pPr>
              <w:pStyle w:val="TableParagraph"/>
              <w:spacing w:line="265" w:lineRule="exact"/>
              <w:ind w:right="228"/>
              <w:jc w:val="right"/>
              <w:rPr>
                <w:sz w:val="22"/>
              </w:rPr>
            </w:pPr>
            <w:r>
              <w:rPr>
                <w:spacing w:val="-4"/>
                <w:sz w:val="22"/>
              </w:rPr>
              <w:t>35.0</w:t>
            </w:r>
          </w:p>
        </w:tc>
      </w:tr>
      <w:tr>
        <w:trPr>
          <w:trHeight w:val="450" w:hRule="atLeast"/>
        </w:trPr>
        <w:tc>
          <w:tcPr>
            <w:tcW w:w="1020" w:type="dxa"/>
          </w:tcPr>
          <w:p>
            <w:pPr>
              <w:pStyle w:val="TableParagraph"/>
              <w:spacing w:before="70"/>
              <w:ind w:right="159"/>
              <w:jc w:val="center"/>
              <w:rPr>
                <w:sz w:val="22"/>
              </w:rPr>
            </w:pPr>
            <w:r>
              <w:rPr>
                <w:sz w:val="22"/>
              </w:rPr>
              <w:t>NS</w:t>
            </w:r>
            <w:r>
              <w:rPr>
                <w:spacing w:val="-1"/>
                <w:sz w:val="22"/>
              </w:rPr>
              <w:t> </w:t>
            </w:r>
            <w:r>
              <w:rPr>
                <w:spacing w:val="-5"/>
                <w:sz w:val="22"/>
              </w:rPr>
              <w:t>893</w:t>
            </w:r>
          </w:p>
        </w:tc>
        <w:tc>
          <w:tcPr>
            <w:tcW w:w="845" w:type="dxa"/>
          </w:tcPr>
          <w:p>
            <w:pPr>
              <w:pStyle w:val="TableParagraph"/>
              <w:spacing w:before="70"/>
              <w:ind w:right="171"/>
              <w:jc w:val="right"/>
              <w:rPr>
                <w:sz w:val="22"/>
              </w:rPr>
            </w:pPr>
            <w:r>
              <w:rPr>
                <w:spacing w:val="-4"/>
                <w:sz w:val="22"/>
              </w:rPr>
              <w:t>20.0</w:t>
            </w:r>
          </w:p>
        </w:tc>
        <w:tc>
          <w:tcPr>
            <w:tcW w:w="999" w:type="dxa"/>
          </w:tcPr>
          <w:p>
            <w:pPr>
              <w:pStyle w:val="TableParagraph"/>
              <w:spacing w:before="70"/>
              <w:ind w:right="308"/>
              <w:jc w:val="right"/>
              <w:rPr>
                <w:sz w:val="22"/>
              </w:rPr>
            </w:pPr>
            <w:r>
              <w:rPr>
                <w:spacing w:val="-4"/>
                <w:sz w:val="22"/>
              </w:rPr>
              <w:t>30.0</w:t>
            </w:r>
          </w:p>
        </w:tc>
        <w:tc>
          <w:tcPr>
            <w:tcW w:w="1002" w:type="dxa"/>
          </w:tcPr>
          <w:p>
            <w:pPr>
              <w:pStyle w:val="TableParagraph"/>
              <w:spacing w:before="70"/>
              <w:ind w:right="192"/>
              <w:jc w:val="right"/>
              <w:rPr>
                <w:sz w:val="22"/>
              </w:rPr>
            </w:pPr>
            <w:r>
              <w:rPr>
                <w:spacing w:val="-4"/>
                <w:sz w:val="22"/>
              </w:rPr>
              <w:t>22.5</w:t>
            </w:r>
          </w:p>
        </w:tc>
        <w:tc>
          <w:tcPr>
            <w:tcW w:w="928" w:type="dxa"/>
          </w:tcPr>
          <w:p>
            <w:pPr>
              <w:pStyle w:val="TableParagraph"/>
              <w:spacing w:before="70"/>
              <w:ind w:left="183"/>
              <w:rPr>
                <w:sz w:val="22"/>
              </w:rPr>
            </w:pPr>
            <w:r>
              <w:rPr>
                <w:spacing w:val="-4"/>
                <w:sz w:val="22"/>
              </w:rPr>
              <w:t>30.0</w:t>
            </w:r>
          </w:p>
        </w:tc>
        <w:tc>
          <w:tcPr>
            <w:tcW w:w="833" w:type="dxa"/>
          </w:tcPr>
          <w:p>
            <w:pPr>
              <w:pStyle w:val="TableParagraph"/>
              <w:spacing w:before="70"/>
              <w:ind w:right="54"/>
              <w:jc w:val="center"/>
              <w:rPr>
                <w:sz w:val="22"/>
              </w:rPr>
            </w:pPr>
            <w:r>
              <w:rPr>
                <w:spacing w:val="-4"/>
                <w:sz w:val="22"/>
              </w:rPr>
              <w:t>17.5</w:t>
            </w:r>
          </w:p>
        </w:tc>
        <w:tc>
          <w:tcPr>
            <w:tcW w:w="923" w:type="dxa"/>
          </w:tcPr>
          <w:p>
            <w:pPr>
              <w:pStyle w:val="TableParagraph"/>
              <w:spacing w:before="70"/>
              <w:ind w:right="166"/>
              <w:jc w:val="right"/>
              <w:rPr>
                <w:sz w:val="22"/>
              </w:rPr>
            </w:pPr>
            <w:r>
              <w:rPr>
                <w:spacing w:val="-4"/>
                <w:sz w:val="22"/>
              </w:rPr>
              <w:t>25.0</w:t>
            </w:r>
          </w:p>
        </w:tc>
        <w:tc>
          <w:tcPr>
            <w:tcW w:w="850" w:type="dxa"/>
          </w:tcPr>
          <w:p>
            <w:pPr>
              <w:pStyle w:val="TableParagraph"/>
              <w:spacing w:before="70"/>
              <w:ind w:right="168"/>
              <w:jc w:val="right"/>
              <w:rPr>
                <w:sz w:val="22"/>
              </w:rPr>
            </w:pPr>
            <w:r>
              <w:rPr>
                <w:spacing w:val="-4"/>
                <w:sz w:val="22"/>
              </w:rPr>
              <w:t>20.0</w:t>
            </w:r>
          </w:p>
        </w:tc>
        <w:tc>
          <w:tcPr>
            <w:tcW w:w="852" w:type="dxa"/>
          </w:tcPr>
          <w:p>
            <w:pPr>
              <w:pStyle w:val="TableParagraph"/>
              <w:spacing w:before="70"/>
              <w:ind w:right="165"/>
              <w:jc w:val="right"/>
              <w:rPr>
                <w:sz w:val="22"/>
              </w:rPr>
            </w:pPr>
            <w:r>
              <w:rPr>
                <w:spacing w:val="-4"/>
                <w:sz w:val="22"/>
              </w:rPr>
              <w:t>35.0</w:t>
            </w:r>
          </w:p>
        </w:tc>
        <w:tc>
          <w:tcPr>
            <w:tcW w:w="849" w:type="dxa"/>
          </w:tcPr>
          <w:p>
            <w:pPr>
              <w:pStyle w:val="TableParagraph"/>
              <w:spacing w:before="70"/>
              <w:ind w:right="167"/>
              <w:jc w:val="right"/>
              <w:rPr>
                <w:sz w:val="22"/>
              </w:rPr>
            </w:pPr>
            <w:r>
              <w:rPr>
                <w:spacing w:val="-4"/>
                <w:sz w:val="22"/>
              </w:rPr>
              <w:t>30.0</w:t>
            </w:r>
          </w:p>
        </w:tc>
        <w:tc>
          <w:tcPr>
            <w:tcW w:w="913" w:type="dxa"/>
          </w:tcPr>
          <w:p>
            <w:pPr>
              <w:pStyle w:val="TableParagraph"/>
              <w:spacing w:before="70"/>
              <w:ind w:right="228"/>
              <w:jc w:val="right"/>
              <w:rPr>
                <w:sz w:val="22"/>
              </w:rPr>
            </w:pPr>
            <w:r>
              <w:rPr>
                <w:spacing w:val="-4"/>
                <w:sz w:val="22"/>
              </w:rPr>
              <w:t>50.0</w:t>
            </w:r>
          </w:p>
        </w:tc>
      </w:tr>
      <w:tr>
        <w:trPr>
          <w:trHeight w:val="450" w:hRule="atLeast"/>
        </w:trPr>
        <w:tc>
          <w:tcPr>
            <w:tcW w:w="1020" w:type="dxa"/>
          </w:tcPr>
          <w:p>
            <w:pPr>
              <w:pStyle w:val="TableParagraph"/>
              <w:spacing w:before="71"/>
              <w:ind w:left="84" w:right="159"/>
              <w:jc w:val="center"/>
              <w:rPr>
                <w:sz w:val="22"/>
              </w:rPr>
            </w:pPr>
            <w:r>
              <w:rPr>
                <w:sz w:val="22"/>
              </w:rPr>
              <w:t>SP</w:t>
            </w:r>
            <w:r>
              <w:rPr>
                <w:spacing w:val="1"/>
                <w:sz w:val="22"/>
              </w:rPr>
              <w:t> </w:t>
            </w:r>
            <w:r>
              <w:rPr>
                <w:spacing w:val="-4"/>
                <w:sz w:val="22"/>
              </w:rPr>
              <w:t>1096</w:t>
            </w:r>
          </w:p>
        </w:tc>
        <w:tc>
          <w:tcPr>
            <w:tcW w:w="845" w:type="dxa"/>
          </w:tcPr>
          <w:p>
            <w:pPr>
              <w:pStyle w:val="TableParagraph"/>
              <w:spacing w:before="71"/>
              <w:ind w:right="171"/>
              <w:jc w:val="right"/>
              <w:rPr>
                <w:sz w:val="22"/>
              </w:rPr>
            </w:pPr>
            <w:r>
              <w:rPr>
                <w:spacing w:val="-4"/>
                <w:sz w:val="22"/>
              </w:rPr>
              <w:t>15.0</w:t>
            </w:r>
          </w:p>
        </w:tc>
        <w:tc>
          <w:tcPr>
            <w:tcW w:w="999" w:type="dxa"/>
          </w:tcPr>
          <w:p>
            <w:pPr>
              <w:pStyle w:val="TableParagraph"/>
              <w:spacing w:before="71"/>
              <w:ind w:right="308"/>
              <w:jc w:val="right"/>
              <w:rPr>
                <w:sz w:val="22"/>
              </w:rPr>
            </w:pPr>
            <w:r>
              <w:rPr>
                <w:spacing w:val="-4"/>
                <w:sz w:val="22"/>
              </w:rPr>
              <w:t>25.0</w:t>
            </w:r>
          </w:p>
        </w:tc>
        <w:tc>
          <w:tcPr>
            <w:tcW w:w="1002" w:type="dxa"/>
          </w:tcPr>
          <w:p>
            <w:pPr>
              <w:pStyle w:val="TableParagraph"/>
              <w:spacing w:before="71"/>
              <w:ind w:right="192"/>
              <w:jc w:val="right"/>
              <w:rPr>
                <w:sz w:val="22"/>
              </w:rPr>
            </w:pPr>
            <w:r>
              <w:rPr>
                <w:spacing w:val="-4"/>
                <w:sz w:val="22"/>
              </w:rPr>
              <w:t>20.0</w:t>
            </w:r>
          </w:p>
        </w:tc>
        <w:tc>
          <w:tcPr>
            <w:tcW w:w="928" w:type="dxa"/>
          </w:tcPr>
          <w:p>
            <w:pPr>
              <w:pStyle w:val="TableParagraph"/>
              <w:spacing w:before="71"/>
              <w:ind w:left="183"/>
              <w:rPr>
                <w:sz w:val="22"/>
              </w:rPr>
            </w:pPr>
            <w:r>
              <w:rPr>
                <w:spacing w:val="-4"/>
                <w:sz w:val="22"/>
              </w:rPr>
              <w:t>30.0</w:t>
            </w:r>
          </w:p>
        </w:tc>
        <w:tc>
          <w:tcPr>
            <w:tcW w:w="833" w:type="dxa"/>
          </w:tcPr>
          <w:p>
            <w:pPr>
              <w:pStyle w:val="TableParagraph"/>
              <w:spacing w:before="71"/>
              <w:ind w:right="54"/>
              <w:jc w:val="center"/>
              <w:rPr>
                <w:sz w:val="22"/>
              </w:rPr>
            </w:pPr>
            <w:r>
              <w:rPr>
                <w:spacing w:val="-4"/>
                <w:sz w:val="22"/>
              </w:rPr>
              <w:t>25.0</w:t>
            </w:r>
          </w:p>
        </w:tc>
        <w:tc>
          <w:tcPr>
            <w:tcW w:w="923" w:type="dxa"/>
          </w:tcPr>
          <w:p>
            <w:pPr>
              <w:pStyle w:val="TableParagraph"/>
              <w:spacing w:before="71"/>
              <w:ind w:right="166"/>
              <w:jc w:val="right"/>
              <w:rPr>
                <w:sz w:val="22"/>
              </w:rPr>
            </w:pPr>
            <w:r>
              <w:rPr>
                <w:spacing w:val="-4"/>
                <w:sz w:val="22"/>
              </w:rPr>
              <w:t>50.0</w:t>
            </w:r>
          </w:p>
        </w:tc>
        <w:tc>
          <w:tcPr>
            <w:tcW w:w="850" w:type="dxa"/>
          </w:tcPr>
          <w:p>
            <w:pPr>
              <w:pStyle w:val="TableParagraph"/>
              <w:spacing w:before="71"/>
              <w:ind w:right="168"/>
              <w:jc w:val="right"/>
              <w:rPr>
                <w:sz w:val="22"/>
              </w:rPr>
            </w:pPr>
            <w:r>
              <w:rPr>
                <w:spacing w:val="-4"/>
                <w:sz w:val="22"/>
              </w:rPr>
              <w:t>30.0</w:t>
            </w:r>
          </w:p>
        </w:tc>
        <w:tc>
          <w:tcPr>
            <w:tcW w:w="852" w:type="dxa"/>
          </w:tcPr>
          <w:p>
            <w:pPr>
              <w:pStyle w:val="TableParagraph"/>
              <w:spacing w:before="71"/>
              <w:ind w:right="165"/>
              <w:jc w:val="right"/>
              <w:rPr>
                <w:sz w:val="22"/>
              </w:rPr>
            </w:pPr>
            <w:r>
              <w:rPr>
                <w:spacing w:val="-4"/>
                <w:sz w:val="22"/>
              </w:rPr>
              <w:t>60.0</w:t>
            </w:r>
          </w:p>
        </w:tc>
        <w:tc>
          <w:tcPr>
            <w:tcW w:w="849" w:type="dxa"/>
          </w:tcPr>
          <w:p>
            <w:pPr>
              <w:pStyle w:val="TableParagraph"/>
              <w:spacing w:before="71"/>
              <w:ind w:right="167"/>
              <w:jc w:val="right"/>
              <w:rPr>
                <w:sz w:val="22"/>
              </w:rPr>
            </w:pPr>
            <w:r>
              <w:rPr>
                <w:spacing w:val="-4"/>
                <w:sz w:val="22"/>
              </w:rPr>
              <w:t>17.5</w:t>
            </w:r>
          </w:p>
        </w:tc>
        <w:tc>
          <w:tcPr>
            <w:tcW w:w="913" w:type="dxa"/>
          </w:tcPr>
          <w:p>
            <w:pPr>
              <w:pStyle w:val="TableParagraph"/>
              <w:spacing w:before="71"/>
              <w:ind w:right="228"/>
              <w:jc w:val="right"/>
              <w:rPr>
                <w:sz w:val="22"/>
              </w:rPr>
            </w:pPr>
            <w:r>
              <w:rPr>
                <w:spacing w:val="-4"/>
                <w:sz w:val="22"/>
              </w:rPr>
              <w:t>25.0</w:t>
            </w:r>
          </w:p>
        </w:tc>
      </w:tr>
      <w:tr>
        <w:trPr>
          <w:trHeight w:val="449" w:hRule="atLeast"/>
        </w:trPr>
        <w:tc>
          <w:tcPr>
            <w:tcW w:w="1020" w:type="dxa"/>
          </w:tcPr>
          <w:p>
            <w:pPr>
              <w:pStyle w:val="TableParagraph"/>
              <w:spacing w:before="70"/>
              <w:ind w:left="84" w:right="159"/>
              <w:jc w:val="center"/>
              <w:rPr>
                <w:sz w:val="22"/>
              </w:rPr>
            </w:pPr>
            <w:r>
              <w:rPr>
                <w:sz w:val="22"/>
              </w:rPr>
              <w:t>SP</w:t>
            </w:r>
            <w:r>
              <w:rPr>
                <w:spacing w:val="1"/>
                <w:sz w:val="22"/>
              </w:rPr>
              <w:t> </w:t>
            </w:r>
            <w:r>
              <w:rPr>
                <w:spacing w:val="-4"/>
                <w:sz w:val="22"/>
              </w:rPr>
              <w:t>1308</w:t>
            </w:r>
          </w:p>
        </w:tc>
        <w:tc>
          <w:tcPr>
            <w:tcW w:w="845" w:type="dxa"/>
          </w:tcPr>
          <w:p>
            <w:pPr>
              <w:pStyle w:val="TableParagraph"/>
              <w:spacing w:before="70"/>
              <w:ind w:right="171"/>
              <w:jc w:val="right"/>
              <w:rPr>
                <w:sz w:val="22"/>
              </w:rPr>
            </w:pPr>
            <w:r>
              <w:rPr>
                <w:spacing w:val="-4"/>
                <w:sz w:val="22"/>
              </w:rPr>
              <w:t>20.0</w:t>
            </w:r>
          </w:p>
        </w:tc>
        <w:tc>
          <w:tcPr>
            <w:tcW w:w="999" w:type="dxa"/>
          </w:tcPr>
          <w:p>
            <w:pPr>
              <w:pStyle w:val="TableParagraph"/>
              <w:spacing w:before="70"/>
              <w:ind w:right="308"/>
              <w:jc w:val="right"/>
              <w:rPr>
                <w:sz w:val="22"/>
              </w:rPr>
            </w:pPr>
            <w:r>
              <w:rPr>
                <w:spacing w:val="-4"/>
                <w:sz w:val="22"/>
              </w:rPr>
              <w:t>35.0</w:t>
            </w:r>
          </w:p>
        </w:tc>
        <w:tc>
          <w:tcPr>
            <w:tcW w:w="1002" w:type="dxa"/>
          </w:tcPr>
          <w:p>
            <w:pPr>
              <w:pStyle w:val="TableParagraph"/>
              <w:spacing w:before="70"/>
              <w:ind w:right="192"/>
              <w:jc w:val="right"/>
              <w:rPr>
                <w:sz w:val="22"/>
              </w:rPr>
            </w:pPr>
            <w:r>
              <w:rPr>
                <w:spacing w:val="-4"/>
                <w:sz w:val="22"/>
              </w:rPr>
              <w:t>30.0</w:t>
            </w:r>
          </w:p>
        </w:tc>
        <w:tc>
          <w:tcPr>
            <w:tcW w:w="928" w:type="dxa"/>
          </w:tcPr>
          <w:p>
            <w:pPr>
              <w:pStyle w:val="TableParagraph"/>
              <w:spacing w:before="70"/>
              <w:ind w:left="183"/>
              <w:rPr>
                <w:sz w:val="22"/>
              </w:rPr>
            </w:pPr>
            <w:r>
              <w:rPr>
                <w:spacing w:val="-4"/>
                <w:sz w:val="22"/>
              </w:rPr>
              <w:t>50.0</w:t>
            </w:r>
          </w:p>
        </w:tc>
        <w:tc>
          <w:tcPr>
            <w:tcW w:w="833" w:type="dxa"/>
          </w:tcPr>
          <w:p>
            <w:pPr>
              <w:pStyle w:val="TableParagraph"/>
              <w:spacing w:before="70"/>
              <w:ind w:right="54"/>
              <w:jc w:val="center"/>
              <w:rPr>
                <w:sz w:val="22"/>
              </w:rPr>
            </w:pPr>
            <w:r>
              <w:rPr>
                <w:spacing w:val="-4"/>
                <w:sz w:val="22"/>
              </w:rPr>
              <w:t>35.0</w:t>
            </w:r>
          </w:p>
        </w:tc>
        <w:tc>
          <w:tcPr>
            <w:tcW w:w="923" w:type="dxa"/>
          </w:tcPr>
          <w:p>
            <w:pPr>
              <w:pStyle w:val="TableParagraph"/>
              <w:spacing w:before="70"/>
              <w:ind w:right="166"/>
              <w:jc w:val="right"/>
              <w:rPr>
                <w:sz w:val="22"/>
              </w:rPr>
            </w:pPr>
            <w:r>
              <w:rPr>
                <w:spacing w:val="-4"/>
                <w:sz w:val="22"/>
              </w:rPr>
              <w:t>50.0</w:t>
            </w:r>
          </w:p>
        </w:tc>
        <w:tc>
          <w:tcPr>
            <w:tcW w:w="850" w:type="dxa"/>
          </w:tcPr>
          <w:p>
            <w:pPr>
              <w:pStyle w:val="TableParagraph"/>
              <w:spacing w:before="70"/>
              <w:ind w:right="168"/>
              <w:jc w:val="right"/>
              <w:rPr>
                <w:sz w:val="22"/>
              </w:rPr>
            </w:pPr>
            <w:r>
              <w:rPr>
                <w:spacing w:val="-4"/>
                <w:sz w:val="22"/>
              </w:rPr>
              <w:t>30.0</w:t>
            </w:r>
          </w:p>
        </w:tc>
        <w:tc>
          <w:tcPr>
            <w:tcW w:w="852" w:type="dxa"/>
          </w:tcPr>
          <w:p>
            <w:pPr>
              <w:pStyle w:val="TableParagraph"/>
              <w:spacing w:before="70"/>
              <w:ind w:right="166"/>
              <w:jc w:val="right"/>
              <w:rPr>
                <w:sz w:val="22"/>
              </w:rPr>
            </w:pPr>
            <w:r>
              <w:rPr>
                <w:spacing w:val="-4"/>
                <w:sz w:val="22"/>
              </w:rPr>
              <w:t>60.0</w:t>
            </w:r>
          </w:p>
        </w:tc>
        <w:tc>
          <w:tcPr>
            <w:tcW w:w="849" w:type="dxa"/>
          </w:tcPr>
          <w:p>
            <w:pPr>
              <w:pStyle w:val="TableParagraph"/>
              <w:spacing w:before="70"/>
              <w:ind w:right="167"/>
              <w:jc w:val="right"/>
              <w:rPr>
                <w:sz w:val="22"/>
              </w:rPr>
            </w:pPr>
            <w:r>
              <w:rPr>
                <w:spacing w:val="-4"/>
                <w:sz w:val="22"/>
              </w:rPr>
              <w:t>17.5</w:t>
            </w:r>
          </w:p>
        </w:tc>
        <w:tc>
          <w:tcPr>
            <w:tcW w:w="913" w:type="dxa"/>
          </w:tcPr>
          <w:p>
            <w:pPr>
              <w:pStyle w:val="TableParagraph"/>
              <w:spacing w:before="70"/>
              <w:ind w:right="228"/>
              <w:jc w:val="right"/>
              <w:rPr>
                <w:sz w:val="22"/>
              </w:rPr>
            </w:pPr>
            <w:r>
              <w:rPr>
                <w:spacing w:val="-4"/>
                <w:sz w:val="22"/>
              </w:rPr>
              <w:t>25.0</w:t>
            </w:r>
          </w:p>
        </w:tc>
      </w:tr>
      <w:tr>
        <w:trPr>
          <w:trHeight w:val="450" w:hRule="atLeast"/>
        </w:trPr>
        <w:tc>
          <w:tcPr>
            <w:tcW w:w="1020" w:type="dxa"/>
          </w:tcPr>
          <w:p>
            <w:pPr>
              <w:pStyle w:val="TableParagraph"/>
              <w:spacing w:before="70"/>
              <w:ind w:left="84" w:right="159"/>
              <w:jc w:val="center"/>
              <w:rPr>
                <w:sz w:val="22"/>
              </w:rPr>
            </w:pPr>
            <w:r>
              <w:rPr>
                <w:sz w:val="22"/>
              </w:rPr>
              <w:t>SP</w:t>
            </w:r>
            <w:r>
              <w:rPr>
                <w:spacing w:val="1"/>
                <w:sz w:val="22"/>
              </w:rPr>
              <w:t> </w:t>
            </w:r>
            <w:r>
              <w:rPr>
                <w:spacing w:val="-4"/>
                <w:sz w:val="22"/>
              </w:rPr>
              <w:t>1347</w:t>
            </w:r>
          </w:p>
        </w:tc>
        <w:tc>
          <w:tcPr>
            <w:tcW w:w="845" w:type="dxa"/>
          </w:tcPr>
          <w:p>
            <w:pPr>
              <w:pStyle w:val="TableParagraph"/>
              <w:spacing w:before="70"/>
              <w:ind w:right="171"/>
              <w:jc w:val="right"/>
              <w:rPr>
                <w:sz w:val="22"/>
              </w:rPr>
            </w:pPr>
            <w:r>
              <w:rPr>
                <w:spacing w:val="-4"/>
                <w:sz w:val="22"/>
              </w:rPr>
              <w:t>15.0</w:t>
            </w:r>
          </w:p>
        </w:tc>
        <w:tc>
          <w:tcPr>
            <w:tcW w:w="999" w:type="dxa"/>
          </w:tcPr>
          <w:p>
            <w:pPr>
              <w:pStyle w:val="TableParagraph"/>
              <w:spacing w:before="70"/>
              <w:ind w:right="308"/>
              <w:jc w:val="right"/>
              <w:rPr>
                <w:sz w:val="22"/>
              </w:rPr>
            </w:pPr>
            <w:r>
              <w:rPr>
                <w:spacing w:val="-4"/>
                <w:sz w:val="22"/>
              </w:rPr>
              <w:t>25.0</w:t>
            </w:r>
          </w:p>
        </w:tc>
        <w:tc>
          <w:tcPr>
            <w:tcW w:w="1002" w:type="dxa"/>
          </w:tcPr>
          <w:p>
            <w:pPr>
              <w:pStyle w:val="TableParagraph"/>
              <w:spacing w:before="70"/>
              <w:ind w:right="192"/>
              <w:jc w:val="right"/>
              <w:rPr>
                <w:sz w:val="22"/>
              </w:rPr>
            </w:pPr>
            <w:r>
              <w:rPr>
                <w:spacing w:val="-4"/>
                <w:sz w:val="22"/>
              </w:rPr>
              <w:t>17.5</w:t>
            </w:r>
          </w:p>
        </w:tc>
        <w:tc>
          <w:tcPr>
            <w:tcW w:w="928" w:type="dxa"/>
          </w:tcPr>
          <w:p>
            <w:pPr>
              <w:pStyle w:val="TableParagraph"/>
              <w:spacing w:before="70"/>
              <w:ind w:left="183"/>
              <w:rPr>
                <w:sz w:val="22"/>
              </w:rPr>
            </w:pPr>
            <w:r>
              <w:rPr>
                <w:spacing w:val="-4"/>
                <w:sz w:val="22"/>
              </w:rPr>
              <w:t>25.0</w:t>
            </w:r>
          </w:p>
        </w:tc>
        <w:tc>
          <w:tcPr>
            <w:tcW w:w="833" w:type="dxa"/>
          </w:tcPr>
          <w:p>
            <w:pPr>
              <w:pStyle w:val="TableParagraph"/>
              <w:spacing w:before="70"/>
              <w:ind w:right="54"/>
              <w:jc w:val="center"/>
              <w:rPr>
                <w:sz w:val="22"/>
              </w:rPr>
            </w:pPr>
            <w:r>
              <w:rPr>
                <w:spacing w:val="-4"/>
                <w:sz w:val="22"/>
              </w:rPr>
              <w:t>20.0</w:t>
            </w:r>
          </w:p>
        </w:tc>
        <w:tc>
          <w:tcPr>
            <w:tcW w:w="923" w:type="dxa"/>
          </w:tcPr>
          <w:p>
            <w:pPr>
              <w:pStyle w:val="TableParagraph"/>
              <w:spacing w:before="70"/>
              <w:ind w:right="166"/>
              <w:jc w:val="right"/>
              <w:rPr>
                <w:sz w:val="22"/>
              </w:rPr>
            </w:pPr>
            <w:r>
              <w:rPr>
                <w:spacing w:val="-4"/>
                <w:sz w:val="22"/>
              </w:rPr>
              <w:t>30.0</w:t>
            </w:r>
          </w:p>
        </w:tc>
        <w:tc>
          <w:tcPr>
            <w:tcW w:w="850" w:type="dxa"/>
          </w:tcPr>
          <w:p>
            <w:pPr>
              <w:pStyle w:val="TableParagraph"/>
              <w:spacing w:before="70"/>
              <w:ind w:right="168"/>
              <w:jc w:val="right"/>
              <w:rPr>
                <w:sz w:val="22"/>
              </w:rPr>
            </w:pPr>
            <w:r>
              <w:rPr>
                <w:spacing w:val="-4"/>
                <w:sz w:val="22"/>
              </w:rPr>
              <w:t>20.0</w:t>
            </w:r>
          </w:p>
        </w:tc>
        <w:tc>
          <w:tcPr>
            <w:tcW w:w="852" w:type="dxa"/>
          </w:tcPr>
          <w:p>
            <w:pPr>
              <w:pStyle w:val="TableParagraph"/>
              <w:spacing w:before="70"/>
              <w:ind w:right="165"/>
              <w:jc w:val="right"/>
              <w:rPr>
                <w:sz w:val="22"/>
              </w:rPr>
            </w:pPr>
            <w:r>
              <w:rPr>
                <w:spacing w:val="-4"/>
                <w:sz w:val="22"/>
              </w:rPr>
              <w:t>35.0</w:t>
            </w:r>
          </w:p>
        </w:tc>
        <w:tc>
          <w:tcPr>
            <w:tcW w:w="849" w:type="dxa"/>
          </w:tcPr>
          <w:p>
            <w:pPr>
              <w:pStyle w:val="TableParagraph"/>
              <w:spacing w:before="70"/>
              <w:ind w:right="167"/>
              <w:jc w:val="right"/>
              <w:rPr>
                <w:sz w:val="22"/>
              </w:rPr>
            </w:pPr>
            <w:r>
              <w:rPr>
                <w:spacing w:val="-4"/>
                <w:sz w:val="22"/>
              </w:rPr>
              <w:t>25.0</w:t>
            </w:r>
          </w:p>
        </w:tc>
        <w:tc>
          <w:tcPr>
            <w:tcW w:w="913" w:type="dxa"/>
          </w:tcPr>
          <w:p>
            <w:pPr>
              <w:pStyle w:val="TableParagraph"/>
              <w:spacing w:before="70"/>
              <w:ind w:right="228"/>
              <w:jc w:val="right"/>
              <w:rPr>
                <w:sz w:val="22"/>
              </w:rPr>
            </w:pPr>
            <w:r>
              <w:rPr>
                <w:spacing w:val="-4"/>
                <w:sz w:val="22"/>
              </w:rPr>
              <w:t>50.0</w:t>
            </w:r>
          </w:p>
        </w:tc>
      </w:tr>
      <w:tr>
        <w:trPr>
          <w:trHeight w:val="450" w:hRule="atLeast"/>
        </w:trPr>
        <w:tc>
          <w:tcPr>
            <w:tcW w:w="1020" w:type="dxa"/>
          </w:tcPr>
          <w:p>
            <w:pPr>
              <w:pStyle w:val="TableParagraph"/>
              <w:spacing w:before="71"/>
              <w:ind w:left="84" w:right="159"/>
              <w:jc w:val="center"/>
              <w:rPr>
                <w:sz w:val="22"/>
              </w:rPr>
            </w:pPr>
            <w:r>
              <w:rPr>
                <w:sz w:val="22"/>
              </w:rPr>
              <w:t>SP</w:t>
            </w:r>
            <w:r>
              <w:rPr>
                <w:spacing w:val="1"/>
                <w:sz w:val="22"/>
              </w:rPr>
              <w:t> </w:t>
            </w:r>
            <w:r>
              <w:rPr>
                <w:spacing w:val="-4"/>
                <w:sz w:val="22"/>
              </w:rPr>
              <w:t>1382</w:t>
            </w:r>
          </w:p>
        </w:tc>
        <w:tc>
          <w:tcPr>
            <w:tcW w:w="845" w:type="dxa"/>
          </w:tcPr>
          <w:p>
            <w:pPr>
              <w:pStyle w:val="TableParagraph"/>
              <w:spacing w:before="71"/>
              <w:ind w:right="171"/>
              <w:jc w:val="right"/>
              <w:rPr>
                <w:sz w:val="22"/>
              </w:rPr>
            </w:pPr>
            <w:r>
              <w:rPr>
                <w:spacing w:val="-4"/>
                <w:sz w:val="22"/>
              </w:rPr>
              <w:t>22.5</w:t>
            </w:r>
          </w:p>
        </w:tc>
        <w:tc>
          <w:tcPr>
            <w:tcW w:w="999" w:type="dxa"/>
          </w:tcPr>
          <w:p>
            <w:pPr>
              <w:pStyle w:val="TableParagraph"/>
              <w:spacing w:before="71"/>
              <w:ind w:right="308"/>
              <w:jc w:val="right"/>
              <w:rPr>
                <w:sz w:val="22"/>
              </w:rPr>
            </w:pPr>
            <w:r>
              <w:rPr>
                <w:spacing w:val="-4"/>
                <w:sz w:val="22"/>
              </w:rPr>
              <w:t>40.0</w:t>
            </w:r>
          </w:p>
        </w:tc>
        <w:tc>
          <w:tcPr>
            <w:tcW w:w="1002" w:type="dxa"/>
          </w:tcPr>
          <w:p>
            <w:pPr>
              <w:pStyle w:val="TableParagraph"/>
              <w:spacing w:before="71"/>
              <w:ind w:right="192"/>
              <w:jc w:val="right"/>
              <w:rPr>
                <w:sz w:val="22"/>
              </w:rPr>
            </w:pPr>
            <w:r>
              <w:rPr>
                <w:spacing w:val="-4"/>
                <w:sz w:val="22"/>
              </w:rPr>
              <w:t>25.0</w:t>
            </w:r>
          </w:p>
        </w:tc>
        <w:tc>
          <w:tcPr>
            <w:tcW w:w="928" w:type="dxa"/>
          </w:tcPr>
          <w:p>
            <w:pPr>
              <w:pStyle w:val="TableParagraph"/>
              <w:spacing w:before="71"/>
              <w:ind w:left="183"/>
              <w:rPr>
                <w:sz w:val="22"/>
              </w:rPr>
            </w:pPr>
            <w:r>
              <w:rPr>
                <w:spacing w:val="-4"/>
                <w:sz w:val="22"/>
              </w:rPr>
              <w:t>50.0</w:t>
            </w:r>
          </w:p>
        </w:tc>
        <w:tc>
          <w:tcPr>
            <w:tcW w:w="833" w:type="dxa"/>
          </w:tcPr>
          <w:p>
            <w:pPr>
              <w:pStyle w:val="TableParagraph"/>
              <w:spacing w:before="71"/>
              <w:ind w:right="54"/>
              <w:jc w:val="center"/>
              <w:rPr>
                <w:sz w:val="22"/>
              </w:rPr>
            </w:pPr>
            <w:r>
              <w:rPr>
                <w:spacing w:val="-4"/>
                <w:sz w:val="22"/>
              </w:rPr>
              <w:t>22.5</w:t>
            </w:r>
          </w:p>
        </w:tc>
        <w:tc>
          <w:tcPr>
            <w:tcW w:w="923" w:type="dxa"/>
          </w:tcPr>
          <w:p>
            <w:pPr>
              <w:pStyle w:val="TableParagraph"/>
              <w:spacing w:before="71"/>
              <w:ind w:right="166"/>
              <w:jc w:val="right"/>
              <w:rPr>
                <w:sz w:val="22"/>
              </w:rPr>
            </w:pPr>
            <w:r>
              <w:rPr>
                <w:spacing w:val="-4"/>
                <w:sz w:val="22"/>
              </w:rPr>
              <w:t>35.0</w:t>
            </w:r>
          </w:p>
        </w:tc>
        <w:tc>
          <w:tcPr>
            <w:tcW w:w="850" w:type="dxa"/>
          </w:tcPr>
          <w:p>
            <w:pPr>
              <w:pStyle w:val="TableParagraph"/>
              <w:spacing w:before="71"/>
              <w:ind w:right="168"/>
              <w:jc w:val="right"/>
              <w:rPr>
                <w:sz w:val="22"/>
              </w:rPr>
            </w:pPr>
            <w:r>
              <w:rPr>
                <w:spacing w:val="-4"/>
                <w:sz w:val="22"/>
              </w:rPr>
              <w:t>25.0</w:t>
            </w:r>
          </w:p>
        </w:tc>
        <w:tc>
          <w:tcPr>
            <w:tcW w:w="852" w:type="dxa"/>
          </w:tcPr>
          <w:p>
            <w:pPr>
              <w:pStyle w:val="TableParagraph"/>
              <w:spacing w:before="71"/>
              <w:ind w:right="165"/>
              <w:jc w:val="right"/>
              <w:rPr>
                <w:sz w:val="22"/>
              </w:rPr>
            </w:pPr>
            <w:r>
              <w:rPr>
                <w:spacing w:val="-4"/>
                <w:sz w:val="22"/>
              </w:rPr>
              <w:t>40.0</w:t>
            </w:r>
          </w:p>
        </w:tc>
        <w:tc>
          <w:tcPr>
            <w:tcW w:w="849" w:type="dxa"/>
          </w:tcPr>
          <w:p>
            <w:pPr>
              <w:pStyle w:val="TableParagraph"/>
              <w:spacing w:before="71"/>
              <w:ind w:right="167"/>
              <w:jc w:val="right"/>
              <w:rPr>
                <w:sz w:val="22"/>
              </w:rPr>
            </w:pPr>
            <w:r>
              <w:rPr>
                <w:spacing w:val="-4"/>
                <w:sz w:val="22"/>
              </w:rPr>
              <w:t>15.0</w:t>
            </w:r>
          </w:p>
        </w:tc>
        <w:tc>
          <w:tcPr>
            <w:tcW w:w="913" w:type="dxa"/>
          </w:tcPr>
          <w:p>
            <w:pPr>
              <w:pStyle w:val="TableParagraph"/>
              <w:spacing w:before="71"/>
              <w:ind w:right="228"/>
              <w:jc w:val="right"/>
              <w:rPr>
                <w:sz w:val="22"/>
              </w:rPr>
            </w:pPr>
            <w:r>
              <w:rPr>
                <w:spacing w:val="-4"/>
                <w:sz w:val="22"/>
              </w:rPr>
              <w:t>25.0</w:t>
            </w:r>
          </w:p>
        </w:tc>
      </w:tr>
      <w:tr>
        <w:trPr>
          <w:trHeight w:val="450" w:hRule="atLeast"/>
        </w:trPr>
        <w:tc>
          <w:tcPr>
            <w:tcW w:w="1020" w:type="dxa"/>
          </w:tcPr>
          <w:p>
            <w:pPr>
              <w:pStyle w:val="TableParagraph"/>
              <w:spacing w:before="70"/>
              <w:ind w:left="7" w:right="193"/>
              <w:jc w:val="center"/>
              <w:rPr>
                <w:sz w:val="22"/>
              </w:rPr>
            </w:pPr>
            <w:r>
              <w:rPr>
                <w:sz w:val="22"/>
              </w:rPr>
              <w:t>SP</w:t>
            </w:r>
            <w:r>
              <w:rPr>
                <w:spacing w:val="1"/>
                <w:sz w:val="22"/>
              </w:rPr>
              <w:t> </w:t>
            </w:r>
            <w:r>
              <w:rPr>
                <w:spacing w:val="-5"/>
                <w:sz w:val="22"/>
              </w:rPr>
              <w:t>260</w:t>
            </w:r>
          </w:p>
        </w:tc>
        <w:tc>
          <w:tcPr>
            <w:tcW w:w="845" w:type="dxa"/>
          </w:tcPr>
          <w:p>
            <w:pPr>
              <w:pStyle w:val="TableParagraph"/>
              <w:spacing w:before="70"/>
              <w:ind w:right="171"/>
              <w:jc w:val="right"/>
              <w:rPr>
                <w:sz w:val="22"/>
              </w:rPr>
            </w:pPr>
            <w:r>
              <w:rPr>
                <w:spacing w:val="-4"/>
                <w:sz w:val="22"/>
              </w:rPr>
              <w:t>17.5</w:t>
            </w:r>
          </w:p>
        </w:tc>
        <w:tc>
          <w:tcPr>
            <w:tcW w:w="999" w:type="dxa"/>
          </w:tcPr>
          <w:p>
            <w:pPr>
              <w:pStyle w:val="TableParagraph"/>
              <w:spacing w:before="70"/>
              <w:ind w:right="308"/>
              <w:jc w:val="right"/>
              <w:rPr>
                <w:sz w:val="22"/>
              </w:rPr>
            </w:pPr>
            <w:r>
              <w:rPr>
                <w:spacing w:val="-4"/>
                <w:sz w:val="22"/>
              </w:rPr>
              <w:t>30.0</w:t>
            </w:r>
          </w:p>
        </w:tc>
        <w:tc>
          <w:tcPr>
            <w:tcW w:w="1002" w:type="dxa"/>
          </w:tcPr>
          <w:p>
            <w:pPr>
              <w:pStyle w:val="TableParagraph"/>
              <w:spacing w:before="70"/>
              <w:ind w:right="192"/>
              <w:jc w:val="right"/>
              <w:rPr>
                <w:sz w:val="22"/>
              </w:rPr>
            </w:pPr>
            <w:r>
              <w:rPr>
                <w:spacing w:val="-4"/>
                <w:sz w:val="22"/>
              </w:rPr>
              <w:t>22.5</w:t>
            </w:r>
          </w:p>
        </w:tc>
        <w:tc>
          <w:tcPr>
            <w:tcW w:w="928" w:type="dxa"/>
          </w:tcPr>
          <w:p>
            <w:pPr>
              <w:pStyle w:val="TableParagraph"/>
              <w:spacing w:before="70"/>
              <w:ind w:left="183"/>
              <w:rPr>
                <w:sz w:val="22"/>
              </w:rPr>
            </w:pPr>
            <w:r>
              <w:rPr>
                <w:spacing w:val="-4"/>
                <w:sz w:val="22"/>
              </w:rPr>
              <w:t>35.0</w:t>
            </w:r>
          </w:p>
        </w:tc>
        <w:tc>
          <w:tcPr>
            <w:tcW w:w="833" w:type="dxa"/>
          </w:tcPr>
          <w:p>
            <w:pPr>
              <w:pStyle w:val="TableParagraph"/>
              <w:spacing w:before="70"/>
              <w:ind w:right="54"/>
              <w:jc w:val="center"/>
              <w:rPr>
                <w:sz w:val="22"/>
              </w:rPr>
            </w:pPr>
            <w:r>
              <w:rPr>
                <w:spacing w:val="-4"/>
                <w:sz w:val="22"/>
              </w:rPr>
              <w:t>25.0</w:t>
            </w:r>
          </w:p>
        </w:tc>
        <w:tc>
          <w:tcPr>
            <w:tcW w:w="923" w:type="dxa"/>
          </w:tcPr>
          <w:p>
            <w:pPr>
              <w:pStyle w:val="TableParagraph"/>
              <w:spacing w:before="70"/>
              <w:ind w:right="166"/>
              <w:jc w:val="right"/>
              <w:rPr>
                <w:sz w:val="22"/>
              </w:rPr>
            </w:pPr>
            <w:r>
              <w:rPr>
                <w:spacing w:val="-4"/>
                <w:sz w:val="22"/>
              </w:rPr>
              <w:t>45.0</w:t>
            </w:r>
          </w:p>
        </w:tc>
        <w:tc>
          <w:tcPr>
            <w:tcW w:w="850" w:type="dxa"/>
          </w:tcPr>
          <w:p>
            <w:pPr>
              <w:pStyle w:val="TableParagraph"/>
              <w:spacing w:before="70"/>
              <w:ind w:right="168"/>
              <w:jc w:val="right"/>
              <w:rPr>
                <w:sz w:val="22"/>
              </w:rPr>
            </w:pPr>
            <w:r>
              <w:rPr>
                <w:spacing w:val="-4"/>
                <w:sz w:val="22"/>
              </w:rPr>
              <w:t>30.0</w:t>
            </w:r>
          </w:p>
        </w:tc>
        <w:tc>
          <w:tcPr>
            <w:tcW w:w="852" w:type="dxa"/>
          </w:tcPr>
          <w:p>
            <w:pPr>
              <w:pStyle w:val="TableParagraph"/>
              <w:spacing w:before="70"/>
              <w:ind w:right="165"/>
              <w:jc w:val="right"/>
              <w:rPr>
                <w:sz w:val="22"/>
              </w:rPr>
            </w:pPr>
            <w:r>
              <w:rPr>
                <w:spacing w:val="-4"/>
                <w:sz w:val="22"/>
              </w:rPr>
              <w:t>50.0</w:t>
            </w:r>
          </w:p>
        </w:tc>
        <w:tc>
          <w:tcPr>
            <w:tcW w:w="849" w:type="dxa"/>
          </w:tcPr>
          <w:p>
            <w:pPr>
              <w:pStyle w:val="TableParagraph"/>
              <w:spacing w:before="70"/>
              <w:ind w:right="167"/>
              <w:jc w:val="right"/>
              <w:rPr>
                <w:sz w:val="22"/>
              </w:rPr>
            </w:pPr>
            <w:r>
              <w:rPr>
                <w:spacing w:val="-4"/>
                <w:sz w:val="22"/>
              </w:rPr>
              <w:t>17.5</w:t>
            </w:r>
          </w:p>
        </w:tc>
        <w:tc>
          <w:tcPr>
            <w:tcW w:w="913" w:type="dxa"/>
          </w:tcPr>
          <w:p>
            <w:pPr>
              <w:pStyle w:val="TableParagraph"/>
              <w:spacing w:before="70"/>
              <w:ind w:right="228"/>
              <w:jc w:val="right"/>
              <w:rPr>
                <w:sz w:val="22"/>
              </w:rPr>
            </w:pPr>
            <w:r>
              <w:rPr>
                <w:spacing w:val="-4"/>
                <w:sz w:val="22"/>
              </w:rPr>
              <w:t>25.0</w:t>
            </w:r>
          </w:p>
        </w:tc>
      </w:tr>
      <w:tr>
        <w:trPr>
          <w:trHeight w:val="450" w:hRule="atLeast"/>
        </w:trPr>
        <w:tc>
          <w:tcPr>
            <w:tcW w:w="1020" w:type="dxa"/>
          </w:tcPr>
          <w:p>
            <w:pPr>
              <w:pStyle w:val="TableParagraph"/>
              <w:spacing w:before="71"/>
              <w:ind w:left="7" w:right="193"/>
              <w:jc w:val="center"/>
              <w:rPr>
                <w:sz w:val="22"/>
              </w:rPr>
            </w:pPr>
            <w:r>
              <w:rPr>
                <w:sz w:val="22"/>
              </w:rPr>
              <w:t>SP</w:t>
            </w:r>
            <w:r>
              <w:rPr>
                <w:spacing w:val="1"/>
                <w:sz w:val="22"/>
              </w:rPr>
              <w:t> </w:t>
            </w:r>
            <w:r>
              <w:rPr>
                <w:spacing w:val="-5"/>
                <w:sz w:val="22"/>
              </w:rPr>
              <w:t>277</w:t>
            </w:r>
          </w:p>
        </w:tc>
        <w:tc>
          <w:tcPr>
            <w:tcW w:w="845" w:type="dxa"/>
          </w:tcPr>
          <w:p>
            <w:pPr>
              <w:pStyle w:val="TableParagraph"/>
              <w:spacing w:before="71"/>
              <w:ind w:right="171"/>
              <w:jc w:val="right"/>
              <w:rPr>
                <w:sz w:val="22"/>
              </w:rPr>
            </w:pPr>
            <w:r>
              <w:rPr>
                <w:spacing w:val="-4"/>
                <w:sz w:val="22"/>
              </w:rPr>
              <w:t>17.5</w:t>
            </w:r>
          </w:p>
        </w:tc>
        <w:tc>
          <w:tcPr>
            <w:tcW w:w="999" w:type="dxa"/>
          </w:tcPr>
          <w:p>
            <w:pPr>
              <w:pStyle w:val="TableParagraph"/>
              <w:spacing w:before="71"/>
              <w:ind w:right="308"/>
              <w:jc w:val="right"/>
              <w:rPr>
                <w:sz w:val="22"/>
              </w:rPr>
            </w:pPr>
            <w:r>
              <w:rPr>
                <w:spacing w:val="-4"/>
                <w:sz w:val="22"/>
              </w:rPr>
              <w:t>25.0</w:t>
            </w:r>
          </w:p>
        </w:tc>
        <w:tc>
          <w:tcPr>
            <w:tcW w:w="1002" w:type="dxa"/>
          </w:tcPr>
          <w:p>
            <w:pPr>
              <w:pStyle w:val="TableParagraph"/>
              <w:spacing w:before="71"/>
              <w:ind w:right="192"/>
              <w:jc w:val="right"/>
              <w:rPr>
                <w:sz w:val="22"/>
              </w:rPr>
            </w:pPr>
            <w:r>
              <w:rPr>
                <w:spacing w:val="-4"/>
                <w:sz w:val="22"/>
              </w:rPr>
              <w:t>17.5</w:t>
            </w:r>
          </w:p>
        </w:tc>
        <w:tc>
          <w:tcPr>
            <w:tcW w:w="928" w:type="dxa"/>
          </w:tcPr>
          <w:p>
            <w:pPr>
              <w:pStyle w:val="TableParagraph"/>
              <w:spacing w:before="71"/>
              <w:ind w:left="183"/>
              <w:rPr>
                <w:sz w:val="22"/>
              </w:rPr>
            </w:pPr>
            <w:r>
              <w:rPr>
                <w:spacing w:val="-4"/>
                <w:sz w:val="22"/>
              </w:rPr>
              <w:t>25.0</w:t>
            </w:r>
          </w:p>
        </w:tc>
        <w:tc>
          <w:tcPr>
            <w:tcW w:w="833" w:type="dxa"/>
          </w:tcPr>
          <w:p>
            <w:pPr>
              <w:pStyle w:val="TableParagraph"/>
              <w:spacing w:before="71"/>
              <w:ind w:right="54"/>
              <w:jc w:val="center"/>
              <w:rPr>
                <w:sz w:val="22"/>
              </w:rPr>
            </w:pPr>
            <w:r>
              <w:rPr>
                <w:spacing w:val="-4"/>
                <w:sz w:val="22"/>
              </w:rPr>
              <w:t>17.5</w:t>
            </w:r>
          </w:p>
        </w:tc>
        <w:tc>
          <w:tcPr>
            <w:tcW w:w="923" w:type="dxa"/>
          </w:tcPr>
          <w:p>
            <w:pPr>
              <w:pStyle w:val="TableParagraph"/>
              <w:spacing w:before="71"/>
              <w:ind w:right="166"/>
              <w:jc w:val="right"/>
              <w:rPr>
                <w:sz w:val="22"/>
              </w:rPr>
            </w:pPr>
            <w:r>
              <w:rPr>
                <w:spacing w:val="-4"/>
                <w:sz w:val="22"/>
              </w:rPr>
              <w:t>25.0</w:t>
            </w:r>
          </w:p>
        </w:tc>
        <w:tc>
          <w:tcPr>
            <w:tcW w:w="850" w:type="dxa"/>
          </w:tcPr>
          <w:p>
            <w:pPr>
              <w:pStyle w:val="TableParagraph"/>
              <w:spacing w:before="71"/>
              <w:ind w:right="168"/>
              <w:jc w:val="right"/>
              <w:rPr>
                <w:sz w:val="22"/>
              </w:rPr>
            </w:pPr>
            <w:r>
              <w:rPr>
                <w:spacing w:val="-4"/>
                <w:sz w:val="22"/>
              </w:rPr>
              <w:t>17.5</w:t>
            </w:r>
          </w:p>
        </w:tc>
        <w:tc>
          <w:tcPr>
            <w:tcW w:w="852" w:type="dxa"/>
          </w:tcPr>
          <w:p>
            <w:pPr>
              <w:pStyle w:val="TableParagraph"/>
              <w:spacing w:before="71"/>
              <w:ind w:right="165"/>
              <w:jc w:val="right"/>
              <w:rPr>
                <w:sz w:val="22"/>
              </w:rPr>
            </w:pPr>
            <w:r>
              <w:rPr>
                <w:spacing w:val="-4"/>
                <w:sz w:val="22"/>
              </w:rPr>
              <w:t>25.0</w:t>
            </w:r>
          </w:p>
        </w:tc>
        <w:tc>
          <w:tcPr>
            <w:tcW w:w="849" w:type="dxa"/>
          </w:tcPr>
          <w:p>
            <w:pPr>
              <w:pStyle w:val="TableParagraph"/>
              <w:spacing w:before="71"/>
              <w:ind w:right="167"/>
              <w:jc w:val="right"/>
              <w:rPr>
                <w:sz w:val="22"/>
              </w:rPr>
            </w:pPr>
            <w:r>
              <w:rPr>
                <w:spacing w:val="-4"/>
                <w:sz w:val="22"/>
              </w:rPr>
              <w:t>15.0</w:t>
            </w:r>
          </w:p>
        </w:tc>
        <w:tc>
          <w:tcPr>
            <w:tcW w:w="913" w:type="dxa"/>
          </w:tcPr>
          <w:p>
            <w:pPr>
              <w:pStyle w:val="TableParagraph"/>
              <w:spacing w:before="71"/>
              <w:ind w:right="228"/>
              <w:jc w:val="right"/>
              <w:rPr>
                <w:sz w:val="22"/>
              </w:rPr>
            </w:pPr>
            <w:r>
              <w:rPr>
                <w:spacing w:val="-4"/>
                <w:sz w:val="22"/>
              </w:rPr>
              <w:t>25.0</w:t>
            </w:r>
          </w:p>
        </w:tc>
      </w:tr>
      <w:tr>
        <w:trPr>
          <w:trHeight w:val="450" w:hRule="atLeast"/>
        </w:trPr>
        <w:tc>
          <w:tcPr>
            <w:tcW w:w="1020" w:type="dxa"/>
          </w:tcPr>
          <w:p>
            <w:pPr>
              <w:pStyle w:val="TableParagraph"/>
              <w:spacing w:before="70"/>
              <w:ind w:left="7" w:right="193"/>
              <w:jc w:val="center"/>
              <w:rPr>
                <w:sz w:val="22"/>
              </w:rPr>
            </w:pPr>
            <w:r>
              <w:rPr>
                <w:sz w:val="22"/>
              </w:rPr>
              <w:t>SP</w:t>
            </w:r>
            <w:r>
              <w:rPr>
                <w:spacing w:val="1"/>
                <w:sz w:val="22"/>
              </w:rPr>
              <w:t> </w:t>
            </w:r>
            <w:r>
              <w:rPr>
                <w:spacing w:val="-5"/>
                <w:sz w:val="22"/>
              </w:rPr>
              <w:t>278</w:t>
            </w:r>
          </w:p>
        </w:tc>
        <w:tc>
          <w:tcPr>
            <w:tcW w:w="845" w:type="dxa"/>
          </w:tcPr>
          <w:p>
            <w:pPr>
              <w:pStyle w:val="TableParagraph"/>
              <w:spacing w:before="70"/>
              <w:ind w:right="171"/>
              <w:jc w:val="right"/>
              <w:rPr>
                <w:sz w:val="22"/>
              </w:rPr>
            </w:pPr>
            <w:r>
              <w:rPr>
                <w:spacing w:val="-4"/>
                <w:sz w:val="22"/>
              </w:rPr>
              <w:t>20.0</w:t>
            </w:r>
          </w:p>
        </w:tc>
        <w:tc>
          <w:tcPr>
            <w:tcW w:w="999" w:type="dxa"/>
          </w:tcPr>
          <w:p>
            <w:pPr>
              <w:pStyle w:val="TableParagraph"/>
              <w:spacing w:before="70"/>
              <w:ind w:right="308"/>
              <w:jc w:val="right"/>
              <w:rPr>
                <w:sz w:val="22"/>
              </w:rPr>
            </w:pPr>
            <w:r>
              <w:rPr>
                <w:spacing w:val="-4"/>
                <w:sz w:val="22"/>
              </w:rPr>
              <w:t>30.0</w:t>
            </w:r>
          </w:p>
        </w:tc>
        <w:tc>
          <w:tcPr>
            <w:tcW w:w="1002" w:type="dxa"/>
          </w:tcPr>
          <w:p>
            <w:pPr>
              <w:pStyle w:val="TableParagraph"/>
              <w:spacing w:before="70"/>
              <w:ind w:right="192"/>
              <w:jc w:val="right"/>
              <w:rPr>
                <w:sz w:val="22"/>
              </w:rPr>
            </w:pPr>
            <w:r>
              <w:rPr>
                <w:spacing w:val="-4"/>
                <w:sz w:val="22"/>
              </w:rPr>
              <w:t>25.0</w:t>
            </w:r>
          </w:p>
        </w:tc>
        <w:tc>
          <w:tcPr>
            <w:tcW w:w="928" w:type="dxa"/>
          </w:tcPr>
          <w:p>
            <w:pPr>
              <w:pStyle w:val="TableParagraph"/>
              <w:spacing w:before="70"/>
              <w:ind w:left="183"/>
              <w:rPr>
                <w:sz w:val="22"/>
              </w:rPr>
            </w:pPr>
            <w:r>
              <w:rPr>
                <w:spacing w:val="-4"/>
                <w:sz w:val="22"/>
              </w:rPr>
              <w:t>45.0</w:t>
            </w:r>
          </w:p>
        </w:tc>
        <w:tc>
          <w:tcPr>
            <w:tcW w:w="833" w:type="dxa"/>
          </w:tcPr>
          <w:p>
            <w:pPr>
              <w:pStyle w:val="TableParagraph"/>
              <w:spacing w:before="70"/>
              <w:ind w:right="54"/>
              <w:jc w:val="center"/>
              <w:rPr>
                <w:sz w:val="22"/>
              </w:rPr>
            </w:pPr>
            <w:r>
              <w:rPr>
                <w:spacing w:val="-4"/>
                <w:sz w:val="22"/>
              </w:rPr>
              <w:t>15.0</w:t>
            </w:r>
          </w:p>
        </w:tc>
        <w:tc>
          <w:tcPr>
            <w:tcW w:w="923" w:type="dxa"/>
          </w:tcPr>
          <w:p>
            <w:pPr>
              <w:pStyle w:val="TableParagraph"/>
              <w:spacing w:before="70"/>
              <w:ind w:right="166"/>
              <w:jc w:val="right"/>
              <w:rPr>
                <w:sz w:val="22"/>
              </w:rPr>
            </w:pPr>
            <w:r>
              <w:rPr>
                <w:spacing w:val="-4"/>
                <w:sz w:val="22"/>
              </w:rPr>
              <w:t>25.0</w:t>
            </w:r>
          </w:p>
        </w:tc>
        <w:tc>
          <w:tcPr>
            <w:tcW w:w="850" w:type="dxa"/>
          </w:tcPr>
          <w:p>
            <w:pPr>
              <w:pStyle w:val="TableParagraph"/>
              <w:spacing w:before="70"/>
              <w:ind w:right="168"/>
              <w:jc w:val="right"/>
              <w:rPr>
                <w:sz w:val="22"/>
              </w:rPr>
            </w:pPr>
            <w:r>
              <w:rPr>
                <w:spacing w:val="-4"/>
                <w:sz w:val="22"/>
              </w:rPr>
              <w:t>17.5</w:t>
            </w:r>
          </w:p>
        </w:tc>
        <w:tc>
          <w:tcPr>
            <w:tcW w:w="852" w:type="dxa"/>
          </w:tcPr>
          <w:p>
            <w:pPr>
              <w:pStyle w:val="TableParagraph"/>
              <w:spacing w:before="70"/>
              <w:ind w:right="165"/>
              <w:jc w:val="right"/>
              <w:rPr>
                <w:sz w:val="22"/>
              </w:rPr>
            </w:pPr>
            <w:r>
              <w:rPr>
                <w:spacing w:val="-4"/>
                <w:sz w:val="22"/>
              </w:rPr>
              <w:t>25.0</w:t>
            </w:r>
          </w:p>
        </w:tc>
        <w:tc>
          <w:tcPr>
            <w:tcW w:w="849" w:type="dxa"/>
          </w:tcPr>
          <w:p>
            <w:pPr>
              <w:pStyle w:val="TableParagraph"/>
              <w:spacing w:before="70"/>
              <w:ind w:right="167"/>
              <w:jc w:val="right"/>
              <w:rPr>
                <w:sz w:val="22"/>
              </w:rPr>
            </w:pPr>
            <w:r>
              <w:rPr>
                <w:spacing w:val="-4"/>
                <w:sz w:val="22"/>
              </w:rPr>
              <w:t>15.0</w:t>
            </w:r>
          </w:p>
        </w:tc>
        <w:tc>
          <w:tcPr>
            <w:tcW w:w="913" w:type="dxa"/>
          </w:tcPr>
          <w:p>
            <w:pPr>
              <w:pStyle w:val="TableParagraph"/>
              <w:spacing w:before="70"/>
              <w:ind w:right="228"/>
              <w:jc w:val="right"/>
              <w:rPr>
                <w:sz w:val="22"/>
              </w:rPr>
            </w:pPr>
            <w:r>
              <w:rPr>
                <w:spacing w:val="-4"/>
                <w:sz w:val="22"/>
              </w:rPr>
              <w:t>25.0</w:t>
            </w:r>
          </w:p>
        </w:tc>
      </w:tr>
      <w:tr>
        <w:trPr>
          <w:trHeight w:val="450" w:hRule="atLeast"/>
        </w:trPr>
        <w:tc>
          <w:tcPr>
            <w:tcW w:w="1020" w:type="dxa"/>
          </w:tcPr>
          <w:p>
            <w:pPr>
              <w:pStyle w:val="TableParagraph"/>
              <w:spacing w:before="71"/>
              <w:ind w:left="7" w:right="193"/>
              <w:jc w:val="center"/>
              <w:rPr>
                <w:sz w:val="22"/>
              </w:rPr>
            </w:pPr>
            <w:r>
              <w:rPr>
                <w:sz w:val="22"/>
              </w:rPr>
              <w:t>SP</w:t>
            </w:r>
            <w:r>
              <w:rPr>
                <w:spacing w:val="1"/>
                <w:sz w:val="22"/>
              </w:rPr>
              <w:t> </w:t>
            </w:r>
            <w:r>
              <w:rPr>
                <w:spacing w:val="-5"/>
                <w:sz w:val="22"/>
              </w:rPr>
              <w:t>307</w:t>
            </w:r>
          </w:p>
        </w:tc>
        <w:tc>
          <w:tcPr>
            <w:tcW w:w="845" w:type="dxa"/>
          </w:tcPr>
          <w:p>
            <w:pPr>
              <w:pStyle w:val="TableParagraph"/>
              <w:spacing w:before="71"/>
              <w:ind w:right="171"/>
              <w:jc w:val="right"/>
              <w:rPr>
                <w:sz w:val="22"/>
              </w:rPr>
            </w:pPr>
            <w:r>
              <w:rPr>
                <w:spacing w:val="-4"/>
                <w:sz w:val="22"/>
              </w:rPr>
              <w:t>17.5</w:t>
            </w:r>
          </w:p>
        </w:tc>
        <w:tc>
          <w:tcPr>
            <w:tcW w:w="999" w:type="dxa"/>
          </w:tcPr>
          <w:p>
            <w:pPr>
              <w:pStyle w:val="TableParagraph"/>
              <w:spacing w:before="71"/>
              <w:ind w:right="308"/>
              <w:jc w:val="right"/>
              <w:rPr>
                <w:sz w:val="22"/>
              </w:rPr>
            </w:pPr>
            <w:r>
              <w:rPr>
                <w:spacing w:val="-4"/>
                <w:sz w:val="22"/>
              </w:rPr>
              <w:t>25.0</w:t>
            </w:r>
          </w:p>
        </w:tc>
        <w:tc>
          <w:tcPr>
            <w:tcW w:w="1002" w:type="dxa"/>
          </w:tcPr>
          <w:p>
            <w:pPr>
              <w:pStyle w:val="TableParagraph"/>
              <w:spacing w:before="71"/>
              <w:ind w:right="192"/>
              <w:jc w:val="right"/>
              <w:rPr>
                <w:sz w:val="22"/>
              </w:rPr>
            </w:pPr>
            <w:r>
              <w:rPr>
                <w:spacing w:val="-4"/>
                <w:sz w:val="22"/>
              </w:rPr>
              <w:t>17.5</w:t>
            </w:r>
          </w:p>
        </w:tc>
        <w:tc>
          <w:tcPr>
            <w:tcW w:w="928" w:type="dxa"/>
          </w:tcPr>
          <w:p>
            <w:pPr>
              <w:pStyle w:val="TableParagraph"/>
              <w:spacing w:before="71"/>
              <w:ind w:left="183"/>
              <w:rPr>
                <w:sz w:val="22"/>
              </w:rPr>
            </w:pPr>
            <w:r>
              <w:rPr>
                <w:spacing w:val="-4"/>
                <w:sz w:val="22"/>
              </w:rPr>
              <w:t>25.0</w:t>
            </w:r>
          </w:p>
        </w:tc>
        <w:tc>
          <w:tcPr>
            <w:tcW w:w="833" w:type="dxa"/>
          </w:tcPr>
          <w:p>
            <w:pPr>
              <w:pStyle w:val="TableParagraph"/>
              <w:spacing w:before="71"/>
              <w:ind w:right="54"/>
              <w:jc w:val="center"/>
              <w:rPr>
                <w:sz w:val="22"/>
              </w:rPr>
            </w:pPr>
            <w:r>
              <w:rPr>
                <w:spacing w:val="-4"/>
                <w:sz w:val="22"/>
              </w:rPr>
              <w:t>15.0</w:t>
            </w:r>
          </w:p>
        </w:tc>
        <w:tc>
          <w:tcPr>
            <w:tcW w:w="923" w:type="dxa"/>
          </w:tcPr>
          <w:p>
            <w:pPr>
              <w:pStyle w:val="TableParagraph"/>
              <w:spacing w:before="71"/>
              <w:ind w:right="166"/>
              <w:jc w:val="right"/>
              <w:rPr>
                <w:sz w:val="22"/>
              </w:rPr>
            </w:pPr>
            <w:r>
              <w:rPr>
                <w:spacing w:val="-4"/>
                <w:sz w:val="22"/>
              </w:rPr>
              <w:t>25.0</w:t>
            </w:r>
          </w:p>
        </w:tc>
        <w:tc>
          <w:tcPr>
            <w:tcW w:w="850" w:type="dxa"/>
          </w:tcPr>
          <w:p>
            <w:pPr>
              <w:pStyle w:val="TableParagraph"/>
              <w:spacing w:before="71"/>
              <w:ind w:right="168"/>
              <w:jc w:val="right"/>
              <w:rPr>
                <w:sz w:val="22"/>
              </w:rPr>
            </w:pPr>
            <w:r>
              <w:rPr>
                <w:spacing w:val="-4"/>
                <w:sz w:val="22"/>
              </w:rPr>
              <w:t>17.5</w:t>
            </w:r>
          </w:p>
        </w:tc>
        <w:tc>
          <w:tcPr>
            <w:tcW w:w="852" w:type="dxa"/>
          </w:tcPr>
          <w:p>
            <w:pPr>
              <w:pStyle w:val="TableParagraph"/>
              <w:spacing w:before="71"/>
              <w:ind w:right="165"/>
              <w:jc w:val="right"/>
              <w:rPr>
                <w:sz w:val="22"/>
              </w:rPr>
            </w:pPr>
            <w:r>
              <w:rPr>
                <w:spacing w:val="-4"/>
                <w:sz w:val="22"/>
              </w:rPr>
              <w:t>25.0</w:t>
            </w:r>
          </w:p>
        </w:tc>
        <w:tc>
          <w:tcPr>
            <w:tcW w:w="849" w:type="dxa"/>
          </w:tcPr>
          <w:p>
            <w:pPr>
              <w:pStyle w:val="TableParagraph"/>
              <w:spacing w:before="71"/>
              <w:ind w:right="167"/>
              <w:jc w:val="right"/>
              <w:rPr>
                <w:sz w:val="22"/>
              </w:rPr>
            </w:pPr>
            <w:r>
              <w:rPr>
                <w:spacing w:val="-4"/>
                <w:sz w:val="22"/>
              </w:rPr>
              <w:t>17.5</w:t>
            </w:r>
          </w:p>
        </w:tc>
        <w:tc>
          <w:tcPr>
            <w:tcW w:w="913" w:type="dxa"/>
          </w:tcPr>
          <w:p>
            <w:pPr>
              <w:pStyle w:val="TableParagraph"/>
              <w:spacing w:before="71"/>
              <w:ind w:right="228"/>
              <w:jc w:val="right"/>
              <w:rPr>
                <w:sz w:val="22"/>
              </w:rPr>
            </w:pPr>
            <w:r>
              <w:rPr>
                <w:spacing w:val="-4"/>
                <w:sz w:val="22"/>
              </w:rPr>
              <w:t>25.0</w:t>
            </w:r>
          </w:p>
        </w:tc>
      </w:tr>
      <w:tr>
        <w:trPr>
          <w:trHeight w:val="448" w:hRule="atLeast"/>
        </w:trPr>
        <w:tc>
          <w:tcPr>
            <w:tcW w:w="1020" w:type="dxa"/>
          </w:tcPr>
          <w:p>
            <w:pPr>
              <w:pStyle w:val="TableParagraph"/>
              <w:spacing w:before="70"/>
              <w:ind w:left="7" w:right="193"/>
              <w:jc w:val="center"/>
              <w:rPr>
                <w:sz w:val="22"/>
              </w:rPr>
            </w:pPr>
            <w:r>
              <w:rPr>
                <w:sz w:val="22"/>
              </w:rPr>
              <w:t>SP</w:t>
            </w:r>
            <w:r>
              <w:rPr>
                <w:spacing w:val="1"/>
                <w:sz w:val="22"/>
              </w:rPr>
              <w:t> </w:t>
            </w:r>
            <w:r>
              <w:rPr>
                <w:spacing w:val="-5"/>
                <w:sz w:val="22"/>
              </w:rPr>
              <w:t>334</w:t>
            </w:r>
          </w:p>
        </w:tc>
        <w:tc>
          <w:tcPr>
            <w:tcW w:w="845" w:type="dxa"/>
          </w:tcPr>
          <w:p>
            <w:pPr>
              <w:pStyle w:val="TableParagraph"/>
              <w:spacing w:before="70"/>
              <w:ind w:right="171"/>
              <w:jc w:val="right"/>
              <w:rPr>
                <w:sz w:val="22"/>
              </w:rPr>
            </w:pPr>
            <w:r>
              <w:rPr>
                <w:spacing w:val="-4"/>
                <w:sz w:val="22"/>
              </w:rPr>
              <w:t>15.0</w:t>
            </w:r>
          </w:p>
        </w:tc>
        <w:tc>
          <w:tcPr>
            <w:tcW w:w="999" w:type="dxa"/>
          </w:tcPr>
          <w:p>
            <w:pPr>
              <w:pStyle w:val="TableParagraph"/>
              <w:spacing w:before="70"/>
              <w:ind w:right="308"/>
              <w:jc w:val="right"/>
              <w:rPr>
                <w:sz w:val="22"/>
              </w:rPr>
            </w:pPr>
            <w:r>
              <w:rPr>
                <w:spacing w:val="-4"/>
                <w:sz w:val="22"/>
              </w:rPr>
              <w:t>25.0</w:t>
            </w:r>
          </w:p>
        </w:tc>
        <w:tc>
          <w:tcPr>
            <w:tcW w:w="1002" w:type="dxa"/>
          </w:tcPr>
          <w:p>
            <w:pPr>
              <w:pStyle w:val="TableParagraph"/>
              <w:spacing w:before="70"/>
              <w:ind w:right="192"/>
              <w:jc w:val="right"/>
              <w:rPr>
                <w:sz w:val="22"/>
              </w:rPr>
            </w:pPr>
            <w:r>
              <w:rPr>
                <w:spacing w:val="-4"/>
                <w:sz w:val="22"/>
              </w:rPr>
              <w:t>20.0</w:t>
            </w:r>
          </w:p>
        </w:tc>
        <w:tc>
          <w:tcPr>
            <w:tcW w:w="928" w:type="dxa"/>
          </w:tcPr>
          <w:p>
            <w:pPr>
              <w:pStyle w:val="TableParagraph"/>
              <w:spacing w:before="70"/>
              <w:ind w:left="183"/>
              <w:rPr>
                <w:sz w:val="22"/>
              </w:rPr>
            </w:pPr>
            <w:r>
              <w:rPr>
                <w:spacing w:val="-4"/>
                <w:sz w:val="22"/>
              </w:rPr>
              <w:t>30.0</w:t>
            </w:r>
          </w:p>
        </w:tc>
        <w:tc>
          <w:tcPr>
            <w:tcW w:w="833" w:type="dxa"/>
          </w:tcPr>
          <w:p>
            <w:pPr>
              <w:pStyle w:val="TableParagraph"/>
              <w:spacing w:before="70"/>
              <w:ind w:right="54"/>
              <w:jc w:val="center"/>
              <w:rPr>
                <w:sz w:val="22"/>
              </w:rPr>
            </w:pPr>
            <w:r>
              <w:rPr>
                <w:spacing w:val="-4"/>
                <w:sz w:val="22"/>
              </w:rPr>
              <w:t>20.0</w:t>
            </w:r>
          </w:p>
        </w:tc>
        <w:tc>
          <w:tcPr>
            <w:tcW w:w="923" w:type="dxa"/>
          </w:tcPr>
          <w:p>
            <w:pPr>
              <w:pStyle w:val="TableParagraph"/>
              <w:spacing w:before="70"/>
              <w:ind w:right="166"/>
              <w:jc w:val="right"/>
              <w:rPr>
                <w:sz w:val="22"/>
              </w:rPr>
            </w:pPr>
            <w:r>
              <w:rPr>
                <w:spacing w:val="-4"/>
                <w:sz w:val="22"/>
              </w:rPr>
              <w:t>40.0</w:t>
            </w:r>
          </w:p>
        </w:tc>
        <w:tc>
          <w:tcPr>
            <w:tcW w:w="850" w:type="dxa"/>
          </w:tcPr>
          <w:p>
            <w:pPr>
              <w:pStyle w:val="TableParagraph"/>
              <w:spacing w:before="70"/>
              <w:ind w:right="168"/>
              <w:jc w:val="right"/>
              <w:rPr>
                <w:sz w:val="22"/>
              </w:rPr>
            </w:pPr>
            <w:r>
              <w:rPr>
                <w:spacing w:val="-4"/>
                <w:sz w:val="22"/>
              </w:rPr>
              <w:t>20.0</w:t>
            </w:r>
          </w:p>
        </w:tc>
        <w:tc>
          <w:tcPr>
            <w:tcW w:w="852" w:type="dxa"/>
          </w:tcPr>
          <w:p>
            <w:pPr>
              <w:pStyle w:val="TableParagraph"/>
              <w:spacing w:before="70"/>
              <w:ind w:right="165"/>
              <w:jc w:val="right"/>
              <w:rPr>
                <w:sz w:val="22"/>
              </w:rPr>
            </w:pPr>
            <w:r>
              <w:rPr>
                <w:spacing w:val="-4"/>
                <w:sz w:val="22"/>
              </w:rPr>
              <w:t>45.0</w:t>
            </w:r>
          </w:p>
        </w:tc>
        <w:tc>
          <w:tcPr>
            <w:tcW w:w="849" w:type="dxa"/>
          </w:tcPr>
          <w:p>
            <w:pPr>
              <w:pStyle w:val="TableParagraph"/>
              <w:spacing w:before="70"/>
              <w:ind w:right="167"/>
              <w:jc w:val="right"/>
              <w:rPr>
                <w:sz w:val="22"/>
              </w:rPr>
            </w:pPr>
            <w:r>
              <w:rPr>
                <w:spacing w:val="-4"/>
                <w:sz w:val="22"/>
              </w:rPr>
              <w:t>20.0</w:t>
            </w:r>
          </w:p>
        </w:tc>
        <w:tc>
          <w:tcPr>
            <w:tcW w:w="913" w:type="dxa"/>
          </w:tcPr>
          <w:p>
            <w:pPr>
              <w:pStyle w:val="TableParagraph"/>
              <w:spacing w:before="70"/>
              <w:ind w:right="228"/>
              <w:jc w:val="right"/>
              <w:rPr>
                <w:sz w:val="22"/>
              </w:rPr>
            </w:pPr>
            <w:r>
              <w:rPr>
                <w:spacing w:val="-4"/>
                <w:sz w:val="22"/>
              </w:rPr>
              <w:t>30.0</w:t>
            </w:r>
          </w:p>
        </w:tc>
      </w:tr>
      <w:tr>
        <w:trPr>
          <w:trHeight w:val="450" w:hRule="atLeast"/>
        </w:trPr>
        <w:tc>
          <w:tcPr>
            <w:tcW w:w="1020" w:type="dxa"/>
          </w:tcPr>
          <w:p>
            <w:pPr>
              <w:pStyle w:val="TableParagraph"/>
              <w:spacing w:before="70"/>
              <w:ind w:left="76" w:right="159"/>
              <w:jc w:val="center"/>
              <w:rPr>
                <w:sz w:val="22"/>
              </w:rPr>
            </w:pPr>
            <w:r>
              <w:rPr>
                <w:sz w:val="22"/>
              </w:rPr>
              <w:t>TS</w:t>
            </w:r>
            <w:r>
              <w:rPr>
                <w:spacing w:val="-1"/>
                <w:sz w:val="22"/>
              </w:rPr>
              <w:t> </w:t>
            </w:r>
            <w:r>
              <w:rPr>
                <w:spacing w:val="-4"/>
                <w:sz w:val="22"/>
              </w:rPr>
              <w:t>1097</w:t>
            </w:r>
          </w:p>
        </w:tc>
        <w:tc>
          <w:tcPr>
            <w:tcW w:w="845" w:type="dxa"/>
          </w:tcPr>
          <w:p>
            <w:pPr>
              <w:pStyle w:val="TableParagraph"/>
              <w:spacing w:before="70"/>
              <w:ind w:right="171"/>
              <w:jc w:val="right"/>
              <w:rPr>
                <w:sz w:val="22"/>
              </w:rPr>
            </w:pPr>
            <w:r>
              <w:rPr>
                <w:spacing w:val="-4"/>
                <w:sz w:val="22"/>
              </w:rPr>
              <w:t>25.0</w:t>
            </w:r>
          </w:p>
        </w:tc>
        <w:tc>
          <w:tcPr>
            <w:tcW w:w="999" w:type="dxa"/>
          </w:tcPr>
          <w:p>
            <w:pPr>
              <w:pStyle w:val="TableParagraph"/>
              <w:spacing w:before="70"/>
              <w:ind w:right="308"/>
              <w:jc w:val="right"/>
              <w:rPr>
                <w:sz w:val="22"/>
              </w:rPr>
            </w:pPr>
            <w:r>
              <w:rPr>
                <w:spacing w:val="-4"/>
                <w:sz w:val="22"/>
              </w:rPr>
              <w:t>40.0</w:t>
            </w:r>
          </w:p>
        </w:tc>
        <w:tc>
          <w:tcPr>
            <w:tcW w:w="1002" w:type="dxa"/>
          </w:tcPr>
          <w:p>
            <w:pPr>
              <w:pStyle w:val="TableParagraph"/>
              <w:spacing w:before="70"/>
              <w:ind w:right="192"/>
              <w:jc w:val="right"/>
              <w:rPr>
                <w:sz w:val="22"/>
              </w:rPr>
            </w:pPr>
            <w:r>
              <w:rPr>
                <w:spacing w:val="-4"/>
                <w:sz w:val="22"/>
              </w:rPr>
              <w:t>30.0</w:t>
            </w:r>
          </w:p>
        </w:tc>
        <w:tc>
          <w:tcPr>
            <w:tcW w:w="928" w:type="dxa"/>
          </w:tcPr>
          <w:p>
            <w:pPr>
              <w:pStyle w:val="TableParagraph"/>
              <w:spacing w:before="70"/>
              <w:ind w:left="183"/>
              <w:rPr>
                <w:sz w:val="22"/>
              </w:rPr>
            </w:pPr>
            <w:r>
              <w:rPr>
                <w:spacing w:val="-4"/>
                <w:sz w:val="22"/>
              </w:rPr>
              <w:t>45.0</w:t>
            </w:r>
          </w:p>
        </w:tc>
        <w:tc>
          <w:tcPr>
            <w:tcW w:w="833" w:type="dxa"/>
          </w:tcPr>
          <w:p>
            <w:pPr>
              <w:pStyle w:val="TableParagraph"/>
              <w:spacing w:before="70"/>
              <w:ind w:right="54"/>
              <w:jc w:val="center"/>
              <w:rPr>
                <w:sz w:val="22"/>
              </w:rPr>
            </w:pPr>
            <w:r>
              <w:rPr>
                <w:spacing w:val="-4"/>
                <w:sz w:val="22"/>
              </w:rPr>
              <w:t>15.0</w:t>
            </w:r>
          </w:p>
        </w:tc>
        <w:tc>
          <w:tcPr>
            <w:tcW w:w="923" w:type="dxa"/>
          </w:tcPr>
          <w:p>
            <w:pPr>
              <w:pStyle w:val="TableParagraph"/>
              <w:spacing w:before="70"/>
              <w:ind w:right="166"/>
              <w:jc w:val="right"/>
              <w:rPr>
                <w:sz w:val="22"/>
              </w:rPr>
            </w:pPr>
            <w:r>
              <w:rPr>
                <w:spacing w:val="-4"/>
                <w:sz w:val="22"/>
              </w:rPr>
              <w:t>25.0</w:t>
            </w:r>
          </w:p>
        </w:tc>
        <w:tc>
          <w:tcPr>
            <w:tcW w:w="850" w:type="dxa"/>
          </w:tcPr>
          <w:p>
            <w:pPr>
              <w:pStyle w:val="TableParagraph"/>
              <w:spacing w:before="70"/>
              <w:ind w:right="168"/>
              <w:jc w:val="right"/>
              <w:rPr>
                <w:sz w:val="22"/>
              </w:rPr>
            </w:pPr>
            <w:r>
              <w:rPr>
                <w:spacing w:val="-4"/>
                <w:sz w:val="22"/>
              </w:rPr>
              <w:t>17.5</w:t>
            </w:r>
          </w:p>
        </w:tc>
        <w:tc>
          <w:tcPr>
            <w:tcW w:w="852" w:type="dxa"/>
          </w:tcPr>
          <w:p>
            <w:pPr>
              <w:pStyle w:val="TableParagraph"/>
              <w:spacing w:before="70"/>
              <w:ind w:right="165"/>
              <w:jc w:val="right"/>
              <w:rPr>
                <w:sz w:val="22"/>
              </w:rPr>
            </w:pPr>
            <w:r>
              <w:rPr>
                <w:spacing w:val="-4"/>
                <w:sz w:val="22"/>
              </w:rPr>
              <w:t>30.0</w:t>
            </w:r>
          </w:p>
        </w:tc>
        <w:tc>
          <w:tcPr>
            <w:tcW w:w="849" w:type="dxa"/>
          </w:tcPr>
          <w:p>
            <w:pPr>
              <w:pStyle w:val="TableParagraph"/>
              <w:spacing w:before="70"/>
              <w:ind w:right="167"/>
              <w:jc w:val="right"/>
              <w:rPr>
                <w:sz w:val="22"/>
              </w:rPr>
            </w:pPr>
            <w:r>
              <w:rPr>
                <w:spacing w:val="-4"/>
                <w:sz w:val="22"/>
              </w:rPr>
              <w:t>17.5</w:t>
            </w:r>
          </w:p>
        </w:tc>
        <w:tc>
          <w:tcPr>
            <w:tcW w:w="913" w:type="dxa"/>
          </w:tcPr>
          <w:p>
            <w:pPr>
              <w:pStyle w:val="TableParagraph"/>
              <w:spacing w:before="70"/>
              <w:ind w:right="228"/>
              <w:jc w:val="right"/>
              <w:rPr>
                <w:sz w:val="22"/>
              </w:rPr>
            </w:pPr>
            <w:r>
              <w:rPr>
                <w:spacing w:val="-4"/>
                <w:sz w:val="22"/>
              </w:rPr>
              <w:t>25.0</w:t>
            </w:r>
          </w:p>
        </w:tc>
      </w:tr>
      <w:tr>
        <w:trPr>
          <w:trHeight w:val="499" w:hRule="atLeast"/>
        </w:trPr>
        <w:tc>
          <w:tcPr>
            <w:tcW w:w="1020" w:type="dxa"/>
          </w:tcPr>
          <w:p>
            <w:pPr>
              <w:pStyle w:val="TableParagraph"/>
              <w:spacing w:before="71"/>
              <w:ind w:right="193"/>
              <w:jc w:val="center"/>
              <w:rPr>
                <w:sz w:val="22"/>
              </w:rPr>
            </w:pPr>
            <w:r>
              <w:rPr>
                <w:sz w:val="22"/>
              </w:rPr>
              <w:t>TS</w:t>
            </w:r>
            <w:r>
              <w:rPr>
                <w:spacing w:val="-1"/>
                <w:sz w:val="22"/>
              </w:rPr>
              <w:t> </w:t>
            </w:r>
            <w:r>
              <w:rPr>
                <w:spacing w:val="-5"/>
                <w:sz w:val="22"/>
              </w:rPr>
              <w:t>227</w:t>
            </w:r>
          </w:p>
        </w:tc>
        <w:tc>
          <w:tcPr>
            <w:tcW w:w="845" w:type="dxa"/>
          </w:tcPr>
          <w:p>
            <w:pPr>
              <w:pStyle w:val="TableParagraph"/>
              <w:spacing w:before="71"/>
              <w:ind w:right="171"/>
              <w:jc w:val="right"/>
              <w:rPr>
                <w:sz w:val="22"/>
              </w:rPr>
            </w:pPr>
            <w:r>
              <w:rPr>
                <w:spacing w:val="-4"/>
                <w:sz w:val="22"/>
              </w:rPr>
              <w:t>15.0</w:t>
            </w:r>
          </w:p>
        </w:tc>
        <w:tc>
          <w:tcPr>
            <w:tcW w:w="999" w:type="dxa"/>
          </w:tcPr>
          <w:p>
            <w:pPr>
              <w:pStyle w:val="TableParagraph"/>
              <w:spacing w:before="71"/>
              <w:ind w:right="308"/>
              <w:jc w:val="right"/>
              <w:rPr>
                <w:sz w:val="22"/>
              </w:rPr>
            </w:pPr>
            <w:r>
              <w:rPr>
                <w:spacing w:val="-4"/>
                <w:sz w:val="22"/>
              </w:rPr>
              <w:t>25.0</w:t>
            </w:r>
          </w:p>
        </w:tc>
        <w:tc>
          <w:tcPr>
            <w:tcW w:w="1002" w:type="dxa"/>
          </w:tcPr>
          <w:p>
            <w:pPr>
              <w:pStyle w:val="TableParagraph"/>
              <w:spacing w:before="71"/>
              <w:ind w:right="192"/>
              <w:jc w:val="right"/>
              <w:rPr>
                <w:sz w:val="22"/>
              </w:rPr>
            </w:pPr>
            <w:r>
              <w:rPr>
                <w:spacing w:val="-4"/>
                <w:sz w:val="22"/>
              </w:rPr>
              <w:t>17.5</w:t>
            </w:r>
          </w:p>
        </w:tc>
        <w:tc>
          <w:tcPr>
            <w:tcW w:w="928" w:type="dxa"/>
          </w:tcPr>
          <w:p>
            <w:pPr>
              <w:pStyle w:val="TableParagraph"/>
              <w:spacing w:before="71"/>
              <w:ind w:left="183"/>
              <w:rPr>
                <w:sz w:val="22"/>
              </w:rPr>
            </w:pPr>
            <w:r>
              <w:rPr>
                <w:spacing w:val="-4"/>
                <w:sz w:val="22"/>
              </w:rPr>
              <w:t>30.0</w:t>
            </w:r>
          </w:p>
        </w:tc>
        <w:tc>
          <w:tcPr>
            <w:tcW w:w="833" w:type="dxa"/>
          </w:tcPr>
          <w:p>
            <w:pPr>
              <w:pStyle w:val="TableParagraph"/>
              <w:spacing w:before="71"/>
              <w:ind w:right="54"/>
              <w:jc w:val="center"/>
              <w:rPr>
                <w:sz w:val="22"/>
              </w:rPr>
            </w:pPr>
            <w:r>
              <w:rPr>
                <w:spacing w:val="-4"/>
                <w:sz w:val="22"/>
              </w:rPr>
              <w:t>15.0</w:t>
            </w:r>
          </w:p>
        </w:tc>
        <w:tc>
          <w:tcPr>
            <w:tcW w:w="923" w:type="dxa"/>
          </w:tcPr>
          <w:p>
            <w:pPr>
              <w:pStyle w:val="TableParagraph"/>
              <w:spacing w:before="71"/>
              <w:ind w:right="166"/>
              <w:jc w:val="right"/>
              <w:rPr>
                <w:sz w:val="22"/>
              </w:rPr>
            </w:pPr>
            <w:r>
              <w:rPr>
                <w:spacing w:val="-4"/>
                <w:sz w:val="22"/>
              </w:rPr>
              <w:t>25.0</w:t>
            </w:r>
          </w:p>
        </w:tc>
        <w:tc>
          <w:tcPr>
            <w:tcW w:w="850" w:type="dxa"/>
          </w:tcPr>
          <w:p>
            <w:pPr>
              <w:pStyle w:val="TableParagraph"/>
              <w:spacing w:before="71"/>
              <w:ind w:right="168"/>
              <w:jc w:val="right"/>
              <w:rPr>
                <w:sz w:val="22"/>
              </w:rPr>
            </w:pPr>
            <w:r>
              <w:rPr>
                <w:spacing w:val="-4"/>
                <w:sz w:val="22"/>
              </w:rPr>
              <w:t>15.0</w:t>
            </w:r>
          </w:p>
        </w:tc>
        <w:tc>
          <w:tcPr>
            <w:tcW w:w="852" w:type="dxa"/>
          </w:tcPr>
          <w:p>
            <w:pPr>
              <w:pStyle w:val="TableParagraph"/>
              <w:spacing w:before="71"/>
              <w:ind w:right="165"/>
              <w:jc w:val="right"/>
              <w:rPr>
                <w:sz w:val="22"/>
              </w:rPr>
            </w:pPr>
            <w:r>
              <w:rPr>
                <w:spacing w:val="-4"/>
                <w:sz w:val="22"/>
              </w:rPr>
              <w:t>25.0</w:t>
            </w:r>
          </w:p>
        </w:tc>
        <w:tc>
          <w:tcPr>
            <w:tcW w:w="849" w:type="dxa"/>
          </w:tcPr>
          <w:p>
            <w:pPr>
              <w:pStyle w:val="TableParagraph"/>
              <w:spacing w:before="71"/>
              <w:ind w:right="167"/>
              <w:jc w:val="right"/>
              <w:rPr>
                <w:sz w:val="22"/>
              </w:rPr>
            </w:pPr>
            <w:r>
              <w:rPr>
                <w:spacing w:val="-4"/>
                <w:sz w:val="22"/>
              </w:rPr>
              <w:t>35.0</w:t>
            </w:r>
          </w:p>
        </w:tc>
        <w:tc>
          <w:tcPr>
            <w:tcW w:w="913" w:type="dxa"/>
          </w:tcPr>
          <w:p>
            <w:pPr>
              <w:pStyle w:val="TableParagraph"/>
              <w:spacing w:before="71"/>
              <w:ind w:right="228"/>
              <w:jc w:val="right"/>
              <w:rPr>
                <w:sz w:val="22"/>
              </w:rPr>
            </w:pPr>
            <w:r>
              <w:rPr>
                <w:spacing w:val="-4"/>
                <w:sz w:val="22"/>
              </w:rPr>
              <w:t>50.0</w:t>
            </w:r>
          </w:p>
        </w:tc>
      </w:tr>
      <w:tr>
        <w:trPr>
          <w:trHeight w:val="669" w:hRule="atLeast"/>
        </w:trPr>
        <w:tc>
          <w:tcPr>
            <w:tcW w:w="1020" w:type="dxa"/>
            <w:tcBorders>
              <w:bottom w:val="single" w:sz="4" w:space="0" w:color="000000"/>
            </w:tcBorders>
          </w:tcPr>
          <w:p>
            <w:pPr>
              <w:pStyle w:val="TableParagraph"/>
              <w:spacing w:before="119"/>
              <w:ind w:right="193"/>
              <w:jc w:val="center"/>
              <w:rPr>
                <w:sz w:val="22"/>
              </w:rPr>
            </w:pPr>
            <w:r>
              <w:rPr>
                <w:sz w:val="22"/>
              </w:rPr>
              <w:t>TS</w:t>
            </w:r>
            <w:r>
              <w:rPr>
                <w:spacing w:val="-1"/>
                <w:sz w:val="22"/>
              </w:rPr>
              <w:t> </w:t>
            </w:r>
            <w:r>
              <w:rPr>
                <w:spacing w:val="-5"/>
                <w:sz w:val="22"/>
              </w:rPr>
              <w:t>312</w:t>
            </w:r>
          </w:p>
        </w:tc>
        <w:tc>
          <w:tcPr>
            <w:tcW w:w="845" w:type="dxa"/>
            <w:tcBorders>
              <w:bottom w:val="single" w:sz="4" w:space="0" w:color="000000"/>
            </w:tcBorders>
          </w:tcPr>
          <w:p>
            <w:pPr>
              <w:pStyle w:val="TableParagraph"/>
              <w:spacing w:before="119"/>
              <w:ind w:right="171"/>
              <w:jc w:val="right"/>
              <w:rPr>
                <w:sz w:val="22"/>
              </w:rPr>
            </w:pPr>
            <w:r>
              <w:rPr>
                <w:spacing w:val="-4"/>
                <w:sz w:val="22"/>
              </w:rPr>
              <w:t>17.5</w:t>
            </w:r>
          </w:p>
        </w:tc>
        <w:tc>
          <w:tcPr>
            <w:tcW w:w="999" w:type="dxa"/>
            <w:tcBorders>
              <w:bottom w:val="single" w:sz="4" w:space="0" w:color="000000"/>
            </w:tcBorders>
          </w:tcPr>
          <w:p>
            <w:pPr>
              <w:pStyle w:val="TableParagraph"/>
              <w:spacing w:before="119"/>
              <w:ind w:right="308"/>
              <w:jc w:val="right"/>
              <w:rPr>
                <w:sz w:val="22"/>
              </w:rPr>
            </w:pPr>
            <w:r>
              <w:rPr>
                <w:spacing w:val="-4"/>
                <w:sz w:val="22"/>
              </w:rPr>
              <w:t>25.0</w:t>
            </w:r>
          </w:p>
        </w:tc>
        <w:tc>
          <w:tcPr>
            <w:tcW w:w="1002" w:type="dxa"/>
            <w:tcBorders>
              <w:bottom w:val="single" w:sz="4" w:space="0" w:color="000000"/>
            </w:tcBorders>
          </w:tcPr>
          <w:p>
            <w:pPr>
              <w:pStyle w:val="TableParagraph"/>
              <w:spacing w:before="119"/>
              <w:ind w:right="192"/>
              <w:jc w:val="right"/>
              <w:rPr>
                <w:sz w:val="22"/>
              </w:rPr>
            </w:pPr>
            <w:r>
              <w:rPr>
                <w:spacing w:val="-4"/>
                <w:sz w:val="22"/>
              </w:rPr>
              <w:t>17.5</w:t>
            </w:r>
          </w:p>
        </w:tc>
        <w:tc>
          <w:tcPr>
            <w:tcW w:w="928" w:type="dxa"/>
            <w:tcBorders>
              <w:bottom w:val="single" w:sz="4" w:space="0" w:color="000000"/>
            </w:tcBorders>
          </w:tcPr>
          <w:p>
            <w:pPr>
              <w:pStyle w:val="TableParagraph"/>
              <w:spacing w:before="119"/>
              <w:ind w:left="183"/>
              <w:rPr>
                <w:sz w:val="22"/>
              </w:rPr>
            </w:pPr>
            <w:r>
              <w:rPr>
                <w:spacing w:val="-4"/>
                <w:sz w:val="22"/>
              </w:rPr>
              <w:t>25.0</w:t>
            </w:r>
          </w:p>
        </w:tc>
        <w:tc>
          <w:tcPr>
            <w:tcW w:w="833" w:type="dxa"/>
            <w:tcBorders>
              <w:bottom w:val="single" w:sz="4" w:space="0" w:color="000000"/>
            </w:tcBorders>
          </w:tcPr>
          <w:p>
            <w:pPr>
              <w:pStyle w:val="TableParagraph"/>
              <w:spacing w:before="119"/>
              <w:ind w:right="54"/>
              <w:jc w:val="center"/>
              <w:rPr>
                <w:sz w:val="22"/>
              </w:rPr>
            </w:pPr>
            <w:r>
              <w:rPr>
                <w:spacing w:val="-4"/>
                <w:sz w:val="22"/>
              </w:rPr>
              <w:t>15.0</w:t>
            </w:r>
          </w:p>
        </w:tc>
        <w:tc>
          <w:tcPr>
            <w:tcW w:w="923" w:type="dxa"/>
            <w:tcBorders>
              <w:bottom w:val="single" w:sz="4" w:space="0" w:color="000000"/>
            </w:tcBorders>
          </w:tcPr>
          <w:p>
            <w:pPr>
              <w:pStyle w:val="TableParagraph"/>
              <w:spacing w:before="119"/>
              <w:ind w:right="166"/>
              <w:jc w:val="right"/>
              <w:rPr>
                <w:sz w:val="22"/>
              </w:rPr>
            </w:pPr>
            <w:r>
              <w:rPr>
                <w:spacing w:val="-4"/>
                <w:sz w:val="22"/>
              </w:rPr>
              <w:t>25.0</w:t>
            </w:r>
          </w:p>
        </w:tc>
        <w:tc>
          <w:tcPr>
            <w:tcW w:w="850" w:type="dxa"/>
            <w:tcBorders>
              <w:bottom w:val="single" w:sz="4" w:space="0" w:color="000000"/>
            </w:tcBorders>
          </w:tcPr>
          <w:p>
            <w:pPr>
              <w:pStyle w:val="TableParagraph"/>
              <w:spacing w:before="119"/>
              <w:ind w:right="168"/>
              <w:jc w:val="right"/>
              <w:rPr>
                <w:sz w:val="22"/>
              </w:rPr>
            </w:pPr>
            <w:r>
              <w:rPr>
                <w:spacing w:val="-4"/>
                <w:sz w:val="22"/>
              </w:rPr>
              <w:t>17.5</w:t>
            </w:r>
          </w:p>
        </w:tc>
        <w:tc>
          <w:tcPr>
            <w:tcW w:w="852" w:type="dxa"/>
            <w:tcBorders>
              <w:bottom w:val="single" w:sz="4" w:space="0" w:color="000000"/>
            </w:tcBorders>
          </w:tcPr>
          <w:p>
            <w:pPr>
              <w:pStyle w:val="TableParagraph"/>
              <w:spacing w:before="119"/>
              <w:ind w:right="165"/>
              <w:jc w:val="right"/>
              <w:rPr>
                <w:sz w:val="22"/>
              </w:rPr>
            </w:pPr>
            <w:r>
              <w:rPr>
                <w:spacing w:val="-4"/>
                <w:sz w:val="22"/>
              </w:rPr>
              <w:t>25.0</w:t>
            </w:r>
          </w:p>
        </w:tc>
        <w:tc>
          <w:tcPr>
            <w:tcW w:w="849" w:type="dxa"/>
            <w:tcBorders>
              <w:bottom w:val="single" w:sz="4" w:space="0" w:color="000000"/>
            </w:tcBorders>
          </w:tcPr>
          <w:p>
            <w:pPr>
              <w:pStyle w:val="TableParagraph"/>
              <w:spacing w:before="119"/>
              <w:ind w:right="167"/>
              <w:jc w:val="right"/>
              <w:rPr>
                <w:sz w:val="22"/>
              </w:rPr>
            </w:pPr>
            <w:r>
              <w:rPr>
                <w:spacing w:val="-4"/>
                <w:sz w:val="22"/>
              </w:rPr>
              <w:t>17.5</w:t>
            </w:r>
          </w:p>
        </w:tc>
        <w:tc>
          <w:tcPr>
            <w:tcW w:w="913" w:type="dxa"/>
            <w:tcBorders>
              <w:bottom w:val="single" w:sz="4" w:space="0" w:color="000000"/>
            </w:tcBorders>
          </w:tcPr>
          <w:p>
            <w:pPr>
              <w:pStyle w:val="TableParagraph"/>
              <w:spacing w:before="119"/>
              <w:ind w:right="228"/>
              <w:jc w:val="right"/>
              <w:rPr>
                <w:sz w:val="22"/>
              </w:rPr>
            </w:pPr>
            <w:r>
              <w:rPr>
                <w:spacing w:val="-4"/>
                <w:sz w:val="22"/>
              </w:rPr>
              <w:t>30.0</w:t>
            </w:r>
          </w:p>
        </w:tc>
      </w:tr>
    </w:tbl>
    <w:p>
      <w:pPr>
        <w:pStyle w:val="BodyText"/>
        <w:spacing w:line="360" w:lineRule="auto"/>
        <w:ind w:left="380" w:right="975"/>
      </w:pPr>
      <w:r>
        <w:rPr>
          <w:b/>
        </w:rPr>
        <w:t>Key:</w:t>
      </w:r>
      <w:r>
        <w:rPr>
          <w:b/>
          <w:spacing w:val="-3"/>
        </w:rPr>
        <w:t> </w:t>
      </w:r>
      <w:r>
        <w:rPr/>
        <w:t>MIC=Minimum</w:t>
      </w:r>
      <w:r>
        <w:rPr>
          <w:spacing w:val="-2"/>
        </w:rPr>
        <w:t> </w:t>
      </w:r>
      <w:r>
        <w:rPr/>
        <w:t>Inhibitory</w:t>
      </w:r>
      <w:r>
        <w:rPr>
          <w:spacing w:val="-5"/>
        </w:rPr>
        <w:t> </w:t>
      </w:r>
      <w:r>
        <w:rPr/>
        <w:t>Concentration,</w:t>
      </w:r>
      <w:r>
        <w:rPr>
          <w:spacing w:val="-5"/>
        </w:rPr>
        <w:t> </w:t>
      </w:r>
      <w:r>
        <w:rPr/>
        <w:t>MBC=</w:t>
      </w:r>
      <w:r>
        <w:rPr>
          <w:spacing w:val="-5"/>
        </w:rPr>
        <w:t> </w:t>
      </w:r>
      <w:r>
        <w:rPr/>
        <w:t>Minimum</w:t>
      </w:r>
      <w:r>
        <w:rPr>
          <w:spacing w:val="-2"/>
        </w:rPr>
        <w:t> </w:t>
      </w:r>
      <w:r>
        <w:rPr/>
        <w:t>Bactericidal</w:t>
      </w:r>
      <w:r>
        <w:rPr>
          <w:spacing w:val="-6"/>
        </w:rPr>
        <w:t> </w:t>
      </w:r>
      <w:r>
        <w:rPr/>
        <w:t>Concentration,</w:t>
      </w:r>
      <w:r>
        <w:rPr>
          <w:spacing w:val="-3"/>
        </w:rPr>
        <w:t> </w:t>
      </w:r>
      <w:r>
        <w:rPr/>
        <w:t>NS=Nasal Secretion, SP=Sputum, TS=Throat Swab.</w:t>
      </w:r>
    </w:p>
    <w:p>
      <w:pPr>
        <w:spacing w:after="0" w:line="360" w:lineRule="auto"/>
        <w:sectPr>
          <w:pgSz w:w="11910" w:h="16840"/>
          <w:pgMar w:header="0" w:footer="1055" w:top="138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7"/>
      </w:pPr>
    </w:p>
    <w:p>
      <w:pPr>
        <w:spacing w:before="0"/>
        <w:ind w:left="613" w:right="0" w:firstLine="0"/>
        <w:jc w:val="left"/>
        <w:rPr>
          <w:b/>
          <w:i/>
          <w:sz w:val="22"/>
        </w:rPr>
      </w:pPr>
      <w:r>
        <w:rPr>
          <w:b/>
          <w:sz w:val="22"/>
        </w:rPr>
        <w:t>MIC</w:t>
      </w:r>
      <w:r>
        <w:rPr>
          <w:b/>
          <w:spacing w:val="-5"/>
          <w:sz w:val="22"/>
        </w:rPr>
        <w:t> </w:t>
      </w:r>
      <w:r>
        <w:rPr>
          <w:b/>
          <w:sz w:val="22"/>
        </w:rPr>
        <w:t>and</w:t>
      </w:r>
      <w:r>
        <w:rPr>
          <w:b/>
          <w:spacing w:val="-4"/>
          <w:sz w:val="22"/>
        </w:rPr>
        <w:t> </w:t>
      </w:r>
      <w:r>
        <w:rPr>
          <w:b/>
          <w:sz w:val="22"/>
        </w:rPr>
        <w:t>MBC</w:t>
      </w:r>
      <w:r>
        <w:rPr>
          <w:b/>
          <w:spacing w:val="-4"/>
          <w:sz w:val="22"/>
        </w:rPr>
        <w:t> </w:t>
      </w:r>
      <w:r>
        <w:rPr>
          <w:b/>
          <w:sz w:val="22"/>
        </w:rPr>
        <w:t>Test</w:t>
      </w:r>
      <w:r>
        <w:rPr>
          <w:b/>
          <w:spacing w:val="-5"/>
          <w:sz w:val="22"/>
        </w:rPr>
        <w:t> </w:t>
      </w:r>
      <w:r>
        <w:rPr>
          <w:b/>
          <w:sz w:val="22"/>
        </w:rPr>
        <w:t>(µg/ml)</w:t>
      </w:r>
      <w:r>
        <w:rPr>
          <w:b/>
          <w:spacing w:val="-5"/>
          <w:sz w:val="22"/>
        </w:rPr>
        <w:t> </w:t>
      </w:r>
      <w:r>
        <w:rPr>
          <w:b/>
          <w:sz w:val="22"/>
        </w:rPr>
        <w:t>of</w:t>
      </w:r>
      <w:r>
        <w:rPr>
          <w:b/>
          <w:spacing w:val="-3"/>
          <w:sz w:val="22"/>
        </w:rPr>
        <w:t> </w:t>
      </w:r>
      <w:r>
        <w:rPr>
          <w:b/>
          <w:sz w:val="22"/>
        </w:rPr>
        <w:t>Honey</w:t>
      </w:r>
      <w:r>
        <w:rPr>
          <w:b/>
          <w:spacing w:val="-4"/>
          <w:sz w:val="22"/>
        </w:rPr>
        <w:t> </w:t>
      </w:r>
      <w:r>
        <w:rPr>
          <w:b/>
          <w:sz w:val="22"/>
        </w:rPr>
        <w:t>and</w:t>
      </w:r>
      <w:r>
        <w:rPr>
          <w:b/>
          <w:spacing w:val="-4"/>
          <w:sz w:val="22"/>
        </w:rPr>
        <w:t> </w:t>
      </w:r>
      <w:r>
        <w:rPr>
          <w:b/>
          <w:sz w:val="22"/>
        </w:rPr>
        <w:t>Lemon</w:t>
      </w:r>
      <w:r>
        <w:rPr>
          <w:b/>
          <w:spacing w:val="-2"/>
          <w:sz w:val="22"/>
        </w:rPr>
        <w:t> </w:t>
      </w:r>
      <w:r>
        <w:rPr>
          <w:b/>
          <w:sz w:val="22"/>
        </w:rPr>
        <w:t>juice</w:t>
      </w:r>
      <w:r>
        <w:rPr>
          <w:b/>
          <w:spacing w:val="-6"/>
          <w:sz w:val="22"/>
        </w:rPr>
        <w:t> </w:t>
      </w:r>
      <w:r>
        <w:rPr>
          <w:b/>
          <w:sz w:val="22"/>
        </w:rPr>
        <w:t>mixture</w:t>
      </w:r>
      <w:r>
        <w:rPr>
          <w:b/>
          <w:spacing w:val="-4"/>
          <w:sz w:val="22"/>
        </w:rPr>
        <w:t> </w:t>
      </w:r>
      <w:r>
        <w:rPr>
          <w:b/>
          <w:sz w:val="22"/>
        </w:rPr>
        <w:t>against</w:t>
      </w:r>
      <w:r>
        <w:rPr>
          <w:b/>
          <w:spacing w:val="-2"/>
          <w:sz w:val="22"/>
        </w:rPr>
        <w:t> </w:t>
      </w:r>
      <w:r>
        <w:rPr>
          <w:b/>
          <w:i/>
          <w:sz w:val="22"/>
        </w:rPr>
        <w:t>Haemophilus</w:t>
      </w:r>
      <w:r>
        <w:rPr>
          <w:b/>
          <w:i/>
          <w:spacing w:val="-3"/>
          <w:sz w:val="22"/>
        </w:rPr>
        <w:t> </w:t>
      </w:r>
      <w:r>
        <w:rPr>
          <w:b/>
          <w:i/>
          <w:spacing w:val="-2"/>
          <w:sz w:val="22"/>
        </w:rPr>
        <w:t>influenzae</w:t>
      </w:r>
    </w:p>
    <w:p>
      <w:pPr>
        <w:pStyle w:val="BodyText"/>
        <w:rPr>
          <w:b/>
          <w:i/>
          <w:sz w:val="20"/>
        </w:rPr>
      </w:pPr>
    </w:p>
    <w:p>
      <w:pPr>
        <w:pStyle w:val="BodyText"/>
        <w:spacing w:before="146"/>
        <w:rPr>
          <w:b/>
          <w:i/>
          <w:sz w:val="20"/>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5"/>
        <w:gridCol w:w="822"/>
        <w:gridCol w:w="849"/>
        <w:gridCol w:w="839"/>
        <w:gridCol w:w="880"/>
        <w:gridCol w:w="834"/>
        <w:gridCol w:w="850"/>
        <w:gridCol w:w="817"/>
        <w:gridCol w:w="836"/>
        <w:gridCol w:w="813"/>
        <w:gridCol w:w="840"/>
      </w:tblGrid>
      <w:tr>
        <w:trPr>
          <w:trHeight w:val="665" w:hRule="atLeast"/>
        </w:trPr>
        <w:tc>
          <w:tcPr>
            <w:tcW w:w="1125" w:type="dxa"/>
            <w:tcBorders>
              <w:top w:val="single" w:sz="4" w:space="0" w:color="000000"/>
            </w:tcBorders>
          </w:tcPr>
          <w:p>
            <w:pPr>
              <w:pStyle w:val="TableParagraph"/>
              <w:spacing w:line="259" w:lineRule="auto"/>
              <w:ind w:left="412" w:right="206" w:hanging="176"/>
              <w:rPr>
                <w:b/>
                <w:sz w:val="22"/>
              </w:rPr>
            </w:pPr>
            <w:r>
              <w:rPr>
                <w:b/>
                <w:spacing w:val="-2"/>
                <w:sz w:val="22"/>
              </w:rPr>
              <w:t>Sample </w:t>
            </w:r>
            <w:r>
              <w:rPr>
                <w:b/>
                <w:spacing w:val="-4"/>
                <w:sz w:val="22"/>
              </w:rPr>
              <w:t>No.</w:t>
            </w:r>
          </w:p>
        </w:tc>
        <w:tc>
          <w:tcPr>
            <w:tcW w:w="822" w:type="dxa"/>
            <w:tcBorders>
              <w:top w:val="single" w:sz="4" w:space="0" w:color="000000"/>
            </w:tcBorders>
          </w:tcPr>
          <w:p>
            <w:pPr>
              <w:pStyle w:val="TableParagraph"/>
              <w:spacing w:before="140"/>
              <w:ind w:left="73" w:right="76"/>
              <w:jc w:val="center"/>
              <w:rPr>
                <w:b/>
                <w:sz w:val="22"/>
              </w:rPr>
            </w:pPr>
            <w:r>
              <w:rPr>
                <w:b/>
                <w:spacing w:val="-5"/>
                <w:sz w:val="22"/>
              </w:rPr>
              <w:t>MIC</w:t>
            </w:r>
          </w:p>
        </w:tc>
        <w:tc>
          <w:tcPr>
            <w:tcW w:w="849" w:type="dxa"/>
            <w:tcBorders>
              <w:top w:val="single" w:sz="4" w:space="0" w:color="000000"/>
            </w:tcBorders>
          </w:tcPr>
          <w:p>
            <w:pPr>
              <w:pStyle w:val="TableParagraph"/>
              <w:spacing w:before="140"/>
              <w:ind w:right="15"/>
              <w:jc w:val="center"/>
              <w:rPr>
                <w:b/>
                <w:sz w:val="22"/>
              </w:rPr>
            </w:pPr>
            <w:r>
              <w:rPr>
                <w:b/>
                <w:spacing w:val="-5"/>
                <w:sz w:val="22"/>
              </w:rPr>
              <w:t>MBC</w:t>
            </w:r>
          </w:p>
        </w:tc>
        <w:tc>
          <w:tcPr>
            <w:tcW w:w="839" w:type="dxa"/>
            <w:tcBorders>
              <w:top w:val="single" w:sz="4" w:space="0" w:color="000000"/>
            </w:tcBorders>
          </w:tcPr>
          <w:p>
            <w:pPr>
              <w:pStyle w:val="TableParagraph"/>
              <w:spacing w:before="140"/>
              <w:ind w:right="234"/>
              <w:jc w:val="right"/>
              <w:rPr>
                <w:b/>
                <w:sz w:val="22"/>
              </w:rPr>
            </w:pPr>
            <w:r>
              <w:rPr>
                <w:b/>
                <w:spacing w:val="-5"/>
                <w:sz w:val="22"/>
              </w:rPr>
              <w:t>MIC</w:t>
            </w:r>
          </w:p>
        </w:tc>
        <w:tc>
          <w:tcPr>
            <w:tcW w:w="880" w:type="dxa"/>
            <w:tcBorders>
              <w:top w:val="single" w:sz="4" w:space="0" w:color="000000"/>
            </w:tcBorders>
          </w:tcPr>
          <w:p>
            <w:pPr>
              <w:pStyle w:val="TableParagraph"/>
              <w:spacing w:before="140"/>
              <w:ind w:left="19" w:right="2"/>
              <w:jc w:val="center"/>
              <w:rPr>
                <w:b/>
                <w:sz w:val="22"/>
              </w:rPr>
            </w:pPr>
            <w:r>
              <w:rPr>
                <w:b/>
                <w:spacing w:val="-5"/>
                <w:sz w:val="22"/>
              </w:rPr>
              <w:t>MBC</w:t>
            </w:r>
          </w:p>
        </w:tc>
        <w:tc>
          <w:tcPr>
            <w:tcW w:w="834" w:type="dxa"/>
            <w:tcBorders>
              <w:top w:val="single" w:sz="4" w:space="0" w:color="000000"/>
            </w:tcBorders>
          </w:tcPr>
          <w:p>
            <w:pPr>
              <w:pStyle w:val="TableParagraph"/>
              <w:spacing w:before="140"/>
              <w:ind w:right="230"/>
              <w:jc w:val="right"/>
              <w:rPr>
                <w:b/>
                <w:sz w:val="22"/>
              </w:rPr>
            </w:pPr>
            <w:r>
              <w:rPr>
                <w:b/>
                <w:spacing w:val="-5"/>
                <w:sz w:val="22"/>
              </w:rPr>
              <w:t>MIC</w:t>
            </w:r>
          </w:p>
        </w:tc>
        <w:tc>
          <w:tcPr>
            <w:tcW w:w="850" w:type="dxa"/>
            <w:tcBorders>
              <w:top w:val="single" w:sz="4" w:space="0" w:color="000000"/>
            </w:tcBorders>
          </w:tcPr>
          <w:p>
            <w:pPr>
              <w:pStyle w:val="TableParagraph"/>
              <w:spacing w:before="140"/>
              <w:ind w:left="23" w:right="19"/>
              <w:jc w:val="center"/>
              <w:rPr>
                <w:b/>
                <w:sz w:val="22"/>
              </w:rPr>
            </w:pPr>
            <w:r>
              <w:rPr>
                <w:b/>
                <w:spacing w:val="-5"/>
                <w:sz w:val="22"/>
              </w:rPr>
              <w:t>MBC</w:t>
            </w:r>
          </w:p>
        </w:tc>
        <w:tc>
          <w:tcPr>
            <w:tcW w:w="817" w:type="dxa"/>
            <w:tcBorders>
              <w:top w:val="single" w:sz="4" w:space="0" w:color="000000"/>
            </w:tcBorders>
          </w:tcPr>
          <w:p>
            <w:pPr>
              <w:pStyle w:val="TableParagraph"/>
              <w:spacing w:before="140"/>
              <w:ind w:right="216"/>
              <w:jc w:val="right"/>
              <w:rPr>
                <w:b/>
                <w:sz w:val="22"/>
              </w:rPr>
            </w:pPr>
            <w:r>
              <w:rPr>
                <w:b/>
                <w:spacing w:val="-5"/>
                <w:sz w:val="22"/>
              </w:rPr>
              <w:t>MIC</w:t>
            </w:r>
          </w:p>
        </w:tc>
        <w:tc>
          <w:tcPr>
            <w:tcW w:w="836" w:type="dxa"/>
            <w:tcBorders>
              <w:top w:val="single" w:sz="4" w:space="0" w:color="000000"/>
            </w:tcBorders>
          </w:tcPr>
          <w:p>
            <w:pPr>
              <w:pStyle w:val="TableParagraph"/>
              <w:spacing w:before="140"/>
              <w:ind w:left="4" w:right="2"/>
              <w:jc w:val="center"/>
              <w:rPr>
                <w:b/>
                <w:sz w:val="22"/>
              </w:rPr>
            </w:pPr>
            <w:r>
              <w:rPr>
                <w:b/>
                <w:spacing w:val="-5"/>
                <w:sz w:val="22"/>
              </w:rPr>
              <w:t>MBC</w:t>
            </w:r>
          </w:p>
        </w:tc>
        <w:tc>
          <w:tcPr>
            <w:tcW w:w="813" w:type="dxa"/>
            <w:tcBorders>
              <w:top w:val="single" w:sz="4" w:space="0" w:color="000000"/>
            </w:tcBorders>
          </w:tcPr>
          <w:p>
            <w:pPr>
              <w:pStyle w:val="TableParagraph"/>
              <w:spacing w:before="140"/>
              <w:ind w:right="211"/>
              <w:jc w:val="right"/>
              <w:rPr>
                <w:b/>
                <w:sz w:val="22"/>
              </w:rPr>
            </w:pPr>
            <w:r>
              <w:rPr>
                <w:b/>
                <w:spacing w:val="-5"/>
                <w:sz w:val="22"/>
              </w:rPr>
              <w:t>MIC</w:t>
            </w:r>
          </w:p>
        </w:tc>
        <w:tc>
          <w:tcPr>
            <w:tcW w:w="840" w:type="dxa"/>
            <w:tcBorders>
              <w:top w:val="single" w:sz="4" w:space="0" w:color="000000"/>
            </w:tcBorders>
          </w:tcPr>
          <w:p>
            <w:pPr>
              <w:pStyle w:val="TableParagraph"/>
              <w:spacing w:before="140"/>
              <w:ind w:left="28" w:right="11"/>
              <w:jc w:val="center"/>
              <w:rPr>
                <w:b/>
                <w:sz w:val="22"/>
              </w:rPr>
            </w:pPr>
            <w:r>
              <w:rPr>
                <w:b/>
                <w:spacing w:val="-5"/>
                <w:sz w:val="22"/>
              </w:rPr>
              <w:t>MBC</w:t>
            </w:r>
          </w:p>
        </w:tc>
      </w:tr>
      <w:tr>
        <w:trPr>
          <w:trHeight w:val="521" w:hRule="atLeast"/>
        </w:trPr>
        <w:tc>
          <w:tcPr>
            <w:tcW w:w="1125" w:type="dxa"/>
            <w:tcBorders>
              <w:bottom w:val="single" w:sz="4" w:space="0" w:color="000000"/>
            </w:tcBorders>
          </w:tcPr>
          <w:p>
            <w:pPr>
              <w:pStyle w:val="TableParagraph"/>
              <w:rPr>
                <w:rFonts w:ascii="Times New Roman"/>
                <w:sz w:val="22"/>
              </w:rPr>
            </w:pPr>
          </w:p>
        </w:tc>
        <w:tc>
          <w:tcPr>
            <w:tcW w:w="822" w:type="dxa"/>
            <w:tcBorders>
              <w:bottom w:val="single" w:sz="4" w:space="0" w:color="000000"/>
            </w:tcBorders>
          </w:tcPr>
          <w:p>
            <w:pPr>
              <w:pStyle w:val="TableParagraph"/>
              <w:spacing w:before="70"/>
              <w:ind w:right="76"/>
              <w:jc w:val="center"/>
              <w:rPr>
                <w:b/>
                <w:sz w:val="22"/>
              </w:rPr>
            </w:pPr>
            <w:r>
              <w:rPr>
                <w:b/>
                <w:spacing w:val="-2"/>
                <w:sz w:val="22"/>
              </w:rPr>
              <w:t>10:50</w:t>
            </w:r>
          </w:p>
        </w:tc>
        <w:tc>
          <w:tcPr>
            <w:tcW w:w="849" w:type="dxa"/>
            <w:tcBorders>
              <w:bottom w:val="single" w:sz="4" w:space="0" w:color="000000"/>
            </w:tcBorders>
          </w:tcPr>
          <w:p>
            <w:pPr>
              <w:pStyle w:val="TableParagraph"/>
              <w:rPr>
                <w:rFonts w:ascii="Times New Roman"/>
                <w:sz w:val="22"/>
              </w:rPr>
            </w:pPr>
          </w:p>
        </w:tc>
        <w:tc>
          <w:tcPr>
            <w:tcW w:w="839" w:type="dxa"/>
            <w:tcBorders>
              <w:bottom w:val="single" w:sz="4" w:space="0" w:color="000000"/>
            </w:tcBorders>
          </w:tcPr>
          <w:p>
            <w:pPr>
              <w:pStyle w:val="TableParagraph"/>
              <w:spacing w:before="70"/>
              <w:ind w:right="223"/>
              <w:jc w:val="right"/>
              <w:rPr>
                <w:b/>
                <w:sz w:val="22"/>
              </w:rPr>
            </w:pPr>
            <w:r>
              <w:rPr>
                <w:b/>
                <w:spacing w:val="-2"/>
                <w:sz w:val="22"/>
              </w:rPr>
              <w:t>20:50</w:t>
            </w:r>
          </w:p>
        </w:tc>
        <w:tc>
          <w:tcPr>
            <w:tcW w:w="880" w:type="dxa"/>
            <w:tcBorders>
              <w:bottom w:val="single" w:sz="4" w:space="0" w:color="000000"/>
            </w:tcBorders>
          </w:tcPr>
          <w:p>
            <w:pPr>
              <w:pStyle w:val="TableParagraph"/>
              <w:rPr>
                <w:rFonts w:ascii="Times New Roman"/>
                <w:sz w:val="22"/>
              </w:rPr>
            </w:pPr>
          </w:p>
        </w:tc>
        <w:tc>
          <w:tcPr>
            <w:tcW w:w="834" w:type="dxa"/>
            <w:tcBorders>
              <w:bottom w:val="single" w:sz="4" w:space="0" w:color="000000"/>
            </w:tcBorders>
          </w:tcPr>
          <w:p>
            <w:pPr>
              <w:pStyle w:val="TableParagraph"/>
              <w:spacing w:before="70"/>
              <w:ind w:right="196"/>
              <w:jc w:val="right"/>
              <w:rPr>
                <w:b/>
                <w:sz w:val="22"/>
              </w:rPr>
            </w:pPr>
            <w:r>
              <w:rPr>
                <w:b/>
                <w:spacing w:val="-2"/>
                <w:sz w:val="22"/>
              </w:rPr>
              <w:t>30:50</w:t>
            </w:r>
          </w:p>
        </w:tc>
        <w:tc>
          <w:tcPr>
            <w:tcW w:w="850" w:type="dxa"/>
            <w:tcBorders>
              <w:bottom w:val="single" w:sz="4" w:space="0" w:color="000000"/>
            </w:tcBorders>
          </w:tcPr>
          <w:p>
            <w:pPr>
              <w:pStyle w:val="TableParagraph"/>
              <w:rPr>
                <w:rFonts w:ascii="Times New Roman"/>
                <w:sz w:val="22"/>
              </w:rPr>
            </w:pPr>
          </w:p>
        </w:tc>
        <w:tc>
          <w:tcPr>
            <w:tcW w:w="817" w:type="dxa"/>
            <w:tcBorders>
              <w:bottom w:val="single" w:sz="4" w:space="0" w:color="000000"/>
            </w:tcBorders>
          </w:tcPr>
          <w:p>
            <w:pPr>
              <w:pStyle w:val="TableParagraph"/>
              <w:spacing w:before="70"/>
              <w:ind w:right="183"/>
              <w:jc w:val="right"/>
              <w:rPr>
                <w:b/>
                <w:sz w:val="22"/>
              </w:rPr>
            </w:pPr>
            <w:r>
              <w:rPr>
                <w:b/>
                <w:spacing w:val="-2"/>
                <w:sz w:val="22"/>
              </w:rPr>
              <w:t>40:50</w:t>
            </w:r>
          </w:p>
        </w:tc>
        <w:tc>
          <w:tcPr>
            <w:tcW w:w="836" w:type="dxa"/>
            <w:tcBorders>
              <w:bottom w:val="single" w:sz="4" w:space="0" w:color="000000"/>
            </w:tcBorders>
          </w:tcPr>
          <w:p>
            <w:pPr>
              <w:pStyle w:val="TableParagraph"/>
              <w:rPr>
                <w:rFonts w:ascii="Times New Roman"/>
                <w:sz w:val="22"/>
              </w:rPr>
            </w:pPr>
          </w:p>
        </w:tc>
        <w:tc>
          <w:tcPr>
            <w:tcW w:w="813" w:type="dxa"/>
            <w:tcBorders>
              <w:bottom w:val="single" w:sz="4" w:space="0" w:color="000000"/>
            </w:tcBorders>
          </w:tcPr>
          <w:p>
            <w:pPr>
              <w:pStyle w:val="TableParagraph"/>
              <w:spacing w:before="70"/>
              <w:ind w:right="190"/>
              <w:jc w:val="right"/>
              <w:rPr>
                <w:b/>
                <w:sz w:val="22"/>
              </w:rPr>
            </w:pPr>
            <w:r>
              <w:rPr>
                <w:b/>
                <w:spacing w:val="-2"/>
                <w:sz w:val="22"/>
              </w:rPr>
              <w:t>50:50</w:t>
            </w:r>
          </w:p>
        </w:tc>
        <w:tc>
          <w:tcPr>
            <w:tcW w:w="840" w:type="dxa"/>
            <w:tcBorders>
              <w:bottom w:val="single" w:sz="4" w:space="0" w:color="000000"/>
            </w:tcBorders>
          </w:tcPr>
          <w:p>
            <w:pPr>
              <w:pStyle w:val="TableParagraph"/>
              <w:rPr>
                <w:rFonts w:ascii="Times New Roman"/>
                <w:sz w:val="22"/>
              </w:rPr>
            </w:pPr>
          </w:p>
        </w:tc>
      </w:tr>
      <w:tr>
        <w:trPr>
          <w:trHeight w:val="377" w:hRule="atLeast"/>
        </w:trPr>
        <w:tc>
          <w:tcPr>
            <w:tcW w:w="1125" w:type="dxa"/>
            <w:tcBorders>
              <w:top w:val="single" w:sz="4" w:space="0" w:color="000000"/>
            </w:tcBorders>
          </w:tcPr>
          <w:p>
            <w:pPr>
              <w:pStyle w:val="TableParagraph"/>
              <w:spacing w:line="268" w:lineRule="exact"/>
              <w:ind w:right="276"/>
              <w:jc w:val="center"/>
              <w:rPr>
                <w:sz w:val="22"/>
              </w:rPr>
            </w:pPr>
            <w:r>
              <w:rPr>
                <w:sz w:val="22"/>
              </w:rPr>
              <w:t>SP</w:t>
            </w:r>
            <w:r>
              <w:rPr>
                <w:spacing w:val="1"/>
                <w:sz w:val="22"/>
              </w:rPr>
              <w:t> </w:t>
            </w:r>
            <w:r>
              <w:rPr>
                <w:spacing w:val="-5"/>
                <w:sz w:val="22"/>
              </w:rPr>
              <w:t>267</w:t>
            </w:r>
          </w:p>
        </w:tc>
        <w:tc>
          <w:tcPr>
            <w:tcW w:w="822" w:type="dxa"/>
            <w:tcBorders>
              <w:top w:val="single" w:sz="4" w:space="0" w:color="000000"/>
            </w:tcBorders>
          </w:tcPr>
          <w:p>
            <w:pPr>
              <w:pStyle w:val="TableParagraph"/>
              <w:spacing w:line="268" w:lineRule="exact"/>
              <w:ind w:left="76" w:right="76"/>
              <w:jc w:val="center"/>
              <w:rPr>
                <w:sz w:val="22"/>
              </w:rPr>
            </w:pPr>
            <w:r>
              <w:rPr>
                <w:spacing w:val="-4"/>
                <w:sz w:val="22"/>
              </w:rPr>
              <w:t>30.0</w:t>
            </w:r>
          </w:p>
        </w:tc>
        <w:tc>
          <w:tcPr>
            <w:tcW w:w="849" w:type="dxa"/>
            <w:tcBorders>
              <w:top w:val="single" w:sz="4" w:space="0" w:color="000000"/>
            </w:tcBorders>
          </w:tcPr>
          <w:p>
            <w:pPr>
              <w:pStyle w:val="TableParagraph"/>
              <w:spacing w:line="268" w:lineRule="exact"/>
              <w:ind w:left="3" w:right="15"/>
              <w:jc w:val="center"/>
              <w:rPr>
                <w:sz w:val="22"/>
              </w:rPr>
            </w:pPr>
            <w:r>
              <w:rPr>
                <w:spacing w:val="-4"/>
                <w:sz w:val="22"/>
              </w:rPr>
              <w:t>45.0</w:t>
            </w:r>
          </w:p>
        </w:tc>
        <w:tc>
          <w:tcPr>
            <w:tcW w:w="839" w:type="dxa"/>
            <w:tcBorders>
              <w:top w:val="single" w:sz="4" w:space="0" w:color="000000"/>
            </w:tcBorders>
          </w:tcPr>
          <w:p>
            <w:pPr>
              <w:pStyle w:val="TableParagraph"/>
              <w:spacing w:line="268" w:lineRule="exact"/>
              <w:ind w:right="222"/>
              <w:jc w:val="right"/>
              <w:rPr>
                <w:sz w:val="22"/>
              </w:rPr>
            </w:pPr>
            <w:r>
              <w:rPr>
                <w:spacing w:val="-4"/>
                <w:sz w:val="22"/>
              </w:rPr>
              <w:t>17.5</w:t>
            </w:r>
          </w:p>
        </w:tc>
        <w:tc>
          <w:tcPr>
            <w:tcW w:w="880" w:type="dxa"/>
            <w:tcBorders>
              <w:top w:val="single" w:sz="4" w:space="0" w:color="000000"/>
            </w:tcBorders>
          </w:tcPr>
          <w:p>
            <w:pPr>
              <w:pStyle w:val="TableParagraph"/>
              <w:spacing w:line="268" w:lineRule="exact"/>
              <w:ind w:left="19"/>
              <w:jc w:val="center"/>
              <w:rPr>
                <w:sz w:val="22"/>
              </w:rPr>
            </w:pPr>
            <w:r>
              <w:rPr>
                <w:spacing w:val="-4"/>
                <w:sz w:val="22"/>
              </w:rPr>
              <w:t>25.0</w:t>
            </w:r>
          </w:p>
        </w:tc>
        <w:tc>
          <w:tcPr>
            <w:tcW w:w="834" w:type="dxa"/>
            <w:tcBorders>
              <w:top w:val="single" w:sz="4" w:space="0" w:color="000000"/>
            </w:tcBorders>
          </w:tcPr>
          <w:p>
            <w:pPr>
              <w:pStyle w:val="TableParagraph"/>
              <w:spacing w:line="268" w:lineRule="exact"/>
              <w:ind w:right="215"/>
              <w:jc w:val="right"/>
              <w:rPr>
                <w:sz w:val="22"/>
              </w:rPr>
            </w:pPr>
            <w:r>
              <w:rPr>
                <w:spacing w:val="-4"/>
                <w:sz w:val="22"/>
              </w:rPr>
              <w:t>15.0</w:t>
            </w:r>
          </w:p>
        </w:tc>
        <w:tc>
          <w:tcPr>
            <w:tcW w:w="850" w:type="dxa"/>
            <w:tcBorders>
              <w:top w:val="single" w:sz="4" w:space="0" w:color="000000"/>
            </w:tcBorders>
          </w:tcPr>
          <w:p>
            <w:pPr>
              <w:pStyle w:val="TableParagraph"/>
              <w:spacing w:line="268" w:lineRule="exact"/>
              <w:ind w:left="25" w:right="19"/>
              <w:jc w:val="center"/>
              <w:rPr>
                <w:sz w:val="22"/>
              </w:rPr>
            </w:pPr>
            <w:r>
              <w:rPr>
                <w:spacing w:val="-4"/>
                <w:sz w:val="22"/>
              </w:rPr>
              <w:t>25.0</w:t>
            </w:r>
          </w:p>
        </w:tc>
        <w:tc>
          <w:tcPr>
            <w:tcW w:w="817" w:type="dxa"/>
            <w:tcBorders>
              <w:top w:val="single" w:sz="4" w:space="0" w:color="000000"/>
            </w:tcBorders>
          </w:tcPr>
          <w:p>
            <w:pPr>
              <w:pStyle w:val="TableParagraph"/>
              <w:spacing w:line="268" w:lineRule="exact"/>
              <w:ind w:right="201"/>
              <w:jc w:val="right"/>
              <w:rPr>
                <w:sz w:val="22"/>
              </w:rPr>
            </w:pPr>
            <w:r>
              <w:rPr>
                <w:spacing w:val="-4"/>
                <w:sz w:val="22"/>
              </w:rPr>
              <w:t>17.5</w:t>
            </w:r>
          </w:p>
        </w:tc>
        <w:tc>
          <w:tcPr>
            <w:tcW w:w="836" w:type="dxa"/>
            <w:tcBorders>
              <w:top w:val="single" w:sz="4" w:space="0" w:color="000000"/>
            </w:tcBorders>
          </w:tcPr>
          <w:p>
            <w:pPr>
              <w:pStyle w:val="TableParagraph"/>
              <w:spacing w:line="268" w:lineRule="exact"/>
              <w:ind w:left="4"/>
              <w:jc w:val="center"/>
              <w:rPr>
                <w:sz w:val="22"/>
              </w:rPr>
            </w:pPr>
            <w:r>
              <w:rPr>
                <w:spacing w:val="-4"/>
                <w:sz w:val="22"/>
              </w:rPr>
              <w:t>25.0</w:t>
            </w:r>
          </w:p>
        </w:tc>
        <w:tc>
          <w:tcPr>
            <w:tcW w:w="813" w:type="dxa"/>
            <w:tcBorders>
              <w:top w:val="single" w:sz="4" w:space="0" w:color="000000"/>
            </w:tcBorders>
          </w:tcPr>
          <w:p>
            <w:pPr>
              <w:pStyle w:val="TableParagraph"/>
              <w:spacing w:line="268" w:lineRule="exact"/>
              <w:ind w:right="199"/>
              <w:jc w:val="right"/>
              <w:rPr>
                <w:sz w:val="22"/>
              </w:rPr>
            </w:pPr>
            <w:r>
              <w:rPr>
                <w:spacing w:val="-4"/>
                <w:sz w:val="22"/>
              </w:rPr>
              <w:t>17.5</w:t>
            </w:r>
          </w:p>
        </w:tc>
        <w:tc>
          <w:tcPr>
            <w:tcW w:w="840" w:type="dxa"/>
            <w:tcBorders>
              <w:top w:val="single" w:sz="4" w:space="0" w:color="000000"/>
            </w:tcBorders>
          </w:tcPr>
          <w:p>
            <w:pPr>
              <w:pStyle w:val="TableParagraph"/>
              <w:spacing w:line="268" w:lineRule="exact"/>
              <w:ind w:left="31" w:right="11"/>
              <w:jc w:val="center"/>
              <w:rPr>
                <w:sz w:val="22"/>
              </w:rPr>
            </w:pPr>
            <w:r>
              <w:rPr>
                <w:spacing w:val="-4"/>
                <w:sz w:val="22"/>
              </w:rPr>
              <w:t>25.0</w:t>
            </w:r>
          </w:p>
        </w:tc>
      </w:tr>
      <w:tr>
        <w:trPr>
          <w:trHeight w:val="524" w:hRule="atLeast"/>
        </w:trPr>
        <w:tc>
          <w:tcPr>
            <w:tcW w:w="1125" w:type="dxa"/>
            <w:tcBorders>
              <w:bottom w:val="single" w:sz="4" w:space="0" w:color="000000"/>
            </w:tcBorders>
          </w:tcPr>
          <w:p>
            <w:pPr>
              <w:pStyle w:val="TableParagraph"/>
              <w:spacing w:before="70"/>
              <w:ind w:left="110" w:right="276"/>
              <w:jc w:val="center"/>
              <w:rPr>
                <w:sz w:val="22"/>
              </w:rPr>
            </w:pPr>
            <w:r>
              <w:rPr>
                <w:sz w:val="22"/>
              </w:rPr>
              <w:t>SP</w:t>
            </w:r>
            <w:r>
              <w:rPr>
                <w:spacing w:val="1"/>
                <w:sz w:val="22"/>
              </w:rPr>
              <w:t> </w:t>
            </w:r>
            <w:r>
              <w:rPr>
                <w:spacing w:val="-4"/>
                <w:sz w:val="22"/>
              </w:rPr>
              <w:t>1270</w:t>
            </w:r>
          </w:p>
        </w:tc>
        <w:tc>
          <w:tcPr>
            <w:tcW w:w="822" w:type="dxa"/>
            <w:tcBorders>
              <w:bottom w:val="single" w:sz="4" w:space="0" w:color="000000"/>
            </w:tcBorders>
          </w:tcPr>
          <w:p>
            <w:pPr>
              <w:pStyle w:val="TableParagraph"/>
              <w:spacing w:before="70"/>
              <w:ind w:left="76" w:right="76"/>
              <w:jc w:val="center"/>
              <w:rPr>
                <w:sz w:val="22"/>
              </w:rPr>
            </w:pPr>
            <w:r>
              <w:rPr>
                <w:spacing w:val="-4"/>
                <w:sz w:val="22"/>
              </w:rPr>
              <w:t>35.0</w:t>
            </w:r>
          </w:p>
        </w:tc>
        <w:tc>
          <w:tcPr>
            <w:tcW w:w="849" w:type="dxa"/>
            <w:tcBorders>
              <w:bottom w:val="single" w:sz="4" w:space="0" w:color="000000"/>
            </w:tcBorders>
          </w:tcPr>
          <w:p>
            <w:pPr>
              <w:pStyle w:val="TableParagraph"/>
              <w:spacing w:before="70"/>
              <w:ind w:left="3" w:right="15"/>
              <w:jc w:val="center"/>
              <w:rPr>
                <w:sz w:val="22"/>
              </w:rPr>
            </w:pPr>
            <w:r>
              <w:rPr>
                <w:spacing w:val="-4"/>
                <w:sz w:val="22"/>
              </w:rPr>
              <w:t>50.0</w:t>
            </w:r>
          </w:p>
        </w:tc>
        <w:tc>
          <w:tcPr>
            <w:tcW w:w="839" w:type="dxa"/>
            <w:tcBorders>
              <w:bottom w:val="single" w:sz="4" w:space="0" w:color="000000"/>
            </w:tcBorders>
          </w:tcPr>
          <w:p>
            <w:pPr>
              <w:pStyle w:val="TableParagraph"/>
              <w:spacing w:before="70"/>
              <w:ind w:right="222"/>
              <w:jc w:val="right"/>
              <w:rPr>
                <w:sz w:val="22"/>
              </w:rPr>
            </w:pPr>
            <w:r>
              <w:rPr>
                <w:spacing w:val="-4"/>
                <w:sz w:val="22"/>
              </w:rPr>
              <w:t>17.5</w:t>
            </w:r>
          </w:p>
        </w:tc>
        <w:tc>
          <w:tcPr>
            <w:tcW w:w="880" w:type="dxa"/>
            <w:tcBorders>
              <w:bottom w:val="single" w:sz="4" w:space="0" w:color="000000"/>
            </w:tcBorders>
          </w:tcPr>
          <w:p>
            <w:pPr>
              <w:pStyle w:val="TableParagraph"/>
              <w:spacing w:before="70"/>
              <w:ind w:left="19"/>
              <w:jc w:val="center"/>
              <w:rPr>
                <w:sz w:val="22"/>
              </w:rPr>
            </w:pPr>
            <w:r>
              <w:rPr>
                <w:spacing w:val="-4"/>
                <w:sz w:val="22"/>
              </w:rPr>
              <w:t>25.0</w:t>
            </w:r>
          </w:p>
        </w:tc>
        <w:tc>
          <w:tcPr>
            <w:tcW w:w="834" w:type="dxa"/>
            <w:tcBorders>
              <w:bottom w:val="single" w:sz="4" w:space="0" w:color="000000"/>
            </w:tcBorders>
          </w:tcPr>
          <w:p>
            <w:pPr>
              <w:pStyle w:val="TableParagraph"/>
              <w:spacing w:before="70"/>
              <w:ind w:right="215"/>
              <w:jc w:val="right"/>
              <w:rPr>
                <w:sz w:val="22"/>
              </w:rPr>
            </w:pPr>
            <w:r>
              <w:rPr>
                <w:spacing w:val="-4"/>
                <w:sz w:val="22"/>
              </w:rPr>
              <w:t>15.0</w:t>
            </w:r>
          </w:p>
        </w:tc>
        <w:tc>
          <w:tcPr>
            <w:tcW w:w="850" w:type="dxa"/>
            <w:tcBorders>
              <w:bottom w:val="single" w:sz="4" w:space="0" w:color="000000"/>
            </w:tcBorders>
          </w:tcPr>
          <w:p>
            <w:pPr>
              <w:pStyle w:val="TableParagraph"/>
              <w:spacing w:before="70"/>
              <w:ind w:left="25" w:right="19"/>
              <w:jc w:val="center"/>
              <w:rPr>
                <w:sz w:val="22"/>
              </w:rPr>
            </w:pPr>
            <w:r>
              <w:rPr>
                <w:spacing w:val="-4"/>
                <w:sz w:val="22"/>
              </w:rPr>
              <w:t>22.5</w:t>
            </w:r>
          </w:p>
        </w:tc>
        <w:tc>
          <w:tcPr>
            <w:tcW w:w="817" w:type="dxa"/>
            <w:tcBorders>
              <w:bottom w:val="single" w:sz="4" w:space="0" w:color="000000"/>
            </w:tcBorders>
          </w:tcPr>
          <w:p>
            <w:pPr>
              <w:pStyle w:val="TableParagraph"/>
              <w:spacing w:before="70"/>
              <w:ind w:right="201"/>
              <w:jc w:val="right"/>
              <w:rPr>
                <w:sz w:val="22"/>
              </w:rPr>
            </w:pPr>
            <w:r>
              <w:rPr>
                <w:spacing w:val="-4"/>
                <w:sz w:val="22"/>
              </w:rPr>
              <w:t>17.5</w:t>
            </w:r>
          </w:p>
        </w:tc>
        <w:tc>
          <w:tcPr>
            <w:tcW w:w="836" w:type="dxa"/>
            <w:tcBorders>
              <w:bottom w:val="single" w:sz="4" w:space="0" w:color="000000"/>
            </w:tcBorders>
          </w:tcPr>
          <w:p>
            <w:pPr>
              <w:pStyle w:val="TableParagraph"/>
              <w:spacing w:before="70"/>
              <w:ind w:left="4"/>
              <w:jc w:val="center"/>
              <w:rPr>
                <w:sz w:val="22"/>
              </w:rPr>
            </w:pPr>
            <w:r>
              <w:rPr>
                <w:spacing w:val="-4"/>
                <w:sz w:val="22"/>
              </w:rPr>
              <w:t>22.5</w:t>
            </w:r>
          </w:p>
        </w:tc>
        <w:tc>
          <w:tcPr>
            <w:tcW w:w="813" w:type="dxa"/>
            <w:tcBorders>
              <w:bottom w:val="single" w:sz="4" w:space="0" w:color="000000"/>
            </w:tcBorders>
          </w:tcPr>
          <w:p>
            <w:pPr>
              <w:pStyle w:val="TableParagraph"/>
              <w:spacing w:before="70"/>
              <w:ind w:right="199"/>
              <w:jc w:val="right"/>
              <w:rPr>
                <w:sz w:val="22"/>
              </w:rPr>
            </w:pPr>
            <w:r>
              <w:rPr>
                <w:spacing w:val="-4"/>
                <w:sz w:val="22"/>
              </w:rPr>
              <w:t>17.5</w:t>
            </w:r>
          </w:p>
        </w:tc>
        <w:tc>
          <w:tcPr>
            <w:tcW w:w="840" w:type="dxa"/>
            <w:tcBorders>
              <w:bottom w:val="single" w:sz="4" w:space="0" w:color="000000"/>
            </w:tcBorders>
          </w:tcPr>
          <w:p>
            <w:pPr>
              <w:pStyle w:val="TableParagraph"/>
              <w:spacing w:before="70"/>
              <w:ind w:left="31" w:right="11"/>
              <w:jc w:val="center"/>
              <w:rPr>
                <w:sz w:val="22"/>
              </w:rPr>
            </w:pPr>
            <w:r>
              <w:rPr>
                <w:spacing w:val="-4"/>
                <w:sz w:val="22"/>
              </w:rPr>
              <w:t>25.0</w:t>
            </w:r>
          </w:p>
        </w:tc>
      </w:tr>
    </w:tbl>
    <w:p>
      <w:pPr>
        <w:pStyle w:val="BodyText"/>
        <w:spacing w:before="179"/>
        <w:rPr>
          <w:b/>
          <w:i/>
        </w:rPr>
      </w:pPr>
    </w:p>
    <w:p>
      <w:pPr>
        <w:pStyle w:val="BodyText"/>
        <w:spacing w:line="360" w:lineRule="auto"/>
        <w:ind w:left="380" w:right="975"/>
      </w:pPr>
      <w:r>
        <w:rPr>
          <w:b/>
        </w:rPr>
        <w:t>Key:</w:t>
      </w:r>
      <w:r>
        <w:rPr>
          <w:b/>
          <w:spacing w:val="-4"/>
        </w:rPr>
        <w:t> </w:t>
      </w:r>
      <w:r>
        <w:rPr/>
        <w:t>MIC=Minimum</w:t>
      </w:r>
      <w:r>
        <w:rPr>
          <w:spacing w:val="-3"/>
        </w:rPr>
        <w:t> </w:t>
      </w:r>
      <w:r>
        <w:rPr/>
        <w:t>Inhibitory</w:t>
      </w:r>
      <w:r>
        <w:rPr>
          <w:spacing w:val="-6"/>
        </w:rPr>
        <w:t> </w:t>
      </w:r>
      <w:r>
        <w:rPr/>
        <w:t>Concentration,</w:t>
      </w:r>
      <w:r>
        <w:rPr>
          <w:spacing w:val="-6"/>
        </w:rPr>
        <w:t> </w:t>
      </w:r>
      <w:r>
        <w:rPr/>
        <w:t>MBC=</w:t>
      </w:r>
      <w:r>
        <w:rPr>
          <w:spacing w:val="-6"/>
        </w:rPr>
        <w:t> </w:t>
      </w:r>
      <w:r>
        <w:rPr/>
        <w:t>Minimum</w:t>
      </w:r>
      <w:r>
        <w:rPr>
          <w:spacing w:val="-3"/>
        </w:rPr>
        <w:t> </w:t>
      </w:r>
      <w:r>
        <w:rPr/>
        <w:t>Bactericidal</w:t>
      </w:r>
      <w:r>
        <w:rPr>
          <w:spacing w:val="-7"/>
        </w:rPr>
        <w:t> </w:t>
      </w:r>
      <w:r>
        <w:rPr/>
        <w:t>Concentration, </w:t>
      </w:r>
      <w:r>
        <w:rPr>
          <w:spacing w:val="-2"/>
        </w:rPr>
        <w:t>SP=Sputum.</w:t>
      </w:r>
    </w:p>
    <w:p>
      <w:pPr>
        <w:spacing w:after="0" w:line="360"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4"/>
      </w:pPr>
    </w:p>
    <w:p>
      <w:pPr>
        <w:spacing w:before="0"/>
        <w:ind w:left="538" w:right="0" w:firstLine="0"/>
        <w:jc w:val="left"/>
        <w:rPr>
          <w:b/>
          <w:i/>
          <w:sz w:val="22"/>
        </w:rPr>
      </w:pPr>
      <w:r>
        <w:rPr>
          <w:b/>
          <w:sz w:val="22"/>
        </w:rPr>
        <w:t>MIC</w:t>
      </w:r>
      <w:r>
        <w:rPr>
          <w:b/>
          <w:spacing w:val="-5"/>
          <w:sz w:val="22"/>
        </w:rPr>
        <w:t> </w:t>
      </w:r>
      <w:r>
        <w:rPr>
          <w:b/>
          <w:sz w:val="22"/>
        </w:rPr>
        <w:t>and</w:t>
      </w:r>
      <w:r>
        <w:rPr>
          <w:b/>
          <w:spacing w:val="-4"/>
          <w:sz w:val="22"/>
        </w:rPr>
        <w:t> </w:t>
      </w:r>
      <w:r>
        <w:rPr>
          <w:b/>
          <w:sz w:val="22"/>
        </w:rPr>
        <w:t>MBC</w:t>
      </w:r>
      <w:r>
        <w:rPr>
          <w:b/>
          <w:spacing w:val="-5"/>
          <w:sz w:val="22"/>
        </w:rPr>
        <w:t> </w:t>
      </w:r>
      <w:r>
        <w:rPr>
          <w:b/>
          <w:sz w:val="22"/>
        </w:rPr>
        <w:t>Test</w:t>
      </w:r>
      <w:r>
        <w:rPr>
          <w:b/>
          <w:spacing w:val="-5"/>
          <w:sz w:val="22"/>
        </w:rPr>
        <w:t> </w:t>
      </w:r>
      <w:r>
        <w:rPr>
          <w:b/>
          <w:sz w:val="22"/>
        </w:rPr>
        <w:t>(µg/ml)</w:t>
      </w:r>
      <w:r>
        <w:rPr>
          <w:b/>
          <w:spacing w:val="-5"/>
          <w:sz w:val="22"/>
        </w:rPr>
        <w:t> </w:t>
      </w:r>
      <w:r>
        <w:rPr>
          <w:b/>
          <w:sz w:val="22"/>
        </w:rPr>
        <w:t>of</w:t>
      </w:r>
      <w:r>
        <w:rPr>
          <w:b/>
          <w:spacing w:val="-3"/>
          <w:sz w:val="22"/>
        </w:rPr>
        <w:t> </w:t>
      </w:r>
      <w:r>
        <w:rPr>
          <w:b/>
          <w:sz w:val="22"/>
        </w:rPr>
        <w:t>Honey</w:t>
      </w:r>
      <w:r>
        <w:rPr>
          <w:b/>
          <w:spacing w:val="-4"/>
          <w:sz w:val="22"/>
        </w:rPr>
        <w:t> </w:t>
      </w:r>
      <w:r>
        <w:rPr>
          <w:b/>
          <w:sz w:val="22"/>
        </w:rPr>
        <w:t>and</w:t>
      </w:r>
      <w:r>
        <w:rPr>
          <w:b/>
          <w:spacing w:val="-4"/>
          <w:sz w:val="22"/>
        </w:rPr>
        <w:t> </w:t>
      </w:r>
      <w:r>
        <w:rPr>
          <w:b/>
          <w:sz w:val="22"/>
        </w:rPr>
        <w:t>Lemon</w:t>
      </w:r>
      <w:r>
        <w:rPr>
          <w:b/>
          <w:spacing w:val="-1"/>
          <w:sz w:val="22"/>
        </w:rPr>
        <w:t> </w:t>
      </w:r>
      <w:r>
        <w:rPr>
          <w:b/>
          <w:sz w:val="22"/>
        </w:rPr>
        <w:t>juice</w:t>
      </w:r>
      <w:r>
        <w:rPr>
          <w:b/>
          <w:spacing w:val="-6"/>
          <w:sz w:val="22"/>
        </w:rPr>
        <w:t> </w:t>
      </w:r>
      <w:r>
        <w:rPr>
          <w:b/>
          <w:sz w:val="22"/>
        </w:rPr>
        <w:t>mixture</w:t>
      </w:r>
      <w:r>
        <w:rPr>
          <w:b/>
          <w:spacing w:val="-4"/>
          <w:sz w:val="22"/>
        </w:rPr>
        <w:t> </w:t>
      </w:r>
      <w:r>
        <w:rPr>
          <w:b/>
          <w:sz w:val="22"/>
        </w:rPr>
        <w:t>against</w:t>
      </w:r>
      <w:r>
        <w:rPr>
          <w:b/>
          <w:spacing w:val="-2"/>
          <w:sz w:val="22"/>
        </w:rPr>
        <w:t> </w:t>
      </w:r>
      <w:r>
        <w:rPr>
          <w:b/>
          <w:i/>
          <w:sz w:val="22"/>
        </w:rPr>
        <w:t>Pseudomonas</w:t>
      </w:r>
      <w:r>
        <w:rPr>
          <w:b/>
          <w:i/>
          <w:spacing w:val="-6"/>
          <w:sz w:val="22"/>
        </w:rPr>
        <w:t> </w:t>
      </w:r>
      <w:r>
        <w:rPr>
          <w:b/>
          <w:i/>
          <w:spacing w:val="-2"/>
          <w:sz w:val="22"/>
        </w:rPr>
        <w:t>aeruginosa</w:t>
      </w:r>
    </w:p>
    <w:p>
      <w:pPr>
        <w:pStyle w:val="BodyText"/>
        <w:rPr>
          <w:b/>
          <w:i/>
          <w:sz w:val="20"/>
        </w:rPr>
      </w:pPr>
    </w:p>
    <w:p>
      <w:pPr>
        <w:pStyle w:val="BodyText"/>
        <w:spacing w:before="146" w:after="1"/>
        <w:rPr>
          <w:b/>
          <w:i/>
          <w:sz w:val="20"/>
        </w:rPr>
      </w:pPr>
    </w:p>
    <w:tbl>
      <w:tblPr>
        <w:tblW w:w="0" w:type="auto"/>
        <w:jc w:val="left"/>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1"/>
        <w:gridCol w:w="823"/>
        <w:gridCol w:w="850"/>
        <w:gridCol w:w="840"/>
        <w:gridCol w:w="881"/>
        <w:gridCol w:w="835"/>
        <w:gridCol w:w="851"/>
        <w:gridCol w:w="818"/>
        <w:gridCol w:w="837"/>
        <w:gridCol w:w="814"/>
        <w:gridCol w:w="841"/>
      </w:tblGrid>
      <w:tr>
        <w:trPr>
          <w:trHeight w:val="665" w:hRule="atLeast"/>
        </w:trPr>
        <w:tc>
          <w:tcPr>
            <w:tcW w:w="1111" w:type="dxa"/>
            <w:tcBorders>
              <w:top w:val="single" w:sz="4" w:space="0" w:color="000000"/>
            </w:tcBorders>
          </w:tcPr>
          <w:p>
            <w:pPr>
              <w:pStyle w:val="TableParagraph"/>
              <w:spacing w:line="259" w:lineRule="auto"/>
              <w:ind w:left="398" w:right="206" w:hanging="176"/>
              <w:rPr>
                <w:b/>
                <w:sz w:val="22"/>
              </w:rPr>
            </w:pPr>
            <w:r>
              <w:rPr>
                <w:b/>
                <w:spacing w:val="-2"/>
                <w:sz w:val="22"/>
              </w:rPr>
              <w:t>Sample </w:t>
            </w:r>
            <w:r>
              <w:rPr>
                <w:b/>
                <w:spacing w:val="-4"/>
                <w:sz w:val="22"/>
              </w:rPr>
              <w:t>No.</w:t>
            </w:r>
          </w:p>
        </w:tc>
        <w:tc>
          <w:tcPr>
            <w:tcW w:w="823" w:type="dxa"/>
            <w:tcBorders>
              <w:top w:val="single" w:sz="4" w:space="0" w:color="000000"/>
            </w:tcBorders>
          </w:tcPr>
          <w:p>
            <w:pPr>
              <w:pStyle w:val="TableParagraph"/>
              <w:spacing w:before="140"/>
              <w:ind w:left="72" w:right="77"/>
              <w:jc w:val="center"/>
              <w:rPr>
                <w:b/>
                <w:sz w:val="22"/>
              </w:rPr>
            </w:pPr>
            <w:r>
              <w:rPr>
                <w:b/>
                <w:spacing w:val="-5"/>
                <w:sz w:val="22"/>
              </w:rPr>
              <w:t>MIC</w:t>
            </w:r>
          </w:p>
        </w:tc>
        <w:tc>
          <w:tcPr>
            <w:tcW w:w="850" w:type="dxa"/>
            <w:tcBorders>
              <w:top w:val="single" w:sz="4" w:space="0" w:color="000000"/>
            </w:tcBorders>
          </w:tcPr>
          <w:p>
            <w:pPr>
              <w:pStyle w:val="TableParagraph"/>
              <w:spacing w:before="140"/>
              <w:ind w:left="6" w:right="25"/>
              <w:jc w:val="center"/>
              <w:rPr>
                <w:b/>
                <w:sz w:val="22"/>
              </w:rPr>
            </w:pPr>
            <w:r>
              <w:rPr>
                <w:b/>
                <w:spacing w:val="-5"/>
                <w:sz w:val="22"/>
              </w:rPr>
              <w:t>MBC</w:t>
            </w:r>
          </w:p>
        </w:tc>
        <w:tc>
          <w:tcPr>
            <w:tcW w:w="840" w:type="dxa"/>
            <w:tcBorders>
              <w:top w:val="single" w:sz="4" w:space="0" w:color="000000"/>
            </w:tcBorders>
          </w:tcPr>
          <w:p>
            <w:pPr>
              <w:pStyle w:val="TableParagraph"/>
              <w:spacing w:before="140"/>
              <w:ind w:right="238"/>
              <w:jc w:val="right"/>
              <w:rPr>
                <w:b/>
                <w:sz w:val="22"/>
              </w:rPr>
            </w:pPr>
            <w:r>
              <w:rPr>
                <w:b/>
                <w:spacing w:val="-5"/>
                <w:sz w:val="22"/>
              </w:rPr>
              <w:t>MIC</w:t>
            </w:r>
          </w:p>
        </w:tc>
        <w:tc>
          <w:tcPr>
            <w:tcW w:w="881" w:type="dxa"/>
            <w:tcBorders>
              <w:top w:val="single" w:sz="4" w:space="0" w:color="000000"/>
            </w:tcBorders>
          </w:tcPr>
          <w:p>
            <w:pPr>
              <w:pStyle w:val="TableParagraph"/>
              <w:spacing w:before="140"/>
              <w:ind w:left="12" w:right="3"/>
              <w:jc w:val="center"/>
              <w:rPr>
                <w:b/>
                <w:sz w:val="22"/>
              </w:rPr>
            </w:pPr>
            <w:r>
              <w:rPr>
                <w:b/>
                <w:spacing w:val="-5"/>
                <w:sz w:val="22"/>
              </w:rPr>
              <w:t>MBC</w:t>
            </w:r>
          </w:p>
        </w:tc>
        <w:tc>
          <w:tcPr>
            <w:tcW w:w="835" w:type="dxa"/>
            <w:tcBorders>
              <w:top w:val="single" w:sz="4" w:space="0" w:color="000000"/>
            </w:tcBorders>
          </w:tcPr>
          <w:p>
            <w:pPr>
              <w:pStyle w:val="TableParagraph"/>
              <w:spacing w:before="140"/>
              <w:ind w:right="235"/>
              <w:jc w:val="right"/>
              <w:rPr>
                <w:b/>
                <w:sz w:val="22"/>
              </w:rPr>
            </w:pPr>
            <w:r>
              <w:rPr>
                <w:b/>
                <w:spacing w:val="-5"/>
                <w:sz w:val="22"/>
              </w:rPr>
              <w:t>MIC</w:t>
            </w:r>
          </w:p>
        </w:tc>
        <w:tc>
          <w:tcPr>
            <w:tcW w:w="851" w:type="dxa"/>
            <w:tcBorders>
              <w:top w:val="single" w:sz="4" w:space="0" w:color="000000"/>
            </w:tcBorders>
          </w:tcPr>
          <w:p>
            <w:pPr>
              <w:pStyle w:val="TableParagraph"/>
              <w:spacing w:before="140"/>
              <w:ind w:left="12" w:right="17"/>
              <w:jc w:val="center"/>
              <w:rPr>
                <w:b/>
                <w:sz w:val="22"/>
              </w:rPr>
            </w:pPr>
            <w:r>
              <w:rPr>
                <w:b/>
                <w:spacing w:val="-5"/>
                <w:sz w:val="22"/>
              </w:rPr>
              <w:t>MBC</w:t>
            </w:r>
          </w:p>
        </w:tc>
        <w:tc>
          <w:tcPr>
            <w:tcW w:w="818" w:type="dxa"/>
            <w:tcBorders>
              <w:top w:val="single" w:sz="4" w:space="0" w:color="000000"/>
            </w:tcBorders>
          </w:tcPr>
          <w:p>
            <w:pPr>
              <w:pStyle w:val="TableParagraph"/>
              <w:spacing w:before="140"/>
              <w:ind w:right="223"/>
              <w:jc w:val="right"/>
              <w:rPr>
                <w:b/>
                <w:sz w:val="22"/>
              </w:rPr>
            </w:pPr>
            <w:r>
              <w:rPr>
                <w:b/>
                <w:spacing w:val="-5"/>
                <w:sz w:val="22"/>
              </w:rPr>
              <w:t>MIC</w:t>
            </w:r>
          </w:p>
        </w:tc>
        <w:tc>
          <w:tcPr>
            <w:tcW w:w="837" w:type="dxa"/>
            <w:tcBorders>
              <w:top w:val="single" w:sz="4" w:space="0" w:color="000000"/>
            </w:tcBorders>
          </w:tcPr>
          <w:p>
            <w:pPr>
              <w:pStyle w:val="TableParagraph"/>
              <w:spacing w:before="140"/>
              <w:ind w:right="11"/>
              <w:jc w:val="center"/>
              <w:rPr>
                <w:b/>
                <w:sz w:val="22"/>
              </w:rPr>
            </w:pPr>
            <w:r>
              <w:rPr>
                <w:b/>
                <w:spacing w:val="-5"/>
                <w:sz w:val="22"/>
              </w:rPr>
              <w:t>MBC</w:t>
            </w:r>
          </w:p>
        </w:tc>
        <w:tc>
          <w:tcPr>
            <w:tcW w:w="814" w:type="dxa"/>
            <w:tcBorders>
              <w:top w:val="single" w:sz="4" w:space="0" w:color="000000"/>
            </w:tcBorders>
          </w:tcPr>
          <w:p>
            <w:pPr>
              <w:pStyle w:val="TableParagraph"/>
              <w:spacing w:before="140"/>
              <w:ind w:right="221"/>
              <w:jc w:val="right"/>
              <w:rPr>
                <w:b/>
                <w:sz w:val="22"/>
              </w:rPr>
            </w:pPr>
            <w:r>
              <w:rPr>
                <w:b/>
                <w:spacing w:val="-5"/>
                <w:sz w:val="22"/>
              </w:rPr>
              <w:t>MIC</w:t>
            </w:r>
          </w:p>
        </w:tc>
        <w:tc>
          <w:tcPr>
            <w:tcW w:w="841" w:type="dxa"/>
            <w:tcBorders>
              <w:top w:val="single" w:sz="4" w:space="0" w:color="000000"/>
            </w:tcBorders>
          </w:tcPr>
          <w:p>
            <w:pPr>
              <w:pStyle w:val="TableParagraph"/>
              <w:spacing w:before="140"/>
              <w:ind w:left="6" w:right="6"/>
              <w:jc w:val="center"/>
              <w:rPr>
                <w:b/>
                <w:sz w:val="22"/>
              </w:rPr>
            </w:pPr>
            <w:r>
              <w:rPr>
                <w:b/>
                <w:spacing w:val="-5"/>
                <w:sz w:val="22"/>
              </w:rPr>
              <w:t>MBC</w:t>
            </w:r>
          </w:p>
        </w:tc>
      </w:tr>
      <w:tr>
        <w:trPr>
          <w:trHeight w:val="521" w:hRule="atLeast"/>
        </w:trPr>
        <w:tc>
          <w:tcPr>
            <w:tcW w:w="1111" w:type="dxa"/>
            <w:tcBorders>
              <w:bottom w:val="single" w:sz="4" w:space="0" w:color="000000"/>
            </w:tcBorders>
          </w:tcPr>
          <w:p>
            <w:pPr>
              <w:pStyle w:val="TableParagraph"/>
              <w:rPr>
                <w:rFonts w:ascii="Times New Roman"/>
                <w:sz w:val="22"/>
              </w:rPr>
            </w:pPr>
          </w:p>
        </w:tc>
        <w:tc>
          <w:tcPr>
            <w:tcW w:w="823" w:type="dxa"/>
            <w:tcBorders>
              <w:bottom w:val="single" w:sz="4" w:space="0" w:color="000000"/>
            </w:tcBorders>
          </w:tcPr>
          <w:p>
            <w:pPr>
              <w:pStyle w:val="TableParagraph"/>
              <w:spacing w:before="70"/>
              <w:ind w:right="77"/>
              <w:jc w:val="center"/>
              <w:rPr>
                <w:b/>
                <w:sz w:val="22"/>
              </w:rPr>
            </w:pPr>
            <w:r>
              <w:rPr>
                <w:b/>
                <w:spacing w:val="-2"/>
                <w:sz w:val="22"/>
              </w:rPr>
              <w:t>10:50</w:t>
            </w:r>
          </w:p>
        </w:tc>
        <w:tc>
          <w:tcPr>
            <w:tcW w:w="850" w:type="dxa"/>
            <w:tcBorders>
              <w:bottom w:val="single" w:sz="4" w:space="0" w:color="000000"/>
            </w:tcBorders>
          </w:tcPr>
          <w:p>
            <w:pPr>
              <w:pStyle w:val="TableParagraph"/>
              <w:rPr>
                <w:rFonts w:ascii="Times New Roman"/>
                <w:sz w:val="22"/>
              </w:rPr>
            </w:pPr>
          </w:p>
        </w:tc>
        <w:tc>
          <w:tcPr>
            <w:tcW w:w="840" w:type="dxa"/>
            <w:tcBorders>
              <w:bottom w:val="single" w:sz="4" w:space="0" w:color="000000"/>
            </w:tcBorders>
          </w:tcPr>
          <w:p>
            <w:pPr>
              <w:pStyle w:val="TableParagraph"/>
              <w:spacing w:before="70"/>
              <w:ind w:right="226"/>
              <w:jc w:val="right"/>
              <w:rPr>
                <w:b/>
                <w:sz w:val="22"/>
              </w:rPr>
            </w:pPr>
            <w:r>
              <w:rPr>
                <w:b/>
                <w:spacing w:val="-2"/>
                <w:sz w:val="22"/>
              </w:rPr>
              <w:t>20:50</w:t>
            </w:r>
          </w:p>
        </w:tc>
        <w:tc>
          <w:tcPr>
            <w:tcW w:w="881" w:type="dxa"/>
            <w:tcBorders>
              <w:bottom w:val="single" w:sz="4" w:space="0" w:color="000000"/>
            </w:tcBorders>
          </w:tcPr>
          <w:p>
            <w:pPr>
              <w:pStyle w:val="TableParagraph"/>
              <w:rPr>
                <w:rFonts w:ascii="Times New Roman"/>
                <w:sz w:val="22"/>
              </w:rPr>
            </w:pPr>
          </w:p>
        </w:tc>
        <w:tc>
          <w:tcPr>
            <w:tcW w:w="835" w:type="dxa"/>
            <w:tcBorders>
              <w:bottom w:val="single" w:sz="4" w:space="0" w:color="000000"/>
            </w:tcBorders>
          </w:tcPr>
          <w:p>
            <w:pPr>
              <w:pStyle w:val="TableParagraph"/>
              <w:spacing w:before="70"/>
              <w:ind w:right="202"/>
              <w:jc w:val="right"/>
              <w:rPr>
                <w:b/>
                <w:sz w:val="22"/>
              </w:rPr>
            </w:pPr>
            <w:r>
              <w:rPr>
                <w:b/>
                <w:spacing w:val="-2"/>
                <w:sz w:val="22"/>
              </w:rPr>
              <w:t>30:50</w:t>
            </w:r>
          </w:p>
        </w:tc>
        <w:tc>
          <w:tcPr>
            <w:tcW w:w="851" w:type="dxa"/>
            <w:tcBorders>
              <w:bottom w:val="single" w:sz="4" w:space="0" w:color="000000"/>
            </w:tcBorders>
          </w:tcPr>
          <w:p>
            <w:pPr>
              <w:pStyle w:val="TableParagraph"/>
              <w:rPr>
                <w:rFonts w:ascii="Times New Roman"/>
                <w:sz w:val="22"/>
              </w:rPr>
            </w:pPr>
          </w:p>
        </w:tc>
        <w:tc>
          <w:tcPr>
            <w:tcW w:w="818" w:type="dxa"/>
            <w:tcBorders>
              <w:bottom w:val="single" w:sz="4" w:space="0" w:color="000000"/>
            </w:tcBorders>
          </w:tcPr>
          <w:p>
            <w:pPr>
              <w:pStyle w:val="TableParagraph"/>
              <w:spacing w:before="70"/>
              <w:ind w:right="191"/>
              <w:jc w:val="right"/>
              <w:rPr>
                <w:b/>
                <w:sz w:val="22"/>
              </w:rPr>
            </w:pPr>
            <w:r>
              <w:rPr>
                <w:b/>
                <w:spacing w:val="-2"/>
                <w:sz w:val="22"/>
              </w:rPr>
              <w:t>40:50</w:t>
            </w:r>
          </w:p>
        </w:tc>
        <w:tc>
          <w:tcPr>
            <w:tcW w:w="837" w:type="dxa"/>
            <w:tcBorders>
              <w:bottom w:val="single" w:sz="4" w:space="0" w:color="000000"/>
            </w:tcBorders>
          </w:tcPr>
          <w:p>
            <w:pPr>
              <w:pStyle w:val="TableParagraph"/>
              <w:rPr>
                <w:rFonts w:ascii="Times New Roman"/>
                <w:sz w:val="22"/>
              </w:rPr>
            </w:pPr>
          </w:p>
        </w:tc>
        <w:tc>
          <w:tcPr>
            <w:tcW w:w="814" w:type="dxa"/>
            <w:tcBorders>
              <w:bottom w:val="single" w:sz="4" w:space="0" w:color="000000"/>
            </w:tcBorders>
          </w:tcPr>
          <w:p>
            <w:pPr>
              <w:pStyle w:val="TableParagraph"/>
              <w:spacing w:before="70"/>
              <w:ind w:right="200"/>
              <w:jc w:val="right"/>
              <w:rPr>
                <w:b/>
                <w:sz w:val="22"/>
              </w:rPr>
            </w:pPr>
            <w:r>
              <w:rPr>
                <w:b/>
                <w:spacing w:val="-2"/>
                <w:sz w:val="22"/>
              </w:rPr>
              <w:t>50:50</w:t>
            </w:r>
          </w:p>
        </w:tc>
        <w:tc>
          <w:tcPr>
            <w:tcW w:w="841" w:type="dxa"/>
            <w:tcBorders>
              <w:bottom w:val="single" w:sz="4" w:space="0" w:color="000000"/>
            </w:tcBorders>
          </w:tcPr>
          <w:p>
            <w:pPr>
              <w:pStyle w:val="TableParagraph"/>
              <w:rPr>
                <w:rFonts w:ascii="Times New Roman"/>
                <w:sz w:val="22"/>
              </w:rPr>
            </w:pPr>
          </w:p>
        </w:tc>
      </w:tr>
      <w:tr>
        <w:trPr>
          <w:trHeight w:val="377" w:hRule="atLeast"/>
        </w:trPr>
        <w:tc>
          <w:tcPr>
            <w:tcW w:w="1111" w:type="dxa"/>
            <w:tcBorders>
              <w:top w:val="single" w:sz="4" w:space="0" w:color="000000"/>
            </w:tcBorders>
          </w:tcPr>
          <w:p>
            <w:pPr>
              <w:pStyle w:val="TableParagraph"/>
              <w:spacing w:line="268" w:lineRule="exact"/>
              <w:ind w:left="107"/>
              <w:rPr>
                <w:sz w:val="22"/>
              </w:rPr>
            </w:pPr>
            <w:r>
              <w:rPr>
                <w:sz w:val="22"/>
              </w:rPr>
              <w:t>ES</w:t>
            </w:r>
            <w:r>
              <w:rPr>
                <w:spacing w:val="-3"/>
                <w:sz w:val="22"/>
              </w:rPr>
              <w:t> </w:t>
            </w:r>
            <w:r>
              <w:rPr>
                <w:spacing w:val="-4"/>
                <w:sz w:val="22"/>
              </w:rPr>
              <w:t>1243</w:t>
            </w:r>
          </w:p>
        </w:tc>
        <w:tc>
          <w:tcPr>
            <w:tcW w:w="823" w:type="dxa"/>
            <w:tcBorders>
              <w:top w:val="single" w:sz="4" w:space="0" w:color="000000"/>
            </w:tcBorders>
          </w:tcPr>
          <w:p>
            <w:pPr>
              <w:pStyle w:val="TableParagraph"/>
              <w:spacing w:line="268" w:lineRule="exact"/>
              <w:ind w:left="77" w:right="77"/>
              <w:jc w:val="center"/>
              <w:rPr>
                <w:sz w:val="22"/>
              </w:rPr>
            </w:pPr>
            <w:r>
              <w:rPr>
                <w:spacing w:val="-4"/>
                <w:sz w:val="22"/>
              </w:rPr>
              <w:t>15.0</w:t>
            </w:r>
          </w:p>
        </w:tc>
        <w:tc>
          <w:tcPr>
            <w:tcW w:w="850" w:type="dxa"/>
            <w:tcBorders>
              <w:top w:val="single" w:sz="4" w:space="0" w:color="000000"/>
            </w:tcBorders>
          </w:tcPr>
          <w:p>
            <w:pPr>
              <w:pStyle w:val="TableParagraph"/>
              <w:spacing w:line="268" w:lineRule="exact"/>
              <w:ind w:left="6" w:right="22"/>
              <w:jc w:val="center"/>
              <w:rPr>
                <w:sz w:val="22"/>
              </w:rPr>
            </w:pPr>
            <w:r>
              <w:rPr>
                <w:spacing w:val="-4"/>
                <w:sz w:val="22"/>
              </w:rPr>
              <w:t>25.0</w:t>
            </w:r>
          </w:p>
        </w:tc>
        <w:tc>
          <w:tcPr>
            <w:tcW w:w="840" w:type="dxa"/>
            <w:tcBorders>
              <w:top w:val="single" w:sz="4" w:space="0" w:color="000000"/>
            </w:tcBorders>
          </w:tcPr>
          <w:p>
            <w:pPr>
              <w:pStyle w:val="TableParagraph"/>
              <w:spacing w:line="268" w:lineRule="exact"/>
              <w:ind w:right="226"/>
              <w:jc w:val="right"/>
              <w:rPr>
                <w:sz w:val="22"/>
              </w:rPr>
            </w:pPr>
            <w:r>
              <w:rPr>
                <w:spacing w:val="-4"/>
                <w:sz w:val="22"/>
              </w:rPr>
              <w:t>30.0</w:t>
            </w:r>
          </w:p>
        </w:tc>
        <w:tc>
          <w:tcPr>
            <w:tcW w:w="881" w:type="dxa"/>
            <w:tcBorders>
              <w:top w:val="single" w:sz="4" w:space="0" w:color="000000"/>
            </w:tcBorders>
          </w:tcPr>
          <w:p>
            <w:pPr>
              <w:pStyle w:val="TableParagraph"/>
              <w:spacing w:line="268" w:lineRule="exact"/>
              <w:ind w:left="12"/>
              <w:jc w:val="center"/>
              <w:rPr>
                <w:sz w:val="22"/>
              </w:rPr>
            </w:pPr>
            <w:r>
              <w:rPr>
                <w:spacing w:val="-4"/>
                <w:sz w:val="22"/>
              </w:rPr>
              <w:t>50.0</w:t>
            </w:r>
          </w:p>
        </w:tc>
        <w:tc>
          <w:tcPr>
            <w:tcW w:w="835" w:type="dxa"/>
            <w:tcBorders>
              <w:top w:val="single" w:sz="4" w:space="0" w:color="000000"/>
            </w:tcBorders>
          </w:tcPr>
          <w:p>
            <w:pPr>
              <w:pStyle w:val="TableParagraph"/>
              <w:spacing w:line="268" w:lineRule="exact"/>
              <w:ind w:right="220"/>
              <w:jc w:val="right"/>
              <w:rPr>
                <w:sz w:val="22"/>
              </w:rPr>
            </w:pPr>
            <w:r>
              <w:rPr>
                <w:spacing w:val="-4"/>
                <w:sz w:val="22"/>
              </w:rPr>
              <w:t>15.0</w:t>
            </w:r>
          </w:p>
        </w:tc>
        <w:tc>
          <w:tcPr>
            <w:tcW w:w="851" w:type="dxa"/>
            <w:tcBorders>
              <w:top w:val="single" w:sz="4" w:space="0" w:color="000000"/>
            </w:tcBorders>
          </w:tcPr>
          <w:p>
            <w:pPr>
              <w:pStyle w:val="TableParagraph"/>
              <w:spacing w:line="268" w:lineRule="exact"/>
              <w:ind w:left="12" w:right="15"/>
              <w:jc w:val="center"/>
              <w:rPr>
                <w:sz w:val="22"/>
              </w:rPr>
            </w:pPr>
            <w:r>
              <w:rPr>
                <w:spacing w:val="-4"/>
                <w:sz w:val="22"/>
              </w:rPr>
              <w:t>25.0</w:t>
            </w:r>
          </w:p>
        </w:tc>
        <w:tc>
          <w:tcPr>
            <w:tcW w:w="818" w:type="dxa"/>
            <w:tcBorders>
              <w:top w:val="single" w:sz="4" w:space="0" w:color="000000"/>
            </w:tcBorders>
          </w:tcPr>
          <w:p>
            <w:pPr>
              <w:pStyle w:val="TableParagraph"/>
              <w:spacing w:line="268" w:lineRule="exact"/>
              <w:ind w:right="209"/>
              <w:jc w:val="right"/>
              <w:rPr>
                <w:sz w:val="22"/>
              </w:rPr>
            </w:pPr>
            <w:r>
              <w:rPr>
                <w:spacing w:val="-4"/>
                <w:sz w:val="22"/>
              </w:rPr>
              <w:t>15.0</w:t>
            </w:r>
          </w:p>
        </w:tc>
        <w:tc>
          <w:tcPr>
            <w:tcW w:w="837" w:type="dxa"/>
            <w:tcBorders>
              <w:top w:val="single" w:sz="4" w:space="0" w:color="000000"/>
            </w:tcBorders>
          </w:tcPr>
          <w:p>
            <w:pPr>
              <w:pStyle w:val="TableParagraph"/>
              <w:spacing w:line="268" w:lineRule="exact"/>
              <w:ind w:left="2" w:right="11"/>
              <w:jc w:val="center"/>
              <w:rPr>
                <w:sz w:val="22"/>
              </w:rPr>
            </w:pPr>
            <w:r>
              <w:rPr>
                <w:spacing w:val="-4"/>
                <w:sz w:val="22"/>
              </w:rPr>
              <w:t>25.0</w:t>
            </w:r>
          </w:p>
        </w:tc>
        <w:tc>
          <w:tcPr>
            <w:tcW w:w="814" w:type="dxa"/>
            <w:tcBorders>
              <w:top w:val="single" w:sz="4" w:space="0" w:color="000000"/>
            </w:tcBorders>
          </w:tcPr>
          <w:p>
            <w:pPr>
              <w:pStyle w:val="TableParagraph"/>
              <w:spacing w:line="268" w:lineRule="exact"/>
              <w:ind w:right="209"/>
              <w:jc w:val="right"/>
              <w:rPr>
                <w:sz w:val="22"/>
              </w:rPr>
            </w:pPr>
            <w:r>
              <w:rPr>
                <w:spacing w:val="-4"/>
                <w:sz w:val="22"/>
              </w:rPr>
              <w:t>15.0</w:t>
            </w:r>
          </w:p>
        </w:tc>
        <w:tc>
          <w:tcPr>
            <w:tcW w:w="841" w:type="dxa"/>
            <w:tcBorders>
              <w:top w:val="single" w:sz="4" w:space="0" w:color="000000"/>
            </w:tcBorders>
          </w:tcPr>
          <w:p>
            <w:pPr>
              <w:pStyle w:val="TableParagraph"/>
              <w:spacing w:line="268" w:lineRule="exact"/>
              <w:ind w:left="6" w:right="6"/>
              <w:jc w:val="center"/>
              <w:rPr>
                <w:sz w:val="22"/>
              </w:rPr>
            </w:pPr>
            <w:r>
              <w:rPr>
                <w:spacing w:val="-4"/>
                <w:sz w:val="22"/>
              </w:rPr>
              <w:t>22.5</w:t>
            </w:r>
          </w:p>
        </w:tc>
      </w:tr>
      <w:tr>
        <w:trPr>
          <w:trHeight w:val="450" w:hRule="atLeast"/>
        </w:trPr>
        <w:tc>
          <w:tcPr>
            <w:tcW w:w="1111" w:type="dxa"/>
          </w:tcPr>
          <w:p>
            <w:pPr>
              <w:pStyle w:val="TableParagraph"/>
              <w:spacing w:before="70"/>
              <w:ind w:left="107"/>
              <w:rPr>
                <w:sz w:val="22"/>
              </w:rPr>
            </w:pPr>
            <w:r>
              <w:rPr>
                <w:sz w:val="22"/>
              </w:rPr>
              <w:t>ES</w:t>
            </w:r>
            <w:r>
              <w:rPr>
                <w:spacing w:val="-1"/>
                <w:sz w:val="22"/>
              </w:rPr>
              <w:t> </w:t>
            </w:r>
            <w:r>
              <w:rPr>
                <w:spacing w:val="-5"/>
                <w:sz w:val="22"/>
              </w:rPr>
              <w:t>225</w:t>
            </w:r>
          </w:p>
        </w:tc>
        <w:tc>
          <w:tcPr>
            <w:tcW w:w="823" w:type="dxa"/>
          </w:tcPr>
          <w:p>
            <w:pPr>
              <w:pStyle w:val="TableParagraph"/>
              <w:spacing w:before="70"/>
              <w:ind w:left="77" w:right="77"/>
              <w:jc w:val="center"/>
              <w:rPr>
                <w:sz w:val="22"/>
              </w:rPr>
            </w:pPr>
            <w:r>
              <w:rPr>
                <w:spacing w:val="-4"/>
                <w:sz w:val="22"/>
              </w:rPr>
              <w:t>17.5</w:t>
            </w:r>
          </w:p>
        </w:tc>
        <w:tc>
          <w:tcPr>
            <w:tcW w:w="850" w:type="dxa"/>
          </w:tcPr>
          <w:p>
            <w:pPr>
              <w:pStyle w:val="TableParagraph"/>
              <w:spacing w:before="70"/>
              <w:ind w:left="6" w:right="22"/>
              <w:jc w:val="center"/>
              <w:rPr>
                <w:sz w:val="22"/>
              </w:rPr>
            </w:pPr>
            <w:r>
              <w:rPr>
                <w:spacing w:val="-4"/>
                <w:sz w:val="22"/>
              </w:rPr>
              <w:t>25.0</w:t>
            </w:r>
          </w:p>
        </w:tc>
        <w:tc>
          <w:tcPr>
            <w:tcW w:w="840" w:type="dxa"/>
          </w:tcPr>
          <w:p>
            <w:pPr>
              <w:pStyle w:val="TableParagraph"/>
              <w:spacing w:before="70"/>
              <w:ind w:right="226"/>
              <w:jc w:val="right"/>
              <w:rPr>
                <w:sz w:val="22"/>
              </w:rPr>
            </w:pPr>
            <w:r>
              <w:rPr>
                <w:spacing w:val="-4"/>
                <w:sz w:val="22"/>
              </w:rPr>
              <w:t>17.5</w:t>
            </w:r>
          </w:p>
        </w:tc>
        <w:tc>
          <w:tcPr>
            <w:tcW w:w="881" w:type="dxa"/>
          </w:tcPr>
          <w:p>
            <w:pPr>
              <w:pStyle w:val="TableParagraph"/>
              <w:spacing w:before="70"/>
              <w:ind w:left="12"/>
              <w:jc w:val="center"/>
              <w:rPr>
                <w:sz w:val="22"/>
              </w:rPr>
            </w:pPr>
            <w:r>
              <w:rPr>
                <w:spacing w:val="-4"/>
                <w:sz w:val="22"/>
              </w:rPr>
              <w:t>25.0</w:t>
            </w:r>
          </w:p>
        </w:tc>
        <w:tc>
          <w:tcPr>
            <w:tcW w:w="835" w:type="dxa"/>
          </w:tcPr>
          <w:p>
            <w:pPr>
              <w:pStyle w:val="TableParagraph"/>
              <w:spacing w:before="70"/>
              <w:ind w:right="220"/>
              <w:jc w:val="right"/>
              <w:rPr>
                <w:sz w:val="22"/>
              </w:rPr>
            </w:pPr>
            <w:r>
              <w:rPr>
                <w:spacing w:val="-4"/>
                <w:sz w:val="22"/>
              </w:rPr>
              <w:t>17.5</w:t>
            </w:r>
          </w:p>
        </w:tc>
        <w:tc>
          <w:tcPr>
            <w:tcW w:w="851" w:type="dxa"/>
          </w:tcPr>
          <w:p>
            <w:pPr>
              <w:pStyle w:val="TableParagraph"/>
              <w:spacing w:before="70"/>
              <w:ind w:left="12" w:right="15"/>
              <w:jc w:val="center"/>
              <w:rPr>
                <w:sz w:val="22"/>
              </w:rPr>
            </w:pPr>
            <w:r>
              <w:rPr>
                <w:spacing w:val="-4"/>
                <w:sz w:val="22"/>
              </w:rPr>
              <w:t>25.0</w:t>
            </w:r>
          </w:p>
        </w:tc>
        <w:tc>
          <w:tcPr>
            <w:tcW w:w="818" w:type="dxa"/>
          </w:tcPr>
          <w:p>
            <w:pPr>
              <w:pStyle w:val="TableParagraph"/>
              <w:spacing w:before="70"/>
              <w:ind w:right="209"/>
              <w:jc w:val="right"/>
              <w:rPr>
                <w:sz w:val="22"/>
              </w:rPr>
            </w:pPr>
            <w:r>
              <w:rPr>
                <w:spacing w:val="-4"/>
                <w:sz w:val="22"/>
              </w:rPr>
              <w:t>15.0</w:t>
            </w:r>
          </w:p>
        </w:tc>
        <w:tc>
          <w:tcPr>
            <w:tcW w:w="837" w:type="dxa"/>
          </w:tcPr>
          <w:p>
            <w:pPr>
              <w:pStyle w:val="TableParagraph"/>
              <w:spacing w:before="70"/>
              <w:ind w:left="2" w:right="11"/>
              <w:jc w:val="center"/>
              <w:rPr>
                <w:sz w:val="22"/>
              </w:rPr>
            </w:pPr>
            <w:r>
              <w:rPr>
                <w:spacing w:val="-4"/>
                <w:sz w:val="22"/>
              </w:rPr>
              <w:t>25.0</w:t>
            </w:r>
          </w:p>
        </w:tc>
        <w:tc>
          <w:tcPr>
            <w:tcW w:w="814" w:type="dxa"/>
          </w:tcPr>
          <w:p>
            <w:pPr>
              <w:pStyle w:val="TableParagraph"/>
              <w:spacing w:before="70"/>
              <w:ind w:right="209"/>
              <w:jc w:val="right"/>
              <w:rPr>
                <w:sz w:val="22"/>
              </w:rPr>
            </w:pPr>
            <w:r>
              <w:rPr>
                <w:spacing w:val="-4"/>
                <w:sz w:val="22"/>
              </w:rPr>
              <w:t>15.0</w:t>
            </w:r>
          </w:p>
        </w:tc>
        <w:tc>
          <w:tcPr>
            <w:tcW w:w="841" w:type="dxa"/>
          </w:tcPr>
          <w:p>
            <w:pPr>
              <w:pStyle w:val="TableParagraph"/>
              <w:spacing w:before="70"/>
              <w:ind w:left="6" w:right="6"/>
              <w:jc w:val="center"/>
              <w:rPr>
                <w:sz w:val="22"/>
              </w:rPr>
            </w:pPr>
            <w:r>
              <w:rPr>
                <w:spacing w:val="-4"/>
                <w:sz w:val="22"/>
              </w:rPr>
              <w:t>22.5</w:t>
            </w:r>
          </w:p>
        </w:tc>
      </w:tr>
      <w:tr>
        <w:trPr>
          <w:trHeight w:val="450" w:hRule="atLeast"/>
        </w:trPr>
        <w:tc>
          <w:tcPr>
            <w:tcW w:w="1111" w:type="dxa"/>
          </w:tcPr>
          <w:p>
            <w:pPr>
              <w:pStyle w:val="TableParagraph"/>
              <w:spacing w:before="71"/>
              <w:ind w:left="107"/>
              <w:rPr>
                <w:sz w:val="22"/>
              </w:rPr>
            </w:pPr>
            <w:r>
              <w:rPr>
                <w:sz w:val="22"/>
              </w:rPr>
              <w:t>ES</w:t>
            </w:r>
            <w:r>
              <w:rPr>
                <w:spacing w:val="-1"/>
                <w:sz w:val="22"/>
              </w:rPr>
              <w:t> </w:t>
            </w:r>
            <w:r>
              <w:rPr>
                <w:spacing w:val="-5"/>
                <w:sz w:val="22"/>
              </w:rPr>
              <w:t>235</w:t>
            </w:r>
          </w:p>
        </w:tc>
        <w:tc>
          <w:tcPr>
            <w:tcW w:w="823" w:type="dxa"/>
          </w:tcPr>
          <w:p>
            <w:pPr>
              <w:pStyle w:val="TableParagraph"/>
              <w:spacing w:before="71"/>
              <w:ind w:left="77" w:right="77"/>
              <w:jc w:val="center"/>
              <w:rPr>
                <w:sz w:val="22"/>
              </w:rPr>
            </w:pPr>
            <w:r>
              <w:rPr>
                <w:spacing w:val="-4"/>
                <w:sz w:val="22"/>
              </w:rPr>
              <w:t>35.0</w:t>
            </w:r>
          </w:p>
        </w:tc>
        <w:tc>
          <w:tcPr>
            <w:tcW w:w="850" w:type="dxa"/>
          </w:tcPr>
          <w:p>
            <w:pPr>
              <w:pStyle w:val="TableParagraph"/>
              <w:spacing w:before="71"/>
              <w:ind w:left="6" w:right="22"/>
              <w:jc w:val="center"/>
              <w:rPr>
                <w:sz w:val="22"/>
              </w:rPr>
            </w:pPr>
            <w:r>
              <w:rPr>
                <w:spacing w:val="-4"/>
                <w:sz w:val="22"/>
              </w:rPr>
              <w:t>50.0</w:t>
            </w:r>
          </w:p>
        </w:tc>
        <w:tc>
          <w:tcPr>
            <w:tcW w:w="840" w:type="dxa"/>
          </w:tcPr>
          <w:p>
            <w:pPr>
              <w:pStyle w:val="TableParagraph"/>
              <w:spacing w:before="71"/>
              <w:ind w:right="226"/>
              <w:jc w:val="right"/>
              <w:rPr>
                <w:sz w:val="22"/>
              </w:rPr>
            </w:pPr>
            <w:r>
              <w:rPr>
                <w:spacing w:val="-4"/>
                <w:sz w:val="22"/>
              </w:rPr>
              <w:t>25.0</w:t>
            </w:r>
          </w:p>
        </w:tc>
        <w:tc>
          <w:tcPr>
            <w:tcW w:w="881" w:type="dxa"/>
          </w:tcPr>
          <w:p>
            <w:pPr>
              <w:pStyle w:val="TableParagraph"/>
              <w:spacing w:before="71"/>
              <w:ind w:left="12"/>
              <w:jc w:val="center"/>
              <w:rPr>
                <w:sz w:val="22"/>
              </w:rPr>
            </w:pPr>
            <w:r>
              <w:rPr>
                <w:spacing w:val="-4"/>
                <w:sz w:val="22"/>
              </w:rPr>
              <w:t>40.0</w:t>
            </w:r>
          </w:p>
        </w:tc>
        <w:tc>
          <w:tcPr>
            <w:tcW w:w="835" w:type="dxa"/>
          </w:tcPr>
          <w:p>
            <w:pPr>
              <w:pStyle w:val="TableParagraph"/>
              <w:spacing w:before="71"/>
              <w:ind w:right="220"/>
              <w:jc w:val="right"/>
              <w:rPr>
                <w:sz w:val="22"/>
              </w:rPr>
            </w:pPr>
            <w:r>
              <w:rPr>
                <w:spacing w:val="-4"/>
                <w:sz w:val="22"/>
              </w:rPr>
              <w:t>17.5</w:t>
            </w:r>
          </w:p>
        </w:tc>
        <w:tc>
          <w:tcPr>
            <w:tcW w:w="851" w:type="dxa"/>
          </w:tcPr>
          <w:p>
            <w:pPr>
              <w:pStyle w:val="TableParagraph"/>
              <w:spacing w:before="71"/>
              <w:ind w:left="12" w:right="15"/>
              <w:jc w:val="center"/>
              <w:rPr>
                <w:sz w:val="22"/>
              </w:rPr>
            </w:pPr>
            <w:r>
              <w:rPr>
                <w:spacing w:val="-4"/>
                <w:sz w:val="22"/>
              </w:rPr>
              <w:t>25.0</w:t>
            </w:r>
          </w:p>
        </w:tc>
        <w:tc>
          <w:tcPr>
            <w:tcW w:w="818" w:type="dxa"/>
          </w:tcPr>
          <w:p>
            <w:pPr>
              <w:pStyle w:val="TableParagraph"/>
              <w:spacing w:before="71"/>
              <w:ind w:right="209"/>
              <w:jc w:val="right"/>
              <w:rPr>
                <w:sz w:val="22"/>
              </w:rPr>
            </w:pPr>
            <w:r>
              <w:rPr>
                <w:spacing w:val="-4"/>
                <w:sz w:val="22"/>
              </w:rPr>
              <w:t>17.5</w:t>
            </w:r>
          </w:p>
        </w:tc>
        <w:tc>
          <w:tcPr>
            <w:tcW w:w="837" w:type="dxa"/>
          </w:tcPr>
          <w:p>
            <w:pPr>
              <w:pStyle w:val="TableParagraph"/>
              <w:spacing w:before="71"/>
              <w:ind w:left="2" w:right="11"/>
              <w:jc w:val="center"/>
              <w:rPr>
                <w:sz w:val="22"/>
              </w:rPr>
            </w:pPr>
            <w:r>
              <w:rPr>
                <w:spacing w:val="-4"/>
                <w:sz w:val="22"/>
              </w:rPr>
              <w:t>25.0</w:t>
            </w:r>
          </w:p>
        </w:tc>
        <w:tc>
          <w:tcPr>
            <w:tcW w:w="814" w:type="dxa"/>
          </w:tcPr>
          <w:p>
            <w:pPr>
              <w:pStyle w:val="TableParagraph"/>
              <w:spacing w:before="71"/>
              <w:ind w:right="209"/>
              <w:jc w:val="right"/>
              <w:rPr>
                <w:sz w:val="22"/>
              </w:rPr>
            </w:pPr>
            <w:r>
              <w:rPr>
                <w:spacing w:val="-4"/>
                <w:sz w:val="22"/>
              </w:rPr>
              <w:t>15.0</w:t>
            </w:r>
          </w:p>
        </w:tc>
        <w:tc>
          <w:tcPr>
            <w:tcW w:w="841" w:type="dxa"/>
          </w:tcPr>
          <w:p>
            <w:pPr>
              <w:pStyle w:val="TableParagraph"/>
              <w:spacing w:before="71"/>
              <w:ind w:left="6" w:right="6"/>
              <w:jc w:val="center"/>
              <w:rPr>
                <w:sz w:val="22"/>
              </w:rPr>
            </w:pPr>
            <w:r>
              <w:rPr>
                <w:spacing w:val="-4"/>
                <w:sz w:val="22"/>
              </w:rPr>
              <w:t>22.5</w:t>
            </w:r>
          </w:p>
        </w:tc>
      </w:tr>
      <w:tr>
        <w:trPr>
          <w:trHeight w:val="449" w:hRule="atLeast"/>
        </w:trPr>
        <w:tc>
          <w:tcPr>
            <w:tcW w:w="1111" w:type="dxa"/>
          </w:tcPr>
          <w:p>
            <w:pPr>
              <w:pStyle w:val="TableParagraph"/>
              <w:spacing w:before="70"/>
              <w:ind w:left="107"/>
              <w:rPr>
                <w:sz w:val="22"/>
              </w:rPr>
            </w:pPr>
            <w:r>
              <w:rPr>
                <w:sz w:val="22"/>
              </w:rPr>
              <w:t>ES</w:t>
            </w:r>
            <w:r>
              <w:rPr>
                <w:spacing w:val="-1"/>
                <w:sz w:val="22"/>
              </w:rPr>
              <w:t> </w:t>
            </w:r>
            <w:r>
              <w:rPr>
                <w:spacing w:val="-5"/>
                <w:sz w:val="22"/>
              </w:rPr>
              <w:t>350</w:t>
            </w:r>
          </w:p>
        </w:tc>
        <w:tc>
          <w:tcPr>
            <w:tcW w:w="823" w:type="dxa"/>
          </w:tcPr>
          <w:p>
            <w:pPr>
              <w:pStyle w:val="TableParagraph"/>
              <w:spacing w:before="70"/>
              <w:ind w:left="77" w:right="77"/>
              <w:jc w:val="center"/>
              <w:rPr>
                <w:sz w:val="22"/>
              </w:rPr>
            </w:pPr>
            <w:r>
              <w:rPr>
                <w:spacing w:val="-4"/>
                <w:sz w:val="22"/>
              </w:rPr>
              <w:t>17.5</w:t>
            </w:r>
          </w:p>
        </w:tc>
        <w:tc>
          <w:tcPr>
            <w:tcW w:w="850" w:type="dxa"/>
          </w:tcPr>
          <w:p>
            <w:pPr>
              <w:pStyle w:val="TableParagraph"/>
              <w:spacing w:before="70"/>
              <w:ind w:left="6" w:right="22"/>
              <w:jc w:val="center"/>
              <w:rPr>
                <w:sz w:val="22"/>
              </w:rPr>
            </w:pPr>
            <w:r>
              <w:rPr>
                <w:spacing w:val="-4"/>
                <w:sz w:val="22"/>
              </w:rPr>
              <w:t>25.0</w:t>
            </w:r>
          </w:p>
        </w:tc>
        <w:tc>
          <w:tcPr>
            <w:tcW w:w="840" w:type="dxa"/>
          </w:tcPr>
          <w:p>
            <w:pPr>
              <w:pStyle w:val="TableParagraph"/>
              <w:spacing w:before="70"/>
              <w:ind w:right="226"/>
              <w:jc w:val="right"/>
              <w:rPr>
                <w:sz w:val="22"/>
              </w:rPr>
            </w:pPr>
            <w:r>
              <w:rPr>
                <w:spacing w:val="-4"/>
                <w:sz w:val="22"/>
              </w:rPr>
              <w:t>15.0</w:t>
            </w:r>
          </w:p>
        </w:tc>
        <w:tc>
          <w:tcPr>
            <w:tcW w:w="881" w:type="dxa"/>
          </w:tcPr>
          <w:p>
            <w:pPr>
              <w:pStyle w:val="TableParagraph"/>
              <w:spacing w:before="70"/>
              <w:ind w:left="12"/>
              <w:jc w:val="center"/>
              <w:rPr>
                <w:sz w:val="22"/>
              </w:rPr>
            </w:pPr>
            <w:r>
              <w:rPr>
                <w:spacing w:val="-4"/>
                <w:sz w:val="22"/>
              </w:rPr>
              <w:t>25.0</w:t>
            </w:r>
          </w:p>
        </w:tc>
        <w:tc>
          <w:tcPr>
            <w:tcW w:w="835" w:type="dxa"/>
          </w:tcPr>
          <w:p>
            <w:pPr>
              <w:pStyle w:val="TableParagraph"/>
              <w:spacing w:before="70"/>
              <w:ind w:right="220"/>
              <w:jc w:val="right"/>
              <w:rPr>
                <w:sz w:val="22"/>
              </w:rPr>
            </w:pPr>
            <w:r>
              <w:rPr>
                <w:spacing w:val="-4"/>
                <w:sz w:val="22"/>
              </w:rPr>
              <w:t>17.5</w:t>
            </w:r>
          </w:p>
        </w:tc>
        <w:tc>
          <w:tcPr>
            <w:tcW w:w="851" w:type="dxa"/>
          </w:tcPr>
          <w:p>
            <w:pPr>
              <w:pStyle w:val="TableParagraph"/>
              <w:spacing w:before="70"/>
              <w:ind w:left="12" w:right="15"/>
              <w:jc w:val="center"/>
              <w:rPr>
                <w:sz w:val="22"/>
              </w:rPr>
            </w:pPr>
            <w:r>
              <w:rPr>
                <w:spacing w:val="-4"/>
                <w:sz w:val="22"/>
              </w:rPr>
              <w:t>25.0</w:t>
            </w:r>
          </w:p>
        </w:tc>
        <w:tc>
          <w:tcPr>
            <w:tcW w:w="818" w:type="dxa"/>
          </w:tcPr>
          <w:p>
            <w:pPr>
              <w:pStyle w:val="TableParagraph"/>
              <w:spacing w:before="70"/>
              <w:ind w:right="209"/>
              <w:jc w:val="right"/>
              <w:rPr>
                <w:sz w:val="22"/>
              </w:rPr>
            </w:pPr>
            <w:r>
              <w:rPr>
                <w:spacing w:val="-4"/>
                <w:sz w:val="22"/>
              </w:rPr>
              <w:t>15.0</w:t>
            </w:r>
          </w:p>
        </w:tc>
        <w:tc>
          <w:tcPr>
            <w:tcW w:w="837" w:type="dxa"/>
          </w:tcPr>
          <w:p>
            <w:pPr>
              <w:pStyle w:val="TableParagraph"/>
              <w:spacing w:before="70"/>
              <w:ind w:left="2" w:right="11"/>
              <w:jc w:val="center"/>
              <w:rPr>
                <w:sz w:val="22"/>
              </w:rPr>
            </w:pPr>
            <w:r>
              <w:rPr>
                <w:spacing w:val="-4"/>
                <w:sz w:val="22"/>
              </w:rPr>
              <w:t>22.5</w:t>
            </w:r>
          </w:p>
        </w:tc>
        <w:tc>
          <w:tcPr>
            <w:tcW w:w="814" w:type="dxa"/>
          </w:tcPr>
          <w:p>
            <w:pPr>
              <w:pStyle w:val="TableParagraph"/>
              <w:spacing w:before="70"/>
              <w:ind w:right="209"/>
              <w:jc w:val="right"/>
              <w:rPr>
                <w:sz w:val="22"/>
              </w:rPr>
            </w:pPr>
            <w:r>
              <w:rPr>
                <w:spacing w:val="-4"/>
                <w:sz w:val="22"/>
              </w:rPr>
              <w:t>15.0</w:t>
            </w:r>
          </w:p>
        </w:tc>
        <w:tc>
          <w:tcPr>
            <w:tcW w:w="841" w:type="dxa"/>
          </w:tcPr>
          <w:p>
            <w:pPr>
              <w:pStyle w:val="TableParagraph"/>
              <w:spacing w:before="70"/>
              <w:ind w:left="6" w:right="6"/>
              <w:jc w:val="center"/>
              <w:rPr>
                <w:sz w:val="22"/>
              </w:rPr>
            </w:pPr>
            <w:r>
              <w:rPr>
                <w:spacing w:val="-4"/>
                <w:sz w:val="22"/>
              </w:rPr>
              <w:t>22.5</w:t>
            </w:r>
          </w:p>
        </w:tc>
      </w:tr>
      <w:tr>
        <w:trPr>
          <w:trHeight w:val="335" w:hRule="atLeast"/>
        </w:trPr>
        <w:tc>
          <w:tcPr>
            <w:tcW w:w="1111" w:type="dxa"/>
          </w:tcPr>
          <w:p>
            <w:pPr>
              <w:pStyle w:val="TableParagraph"/>
              <w:spacing w:line="245" w:lineRule="exact" w:before="70"/>
              <w:ind w:left="107"/>
              <w:rPr>
                <w:sz w:val="22"/>
              </w:rPr>
            </w:pPr>
            <w:r>
              <w:rPr>
                <w:sz w:val="22"/>
              </w:rPr>
              <w:t>ES</w:t>
            </w:r>
            <w:r>
              <w:rPr>
                <w:spacing w:val="-1"/>
                <w:sz w:val="22"/>
              </w:rPr>
              <w:t> </w:t>
            </w:r>
            <w:r>
              <w:rPr>
                <w:spacing w:val="-5"/>
                <w:sz w:val="22"/>
              </w:rPr>
              <w:t>876</w:t>
            </w:r>
          </w:p>
        </w:tc>
        <w:tc>
          <w:tcPr>
            <w:tcW w:w="823" w:type="dxa"/>
          </w:tcPr>
          <w:p>
            <w:pPr>
              <w:pStyle w:val="TableParagraph"/>
              <w:spacing w:line="245" w:lineRule="exact" w:before="70"/>
              <w:ind w:left="77" w:right="77"/>
              <w:jc w:val="center"/>
              <w:rPr>
                <w:sz w:val="22"/>
              </w:rPr>
            </w:pPr>
            <w:r>
              <w:rPr>
                <w:spacing w:val="-4"/>
                <w:sz w:val="22"/>
              </w:rPr>
              <w:t>30.0</w:t>
            </w:r>
          </w:p>
        </w:tc>
        <w:tc>
          <w:tcPr>
            <w:tcW w:w="850" w:type="dxa"/>
          </w:tcPr>
          <w:p>
            <w:pPr>
              <w:pStyle w:val="TableParagraph"/>
              <w:spacing w:line="245" w:lineRule="exact" w:before="70"/>
              <w:ind w:left="6" w:right="22"/>
              <w:jc w:val="center"/>
              <w:rPr>
                <w:sz w:val="22"/>
              </w:rPr>
            </w:pPr>
            <w:r>
              <w:rPr>
                <w:spacing w:val="-4"/>
                <w:sz w:val="22"/>
              </w:rPr>
              <w:t>45.0</w:t>
            </w:r>
          </w:p>
        </w:tc>
        <w:tc>
          <w:tcPr>
            <w:tcW w:w="840" w:type="dxa"/>
          </w:tcPr>
          <w:p>
            <w:pPr>
              <w:pStyle w:val="TableParagraph"/>
              <w:spacing w:line="245" w:lineRule="exact" w:before="70"/>
              <w:ind w:right="226"/>
              <w:jc w:val="right"/>
              <w:rPr>
                <w:sz w:val="22"/>
              </w:rPr>
            </w:pPr>
            <w:r>
              <w:rPr>
                <w:spacing w:val="-4"/>
                <w:sz w:val="22"/>
              </w:rPr>
              <w:t>25.0</w:t>
            </w:r>
          </w:p>
        </w:tc>
        <w:tc>
          <w:tcPr>
            <w:tcW w:w="881" w:type="dxa"/>
          </w:tcPr>
          <w:p>
            <w:pPr>
              <w:pStyle w:val="TableParagraph"/>
              <w:spacing w:line="245" w:lineRule="exact" w:before="70"/>
              <w:ind w:left="12"/>
              <w:jc w:val="center"/>
              <w:rPr>
                <w:sz w:val="22"/>
              </w:rPr>
            </w:pPr>
            <w:r>
              <w:rPr>
                <w:spacing w:val="-4"/>
                <w:sz w:val="22"/>
              </w:rPr>
              <w:t>40.0</w:t>
            </w:r>
          </w:p>
        </w:tc>
        <w:tc>
          <w:tcPr>
            <w:tcW w:w="835" w:type="dxa"/>
          </w:tcPr>
          <w:p>
            <w:pPr>
              <w:pStyle w:val="TableParagraph"/>
              <w:spacing w:line="245" w:lineRule="exact" w:before="70"/>
              <w:ind w:right="220"/>
              <w:jc w:val="right"/>
              <w:rPr>
                <w:sz w:val="22"/>
              </w:rPr>
            </w:pPr>
            <w:r>
              <w:rPr>
                <w:spacing w:val="-4"/>
                <w:sz w:val="22"/>
              </w:rPr>
              <w:t>17.5</w:t>
            </w:r>
          </w:p>
        </w:tc>
        <w:tc>
          <w:tcPr>
            <w:tcW w:w="851" w:type="dxa"/>
          </w:tcPr>
          <w:p>
            <w:pPr>
              <w:pStyle w:val="TableParagraph"/>
              <w:spacing w:line="245" w:lineRule="exact" w:before="70"/>
              <w:ind w:left="12" w:right="15"/>
              <w:jc w:val="center"/>
              <w:rPr>
                <w:sz w:val="22"/>
              </w:rPr>
            </w:pPr>
            <w:r>
              <w:rPr>
                <w:spacing w:val="-4"/>
                <w:sz w:val="22"/>
              </w:rPr>
              <w:t>25.0</w:t>
            </w:r>
          </w:p>
        </w:tc>
        <w:tc>
          <w:tcPr>
            <w:tcW w:w="818" w:type="dxa"/>
          </w:tcPr>
          <w:p>
            <w:pPr>
              <w:pStyle w:val="TableParagraph"/>
              <w:spacing w:line="245" w:lineRule="exact" w:before="70"/>
              <w:ind w:right="209"/>
              <w:jc w:val="right"/>
              <w:rPr>
                <w:sz w:val="22"/>
              </w:rPr>
            </w:pPr>
            <w:r>
              <w:rPr>
                <w:spacing w:val="-4"/>
                <w:sz w:val="22"/>
              </w:rPr>
              <w:t>17.5</w:t>
            </w:r>
          </w:p>
        </w:tc>
        <w:tc>
          <w:tcPr>
            <w:tcW w:w="837" w:type="dxa"/>
          </w:tcPr>
          <w:p>
            <w:pPr>
              <w:pStyle w:val="TableParagraph"/>
              <w:spacing w:line="245" w:lineRule="exact" w:before="70"/>
              <w:ind w:left="2" w:right="11"/>
              <w:jc w:val="center"/>
              <w:rPr>
                <w:sz w:val="22"/>
              </w:rPr>
            </w:pPr>
            <w:r>
              <w:rPr>
                <w:spacing w:val="-4"/>
                <w:sz w:val="22"/>
              </w:rPr>
              <w:t>25.0</w:t>
            </w:r>
          </w:p>
        </w:tc>
        <w:tc>
          <w:tcPr>
            <w:tcW w:w="814" w:type="dxa"/>
          </w:tcPr>
          <w:p>
            <w:pPr>
              <w:pStyle w:val="TableParagraph"/>
              <w:spacing w:line="245" w:lineRule="exact" w:before="70"/>
              <w:ind w:right="209"/>
              <w:jc w:val="right"/>
              <w:rPr>
                <w:sz w:val="22"/>
              </w:rPr>
            </w:pPr>
            <w:r>
              <w:rPr>
                <w:spacing w:val="-4"/>
                <w:sz w:val="22"/>
              </w:rPr>
              <w:t>25.0</w:t>
            </w:r>
          </w:p>
        </w:tc>
        <w:tc>
          <w:tcPr>
            <w:tcW w:w="841" w:type="dxa"/>
          </w:tcPr>
          <w:p>
            <w:pPr>
              <w:pStyle w:val="TableParagraph"/>
              <w:spacing w:line="245" w:lineRule="exact" w:before="70"/>
              <w:ind w:left="6" w:right="6"/>
              <w:jc w:val="center"/>
              <w:rPr>
                <w:sz w:val="22"/>
              </w:rPr>
            </w:pPr>
            <w:r>
              <w:rPr>
                <w:spacing w:val="-4"/>
                <w:sz w:val="22"/>
              </w:rPr>
              <w:t>40.0</w:t>
            </w:r>
          </w:p>
        </w:tc>
      </w:tr>
    </w:tbl>
    <w:p>
      <w:pPr>
        <w:spacing w:after="0" w:line="245" w:lineRule="exact"/>
        <w:jc w:val="center"/>
        <w:rPr>
          <w:sz w:val="22"/>
        </w:rPr>
        <w:sectPr>
          <w:pgSz w:w="11910" w:h="16840"/>
          <w:pgMar w:header="0" w:footer="1055" w:top="1920" w:bottom="1611" w:left="1060" w:right="460"/>
        </w:sect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7"/>
        <w:gridCol w:w="864"/>
        <w:gridCol w:w="840"/>
        <w:gridCol w:w="861"/>
        <w:gridCol w:w="861"/>
        <w:gridCol w:w="846"/>
        <w:gridCol w:w="840"/>
        <w:gridCol w:w="829"/>
        <w:gridCol w:w="825"/>
        <w:gridCol w:w="829"/>
        <w:gridCol w:w="834"/>
      </w:tblGrid>
      <w:tr>
        <w:trPr>
          <w:trHeight w:val="383" w:hRule="atLeast"/>
        </w:trPr>
        <w:tc>
          <w:tcPr>
            <w:tcW w:w="1087" w:type="dxa"/>
          </w:tcPr>
          <w:p>
            <w:pPr>
              <w:pStyle w:val="TableParagraph"/>
              <w:spacing w:line="225" w:lineRule="exact"/>
              <w:ind w:right="246"/>
              <w:jc w:val="center"/>
              <w:rPr>
                <w:sz w:val="22"/>
              </w:rPr>
            </w:pPr>
            <w:r>
              <w:rPr>
                <w:sz w:val="22"/>
              </w:rPr>
              <w:t>ES</w:t>
            </w:r>
            <w:r>
              <w:rPr>
                <w:spacing w:val="-1"/>
                <w:sz w:val="22"/>
              </w:rPr>
              <w:t> </w:t>
            </w:r>
            <w:r>
              <w:rPr>
                <w:spacing w:val="-5"/>
                <w:sz w:val="22"/>
              </w:rPr>
              <w:t>877</w:t>
            </w:r>
          </w:p>
        </w:tc>
        <w:tc>
          <w:tcPr>
            <w:tcW w:w="864" w:type="dxa"/>
          </w:tcPr>
          <w:p>
            <w:pPr>
              <w:pStyle w:val="TableParagraph"/>
              <w:spacing w:line="225" w:lineRule="exact"/>
              <w:ind w:left="33"/>
              <w:jc w:val="center"/>
              <w:rPr>
                <w:sz w:val="22"/>
              </w:rPr>
            </w:pPr>
            <w:r>
              <w:rPr>
                <w:spacing w:val="-4"/>
                <w:sz w:val="22"/>
              </w:rPr>
              <w:t>30.0</w:t>
            </w:r>
          </w:p>
        </w:tc>
        <w:tc>
          <w:tcPr>
            <w:tcW w:w="840" w:type="dxa"/>
          </w:tcPr>
          <w:p>
            <w:pPr>
              <w:pStyle w:val="TableParagraph"/>
              <w:spacing w:line="225" w:lineRule="exact"/>
              <w:ind w:left="20" w:right="31"/>
              <w:jc w:val="center"/>
              <w:rPr>
                <w:sz w:val="22"/>
              </w:rPr>
            </w:pPr>
            <w:r>
              <w:rPr>
                <w:spacing w:val="-4"/>
                <w:sz w:val="22"/>
              </w:rPr>
              <w:t>45.0</w:t>
            </w:r>
          </w:p>
        </w:tc>
        <w:tc>
          <w:tcPr>
            <w:tcW w:w="861" w:type="dxa"/>
          </w:tcPr>
          <w:p>
            <w:pPr>
              <w:pStyle w:val="TableParagraph"/>
              <w:spacing w:line="225" w:lineRule="exact"/>
              <w:ind w:left="82" w:right="95"/>
              <w:jc w:val="center"/>
              <w:rPr>
                <w:sz w:val="22"/>
              </w:rPr>
            </w:pPr>
            <w:r>
              <w:rPr>
                <w:spacing w:val="-4"/>
                <w:sz w:val="22"/>
              </w:rPr>
              <w:t>25.0</w:t>
            </w:r>
          </w:p>
        </w:tc>
        <w:tc>
          <w:tcPr>
            <w:tcW w:w="861" w:type="dxa"/>
          </w:tcPr>
          <w:p>
            <w:pPr>
              <w:pStyle w:val="TableParagraph"/>
              <w:spacing w:line="225" w:lineRule="exact"/>
              <w:ind w:left="99" w:right="95"/>
              <w:jc w:val="center"/>
              <w:rPr>
                <w:sz w:val="22"/>
              </w:rPr>
            </w:pPr>
            <w:r>
              <w:rPr>
                <w:spacing w:val="-4"/>
                <w:sz w:val="22"/>
              </w:rPr>
              <w:t>45.0</w:t>
            </w:r>
          </w:p>
        </w:tc>
        <w:tc>
          <w:tcPr>
            <w:tcW w:w="846" w:type="dxa"/>
          </w:tcPr>
          <w:p>
            <w:pPr>
              <w:pStyle w:val="TableParagraph"/>
              <w:spacing w:line="225" w:lineRule="exact"/>
              <w:jc w:val="center"/>
              <w:rPr>
                <w:sz w:val="22"/>
              </w:rPr>
            </w:pPr>
            <w:r>
              <w:rPr>
                <w:spacing w:val="-4"/>
                <w:sz w:val="22"/>
              </w:rPr>
              <w:t>17.5</w:t>
            </w:r>
          </w:p>
        </w:tc>
        <w:tc>
          <w:tcPr>
            <w:tcW w:w="840" w:type="dxa"/>
          </w:tcPr>
          <w:p>
            <w:pPr>
              <w:pStyle w:val="TableParagraph"/>
              <w:spacing w:line="225" w:lineRule="exact"/>
              <w:ind w:left="20" w:right="21"/>
              <w:jc w:val="center"/>
              <w:rPr>
                <w:sz w:val="22"/>
              </w:rPr>
            </w:pPr>
            <w:r>
              <w:rPr>
                <w:spacing w:val="-4"/>
                <w:sz w:val="22"/>
              </w:rPr>
              <w:t>25.0</w:t>
            </w:r>
          </w:p>
        </w:tc>
        <w:tc>
          <w:tcPr>
            <w:tcW w:w="829" w:type="dxa"/>
          </w:tcPr>
          <w:p>
            <w:pPr>
              <w:pStyle w:val="TableParagraph"/>
              <w:spacing w:line="225" w:lineRule="exact"/>
              <w:ind w:left="5" w:right="1"/>
              <w:jc w:val="center"/>
              <w:rPr>
                <w:sz w:val="22"/>
              </w:rPr>
            </w:pPr>
            <w:r>
              <w:rPr>
                <w:spacing w:val="-4"/>
                <w:sz w:val="22"/>
              </w:rPr>
              <w:t>30.0</w:t>
            </w:r>
          </w:p>
        </w:tc>
        <w:tc>
          <w:tcPr>
            <w:tcW w:w="825" w:type="dxa"/>
          </w:tcPr>
          <w:p>
            <w:pPr>
              <w:pStyle w:val="TableParagraph"/>
              <w:spacing w:line="225" w:lineRule="exact"/>
              <w:ind w:right="6"/>
              <w:jc w:val="center"/>
              <w:rPr>
                <w:sz w:val="22"/>
              </w:rPr>
            </w:pPr>
            <w:r>
              <w:rPr>
                <w:spacing w:val="-4"/>
                <w:sz w:val="22"/>
              </w:rPr>
              <w:t>45.0</w:t>
            </w:r>
          </w:p>
        </w:tc>
        <w:tc>
          <w:tcPr>
            <w:tcW w:w="829" w:type="dxa"/>
          </w:tcPr>
          <w:p>
            <w:pPr>
              <w:pStyle w:val="TableParagraph"/>
              <w:spacing w:line="225" w:lineRule="exact"/>
              <w:ind w:left="4" w:right="5"/>
              <w:jc w:val="center"/>
              <w:rPr>
                <w:sz w:val="22"/>
              </w:rPr>
            </w:pPr>
            <w:r>
              <w:rPr>
                <w:spacing w:val="-4"/>
                <w:sz w:val="22"/>
              </w:rPr>
              <w:t>25.0</w:t>
            </w:r>
          </w:p>
        </w:tc>
        <w:tc>
          <w:tcPr>
            <w:tcW w:w="834" w:type="dxa"/>
          </w:tcPr>
          <w:p>
            <w:pPr>
              <w:pStyle w:val="TableParagraph"/>
              <w:spacing w:line="225" w:lineRule="exact"/>
              <w:ind w:left="4" w:right="9"/>
              <w:jc w:val="center"/>
              <w:rPr>
                <w:sz w:val="22"/>
              </w:rPr>
            </w:pPr>
            <w:r>
              <w:rPr>
                <w:spacing w:val="-4"/>
                <w:sz w:val="22"/>
              </w:rPr>
              <w:t>50.0</w:t>
            </w:r>
          </w:p>
        </w:tc>
      </w:tr>
      <w:tr>
        <w:trPr>
          <w:trHeight w:val="498" w:hRule="atLeast"/>
        </w:trPr>
        <w:tc>
          <w:tcPr>
            <w:tcW w:w="1087" w:type="dxa"/>
          </w:tcPr>
          <w:p>
            <w:pPr>
              <w:pStyle w:val="TableParagraph"/>
              <w:spacing w:before="119"/>
              <w:ind w:right="246"/>
              <w:jc w:val="center"/>
              <w:rPr>
                <w:sz w:val="22"/>
              </w:rPr>
            </w:pPr>
            <w:r>
              <w:rPr>
                <w:sz w:val="22"/>
              </w:rPr>
              <w:t>ES</w:t>
            </w:r>
            <w:r>
              <w:rPr>
                <w:spacing w:val="-1"/>
                <w:sz w:val="22"/>
              </w:rPr>
              <w:t> </w:t>
            </w:r>
            <w:r>
              <w:rPr>
                <w:spacing w:val="-5"/>
                <w:sz w:val="22"/>
              </w:rPr>
              <w:t>895</w:t>
            </w:r>
          </w:p>
        </w:tc>
        <w:tc>
          <w:tcPr>
            <w:tcW w:w="864" w:type="dxa"/>
          </w:tcPr>
          <w:p>
            <w:pPr>
              <w:pStyle w:val="TableParagraph"/>
              <w:spacing w:before="119"/>
              <w:ind w:left="33"/>
              <w:jc w:val="center"/>
              <w:rPr>
                <w:sz w:val="22"/>
              </w:rPr>
            </w:pPr>
            <w:r>
              <w:rPr>
                <w:spacing w:val="-4"/>
                <w:sz w:val="22"/>
              </w:rPr>
              <w:t>15.0</w:t>
            </w:r>
          </w:p>
        </w:tc>
        <w:tc>
          <w:tcPr>
            <w:tcW w:w="840" w:type="dxa"/>
          </w:tcPr>
          <w:p>
            <w:pPr>
              <w:pStyle w:val="TableParagraph"/>
              <w:spacing w:before="119"/>
              <w:ind w:left="20" w:right="31"/>
              <w:jc w:val="center"/>
              <w:rPr>
                <w:sz w:val="22"/>
              </w:rPr>
            </w:pPr>
            <w:r>
              <w:rPr>
                <w:spacing w:val="-4"/>
                <w:sz w:val="22"/>
              </w:rPr>
              <w:t>25.0</w:t>
            </w:r>
          </w:p>
        </w:tc>
        <w:tc>
          <w:tcPr>
            <w:tcW w:w="861" w:type="dxa"/>
          </w:tcPr>
          <w:p>
            <w:pPr>
              <w:pStyle w:val="TableParagraph"/>
              <w:spacing w:before="119"/>
              <w:ind w:left="82" w:right="95"/>
              <w:jc w:val="center"/>
              <w:rPr>
                <w:sz w:val="22"/>
              </w:rPr>
            </w:pPr>
            <w:r>
              <w:rPr>
                <w:spacing w:val="-4"/>
                <w:sz w:val="22"/>
              </w:rPr>
              <w:t>17.5</w:t>
            </w:r>
          </w:p>
        </w:tc>
        <w:tc>
          <w:tcPr>
            <w:tcW w:w="861" w:type="dxa"/>
          </w:tcPr>
          <w:p>
            <w:pPr>
              <w:pStyle w:val="TableParagraph"/>
              <w:spacing w:before="119"/>
              <w:ind w:left="99" w:right="95"/>
              <w:jc w:val="center"/>
              <w:rPr>
                <w:sz w:val="22"/>
              </w:rPr>
            </w:pPr>
            <w:r>
              <w:rPr>
                <w:spacing w:val="-4"/>
                <w:sz w:val="22"/>
              </w:rPr>
              <w:t>25.0</w:t>
            </w:r>
          </w:p>
        </w:tc>
        <w:tc>
          <w:tcPr>
            <w:tcW w:w="846" w:type="dxa"/>
          </w:tcPr>
          <w:p>
            <w:pPr>
              <w:pStyle w:val="TableParagraph"/>
              <w:spacing w:before="119"/>
              <w:jc w:val="center"/>
              <w:rPr>
                <w:sz w:val="22"/>
              </w:rPr>
            </w:pPr>
            <w:r>
              <w:rPr>
                <w:spacing w:val="-4"/>
                <w:sz w:val="22"/>
              </w:rPr>
              <w:t>17.5</w:t>
            </w:r>
          </w:p>
        </w:tc>
        <w:tc>
          <w:tcPr>
            <w:tcW w:w="840" w:type="dxa"/>
          </w:tcPr>
          <w:p>
            <w:pPr>
              <w:pStyle w:val="TableParagraph"/>
              <w:spacing w:before="119"/>
              <w:ind w:left="20" w:right="21"/>
              <w:jc w:val="center"/>
              <w:rPr>
                <w:sz w:val="22"/>
              </w:rPr>
            </w:pPr>
            <w:r>
              <w:rPr>
                <w:spacing w:val="-4"/>
                <w:sz w:val="22"/>
              </w:rPr>
              <w:t>25.0</w:t>
            </w:r>
          </w:p>
        </w:tc>
        <w:tc>
          <w:tcPr>
            <w:tcW w:w="829" w:type="dxa"/>
          </w:tcPr>
          <w:p>
            <w:pPr>
              <w:pStyle w:val="TableParagraph"/>
              <w:spacing w:before="119"/>
              <w:ind w:left="5" w:right="1"/>
              <w:jc w:val="center"/>
              <w:rPr>
                <w:sz w:val="22"/>
              </w:rPr>
            </w:pPr>
            <w:r>
              <w:rPr>
                <w:spacing w:val="-4"/>
                <w:sz w:val="22"/>
              </w:rPr>
              <w:t>17.5</w:t>
            </w:r>
          </w:p>
        </w:tc>
        <w:tc>
          <w:tcPr>
            <w:tcW w:w="825" w:type="dxa"/>
          </w:tcPr>
          <w:p>
            <w:pPr>
              <w:pStyle w:val="TableParagraph"/>
              <w:spacing w:before="119"/>
              <w:ind w:right="6"/>
              <w:jc w:val="center"/>
              <w:rPr>
                <w:sz w:val="22"/>
              </w:rPr>
            </w:pPr>
            <w:r>
              <w:rPr>
                <w:spacing w:val="-4"/>
                <w:sz w:val="22"/>
              </w:rPr>
              <w:t>25.0</w:t>
            </w:r>
          </w:p>
        </w:tc>
        <w:tc>
          <w:tcPr>
            <w:tcW w:w="829" w:type="dxa"/>
          </w:tcPr>
          <w:p>
            <w:pPr>
              <w:pStyle w:val="TableParagraph"/>
              <w:spacing w:before="119"/>
              <w:ind w:left="4" w:right="5"/>
              <w:jc w:val="center"/>
              <w:rPr>
                <w:sz w:val="22"/>
              </w:rPr>
            </w:pPr>
            <w:r>
              <w:rPr>
                <w:spacing w:val="-4"/>
                <w:sz w:val="22"/>
              </w:rPr>
              <w:t>25.0</w:t>
            </w:r>
          </w:p>
        </w:tc>
        <w:tc>
          <w:tcPr>
            <w:tcW w:w="834" w:type="dxa"/>
          </w:tcPr>
          <w:p>
            <w:pPr>
              <w:pStyle w:val="TableParagraph"/>
              <w:spacing w:before="119"/>
              <w:ind w:left="4" w:right="9"/>
              <w:jc w:val="center"/>
              <w:rPr>
                <w:sz w:val="22"/>
              </w:rPr>
            </w:pPr>
            <w:r>
              <w:rPr>
                <w:spacing w:val="-4"/>
                <w:sz w:val="22"/>
              </w:rPr>
              <w:t>45.0</w:t>
            </w:r>
          </w:p>
        </w:tc>
      </w:tr>
      <w:tr>
        <w:trPr>
          <w:trHeight w:val="450" w:hRule="atLeast"/>
        </w:trPr>
        <w:tc>
          <w:tcPr>
            <w:tcW w:w="1087" w:type="dxa"/>
          </w:tcPr>
          <w:p>
            <w:pPr>
              <w:pStyle w:val="TableParagraph"/>
              <w:spacing w:before="70"/>
              <w:ind w:left="111" w:right="239"/>
              <w:jc w:val="center"/>
              <w:rPr>
                <w:sz w:val="22"/>
              </w:rPr>
            </w:pPr>
            <w:r>
              <w:rPr>
                <w:sz w:val="22"/>
              </w:rPr>
              <w:t>SP </w:t>
            </w:r>
            <w:r>
              <w:rPr>
                <w:spacing w:val="-4"/>
                <w:sz w:val="22"/>
              </w:rPr>
              <w:t>1203</w:t>
            </w:r>
          </w:p>
        </w:tc>
        <w:tc>
          <w:tcPr>
            <w:tcW w:w="864" w:type="dxa"/>
          </w:tcPr>
          <w:p>
            <w:pPr>
              <w:pStyle w:val="TableParagraph"/>
              <w:spacing w:before="70"/>
              <w:ind w:left="33"/>
              <w:jc w:val="center"/>
              <w:rPr>
                <w:sz w:val="22"/>
              </w:rPr>
            </w:pPr>
            <w:r>
              <w:rPr>
                <w:spacing w:val="-4"/>
                <w:sz w:val="22"/>
              </w:rPr>
              <w:t>17.5</w:t>
            </w:r>
          </w:p>
        </w:tc>
        <w:tc>
          <w:tcPr>
            <w:tcW w:w="840" w:type="dxa"/>
          </w:tcPr>
          <w:p>
            <w:pPr>
              <w:pStyle w:val="TableParagraph"/>
              <w:spacing w:before="70"/>
              <w:ind w:left="20" w:right="31"/>
              <w:jc w:val="center"/>
              <w:rPr>
                <w:sz w:val="22"/>
              </w:rPr>
            </w:pPr>
            <w:r>
              <w:rPr>
                <w:spacing w:val="-4"/>
                <w:sz w:val="22"/>
              </w:rPr>
              <w:t>25.0</w:t>
            </w:r>
          </w:p>
        </w:tc>
        <w:tc>
          <w:tcPr>
            <w:tcW w:w="861" w:type="dxa"/>
          </w:tcPr>
          <w:p>
            <w:pPr>
              <w:pStyle w:val="TableParagraph"/>
              <w:spacing w:before="70"/>
              <w:ind w:left="82" w:right="95"/>
              <w:jc w:val="center"/>
              <w:rPr>
                <w:sz w:val="22"/>
              </w:rPr>
            </w:pPr>
            <w:r>
              <w:rPr>
                <w:spacing w:val="-4"/>
                <w:sz w:val="22"/>
              </w:rPr>
              <w:t>15.0</w:t>
            </w:r>
          </w:p>
        </w:tc>
        <w:tc>
          <w:tcPr>
            <w:tcW w:w="861" w:type="dxa"/>
          </w:tcPr>
          <w:p>
            <w:pPr>
              <w:pStyle w:val="TableParagraph"/>
              <w:spacing w:before="70"/>
              <w:ind w:left="99" w:right="95"/>
              <w:jc w:val="center"/>
              <w:rPr>
                <w:sz w:val="22"/>
              </w:rPr>
            </w:pPr>
            <w:r>
              <w:rPr>
                <w:spacing w:val="-4"/>
                <w:sz w:val="22"/>
              </w:rPr>
              <w:t>25.0</w:t>
            </w:r>
          </w:p>
        </w:tc>
        <w:tc>
          <w:tcPr>
            <w:tcW w:w="846" w:type="dxa"/>
          </w:tcPr>
          <w:p>
            <w:pPr>
              <w:pStyle w:val="TableParagraph"/>
              <w:spacing w:before="70"/>
              <w:jc w:val="center"/>
              <w:rPr>
                <w:sz w:val="22"/>
              </w:rPr>
            </w:pPr>
            <w:r>
              <w:rPr>
                <w:spacing w:val="-4"/>
                <w:sz w:val="22"/>
              </w:rPr>
              <w:t>15.0</w:t>
            </w:r>
          </w:p>
        </w:tc>
        <w:tc>
          <w:tcPr>
            <w:tcW w:w="840" w:type="dxa"/>
          </w:tcPr>
          <w:p>
            <w:pPr>
              <w:pStyle w:val="TableParagraph"/>
              <w:spacing w:before="70"/>
              <w:ind w:left="20" w:right="21"/>
              <w:jc w:val="center"/>
              <w:rPr>
                <w:sz w:val="22"/>
              </w:rPr>
            </w:pPr>
            <w:r>
              <w:rPr>
                <w:spacing w:val="-4"/>
                <w:sz w:val="22"/>
              </w:rPr>
              <w:t>22.5</w:t>
            </w:r>
          </w:p>
        </w:tc>
        <w:tc>
          <w:tcPr>
            <w:tcW w:w="829" w:type="dxa"/>
          </w:tcPr>
          <w:p>
            <w:pPr>
              <w:pStyle w:val="TableParagraph"/>
              <w:spacing w:before="70"/>
              <w:ind w:left="5" w:right="1"/>
              <w:jc w:val="center"/>
              <w:rPr>
                <w:sz w:val="22"/>
              </w:rPr>
            </w:pPr>
            <w:r>
              <w:rPr>
                <w:spacing w:val="-4"/>
                <w:sz w:val="22"/>
              </w:rPr>
              <w:t>17.5</w:t>
            </w:r>
          </w:p>
        </w:tc>
        <w:tc>
          <w:tcPr>
            <w:tcW w:w="825" w:type="dxa"/>
          </w:tcPr>
          <w:p>
            <w:pPr>
              <w:pStyle w:val="TableParagraph"/>
              <w:spacing w:before="70"/>
              <w:ind w:right="6"/>
              <w:jc w:val="center"/>
              <w:rPr>
                <w:sz w:val="22"/>
              </w:rPr>
            </w:pPr>
            <w:r>
              <w:rPr>
                <w:spacing w:val="-4"/>
                <w:sz w:val="22"/>
              </w:rPr>
              <w:t>25.0</w:t>
            </w:r>
          </w:p>
        </w:tc>
        <w:tc>
          <w:tcPr>
            <w:tcW w:w="829" w:type="dxa"/>
          </w:tcPr>
          <w:p>
            <w:pPr>
              <w:pStyle w:val="TableParagraph"/>
              <w:spacing w:before="70"/>
              <w:ind w:left="4" w:right="5"/>
              <w:jc w:val="center"/>
              <w:rPr>
                <w:sz w:val="22"/>
              </w:rPr>
            </w:pPr>
            <w:r>
              <w:rPr>
                <w:spacing w:val="-4"/>
                <w:sz w:val="22"/>
              </w:rPr>
              <w:t>15.0</w:t>
            </w:r>
          </w:p>
        </w:tc>
        <w:tc>
          <w:tcPr>
            <w:tcW w:w="834" w:type="dxa"/>
          </w:tcPr>
          <w:p>
            <w:pPr>
              <w:pStyle w:val="TableParagraph"/>
              <w:spacing w:before="70"/>
              <w:ind w:left="4" w:right="9"/>
              <w:jc w:val="center"/>
              <w:rPr>
                <w:sz w:val="22"/>
              </w:rPr>
            </w:pPr>
            <w:r>
              <w:rPr>
                <w:spacing w:val="-4"/>
                <w:sz w:val="22"/>
              </w:rPr>
              <w:t>22.5</w:t>
            </w:r>
          </w:p>
        </w:tc>
      </w:tr>
      <w:tr>
        <w:trPr>
          <w:trHeight w:val="450" w:hRule="atLeast"/>
        </w:trPr>
        <w:tc>
          <w:tcPr>
            <w:tcW w:w="1087" w:type="dxa"/>
          </w:tcPr>
          <w:p>
            <w:pPr>
              <w:pStyle w:val="TableParagraph"/>
              <w:spacing w:before="71"/>
              <w:ind w:left="111" w:right="239"/>
              <w:jc w:val="center"/>
              <w:rPr>
                <w:sz w:val="22"/>
              </w:rPr>
            </w:pPr>
            <w:r>
              <w:rPr>
                <w:sz w:val="22"/>
              </w:rPr>
              <w:t>SP</w:t>
            </w:r>
            <w:r>
              <w:rPr>
                <w:spacing w:val="1"/>
                <w:sz w:val="22"/>
              </w:rPr>
              <w:t> </w:t>
            </w:r>
            <w:r>
              <w:rPr>
                <w:spacing w:val="-4"/>
                <w:sz w:val="22"/>
              </w:rPr>
              <w:t>1204</w:t>
            </w:r>
          </w:p>
        </w:tc>
        <w:tc>
          <w:tcPr>
            <w:tcW w:w="864" w:type="dxa"/>
          </w:tcPr>
          <w:p>
            <w:pPr>
              <w:pStyle w:val="TableParagraph"/>
              <w:spacing w:before="71"/>
              <w:ind w:left="33"/>
              <w:jc w:val="center"/>
              <w:rPr>
                <w:sz w:val="22"/>
              </w:rPr>
            </w:pPr>
            <w:r>
              <w:rPr>
                <w:spacing w:val="-4"/>
                <w:sz w:val="22"/>
              </w:rPr>
              <w:t>15.0</w:t>
            </w:r>
          </w:p>
        </w:tc>
        <w:tc>
          <w:tcPr>
            <w:tcW w:w="840" w:type="dxa"/>
          </w:tcPr>
          <w:p>
            <w:pPr>
              <w:pStyle w:val="TableParagraph"/>
              <w:spacing w:before="71"/>
              <w:ind w:left="20" w:right="31"/>
              <w:jc w:val="center"/>
              <w:rPr>
                <w:sz w:val="22"/>
              </w:rPr>
            </w:pPr>
            <w:r>
              <w:rPr>
                <w:spacing w:val="-4"/>
                <w:sz w:val="22"/>
              </w:rPr>
              <w:t>25.0</w:t>
            </w:r>
          </w:p>
        </w:tc>
        <w:tc>
          <w:tcPr>
            <w:tcW w:w="861" w:type="dxa"/>
          </w:tcPr>
          <w:p>
            <w:pPr>
              <w:pStyle w:val="TableParagraph"/>
              <w:spacing w:before="71"/>
              <w:ind w:left="82" w:right="95"/>
              <w:jc w:val="center"/>
              <w:rPr>
                <w:sz w:val="22"/>
              </w:rPr>
            </w:pPr>
            <w:r>
              <w:rPr>
                <w:spacing w:val="-4"/>
                <w:sz w:val="22"/>
              </w:rPr>
              <w:t>15.0</w:t>
            </w:r>
          </w:p>
        </w:tc>
        <w:tc>
          <w:tcPr>
            <w:tcW w:w="861" w:type="dxa"/>
          </w:tcPr>
          <w:p>
            <w:pPr>
              <w:pStyle w:val="TableParagraph"/>
              <w:spacing w:before="71"/>
              <w:ind w:left="99" w:right="95"/>
              <w:jc w:val="center"/>
              <w:rPr>
                <w:sz w:val="22"/>
              </w:rPr>
            </w:pPr>
            <w:r>
              <w:rPr>
                <w:spacing w:val="-4"/>
                <w:sz w:val="22"/>
              </w:rPr>
              <w:t>25.0</w:t>
            </w:r>
          </w:p>
        </w:tc>
        <w:tc>
          <w:tcPr>
            <w:tcW w:w="846" w:type="dxa"/>
          </w:tcPr>
          <w:p>
            <w:pPr>
              <w:pStyle w:val="TableParagraph"/>
              <w:spacing w:before="71"/>
              <w:jc w:val="center"/>
              <w:rPr>
                <w:sz w:val="22"/>
              </w:rPr>
            </w:pPr>
            <w:r>
              <w:rPr>
                <w:spacing w:val="-4"/>
                <w:sz w:val="22"/>
              </w:rPr>
              <w:t>17.5</w:t>
            </w:r>
          </w:p>
        </w:tc>
        <w:tc>
          <w:tcPr>
            <w:tcW w:w="840" w:type="dxa"/>
          </w:tcPr>
          <w:p>
            <w:pPr>
              <w:pStyle w:val="TableParagraph"/>
              <w:spacing w:before="71"/>
              <w:ind w:left="20" w:right="21"/>
              <w:jc w:val="center"/>
              <w:rPr>
                <w:sz w:val="22"/>
              </w:rPr>
            </w:pPr>
            <w:r>
              <w:rPr>
                <w:spacing w:val="-4"/>
                <w:sz w:val="22"/>
              </w:rPr>
              <w:t>25.0</w:t>
            </w:r>
          </w:p>
        </w:tc>
        <w:tc>
          <w:tcPr>
            <w:tcW w:w="829" w:type="dxa"/>
          </w:tcPr>
          <w:p>
            <w:pPr>
              <w:pStyle w:val="TableParagraph"/>
              <w:spacing w:before="71"/>
              <w:ind w:left="5" w:right="1"/>
              <w:jc w:val="center"/>
              <w:rPr>
                <w:sz w:val="22"/>
              </w:rPr>
            </w:pPr>
            <w:r>
              <w:rPr>
                <w:spacing w:val="-4"/>
                <w:sz w:val="22"/>
              </w:rPr>
              <w:t>15.0</w:t>
            </w:r>
          </w:p>
        </w:tc>
        <w:tc>
          <w:tcPr>
            <w:tcW w:w="825" w:type="dxa"/>
          </w:tcPr>
          <w:p>
            <w:pPr>
              <w:pStyle w:val="TableParagraph"/>
              <w:spacing w:before="71"/>
              <w:ind w:right="6"/>
              <w:jc w:val="center"/>
              <w:rPr>
                <w:sz w:val="22"/>
              </w:rPr>
            </w:pPr>
            <w:r>
              <w:rPr>
                <w:spacing w:val="-4"/>
                <w:sz w:val="22"/>
              </w:rPr>
              <w:t>25.0</w:t>
            </w:r>
          </w:p>
        </w:tc>
        <w:tc>
          <w:tcPr>
            <w:tcW w:w="829" w:type="dxa"/>
          </w:tcPr>
          <w:p>
            <w:pPr>
              <w:pStyle w:val="TableParagraph"/>
              <w:spacing w:before="71"/>
              <w:ind w:left="4" w:right="5"/>
              <w:jc w:val="center"/>
              <w:rPr>
                <w:sz w:val="22"/>
              </w:rPr>
            </w:pPr>
            <w:r>
              <w:rPr>
                <w:spacing w:val="-4"/>
                <w:sz w:val="22"/>
              </w:rPr>
              <w:t>17.5</w:t>
            </w:r>
          </w:p>
        </w:tc>
        <w:tc>
          <w:tcPr>
            <w:tcW w:w="834" w:type="dxa"/>
          </w:tcPr>
          <w:p>
            <w:pPr>
              <w:pStyle w:val="TableParagraph"/>
              <w:spacing w:before="71"/>
              <w:ind w:left="4" w:right="9"/>
              <w:jc w:val="center"/>
              <w:rPr>
                <w:sz w:val="22"/>
              </w:rPr>
            </w:pPr>
            <w:r>
              <w:rPr>
                <w:spacing w:val="-4"/>
                <w:sz w:val="22"/>
              </w:rPr>
              <w:t>25.0</w:t>
            </w:r>
          </w:p>
        </w:tc>
      </w:tr>
      <w:tr>
        <w:trPr>
          <w:trHeight w:val="448" w:hRule="atLeast"/>
        </w:trPr>
        <w:tc>
          <w:tcPr>
            <w:tcW w:w="1087" w:type="dxa"/>
          </w:tcPr>
          <w:p>
            <w:pPr>
              <w:pStyle w:val="TableParagraph"/>
              <w:spacing w:before="70"/>
              <w:ind w:left="111" w:right="239"/>
              <w:jc w:val="center"/>
              <w:rPr>
                <w:sz w:val="22"/>
              </w:rPr>
            </w:pPr>
            <w:r>
              <w:rPr>
                <w:sz w:val="22"/>
              </w:rPr>
              <w:t>SP</w:t>
            </w:r>
            <w:r>
              <w:rPr>
                <w:spacing w:val="1"/>
                <w:sz w:val="22"/>
              </w:rPr>
              <w:t> </w:t>
            </w:r>
            <w:r>
              <w:rPr>
                <w:spacing w:val="-4"/>
                <w:sz w:val="22"/>
              </w:rPr>
              <w:t>1205</w:t>
            </w:r>
          </w:p>
        </w:tc>
        <w:tc>
          <w:tcPr>
            <w:tcW w:w="864" w:type="dxa"/>
          </w:tcPr>
          <w:p>
            <w:pPr>
              <w:pStyle w:val="TableParagraph"/>
              <w:spacing w:before="70"/>
              <w:ind w:left="33"/>
              <w:jc w:val="center"/>
              <w:rPr>
                <w:sz w:val="22"/>
              </w:rPr>
            </w:pPr>
            <w:r>
              <w:rPr>
                <w:spacing w:val="-4"/>
                <w:sz w:val="22"/>
              </w:rPr>
              <w:t>17.5</w:t>
            </w:r>
          </w:p>
        </w:tc>
        <w:tc>
          <w:tcPr>
            <w:tcW w:w="840" w:type="dxa"/>
          </w:tcPr>
          <w:p>
            <w:pPr>
              <w:pStyle w:val="TableParagraph"/>
              <w:spacing w:before="70"/>
              <w:ind w:left="20" w:right="31"/>
              <w:jc w:val="center"/>
              <w:rPr>
                <w:sz w:val="22"/>
              </w:rPr>
            </w:pPr>
            <w:r>
              <w:rPr>
                <w:spacing w:val="-4"/>
                <w:sz w:val="22"/>
              </w:rPr>
              <w:t>25.0</w:t>
            </w:r>
          </w:p>
        </w:tc>
        <w:tc>
          <w:tcPr>
            <w:tcW w:w="861" w:type="dxa"/>
          </w:tcPr>
          <w:p>
            <w:pPr>
              <w:pStyle w:val="TableParagraph"/>
              <w:spacing w:before="70"/>
              <w:ind w:left="82" w:right="95"/>
              <w:jc w:val="center"/>
              <w:rPr>
                <w:sz w:val="22"/>
              </w:rPr>
            </w:pPr>
            <w:r>
              <w:rPr>
                <w:spacing w:val="-4"/>
                <w:sz w:val="22"/>
              </w:rPr>
              <w:t>35.0</w:t>
            </w:r>
          </w:p>
        </w:tc>
        <w:tc>
          <w:tcPr>
            <w:tcW w:w="861" w:type="dxa"/>
          </w:tcPr>
          <w:p>
            <w:pPr>
              <w:pStyle w:val="TableParagraph"/>
              <w:spacing w:before="70"/>
              <w:ind w:left="99" w:right="95"/>
              <w:jc w:val="center"/>
              <w:rPr>
                <w:sz w:val="22"/>
              </w:rPr>
            </w:pPr>
            <w:r>
              <w:rPr>
                <w:spacing w:val="-4"/>
                <w:sz w:val="22"/>
              </w:rPr>
              <w:t>50.0</w:t>
            </w:r>
          </w:p>
        </w:tc>
        <w:tc>
          <w:tcPr>
            <w:tcW w:w="846" w:type="dxa"/>
          </w:tcPr>
          <w:p>
            <w:pPr>
              <w:pStyle w:val="TableParagraph"/>
              <w:spacing w:before="70"/>
              <w:jc w:val="center"/>
              <w:rPr>
                <w:sz w:val="22"/>
              </w:rPr>
            </w:pPr>
            <w:r>
              <w:rPr>
                <w:spacing w:val="-4"/>
                <w:sz w:val="22"/>
              </w:rPr>
              <w:t>15.0</w:t>
            </w:r>
          </w:p>
        </w:tc>
        <w:tc>
          <w:tcPr>
            <w:tcW w:w="840" w:type="dxa"/>
          </w:tcPr>
          <w:p>
            <w:pPr>
              <w:pStyle w:val="TableParagraph"/>
              <w:spacing w:before="70"/>
              <w:ind w:left="20" w:right="21"/>
              <w:jc w:val="center"/>
              <w:rPr>
                <w:sz w:val="22"/>
              </w:rPr>
            </w:pPr>
            <w:r>
              <w:rPr>
                <w:spacing w:val="-4"/>
                <w:sz w:val="22"/>
              </w:rPr>
              <w:t>25.0</w:t>
            </w:r>
          </w:p>
        </w:tc>
        <w:tc>
          <w:tcPr>
            <w:tcW w:w="829" w:type="dxa"/>
          </w:tcPr>
          <w:p>
            <w:pPr>
              <w:pStyle w:val="TableParagraph"/>
              <w:spacing w:before="70"/>
              <w:ind w:left="5" w:right="1"/>
              <w:jc w:val="center"/>
              <w:rPr>
                <w:sz w:val="22"/>
              </w:rPr>
            </w:pPr>
            <w:r>
              <w:rPr>
                <w:spacing w:val="-4"/>
                <w:sz w:val="22"/>
              </w:rPr>
              <w:t>15.0</w:t>
            </w:r>
          </w:p>
        </w:tc>
        <w:tc>
          <w:tcPr>
            <w:tcW w:w="825" w:type="dxa"/>
          </w:tcPr>
          <w:p>
            <w:pPr>
              <w:pStyle w:val="TableParagraph"/>
              <w:spacing w:before="70"/>
              <w:ind w:right="6"/>
              <w:jc w:val="center"/>
              <w:rPr>
                <w:sz w:val="22"/>
              </w:rPr>
            </w:pPr>
            <w:r>
              <w:rPr>
                <w:spacing w:val="-4"/>
                <w:sz w:val="22"/>
              </w:rPr>
              <w:t>25.0</w:t>
            </w:r>
          </w:p>
        </w:tc>
        <w:tc>
          <w:tcPr>
            <w:tcW w:w="829" w:type="dxa"/>
          </w:tcPr>
          <w:p>
            <w:pPr>
              <w:pStyle w:val="TableParagraph"/>
              <w:spacing w:before="70"/>
              <w:ind w:left="4" w:right="5"/>
              <w:jc w:val="center"/>
              <w:rPr>
                <w:sz w:val="22"/>
              </w:rPr>
            </w:pPr>
            <w:r>
              <w:rPr>
                <w:spacing w:val="-4"/>
                <w:sz w:val="22"/>
              </w:rPr>
              <w:t>25.0</w:t>
            </w:r>
          </w:p>
        </w:tc>
        <w:tc>
          <w:tcPr>
            <w:tcW w:w="834" w:type="dxa"/>
          </w:tcPr>
          <w:p>
            <w:pPr>
              <w:pStyle w:val="TableParagraph"/>
              <w:spacing w:before="70"/>
              <w:ind w:left="4" w:right="9"/>
              <w:jc w:val="center"/>
              <w:rPr>
                <w:sz w:val="22"/>
              </w:rPr>
            </w:pPr>
            <w:r>
              <w:rPr>
                <w:spacing w:val="-4"/>
                <w:sz w:val="22"/>
              </w:rPr>
              <w:t>40.0</w:t>
            </w:r>
          </w:p>
        </w:tc>
      </w:tr>
      <w:tr>
        <w:trPr>
          <w:trHeight w:val="450" w:hRule="atLeast"/>
        </w:trPr>
        <w:tc>
          <w:tcPr>
            <w:tcW w:w="1087" w:type="dxa"/>
          </w:tcPr>
          <w:p>
            <w:pPr>
              <w:pStyle w:val="TableParagraph"/>
              <w:spacing w:before="70"/>
              <w:ind w:left="1" w:right="239"/>
              <w:jc w:val="center"/>
              <w:rPr>
                <w:sz w:val="22"/>
              </w:rPr>
            </w:pPr>
            <w:r>
              <w:rPr>
                <w:sz w:val="22"/>
              </w:rPr>
              <w:t>SP</w:t>
            </w:r>
            <w:r>
              <w:rPr>
                <w:spacing w:val="1"/>
                <w:sz w:val="22"/>
              </w:rPr>
              <w:t> </w:t>
            </w:r>
            <w:r>
              <w:rPr>
                <w:spacing w:val="-5"/>
                <w:sz w:val="22"/>
              </w:rPr>
              <w:t>259</w:t>
            </w:r>
          </w:p>
        </w:tc>
        <w:tc>
          <w:tcPr>
            <w:tcW w:w="864" w:type="dxa"/>
          </w:tcPr>
          <w:p>
            <w:pPr>
              <w:pStyle w:val="TableParagraph"/>
              <w:spacing w:before="70"/>
              <w:ind w:left="33"/>
              <w:jc w:val="center"/>
              <w:rPr>
                <w:sz w:val="22"/>
              </w:rPr>
            </w:pPr>
            <w:r>
              <w:rPr>
                <w:spacing w:val="-4"/>
                <w:sz w:val="22"/>
              </w:rPr>
              <w:t>17.5</w:t>
            </w:r>
          </w:p>
        </w:tc>
        <w:tc>
          <w:tcPr>
            <w:tcW w:w="840" w:type="dxa"/>
          </w:tcPr>
          <w:p>
            <w:pPr>
              <w:pStyle w:val="TableParagraph"/>
              <w:spacing w:before="70"/>
              <w:ind w:left="20" w:right="31"/>
              <w:jc w:val="center"/>
              <w:rPr>
                <w:sz w:val="22"/>
              </w:rPr>
            </w:pPr>
            <w:r>
              <w:rPr>
                <w:spacing w:val="-4"/>
                <w:sz w:val="22"/>
              </w:rPr>
              <w:t>25.0</w:t>
            </w:r>
          </w:p>
        </w:tc>
        <w:tc>
          <w:tcPr>
            <w:tcW w:w="861" w:type="dxa"/>
          </w:tcPr>
          <w:p>
            <w:pPr>
              <w:pStyle w:val="TableParagraph"/>
              <w:spacing w:before="70"/>
              <w:ind w:left="82" w:right="95"/>
              <w:jc w:val="center"/>
              <w:rPr>
                <w:sz w:val="22"/>
              </w:rPr>
            </w:pPr>
            <w:r>
              <w:rPr>
                <w:spacing w:val="-4"/>
                <w:sz w:val="22"/>
              </w:rPr>
              <w:t>17.5</w:t>
            </w:r>
          </w:p>
        </w:tc>
        <w:tc>
          <w:tcPr>
            <w:tcW w:w="861" w:type="dxa"/>
          </w:tcPr>
          <w:p>
            <w:pPr>
              <w:pStyle w:val="TableParagraph"/>
              <w:spacing w:before="70"/>
              <w:ind w:left="99" w:right="95"/>
              <w:jc w:val="center"/>
              <w:rPr>
                <w:sz w:val="22"/>
              </w:rPr>
            </w:pPr>
            <w:r>
              <w:rPr>
                <w:spacing w:val="-4"/>
                <w:sz w:val="22"/>
              </w:rPr>
              <w:t>25.0</w:t>
            </w:r>
          </w:p>
        </w:tc>
        <w:tc>
          <w:tcPr>
            <w:tcW w:w="846" w:type="dxa"/>
          </w:tcPr>
          <w:p>
            <w:pPr>
              <w:pStyle w:val="TableParagraph"/>
              <w:spacing w:before="70"/>
              <w:jc w:val="center"/>
              <w:rPr>
                <w:sz w:val="22"/>
              </w:rPr>
            </w:pPr>
            <w:r>
              <w:rPr>
                <w:spacing w:val="-4"/>
                <w:sz w:val="22"/>
              </w:rPr>
              <w:t>17.5</w:t>
            </w:r>
          </w:p>
        </w:tc>
        <w:tc>
          <w:tcPr>
            <w:tcW w:w="840" w:type="dxa"/>
          </w:tcPr>
          <w:p>
            <w:pPr>
              <w:pStyle w:val="TableParagraph"/>
              <w:spacing w:before="70"/>
              <w:ind w:left="20" w:right="21"/>
              <w:jc w:val="center"/>
              <w:rPr>
                <w:sz w:val="22"/>
              </w:rPr>
            </w:pPr>
            <w:r>
              <w:rPr>
                <w:spacing w:val="-4"/>
                <w:sz w:val="22"/>
              </w:rPr>
              <w:t>25.0</w:t>
            </w:r>
          </w:p>
        </w:tc>
        <w:tc>
          <w:tcPr>
            <w:tcW w:w="829" w:type="dxa"/>
          </w:tcPr>
          <w:p>
            <w:pPr>
              <w:pStyle w:val="TableParagraph"/>
              <w:spacing w:before="70"/>
              <w:ind w:left="5" w:right="1"/>
              <w:jc w:val="center"/>
              <w:rPr>
                <w:sz w:val="22"/>
              </w:rPr>
            </w:pPr>
            <w:r>
              <w:rPr>
                <w:spacing w:val="-4"/>
                <w:sz w:val="22"/>
              </w:rPr>
              <w:t>17.5</w:t>
            </w:r>
          </w:p>
        </w:tc>
        <w:tc>
          <w:tcPr>
            <w:tcW w:w="825" w:type="dxa"/>
          </w:tcPr>
          <w:p>
            <w:pPr>
              <w:pStyle w:val="TableParagraph"/>
              <w:spacing w:before="70"/>
              <w:ind w:right="6"/>
              <w:jc w:val="center"/>
              <w:rPr>
                <w:sz w:val="22"/>
              </w:rPr>
            </w:pPr>
            <w:r>
              <w:rPr>
                <w:spacing w:val="-4"/>
                <w:sz w:val="22"/>
              </w:rPr>
              <w:t>25.0</w:t>
            </w:r>
          </w:p>
        </w:tc>
        <w:tc>
          <w:tcPr>
            <w:tcW w:w="829" w:type="dxa"/>
          </w:tcPr>
          <w:p>
            <w:pPr>
              <w:pStyle w:val="TableParagraph"/>
              <w:spacing w:before="70"/>
              <w:ind w:left="4" w:right="5"/>
              <w:jc w:val="center"/>
              <w:rPr>
                <w:sz w:val="22"/>
              </w:rPr>
            </w:pPr>
            <w:r>
              <w:rPr>
                <w:spacing w:val="-4"/>
                <w:sz w:val="22"/>
              </w:rPr>
              <w:t>25.0</w:t>
            </w:r>
          </w:p>
        </w:tc>
        <w:tc>
          <w:tcPr>
            <w:tcW w:w="834" w:type="dxa"/>
          </w:tcPr>
          <w:p>
            <w:pPr>
              <w:pStyle w:val="TableParagraph"/>
              <w:spacing w:before="70"/>
              <w:ind w:left="4" w:right="9"/>
              <w:jc w:val="center"/>
              <w:rPr>
                <w:sz w:val="22"/>
              </w:rPr>
            </w:pPr>
            <w:r>
              <w:rPr>
                <w:spacing w:val="-4"/>
                <w:sz w:val="22"/>
              </w:rPr>
              <w:t>40.0</w:t>
            </w:r>
          </w:p>
        </w:tc>
      </w:tr>
      <w:tr>
        <w:trPr>
          <w:trHeight w:val="522" w:hRule="atLeast"/>
        </w:trPr>
        <w:tc>
          <w:tcPr>
            <w:tcW w:w="1087" w:type="dxa"/>
            <w:tcBorders>
              <w:bottom w:val="single" w:sz="4" w:space="0" w:color="000000"/>
            </w:tcBorders>
          </w:tcPr>
          <w:p>
            <w:pPr>
              <w:pStyle w:val="TableParagraph"/>
              <w:spacing w:before="71"/>
              <w:ind w:left="1" w:right="239"/>
              <w:jc w:val="center"/>
              <w:rPr>
                <w:sz w:val="22"/>
              </w:rPr>
            </w:pPr>
            <w:r>
              <w:rPr>
                <w:sz w:val="22"/>
              </w:rPr>
              <w:t>SP</w:t>
            </w:r>
            <w:r>
              <w:rPr>
                <w:spacing w:val="1"/>
                <w:sz w:val="22"/>
              </w:rPr>
              <w:t> </w:t>
            </w:r>
            <w:r>
              <w:rPr>
                <w:spacing w:val="-5"/>
                <w:sz w:val="22"/>
              </w:rPr>
              <w:t>897</w:t>
            </w:r>
          </w:p>
        </w:tc>
        <w:tc>
          <w:tcPr>
            <w:tcW w:w="864" w:type="dxa"/>
            <w:tcBorders>
              <w:bottom w:val="single" w:sz="4" w:space="0" w:color="000000"/>
            </w:tcBorders>
          </w:tcPr>
          <w:p>
            <w:pPr>
              <w:pStyle w:val="TableParagraph"/>
              <w:spacing w:before="71"/>
              <w:ind w:left="33"/>
              <w:jc w:val="center"/>
              <w:rPr>
                <w:sz w:val="22"/>
              </w:rPr>
            </w:pPr>
            <w:r>
              <w:rPr>
                <w:spacing w:val="-4"/>
                <w:sz w:val="22"/>
              </w:rPr>
              <w:t>35.0</w:t>
            </w:r>
          </w:p>
        </w:tc>
        <w:tc>
          <w:tcPr>
            <w:tcW w:w="840" w:type="dxa"/>
            <w:tcBorders>
              <w:bottom w:val="single" w:sz="4" w:space="0" w:color="000000"/>
            </w:tcBorders>
          </w:tcPr>
          <w:p>
            <w:pPr>
              <w:pStyle w:val="TableParagraph"/>
              <w:spacing w:before="71"/>
              <w:ind w:left="20" w:right="31"/>
              <w:jc w:val="center"/>
              <w:rPr>
                <w:sz w:val="22"/>
              </w:rPr>
            </w:pPr>
            <w:r>
              <w:rPr>
                <w:spacing w:val="-4"/>
                <w:sz w:val="22"/>
              </w:rPr>
              <w:t>50.0</w:t>
            </w:r>
          </w:p>
        </w:tc>
        <w:tc>
          <w:tcPr>
            <w:tcW w:w="861" w:type="dxa"/>
            <w:tcBorders>
              <w:bottom w:val="single" w:sz="4" w:space="0" w:color="000000"/>
            </w:tcBorders>
          </w:tcPr>
          <w:p>
            <w:pPr>
              <w:pStyle w:val="TableParagraph"/>
              <w:spacing w:before="71"/>
              <w:ind w:left="82" w:right="95"/>
              <w:jc w:val="center"/>
              <w:rPr>
                <w:sz w:val="22"/>
              </w:rPr>
            </w:pPr>
            <w:r>
              <w:rPr>
                <w:spacing w:val="-4"/>
                <w:sz w:val="22"/>
              </w:rPr>
              <w:t>30.0</w:t>
            </w:r>
          </w:p>
        </w:tc>
        <w:tc>
          <w:tcPr>
            <w:tcW w:w="861" w:type="dxa"/>
            <w:tcBorders>
              <w:bottom w:val="single" w:sz="4" w:space="0" w:color="000000"/>
            </w:tcBorders>
          </w:tcPr>
          <w:p>
            <w:pPr>
              <w:pStyle w:val="TableParagraph"/>
              <w:spacing w:before="71"/>
              <w:ind w:left="100" w:right="95"/>
              <w:jc w:val="center"/>
              <w:rPr>
                <w:sz w:val="22"/>
              </w:rPr>
            </w:pPr>
            <w:r>
              <w:rPr>
                <w:spacing w:val="-4"/>
                <w:sz w:val="22"/>
              </w:rPr>
              <w:t>45.0</w:t>
            </w:r>
          </w:p>
        </w:tc>
        <w:tc>
          <w:tcPr>
            <w:tcW w:w="846" w:type="dxa"/>
            <w:tcBorders>
              <w:bottom w:val="single" w:sz="4" w:space="0" w:color="000000"/>
            </w:tcBorders>
          </w:tcPr>
          <w:p>
            <w:pPr>
              <w:pStyle w:val="TableParagraph"/>
              <w:spacing w:before="71"/>
              <w:jc w:val="center"/>
              <w:rPr>
                <w:sz w:val="22"/>
              </w:rPr>
            </w:pPr>
            <w:r>
              <w:rPr>
                <w:spacing w:val="-4"/>
                <w:sz w:val="22"/>
              </w:rPr>
              <w:t>15.0</w:t>
            </w:r>
          </w:p>
        </w:tc>
        <w:tc>
          <w:tcPr>
            <w:tcW w:w="840" w:type="dxa"/>
            <w:tcBorders>
              <w:bottom w:val="single" w:sz="4" w:space="0" w:color="000000"/>
            </w:tcBorders>
          </w:tcPr>
          <w:p>
            <w:pPr>
              <w:pStyle w:val="TableParagraph"/>
              <w:spacing w:before="71"/>
              <w:ind w:left="20" w:right="21"/>
              <w:jc w:val="center"/>
              <w:rPr>
                <w:sz w:val="22"/>
              </w:rPr>
            </w:pPr>
            <w:r>
              <w:rPr>
                <w:spacing w:val="-4"/>
                <w:sz w:val="22"/>
              </w:rPr>
              <w:t>25.0</w:t>
            </w:r>
          </w:p>
        </w:tc>
        <w:tc>
          <w:tcPr>
            <w:tcW w:w="829" w:type="dxa"/>
            <w:tcBorders>
              <w:bottom w:val="single" w:sz="4" w:space="0" w:color="000000"/>
            </w:tcBorders>
          </w:tcPr>
          <w:p>
            <w:pPr>
              <w:pStyle w:val="TableParagraph"/>
              <w:spacing w:before="71"/>
              <w:ind w:left="5" w:right="1"/>
              <w:jc w:val="center"/>
              <w:rPr>
                <w:sz w:val="22"/>
              </w:rPr>
            </w:pPr>
            <w:r>
              <w:rPr>
                <w:spacing w:val="-4"/>
                <w:sz w:val="22"/>
              </w:rPr>
              <w:t>17.5</w:t>
            </w:r>
          </w:p>
        </w:tc>
        <w:tc>
          <w:tcPr>
            <w:tcW w:w="825" w:type="dxa"/>
            <w:tcBorders>
              <w:bottom w:val="single" w:sz="4" w:space="0" w:color="000000"/>
            </w:tcBorders>
          </w:tcPr>
          <w:p>
            <w:pPr>
              <w:pStyle w:val="TableParagraph"/>
              <w:spacing w:before="71"/>
              <w:ind w:right="6"/>
              <w:jc w:val="center"/>
              <w:rPr>
                <w:sz w:val="22"/>
              </w:rPr>
            </w:pPr>
            <w:r>
              <w:rPr>
                <w:spacing w:val="-4"/>
                <w:sz w:val="22"/>
              </w:rPr>
              <w:t>25.0</w:t>
            </w:r>
          </w:p>
        </w:tc>
        <w:tc>
          <w:tcPr>
            <w:tcW w:w="829" w:type="dxa"/>
            <w:tcBorders>
              <w:bottom w:val="single" w:sz="4" w:space="0" w:color="000000"/>
            </w:tcBorders>
          </w:tcPr>
          <w:p>
            <w:pPr>
              <w:pStyle w:val="TableParagraph"/>
              <w:spacing w:before="71"/>
              <w:ind w:left="4" w:right="5"/>
              <w:jc w:val="center"/>
              <w:rPr>
                <w:sz w:val="22"/>
              </w:rPr>
            </w:pPr>
            <w:r>
              <w:rPr>
                <w:spacing w:val="-4"/>
                <w:sz w:val="22"/>
              </w:rPr>
              <w:t>17.5</w:t>
            </w:r>
          </w:p>
        </w:tc>
        <w:tc>
          <w:tcPr>
            <w:tcW w:w="834" w:type="dxa"/>
            <w:tcBorders>
              <w:bottom w:val="single" w:sz="4" w:space="0" w:color="000000"/>
            </w:tcBorders>
          </w:tcPr>
          <w:p>
            <w:pPr>
              <w:pStyle w:val="TableParagraph"/>
              <w:spacing w:before="71"/>
              <w:ind w:left="4" w:right="9"/>
              <w:jc w:val="center"/>
              <w:rPr>
                <w:sz w:val="22"/>
              </w:rPr>
            </w:pPr>
            <w:r>
              <w:rPr>
                <w:spacing w:val="-4"/>
                <w:sz w:val="22"/>
              </w:rPr>
              <w:t>25.0</w:t>
            </w:r>
          </w:p>
        </w:tc>
      </w:tr>
    </w:tbl>
    <w:p>
      <w:pPr>
        <w:pStyle w:val="BodyText"/>
        <w:spacing w:line="360" w:lineRule="auto" w:before="21"/>
        <w:ind w:left="380" w:right="975"/>
      </w:pPr>
      <w:r>
        <w:rPr>
          <w:b/>
        </w:rPr>
        <w:t>Key:</w:t>
      </w:r>
      <w:r>
        <w:rPr>
          <w:b/>
          <w:spacing w:val="-3"/>
        </w:rPr>
        <w:t> </w:t>
      </w:r>
      <w:r>
        <w:rPr/>
        <w:t>MIC=Minimum</w:t>
      </w:r>
      <w:r>
        <w:rPr>
          <w:spacing w:val="-3"/>
        </w:rPr>
        <w:t> </w:t>
      </w:r>
      <w:r>
        <w:rPr/>
        <w:t>Inhibitory</w:t>
      </w:r>
      <w:r>
        <w:rPr>
          <w:spacing w:val="-5"/>
        </w:rPr>
        <w:t> </w:t>
      </w:r>
      <w:r>
        <w:rPr/>
        <w:t>Concentration,</w:t>
      </w:r>
      <w:r>
        <w:rPr>
          <w:spacing w:val="-5"/>
        </w:rPr>
        <w:t> </w:t>
      </w:r>
      <w:r>
        <w:rPr/>
        <w:t>MBC=</w:t>
      </w:r>
      <w:r>
        <w:rPr>
          <w:spacing w:val="-5"/>
        </w:rPr>
        <w:t> </w:t>
      </w:r>
      <w:r>
        <w:rPr/>
        <w:t>Minimum</w:t>
      </w:r>
      <w:r>
        <w:rPr>
          <w:spacing w:val="-3"/>
        </w:rPr>
        <w:t> </w:t>
      </w:r>
      <w:r>
        <w:rPr/>
        <w:t>Bactericidal</w:t>
      </w:r>
      <w:r>
        <w:rPr>
          <w:spacing w:val="-6"/>
        </w:rPr>
        <w:t> </w:t>
      </w:r>
      <w:r>
        <w:rPr/>
        <w:t>Concentration,</w:t>
      </w:r>
      <w:r>
        <w:rPr>
          <w:spacing w:val="-3"/>
        </w:rPr>
        <w:t> </w:t>
      </w:r>
      <w:r>
        <w:rPr/>
        <w:t>ES=Ear Swab, SP=Sputum.</w:t>
      </w:r>
    </w:p>
    <w:p>
      <w:pPr>
        <w:spacing w:after="0" w:line="360" w:lineRule="auto"/>
        <w:sectPr>
          <w:type w:val="continuous"/>
          <w:pgSz w:w="11910" w:h="16840"/>
          <w:pgMar w:header="0" w:footer="1055" w:top="1540" w:bottom="1240" w:left="1060" w:right="460"/>
        </w:sectPr>
      </w:pPr>
    </w:p>
    <w:p>
      <w:pPr>
        <w:spacing w:before="27"/>
        <w:ind w:left="483" w:right="0" w:firstLine="0"/>
        <w:jc w:val="left"/>
        <w:rPr>
          <w:b/>
          <w:i/>
          <w:sz w:val="22"/>
        </w:rPr>
      </w:pPr>
      <w:r>
        <w:rPr>
          <w:b/>
          <w:sz w:val="22"/>
        </w:rPr>
        <w:t>MIC</w:t>
      </w:r>
      <w:r>
        <w:rPr>
          <w:b/>
          <w:spacing w:val="-5"/>
          <w:sz w:val="22"/>
        </w:rPr>
        <w:t> </w:t>
      </w:r>
      <w:r>
        <w:rPr>
          <w:b/>
          <w:sz w:val="22"/>
        </w:rPr>
        <w:t>and</w:t>
      </w:r>
      <w:r>
        <w:rPr>
          <w:b/>
          <w:spacing w:val="-4"/>
          <w:sz w:val="22"/>
        </w:rPr>
        <w:t> </w:t>
      </w:r>
      <w:r>
        <w:rPr>
          <w:b/>
          <w:sz w:val="22"/>
        </w:rPr>
        <w:t>MBC</w:t>
      </w:r>
      <w:r>
        <w:rPr>
          <w:b/>
          <w:spacing w:val="-5"/>
          <w:sz w:val="22"/>
        </w:rPr>
        <w:t> </w:t>
      </w:r>
      <w:r>
        <w:rPr>
          <w:b/>
          <w:sz w:val="22"/>
        </w:rPr>
        <w:t>Test</w:t>
      </w:r>
      <w:r>
        <w:rPr>
          <w:b/>
          <w:spacing w:val="-5"/>
          <w:sz w:val="22"/>
        </w:rPr>
        <w:t> </w:t>
      </w:r>
      <w:r>
        <w:rPr>
          <w:b/>
          <w:sz w:val="22"/>
        </w:rPr>
        <w:t>(µg/ml)</w:t>
      </w:r>
      <w:r>
        <w:rPr>
          <w:b/>
          <w:spacing w:val="-6"/>
          <w:sz w:val="22"/>
        </w:rPr>
        <w:t> </w:t>
      </w:r>
      <w:r>
        <w:rPr>
          <w:b/>
          <w:sz w:val="22"/>
        </w:rPr>
        <w:t>of</w:t>
      </w:r>
      <w:r>
        <w:rPr>
          <w:b/>
          <w:spacing w:val="-3"/>
          <w:sz w:val="22"/>
        </w:rPr>
        <w:t> </w:t>
      </w:r>
      <w:r>
        <w:rPr>
          <w:b/>
          <w:sz w:val="22"/>
        </w:rPr>
        <w:t>Honey</w:t>
      </w:r>
      <w:r>
        <w:rPr>
          <w:b/>
          <w:spacing w:val="-3"/>
          <w:sz w:val="22"/>
        </w:rPr>
        <w:t> </w:t>
      </w:r>
      <w:r>
        <w:rPr>
          <w:b/>
          <w:sz w:val="22"/>
        </w:rPr>
        <w:t>and</w:t>
      </w:r>
      <w:r>
        <w:rPr>
          <w:b/>
          <w:spacing w:val="-4"/>
          <w:sz w:val="22"/>
        </w:rPr>
        <w:t> </w:t>
      </w:r>
      <w:r>
        <w:rPr>
          <w:b/>
          <w:sz w:val="22"/>
        </w:rPr>
        <w:t>Lemon</w:t>
      </w:r>
      <w:r>
        <w:rPr>
          <w:b/>
          <w:spacing w:val="-2"/>
          <w:sz w:val="22"/>
        </w:rPr>
        <w:t> </w:t>
      </w:r>
      <w:r>
        <w:rPr>
          <w:b/>
          <w:sz w:val="22"/>
        </w:rPr>
        <w:t>juice</w:t>
      </w:r>
      <w:r>
        <w:rPr>
          <w:b/>
          <w:spacing w:val="-6"/>
          <w:sz w:val="22"/>
        </w:rPr>
        <w:t> </w:t>
      </w:r>
      <w:r>
        <w:rPr>
          <w:b/>
          <w:sz w:val="22"/>
        </w:rPr>
        <w:t>mixture</w:t>
      </w:r>
      <w:r>
        <w:rPr>
          <w:b/>
          <w:spacing w:val="-4"/>
          <w:sz w:val="22"/>
        </w:rPr>
        <w:t> </w:t>
      </w:r>
      <w:r>
        <w:rPr>
          <w:b/>
          <w:sz w:val="22"/>
        </w:rPr>
        <w:t>against</w:t>
      </w:r>
      <w:r>
        <w:rPr>
          <w:b/>
          <w:spacing w:val="-2"/>
          <w:sz w:val="22"/>
        </w:rPr>
        <w:t> </w:t>
      </w:r>
      <w:r>
        <w:rPr>
          <w:b/>
          <w:i/>
          <w:sz w:val="22"/>
        </w:rPr>
        <w:t>Streptococcus</w:t>
      </w:r>
      <w:r>
        <w:rPr>
          <w:b/>
          <w:i/>
          <w:spacing w:val="-6"/>
          <w:sz w:val="22"/>
        </w:rPr>
        <w:t> </w:t>
      </w:r>
      <w:r>
        <w:rPr>
          <w:b/>
          <w:i/>
          <w:spacing w:val="-2"/>
          <w:sz w:val="22"/>
        </w:rPr>
        <w:t>pneumoniae</w:t>
      </w:r>
    </w:p>
    <w:p>
      <w:pPr>
        <w:pStyle w:val="BodyText"/>
        <w:rPr>
          <w:b/>
          <w:i/>
          <w:sz w:val="20"/>
        </w:rPr>
      </w:pPr>
    </w:p>
    <w:p>
      <w:pPr>
        <w:pStyle w:val="BodyText"/>
        <w:spacing w:before="146" w:after="1"/>
        <w:rPr>
          <w:b/>
          <w:i/>
          <w:sz w:val="20"/>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5"/>
        <w:gridCol w:w="822"/>
        <w:gridCol w:w="849"/>
        <w:gridCol w:w="839"/>
        <w:gridCol w:w="880"/>
        <w:gridCol w:w="834"/>
        <w:gridCol w:w="850"/>
        <w:gridCol w:w="817"/>
        <w:gridCol w:w="836"/>
        <w:gridCol w:w="813"/>
        <w:gridCol w:w="840"/>
      </w:tblGrid>
      <w:tr>
        <w:trPr>
          <w:trHeight w:val="667" w:hRule="atLeast"/>
        </w:trPr>
        <w:tc>
          <w:tcPr>
            <w:tcW w:w="1125" w:type="dxa"/>
            <w:tcBorders>
              <w:top w:val="single" w:sz="4" w:space="0" w:color="000000"/>
            </w:tcBorders>
          </w:tcPr>
          <w:p>
            <w:pPr>
              <w:pStyle w:val="TableParagraph"/>
              <w:spacing w:line="259" w:lineRule="auto"/>
              <w:ind w:left="412" w:right="206" w:hanging="176"/>
              <w:rPr>
                <w:b/>
                <w:sz w:val="22"/>
              </w:rPr>
            </w:pPr>
            <w:r>
              <w:rPr>
                <w:b/>
                <w:spacing w:val="-2"/>
                <w:sz w:val="22"/>
              </w:rPr>
              <w:t>Sample </w:t>
            </w:r>
            <w:r>
              <w:rPr>
                <w:b/>
                <w:spacing w:val="-4"/>
                <w:sz w:val="22"/>
              </w:rPr>
              <w:t>No.</w:t>
            </w:r>
          </w:p>
        </w:tc>
        <w:tc>
          <w:tcPr>
            <w:tcW w:w="822" w:type="dxa"/>
            <w:tcBorders>
              <w:top w:val="single" w:sz="4" w:space="0" w:color="000000"/>
            </w:tcBorders>
          </w:tcPr>
          <w:p>
            <w:pPr>
              <w:pStyle w:val="TableParagraph"/>
              <w:spacing w:before="143"/>
              <w:ind w:left="73" w:right="76"/>
              <w:jc w:val="center"/>
              <w:rPr>
                <w:b/>
                <w:sz w:val="22"/>
              </w:rPr>
            </w:pPr>
            <w:r>
              <w:rPr>
                <w:b/>
                <w:spacing w:val="-5"/>
                <w:sz w:val="22"/>
              </w:rPr>
              <w:t>MIC</w:t>
            </w:r>
          </w:p>
        </w:tc>
        <w:tc>
          <w:tcPr>
            <w:tcW w:w="849" w:type="dxa"/>
            <w:tcBorders>
              <w:top w:val="single" w:sz="4" w:space="0" w:color="000000"/>
            </w:tcBorders>
          </w:tcPr>
          <w:p>
            <w:pPr>
              <w:pStyle w:val="TableParagraph"/>
              <w:spacing w:before="143"/>
              <w:ind w:right="15"/>
              <w:jc w:val="center"/>
              <w:rPr>
                <w:b/>
                <w:sz w:val="22"/>
              </w:rPr>
            </w:pPr>
            <w:r>
              <w:rPr>
                <w:b/>
                <w:spacing w:val="-5"/>
                <w:sz w:val="22"/>
              </w:rPr>
              <w:t>MBC</w:t>
            </w:r>
          </w:p>
        </w:tc>
        <w:tc>
          <w:tcPr>
            <w:tcW w:w="839" w:type="dxa"/>
            <w:tcBorders>
              <w:top w:val="single" w:sz="4" w:space="0" w:color="000000"/>
            </w:tcBorders>
          </w:tcPr>
          <w:p>
            <w:pPr>
              <w:pStyle w:val="TableParagraph"/>
              <w:spacing w:before="143"/>
              <w:ind w:right="234"/>
              <w:jc w:val="right"/>
              <w:rPr>
                <w:b/>
                <w:sz w:val="22"/>
              </w:rPr>
            </w:pPr>
            <w:r>
              <w:rPr>
                <w:b/>
                <w:spacing w:val="-5"/>
                <w:sz w:val="22"/>
              </w:rPr>
              <w:t>MIC</w:t>
            </w:r>
          </w:p>
        </w:tc>
        <w:tc>
          <w:tcPr>
            <w:tcW w:w="880" w:type="dxa"/>
            <w:tcBorders>
              <w:top w:val="single" w:sz="4" w:space="0" w:color="000000"/>
            </w:tcBorders>
          </w:tcPr>
          <w:p>
            <w:pPr>
              <w:pStyle w:val="TableParagraph"/>
              <w:spacing w:before="143"/>
              <w:ind w:left="19" w:right="2"/>
              <w:jc w:val="center"/>
              <w:rPr>
                <w:b/>
                <w:sz w:val="22"/>
              </w:rPr>
            </w:pPr>
            <w:r>
              <w:rPr>
                <w:b/>
                <w:spacing w:val="-5"/>
                <w:sz w:val="22"/>
              </w:rPr>
              <w:t>MBC</w:t>
            </w:r>
          </w:p>
        </w:tc>
        <w:tc>
          <w:tcPr>
            <w:tcW w:w="834" w:type="dxa"/>
            <w:tcBorders>
              <w:top w:val="single" w:sz="4" w:space="0" w:color="000000"/>
            </w:tcBorders>
          </w:tcPr>
          <w:p>
            <w:pPr>
              <w:pStyle w:val="TableParagraph"/>
              <w:spacing w:before="143"/>
              <w:ind w:right="230"/>
              <w:jc w:val="right"/>
              <w:rPr>
                <w:b/>
                <w:sz w:val="22"/>
              </w:rPr>
            </w:pPr>
            <w:r>
              <w:rPr>
                <w:b/>
                <w:spacing w:val="-5"/>
                <w:sz w:val="22"/>
              </w:rPr>
              <w:t>MIC</w:t>
            </w:r>
          </w:p>
        </w:tc>
        <w:tc>
          <w:tcPr>
            <w:tcW w:w="850" w:type="dxa"/>
            <w:tcBorders>
              <w:top w:val="single" w:sz="4" w:space="0" w:color="000000"/>
            </w:tcBorders>
          </w:tcPr>
          <w:p>
            <w:pPr>
              <w:pStyle w:val="TableParagraph"/>
              <w:spacing w:before="143"/>
              <w:ind w:left="23" w:right="19"/>
              <w:jc w:val="center"/>
              <w:rPr>
                <w:b/>
                <w:sz w:val="22"/>
              </w:rPr>
            </w:pPr>
            <w:r>
              <w:rPr>
                <w:b/>
                <w:spacing w:val="-5"/>
                <w:sz w:val="22"/>
              </w:rPr>
              <w:t>MBC</w:t>
            </w:r>
          </w:p>
        </w:tc>
        <w:tc>
          <w:tcPr>
            <w:tcW w:w="817" w:type="dxa"/>
            <w:tcBorders>
              <w:top w:val="single" w:sz="4" w:space="0" w:color="000000"/>
            </w:tcBorders>
          </w:tcPr>
          <w:p>
            <w:pPr>
              <w:pStyle w:val="TableParagraph"/>
              <w:spacing w:before="143"/>
              <w:ind w:right="216"/>
              <w:jc w:val="right"/>
              <w:rPr>
                <w:b/>
                <w:sz w:val="22"/>
              </w:rPr>
            </w:pPr>
            <w:r>
              <w:rPr>
                <w:b/>
                <w:spacing w:val="-5"/>
                <w:sz w:val="22"/>
              </w:rPr>
              <w:t>MIC</w:t>
            </w:r>
          </w:p>
        </w:tc>
        <w:tc>
          <w:tcPr>
            <w:tcW w:w="836" w:type="dxa"/>
            <w:tcBorders>
              <w:top w:val="single" w:sz="4" w:space="0" w:color="000000"/>
            </w:tcBorders>
          </w:tcPr>
          <w:p>
            <w:pPr>
              <w:pStyle w:val="TableParagraph"/>
              <w:spacing w:before="143"/>
              <w:ind w:left="4" w:right="2"/>
              <w:jc w:val="center"/>
              <w:rPr>
                <w:b/>
                <w:sz w:val="22"/>
              </w:rPr>
            </w:pPr>
            <w:r>
              <w:rPr>
                <w:b/>
                <w:spacing w:val="-5"/>
                <w:sz w:val="22"/>
              </w:rPr>
              <w:t>MBC</w:t>
            </w:r>
          </w:p>
        </w:tc>
        <w:tc>
          <w:tcPr>
            <w:tcW w:w="813" w:type="dxa"/>
            <w:tcBorders>
              <w:top w:val="single" w:sz="4" w:space="0" w:color="000000"/>
            </w:tcBorders>
          </w:tcPr>
          <w:p>
            <w:pPr>
              <w:pStyle w:val="TableParagraph"/>
              <w:spacing w:before="143"/>
              <w:ind w:right="211"/>
              <w:jc w:val="right"/>
              <w:rPr>
                <w:b/>
                <w:sz w:val="22"/>
              </w:rPr>
            </w:pPr>
            <w:r>
              <w:rPr>
                <w:b/>
                <w:spacing w:val="-5"/>
                <w:sz w:val="22"/>
              </w:rPr>
              <w:t>MIC</w:t>
            </w:r>
          </w:p>
        </w:tc>
        <w:tc>
          <w:tcPr>
            <w:tcW w:w="840" w:type="dxa"/>
            <w:tcBorders>
              <w:top w:val="single" w:sz="4" w:space="0" w:color="000000"/>
            </w:tcBorders>
          </w:tcPr>
          <w:p>
            <w:pPr>
              <w:pStyle w:val="TableParagraph"/>
              <w:spacing w:before="143"/>
              <w:ind w:left="28" w:right="11"/>
              <w:jc w:val="center"/>
              <w:rPr>
                <w:b/>
                <w:sz w:val="22"/>
              </w:rPr>
            </w:pPr>
            <w:r>
              <w:rPr>
                <w:b/>
                <w:spacing w:val="-5"/>
                <w:sz w:val="22"/>
              </w:rPr>
              <w:t>MBC</w:t>
            </w:r>
          </w:p>
        </w:tc>
      </w:tr>
      <w:tr>
        <w:trPr>
          <w:trHeight w:val="522" w:hRule="atLeast"/>
        </w:trPr>
        <w:tc>
          <w:tcPr>
            <w:tcW w:w="1125" w:type="dxa"/>
            <w:tcBorders>
              <w:bottom w:val="single" w:sz="4" w:space="0" w:color="000000"/>
            </w:tcBorders>
          </w:tcPr>
          <w:p>
            <w:pPr>
              <w:pStyle w:val="TableParagraph"/>
              <w:rPr>
                <w:rFonts w:ascii="Times New Roman"/>
                <w:sz w:val="22"/>
              </w:rPr>
            </w:pPr>
          </w:p>
        </w:tc>
        <w:tc>
          <w:tcPr>
            <w:tcW w:w="822" w:type="dxa"/>
            <w:tcBorders>
              <w:bottom w:val="single" w:sz="4" w:space="0" w:color="000000"/>
            </w:tcBorders>
          </w:tcPr>
          <w:p>
            <w:pPr>
              <w:pStyle w:val="TableParagraph"/>
              <w:spacing w:before="71"/>
              <w:ind w:right="76"/>
              <w:jc w:val="center"/>
              <w:rPr>
                <w:b/>
                <w:sz w:val="22"/>
              </w:rPr>
            </w:pPr>
            <w:r>
              <w:rPr>
                <w:b/>
                <w:spacing w:val="-2"/>
                <w:sz w:val="22"/>
              </w:rPr>
              <w:t>10:50</w:t>
            </w:r>
          </w:p>
        </w:tc>
        <w:tc>
          <w:tcPr>
            <w:tcW w:w="849" w:type="dxa"/>
            <w:tcBorders>
              <w:bottom w:val="single" w:sz="4" w:space="0" w:color="000000"/>
            </w:tcBorders>
          </w:tcPr>
          <w:p>
            <w:pPr>
              <w:pStyle w:val="TableParagraph"/>
              <w:rPr>
                <w:rFonts w:ascii="Times New Roman"/>
                <w:sz w:val="22"/>
              </w:rPr>
            </w:pPr>
          </w:p>
        </w:tc>
        <w:tc>
          <w:tcPr>
            <w:tcW w:w="839" w:type="dxa"/>
            <w:tcBorders>
              <w:bottom w:val="single" w:sz="4" w:space="0" w:color="000000"/>
            </w:tcBorders>
          </w:tcPr>
          <w:p>
            <w:pPr>
              <w:pStyle w:val="TableParagraph"/>
              <w:spacing w:before="71"/>
              <w:ind w:right="223"/>
              <w:jc w:val="right"/>
              <w:rPr>
                <w:b/>
                <w:sz w:val="22"/>
              </w:rPr>
            </w:pPr>
            <w:r>
              <w:rPr>
                <w:b/>
                <w:spacing w:val="-2"/>
                <w:sz w:val="22"/>
              </w:rPr>
              <w:t>20:50</w:t>
            </w:r>
          </w:p>
        </w:tc>
        <w:tc>
          <w:tcPr>
            <w:tcW w:w="880" w:type="dxa"/>
            <w:tcBorders>
              <w:bottom w:val="single" w:sz="4" w:space="0" w:color="000000"/>
            </w:tcBorders>
          </w:tcPr>
          <w:p>
            <w:pPr>
              <w:pStyle w:val="TableParagraph"/>
              <w:rPr>
                <w:rFonts w:ascii="Times New Roman"/>
                <w:sz w:val="22"/>
              </w:rPr>
            </w:pPr>
          </w:p>
        </w:tc>
        <w:tc>
          <w:tcPr>
            <w:tcW w:w="834" w:type="dxa"/>
            <w:tcBorders>
              <w:bottom w:val="single" w:sz="4" w:space="0" w:color="000000"/>
            </w:tcBorders>
          </w:tcPr>
          <w:p>
            <w:pPr>
              <w:pStyle w:val="TableParagraph"/>
              <w:spacing w:before="71"/>
              <w:ind w:right="196"/>
              <w:jc w:val="right"/>
              <w:rPr>
                <w:b/>
                <w:sz w:val="22"/>
              </w:rPr>
            </w:pPr>
            <w:r>
              <w:rPr>
                <w:b/>
                <w:spacing w:val="-2"/>
                <w:sz w:val="22"/>
              </w:rPr>
              <w:t>30:50</w:t>
            </w:r>
          </w:p>
        </w:tc>
        <w:tc>
          <w:tcPr>
            <w:tcW w:w="850" w:type="dxa"/>
            <w:tcBorders>
              <w:bottom w:val="single" w:sz="4" w:space="0" w:color="000000"/>
            </w:tcBorders>
          </w:tcPr>
          <w:p>
            <w:pPr>
              <w:pStyle w:val="TableParagraph"/>
              <w:rPr>
                <w:rFonts w:ascii="Times New Roman"/>
                <w:sz w:val="22"/>
              </w:rPr>
            </w:pPr>
          </w:p>
        </w:tc>
        <w:tc>
          <w:tcPr>
            <w:tcW w:w="817" w:type="dxa"/>
            <w:tcBorders>
              <w:bottom w:val="single" w:sz="4" w:space="0" w:color="000000"/>
            </w:tcBorders>
          </w:tcPr>
          <w:p>
            <w:pPr>
              <w:pStyle w:val="TableParagraph"/>
              <w:spacing w:before="71"/>
              <w:ind w:right="183"/>
              <w:jc w:val="right"/>
              <w:rPr>
                <w:b/>
                <w:sz w:val="22"/>
              </w:rPr>
            </w:pPr>
            <w:r>
              <w:rPr>
                <w:b/>
                <w:spacing w:val="-2"/>
                <w:sz w:val="22"/>
              </w:rPr>
              <w:t>40:50</w:t>
            </w:r>
          </w:p>
        </w:tc>
        <w:tc>
          <w:tcPr>
            <w:tcW w:w="836" w:type="dxa"/>
            <w:tcBorders>
              <w:bottom w:val="single" w:sz="4" w:space="0" w:color="000000"/>
            </w:tcBorders>
          </w:tcPr>
          <w:p>
            <w:pPr>
              <w:pStyle w:val="TableParagraph"/>
              <w:rPr>
                <w:rFonts w:ascii="Times New Roman"/>
                <w:sz w:val="22"/>
              </w:rPr>
            </w:pPr>
          </w:p>
        </w:tc>
        <w:tc>
          <w:tcPr>
            <w:tcW w:w="813" w:type="dxa"/>
            <w:tcBorders>
              <w:bottom w:val="single" w:sz="4" w:space="0" w:color="000000"/>
            </w:tcBorders>
          </w:tcPr>
          <w:p>
            <w:pPr>
              <w:pStyle w:val="TableParagraph"/>
              <w:spacing w:before="71"/>
              <w:ind w:right="190"/>
              <w:jc w:val="right"/>
              <w:rPr>
                <w:b/>
                <w:sz w:val="22"/>
              </w:rPr>
            </w:pPr>
            <w:r>
              <w:rPr>
                <w:b/>
                <w:spacing w:val="-2"/>
                <w:sz w:val="22"/>
              </w:rPr>
              <w:t>50:50</w:t>
            </w:r>
          </w:p>
        </w:tc>
        <w:tc>
          <w:tcPr>
            <w:tcW w:w="840" w:type="dxa"/>
            <w:tcBorders>
              <w:bottom w:val="single" w:sz="4" w:space="0" w:color="000000"/>
            </w:tcBorders>
          </w:tcPr>
          <w:p>
            <w:pPr>
              <w:pStyle w:val="TableParagraph"/>
              <w:rPr>
                <w:rFonts w:ascii="Times New Roman"/>
                <w:sz w:val="22"/>
              </w:rPr>
            </w:pPr>
          </w:p>
        </w:tc>
      </w:tr>
      <w:tr>
        <w:trPr>
          <w:trHeight w:val="376" w:hRule="atLeast"/>
        </w:trPr>
        <w:tc>
          <w:tcPr>
            <w:tcW w:w="1125" w:type="dxa"/>
            <w:tcBorders>
              <w:top w:val="single" w:sz="4" w:space="0" w:color="000000"/>
            </w:tcBorders>
          </w:tcPr>
          <w:p>
            <w:pPr>
              <w:pStyle w:val="TableParagraph"/>
              <w:spacing w:line="265" w:lineRule="exact"/>
              <w:ind w:left="122"/>
              <w:rPr>
                <w:sz w:val="22"/>
              </w:rPr>
            </w:pPr>
            <w:r>
              <w:rPr>
                <w:sz w:val="22"/>
              </w:rPr>
              <w:t>SP</w:t>
            </w:r>
            <w:r>
              <w:rPr>
                <w:spacing w:val="1"/>
                <w:sz w:val="22"/>
              </w:rPr>
              <w:t> </w:t>
            </w:r>
            <w:r>
              <w:rPr>
                <w:spacing w:val="-5"/>
                <w:sz w:val="22"/>
              </w:rPr>
              <w:t>228</w:t>
            </w:r>
          </w:p>
        </w:tc>
        <w:tc>
          <w:tcPr>
            <w:tcW w:w="822" w:type="dxa"/>
            <w:tcBorders>
              <w:top w:val="single" w:sz="4" w:space="0" w:color="000000"/>
            </w:tcBorders>
          </w:tcPr>
          <w:p>
            <w:pPr>
              <w:pStyle w:val="TableParagraph"/>
              <w:spacing w:line="265" w:lineRule="exact"/>
              <w:ind w:left="76" w:right="76"/>
              <w:jc w:val="center"/>
              <w:rPr>
                <w:sz w:val="22"/>
              </w:rPr>
            </w:pPr>
            <w:r>
              <w:rPr>
                <w:spacing w:val="-4"/>
                <w:sz w:val="22"/>
              </w:rPr>
              <w:t>25.0</w:t>
            </w:r>
          </w:p>
        </w:tc>
        <w:tc>
          <w:tcPr>
            <w:tcW w:w="849" w:type="dxa"/>
            <w:tcBorders>
              <w:top w:val="single" w:sz="4" w:space="0" w:color="000000"/>
            </w:tcBorders>
          </w:tcPr>
          <w:p>
            <w:pPr>
              <w:pStyle w:val="TableParagraph"/>
              <w:spacing w:line="265" w:lineRule="exact"/>
              <w:ind w:left="3" w:right="15"/>
              <w:jc w:val="center"/>
              <w:rPr>
                <w:sz w:val="22"/>
              </w:rPr>
            </w:pPr>
            <w:r>
              <w:rPr>
                <w:spacing w:val="-4"/>
                <w:sz w:val="22"/>
              </w:rPr>
              <w:t>40.0</w:t>
            </w:r>
          </w:p>
        </w:tc>
        <w:tc>
          <w:tcPr>
            <w:tcW w:w="839" w:type="dxa"/>
            <w:tcBorders>
              <w:top w:val="single" w:sz="4" w:space="0" w:color="000000"/>
            </w:tcBorders>
          </w:tcPr>
          <w:p>
            <w:pPr>
              <w:pStyle w:val="TableParagraph"/>
              <w:spacing w:line="265" w:lineRule="exact"/>
              <w:ind w:right="222"/>
              <w:jc w:val="right"/>
              <w:rPr>
                <w:sz w:val="22"/>
              </w:rPr>
            </w:pPr>
            <w:r>
              <w:rPr>
                <w:spacing w:val="-4"/>
                <w:sz w:val="22"/>
              </w:rPr>
              <w:t>25.0</w:t>
            </w:r>
          </w:p>
        </w:tc>
        <w:tc>
          <w:tcPr>
            <w:tcW w:w="880" w:type="dxa"/>
            <w:tcBorders>
              <w:top w:val="single" w:sz="4" w:space="0" w:color="000000"/>
            </w:tcBorders>
          </w:tcPr>
          <w:p>
            <w:pPr>
              <w:pStyle w:val="TableParagraph"/>
              <w:spacing w:line="265" w:lineRule="exact"/>
              <w:ind w:left="19"/>
              <w:jc w:val="center"/>
              <w:rPr>
                <w:sz w:val="22"/>
              </w:rPr>
            </w:pPr>
            <w:r>
              <w:rPr>
                <w:spacing w:val="-4"/>
                <w:sz w:val="22"/>
              </w:rPr>
              <w:t>45.0</w:t>
            </w:r>
          </w:p>
        </w:tc>
        <w:tc>
          <w:tcPr>
            <w:tcW w:w="834" w:type="dxa"/>
            <w:tcBorders>
              <w:top w:val="single" w:sz="4" w:space="0" w:color="000000"/>
            </w:tcBorders>
          </w:tcPr>
          <w:p>
            <w:pPr>
              <w:pStyle w:val="TableParagraph"/>
              <w:spacing w:line="265" w:lineRule="exact"/>
              <w:ind w:right="215"/>
              <w:jc w:val="right"/>
              <w:rPr>
                <w:sz w:val="22"/>
              </w:rPr>
            </w:pPr>
            <w:r>
              <w:rPr>
                <w:spacing w:val="-4"/>
                <w:sz w:val="22"/>
              </w:rPr>
              <w:t>25.0</w:t>
            </w:r>
          </w:p>
        </w:tc>
        <w:tc>
          <w:tcPr>
            <w:tcW w:w="850" w:type="dxa"/>
            <w:tcBorders>
              <w:top w:val="single" w:sz="4" w:space="0" w:color="000000"/>
            </w:tcBorders>
          </w:tcPr>
          <w:p>
            <w:pPr>
              <w:pStyle w:val="TableParagraph"/>
              <w:spacing w:line="265" w:lineRule="exact"/>
              <w:ind w:left="25" w:right="19"/>
              <w:jc w:val="center"/>
              <w:rPr>
                <w:sz w:val="22"/>
              </w:rPr>
            </w:pPr>
            <w:r>
              <w:rPr>
                <w:spacing w:val="-4"/>
                <w:sz w:val="22"/>
              </w:rPr>
              <w:t>40.0</w:t>
            </w:r>
          </w:p>
        </w:tc>
        <w:tc>
          <w:tcPr>
            <w:tcW w:w="817" w:type="dxa"/>
            <w:tcBorders>
              <w:top w:val="single" w:sz="4" w:space="0" w:color="000000"/>
            </w:tcBorders>
          </w:tcPr>
          <w:p>
            <w:pPr>
              <w:pStyle w:val="TableParagraph"/>
              <w:spacing w:line="265" w:lineRule="exact"/>
              <w:ind w:right="201"/>
              <w:jc w:val="right"/>
              <w:rPr>
                <w:sz w:val="22"/>
              </w:rPr>
            </w:pPr>
            <w:r>
              <w:rPr>
                <w:spacing w:val="-4"/>
                <w:sz w:val="22"/>
              </w:rPr>
              <w:t>25.0</w:t>
            </w:r>
          </w:p>
        </w:tc>
        <w:tc>
          <w:tcPr>
            <w:tcW w:w="836" w:type="dxa"/>
            <w:tcBorders>
              <w:top w:val="single" w:sz="4" w:space="0" w:color="000000"/>
            </w:tcBorders>
          </w:tcPr>
          <w:p>
            <w:pPr>
              <w:pStyle w:val="TableParagraph"/>
              <w:spacing w:line="265" w:lineRule="exact"/>
              <w:ind w:left="4"/>
              <w:jc w:val="center"/>
              <w:rPr>
                <w:sz w:val="22"/>
              </w:rPr>
            </w:pPr>
            <w:r>
              <w:rPr>
                <w:spacing w:val="-4"/>
                <w:sz w:val="22"/>
              </w:rPr>
              <w:t>45.0</w:t>
            </w:r>
          </w:p>
        </w:tc>
        <w:tc>
          <w:tcPr>
            <w:tcW w:w="813" w:type="dxa"/>
            <w:tcBorders>
              <w:top w:val="single" w:sz="4" w:space="0" w:color="000000"/>
            </w:tcBorders>
          </w:tcPr>
          <w:p>
            <w:pPr>
              <w:pStyle w:val="TableParagraph"/>
              <w:spacing w:line="265" w:lineRule="exact"/>
              <w:ind w:right="199"/>
              <w:jc w:val="right"/>
              <w:rPr>
                <w:sz w:val="22"/>
              </w:rPr>
            </w:pPr>
            <w:r>
              <w:rPr>
                <w:spacing w:val="-4"/>
                <w:sz w:val="22"/>
              </w:rPr>
              <w:t>25.0</w:t>
            </w:r>
          </w:p>
        </w:tc>
        <w:tc>
          <w:tcPr>
            <w:tcW w:w="840" w:type="dxa"/>
            <w:tcBorders>
              <w:top w:val="single" w:sz="4" w:space="0" w:color="000000"/>
            </w:tcBorders>
          </w:tcPr>
          <w:p>
            <w:pPr>
              <w:pStyle w:val="TableParagraph"/>
              <w:spacing w:line="265" w:lineRule="exact"/>
              <w:ind w:left="31" w:right="11"/>
              <w:jc w:val="center"/>
              <w:rPr>
                <w:sz w:val="22"/>
              </w:rPr>
            </w:pPr>
            <w:r>
              <w:rPr>
                <w:spacing w:val="-4"/>
                <w:sz w:val="22"/>
              </w:rPr>
              <w:t>60.0</w:t>
            </w:r>
          </w:p>
        </w:tc>
      </w:tr>
      <w:tr>
        <w:trPr>
          <w:trHeight w:val="450" w:hRule="atLeast"/>
        </w:trPr>
        <w:tc>
          <w:tcPr>
            <w:tcW w:w="1125" w:type="dxa"/>
          </w:tcPr>
          <w:p>
            <w:pPr>
              <w:pStyle w:val="TableParagraph"/>
              <w:spacing w:before="71"/>
              <w:ind w:left="122"/>
              <w:rPr>
                <w:sz w:val="22"/>
              </w:rPr>
            </w:pPr>
            <w:r>
              <w:rPr>
                <w:sz w:val="22"/>
              </w:rPr>
              <w:t>SP</w:t>
            </w:r>
            <w:r>
              <w:rPr>
                <w:spacing w:val="1"/>
                <w:sz w:val="22"/>
              </w:rPr>
              <w:t> </w:t>
            </w:r>
            <w:r>
              <w:rPr>
                <w:spacing w:val="-5"/>
                <w:sz w:val="22"/>
              </w:rPr>
              <w:t>232</w:t>
            </w:r>
          </w:p>
        </w:tc>
        <w:tc>
          <w:tcPr>
            <w:tcW w:w="822" w:type="dxa"/>
          </w:tcPr>
          <w:p>
            <w:pPr>
              <w:pStyle w:val="TableParagraph"/>
              <w:spacing w:before="71"/>
              <w:ind w:left="76" w:right="76"/>
              <w:jc w:val="center"/>
              <w:rPr>
                <w:sz w:val="22"/>
              </w:rPr>
            </w:pPr>
            <w:r>
              <w:rPr>
                <w:spacing w:val="-4"/>
                <w:sz w:val="22"/>
              </w:rPr>
              <w:t>17.5</w:t>
            </w:r>
          </w:p>
        </w:tc>
        <w:tc>
          <w:tcPr>
            <w:tcW w:w="849" w:type="dxa"/>
          </w:tcPr>
          <w:p>
            <w:pPr>
              <w:pStyle w:val="TableParagraph"/>
              <w:spacing w:before="71"/>
              <w:ind w:left="3" w:right="15"/>
              <w:jc w:val="center"/>
              <w:rPr>
                <w:sz w:val="22"/>
              </w:rPr>
            </w:pPr>
            <w:r>
              <w:rPr>
                <w:spacing w:val="-4"/>
                <w:sz w:val="22"/>
              </w:rPr>
              <w:t>25.0</w:t>
            </w:r>
          </w:p>
        </w:tc>
        <w:tc>
          <w:tcPr>
            <w:tcW w:w="839" w:type="dxa"/>
          </w:tcPr>
          <w:p>
            <w:pPr>
              <w:pStyle w:val="TableParagraph"/>
              <w:spacing w:before="71"/>
              <w:ind w:right="222"/>
              <w:jc w:val="right"/>
              <w:rPr>
                <w:sz w:val="22"/>
              </w:rPr>
            </w:pPr>
            <w:r>
              <w:rPr>
                <w:spacing w:val="-4"/>
                <w:sz w:val="22"/>
              </w:rPr>
              <w:t>20.0</w:t>
            </w:r>
          </w:p>
        </w:tc>
        <w:tc>
          <w:tcPr>
            <w:tcW w:w="880" w:type="dxa"/>
          </w:tcPr>
          <w:p>
            <w:pPr>
              <w:pStyle w:val="TableParagraph"/>
              <w:spacing w:before="71"/>
              <w:ind w:left="19"/>
              <w:jc w:val="center"/>
              <w:rPr>
                <w:sz w:val="22"/>
              </w:rPr>
            </w:pPr>
            <w:r>
              <w:rPr>
                <w:spacing w:val="-4"/>
                <w:sz w:val="22"/>
              </w:rPr>
              <w:t>35.0</w:t>
            </w:r>
          </w:p>
        </w:tc>
        <w:tc>
          <w:tcPr>
            <w:tcW w:w="834" w:type="dxa"/>
          </w:tcPr>
          <w:p>
            <w:pPr>
              <w:pStyle w:val="TableParagraph"/>
              <w:spacing w:before="71"/>
              <w:ind w:right="215"/>
              <w:jc w:val="right"/>
              <w:rPr>
                <w:sz w:val="22"/>
              </w:rPr>
            </w:pPr>
            <w:r>
              <w:rPr>
                <w:spacing w:val="-4"/>
                <w:sz w:val="22"/>
              </w:rPr>
              <w:t>17.5</w:t>
            </w:r>
          </w:p>
        </w:tc>
        <w:tc>
          <w:tcPr>
            <w:tcW w:w="850" w:type="dxa"/>
          </w:tcPr>
          <w:p>
            <w:pPr>
              <w:pStyle w:val="TableParagraph"/>
              <w:spacing w:before="71"/>
              <w:ind w:left="25" w:right="19"/>
              <w:jc w:val="center"/>
              <w:rPr>
                <w:sz w:val="22"/>
              </w:rPr>
            </w:pPr>
            <w:r>
              <w:rPr>
                <w:spacing w:val="-4"/>
                <w:sz w:val="22"/>
              </w:rPr>
              <w:t>25.0</w:t>
            </w:r>
          </w:p>
        </w:tc>
        <w:tc>
          <w:tcPr>
            <w:tcW w:w="817" w:type="dxa"/>
          </w:tcPr>
          <w:p>
            <w:pPr>
              <w:pStyle w:val="TableParagraph"/>
              <w:spacing w:before="71"/>
              <w:ind w:right="201"/>
              <w:jc w:val="right"/>
              <w:rPr>
                <w:sz w:val="22"/>
              </w:rPr>
            </w:pPr>
            <w:r>
              <w:rPr>
                <w:spacing w:val="-4"/>
                <w:sz w:val="22"/>
              </w:rPr>
              <w:t>17.5</w:t>
            </w:r>
          </w:p>
        </w:tc>
        <w:tc>
          <w:tcPr>
            <w:tcW w:w="836" w:type="dxa"/>
          </w:tcPr>
          <w:p>
            <w:pPr>
              <w:pStyle w:val="TableParagraph"/>
              <w:spacing w:before="71"/>
              <w:ind w:left="4"/>
              <w:jc w:val="center"/>
              <w:rPr>
                <w:sz w:val="22"/>
              </w:rPr>
            </w:pPr>
            <w:r>
              <w:rPr>
                <w:spacing w:val="-4"/>
                <w:sz w:val="22"/>
              </w:rPr>
              <w:t>25.0</w:t>
            </w:r>
          </w:p>
        </w:tc>
        <w:tc>
          <w:tcPr>
            <w:tcW w:w="813" w:type="dxa"/>
          </w:tcPr>
          <w:p>
            <w:pPr>
              <w:pStyle w:val="TableParagraph"/>
              <w:spacing w:before="71"/>
              <w:ind w:right="199"/>
              <w:jc w:val="right"/>
              <w:rPr>
                <w:sz w:val="22"/>
              </w:rPr>
            </w:pPr>
            <w:r>
              <w:rPr>
                <w:spacing w:val="-4"/>
                <w:sz w:val="22"/>
              </w:rPr>
              <w:t>17.5</w:t>
            </w:r>
          </w:p>
        </w:tc>
        <w:tc>
          <w:tcPr>
            <w:tcW w:w="840" w:type="dxa"/>
          </w:tcPr>
          <w:p>
            <w:pPr>
              <w:pStyle w:val="TableParagraph"/>
              <w:spacing w:before="71"/>
              <w:ind w:left="31" w:right="11"/>
              <w:jc w:val="center"/>
              <w:rPr>
                <w:sz w:val="22"/>
              </w:rPr>
            </w:pPr>
            <w:r>
              <w:rPr>
                <w:spacing w:val="-4"/>
                <w:sz w:val="22"/>
              </w:rPr>
              <w:t>25.0</w:t>
            </w:r>
          </w:p>
        </w:tc>
      </w:tr>
      <w:tr>
        <w:trPr>
          <w:trHeight w:val="449" w:hRule="atLeast"/>
        </w:trPr>
        <w:tc>
          <w:tcPr>
            <w:tcW w:w="1125" w:type="dxa"/>
          </w:tcPr>
          <w:p>
            <w:pPr>
              <w:pStyle w:val="TableParagraph"/>
              <w:spacing w:before="70"/>
              <w:ind w:left="122"/>
              <w:rPr>
                <w:sz w:val="22"/>
              </w:rPr>
            </w:pPr>
            <w:r>
              <w:rPr>
                <w:sz w:val="22"/>
              </w:rPr>
              <w:t>SP</w:t>
            </w:r>
            <w:r>
              <w:rPr>
                <w:spacing w:val="1"/>
                <w:sz w:val="22"/>
              </w:rPr>
              <w:t> </w:t>
            </w:r>
            <w:r>
              <w:rPr>
                <w:spacing w:val="-5"/>
                <w:sz w:val="22"/>
              </w:rPr>
              <w:t>285</w:t>
            </w:r>
          </w:p>
        </w:tc>
        <w:tc>
          <w:tcPr>
            <w:tcW w:w="822" w:type="dxa"/>
          </w:tcPr>
          <w:p>
            <w:pPr>
              <w:pStyle w:val="TableParagraph"/>
              <w:spacing w:before="70"/>
              <w:ind w:left="76" w:right="76"/>
              <w:jc w:val="center"/>
              <w:rPr>
                <w:sz w:val="22"/>
              </w:rPr>
            </w:pPr>
            <w:r>
              <w:rPr>
                <w:spacing w:val="-4"/>
                <w:sz w:val="22"/>
              </w:rPr>
              <w:t>17.5</w:t>
            </w:r>
          </w:p>
        </w:tc>
        <w:tc>
          <w:tcPr>
            <w:tcW w:w="849" w:type="dxa"/>
          </w:tcPr>
          <w:p>
            <w:pPr>
              <w:pStyle w:val="TableParagraph"/>
              <w:spacing w:before="70"/>
              <w:ind w:left="3" w:right="15"/>
              <w:jc w:val="center"/>
              <w:rPr>
                <w:sz w:val="22"/>
              </w:rPr>
            </w:pPr>
            <w:r>
              <w:rPr>
                <w:spacing w:val="-4"/>
                <w:sz w:val="22"/>
              </w:rPr>
              <w:t>25.0</w:t>
            </w:r>
          </w:p>
        </w:tc>
        <w:tc>
          <w:tcPr>
            <w:tcW w:w="839" w:type="dxa"/>
          </w:tcPr>
          <w:p>
            <w:pPr>
              <w:pStyle w:val="TableParagraph"/>
              <w:spacing w:before="70"/>
              <w:ind w:right="222"/>
              <w:jc w:val="right"/>
              <w:rPr>
                <w:sz w:val="22"/>
              </w:rPr>
            </w:pPr>
            <w:r>
              <w:rPr>
                <w:spacing w:val="-4"/>
                <w:sz w:val="22"/>
              </w:rPr>
              <w:t>17.5</w:t>
            </w:r>
          </w:p>
        </w:tc>
        <w:tc>
          <w:tcPr>
            <w:tcW w:w="880" w:type="dxa"/>
          </w:tcPr>
          <w:p>
            <w:pPr>
              <w:pStyle w:val="TableParagraph"/>
              <w:spacing w:before="70"/>
              <w:ind w:left="19"/>
              <w:jc w:val="center"/>
              <w:rPr>
                <w:sz w:val="22"/>
              </w:rPr>
            </w:pPr>
            <w:r>
              <w:rPr>
                <w:spacing w:val="-4"/>
                <w:sz w:val="22"/>
              </w:rPr>
              <w:t>25.0</w:t>
            </w:r>
          </w:p>
        </w:tc>
        <w:tc>
          <w:tcPr>
            <w:tcW w:w="834" w:type="dxa"/>
          </w:tcPr>
          <w:p>
            <w:pPr>
              <w:pStyle w:val="TableParagraph"/>
              <w:spacing w:before="70"/>
              <w:ind w:right="215"/>
              <w:jc w:val="right"/>
              <w:rPr>
                <w:sz w:val="22"/>
              </w:rPr>
            </w:pPr>
            <w:r>
              <w:rPr>
                <w:spacing w:val="-4"/>
                <w:sz w:val="22"/>
              </w:rPr>
              <w:t>17.5</w:t>
            </w:r>
          </w:p>
        </w:tc>
        <w:tc>
          <w:tcPr>
            <w:tcW w:w="850" w:type="dxa"/>
          </w:tcPr>
          <w:p>
            <w:pPr>
              <w:pStyle w:val="TableParagraph"/>
              <w:spacing w:before="70"/>
              <w:ind w:left="25" w:right="19"/>
              <w:jc w:val="center"/>
              <w:rPr>
                <w:sz w:val="22"/>
              </w:rPr>
            </w:pPr>
            <w:r>
              <w:rPr>
                <w:spacing w:val="-4"/>
                <w:sz w:val="22"/>
              </w:rPr>
              <w:t>25.0</w:t>
            </w:r>
          </w:p>
        </w:tc>
        <w:tc>
          <w:tcPr>
            <w:tcW w:w="817" w:type="dxa"/>
          </w:tcPr>
          <w:p>
            <w:pPr>
              <w:pStyle w:val="TableParagraph"/>
              <w:spacing w:before="70"/>
              <w:ind w:right="202"/>
              <w:jc w:val="right"/>
              <w:rPr>
                <w:sz w:val="22"/>
              </w:rPr>
            </w:pPr>
            <w:r>
              <w:rPr>
                <w:spacing w:val="-4"/>
                <w:sz w:val="22"/>
              </w:rPr>
              <w:t>17.5</w:t>
            </w:r>
          </w:p>
        </w:tc>
        <w:tc>
          <w:tcPr>
            <w:tcW w:w="836" w:type="dxa"/>
          </w:tcPr>
          <w:p>
            <w:pPr>
              <w:pStyle w:val="TableParagraph"/>
              <w:spacing w:before="70"/>
              <w:ind w:left="4"/>
              <w:jc w:val="center"/>
              <w:rPr>
                <w:sz w:val="22"/>
              </w:rPr>
            </w:pPr>
            <w:r>
              <w:rPr>
                <w:spacing w:val="-4"/>
                <w:sz w:val="22"/>
              </w:rPr>
              <w:t>25.0</w:t>
            </w:r>
          </w:p>
        </w:tc>
        <w:tc>
          <w:tcPr>
            <w:tcW w:w="813" w:type="dxa"/>
          </w:tcPr>
          <w:p>
            <w:pPr>
              <w:pStyle w:val="TableParagraph"/>
              <w:spacing w:before="70"/>
              <w:ind w:right="199"/>
              <w:jc w:val="right"/>
              <w:rPr>
                <w:sz w:val="22"/>
              </w:rPr>
            </w:pPr>
            <w:r>
              <w:rPr>
                <w:spacing w:val="-4"/>
                <w:sz w:val="22"/>
              </w:rPr>
              <w:t>17.5</w:t>
            </w:r>
          </w:p>
        </w:tc>
        <w:tc>
          <w:tcPr>
            <w:tcW w:w="840" w:type="dxa"/>
          </w:tcPr>
          <w:p>
            <w:pPr>
              <w:pStyle w:val="TableParagraph"/>
              <w:spacing w:before="70"/>
              <w:ind w:left="31" w:right="11"/>
              <w:jc w:val="center"/>
              <w:rPr>
                <w:sz w:val="22"/>
              </w:rPr>
            </w:pPr>
            <w:r>
              <w:rPr>
                <w:spacing w:val="-4"/>
                <w:sz w:val="22"/>
              </w:rPr>
              <w:t>25.0</w:t>
            </w:r>
          </w:p>
        </w:tc>
      </w:tr>
      <w:tr>
        <w:trPr>
          <w:trHeight w:val="450" w:hRule="atLeast"/>
        </w:trPr>
        <w:tc>
          <w:tcPr>
            <w:tcW w:w="1125" w:type="dxa"/>
          </w:tcPr>
          <w:p>
            <w:pPr>
              <w:pStyle w:val="TableParagraph"/>
              <w:spacing w:before="70"/>
              <w:ind w:left="122"/>
              <w:rPr>
                <w:sz w:val="22"/>
              </w:rPr>
            </w:pPr>
            <w:r>
              <w:rPr>
                <w:sz w:val="22"/>
              </w:rPr>
              <w:t>SP</w:t>
            </w:r>
            <w:r>
              <w:rPr>
                <w:spacing w:val="1"/>
                <w:sz w:val="22"/>
              </w:rPr>
              <w:t> </w:t>
            </w:r>
            <w:r>
              <w:rPr>
                <w:spacing w:val="-5"/>
                <w:sz w:val="22"/>
              </w:rPr>
              <w:t>803</w:t>
            </w:r>
          </w:p>
        </w:tc>
        <w:tc>
          <w:tcPr>
            <w:tcW w:w="822" w:type="dxa"/>
          </w:tcPr>
          <w:p>
            <w:pPr>
              <w:pStyle w:val="TableParagraph"/>
              <w:spacing w:before="70"/>
              <w:ind w:left="76" w:right="76"/>
              <w:jc w:val="center"/>
              <w:rPr>
                <w:sz w:val="22"/>
              </w:rPr>
            </w:pPr>
            <w:r>
              <w:rPr>
                <w:spacing w:val="-4"/>
                <w:sz w:val="22"/>
              </w:rPr>
              <w:t>25.0</w:t>
            </w:r>
          </w:p>
        </w:tc>
        <w:tc>
          <w:tcPr>
            <w:tcW w:w="849" w:type="dxa"/>
          </w:tcPr>
          <w:p>
            <w:pPr>
              <w:pStyle w:val="TableParagraph"/>
              <w:spacing w:before="70"/>
              <w:ind w:left="3" w:right="15"/>
              <w:jc w:val="center"/>
              <w:rPr>
                <w:sz w:val="22"/>
              </w:rPr>
            </w:pPr>
            <w:r>
              <w:rPr>
                <w:spacing w:val="-4"/>
                <w:sz w:val="22"/>
              </w:rPr>
              <w:t>40.0</w:t>
            </w:r>
          </w:p>
        </w:tc>
        <w:tc>
          <w:tcPr>
            <w:tcW w:w="839" w:type="dxa"/>
          </w:tcPr>
          <w:p>
            <w:pPr>
              <w:pStyle w:val="TableParagraph"/>
              <w:spacing w:before="70"/>
              <w:ind w:right="222"/>
              <w:jc w:val="right"/>
              <w:rPr>
                <w:sz w:val="22"/>
              </w:rPr>
            </w:pPr>
            <w:r>
              <w:rPr>
                <w:spacing w:val="-4"/>
                <w:sz w:val="22"/>
              </w:rPr>
              <w:t>25.0</w:t>
            </w:r>
          </w:p>
        </w:tc>
        <w:tc>
          <w:tcPr>
            <w:tcW w:w="880" w:type="dxa"/>
          </w:tcPr>
          <w:p>
            <w:pPr>
              <w:pStyle w:val="TableParagraph"/>
              <w:spacing w:before="70"/>
              <w:ind w:left="19"/>
              <w:jc w:val="center"/>
              <w:rPr>
                <w:sz w:val="22"/>
              </w:rPr>
            </w:pPr>
            <w:r>
              <w:rPr>
                <w:spacing w:val="-4"/>
                <w:sz w:val="22"/>
              </w:rPr>
              <w:t>45.0</w:t>
            </w:r>
          </w:p>
        </w:tc>
        <w:tc>
          <w:tcPr>
            <w:tcW w:w="834" w:type="dxa"/>
          </w:tcPr>
          <w:p>
            <w:pPr>
              <w:pStyle w:val="TableParagraph"/>
              <w:spacing w:before="70"/>
              <w:ind w:right="215"/>
              <w:jc w:val="right"/>
              <w:rPr>
                <w:sz w:val="22"/>
              </w:rPr>
            </w:pPr>
            <w:r>
              <w:rPr>
                <w:spacing w:val="-4"/>
                <w:sz w:val="22"/>
              </w:rPr>
              <w:t>25.0</w:t>
            </w:r>
          </w:p>
        </w:tc>
        <w:tc>
          <w:tcPr>
            <w:tcW w:w="850" w:type="dxa"/>
          </w:tcPr>
          <w:p>
            <w:pPr>
              <w:pStyle w:val="TableParagraph"/>
              <w:spacing w:before="70"/>
              <w:ind w:left="25" w:right="19"/>
              <w:jc w:val="center"/>
              <w:rPr>
                <w:sz w:val="22"/>
              </w:rPr>
            </w:pPr>
            <w:r>
              <w:rPr>
                <w:spacing w:val="-4"/>
                <w:sz w:val="22"/>
              </w:rPr>
              <w:t>40.0</w:t>
            </w:r>
          </w:p>
        </w:tc>
        <w:tc>
          <w:tcPr>
            <w:tcW w:w="817" w:type="dxa"/>
          </w:tcPr>
          <w:p>
            <w:pPr>
              <w:pStyle w:val="TableParagraph"/>
              <w:spacing w:before="70"/>
              <w:ind w:right="201"/>
              <w:jc w:val="right"/>
              <w:rPr>
                <w:sz w:val="22"/>
              </w:rPr>
            </w:pPr>
            <w:r>
              <w:rPr>
                <w:spacing w:val="-4"/>
                <w:sz w:val="22"/>
              </w:rPr>
              <w:t>25.0</w:t>
            </w:r>
          </w:p>
        </w:tc>
        <w:tc>
          <w:tcPr>
            <w:tcW w:w="836" w:type="dxa"/>
          </w:tcPr>
          <w:p>
            <w:pPr>
              <w:pStyle w:val="TableParagraph"/>
              <w:spacing w:before="70"/>
              <w:ind w:left="4"/>
              <w:jc w:val="center"/>
              <w:rPr>
                <w:sz w:val="22"/>
              </w:rPr>
            </w:pPr>
            <w:r>
              <w:rPr>
                <w:spacing w:val="-4"/>
                <w:sz w:val="22"/>
              </w:rPr>
              <w:t>45.0</w:t>
            </w:r>
          </w:p>
        </w:tc>
        <w:tc>
          <w:tcPr>
            <w:tcW w:w="813" w:type="dxa"/>
          </w:tcPr>
          <w:p>
            <w:pPr>
              <w:pStyle w:val="TableParagraph"/>
              <w:spacing w:before="70"/>
              <w:ind w:right="199"/>
              <w:jc w:val="right"/>
              <w:rPr>
                <w:sz w:val="22"/>
              </w:rPr>
            </w:pPr>
            <w:r>
              <w:rPr>
                <w:spacing w:val="-4"/>
                <w:sz w:val="22"/>
              </w:rPr>
              <w:t>25.0</w:t>
            </w:r>
          </w:p>
        </w:tc>
        <w:tc>
          <w:tcPr>
            <w:tcW w:w="840" w:type="dxa"/>
          </w:tcPr>
          <w:p>
            <w:pPr>
              <w:pStyle w:val="TableParagraph"/>
              <w:spacing w:before="70"/>
              <w:ind w:left="31" w:right="11"/>
              <w:jc w:val="center"/>
              <w:rPr>
                <w:sz w:val="22"/>
              </w:rPr>
            </w:pPr>
            <w:r>
              <w:rPr>
                <w:spacing w:val="-4"/>
                <w:sz w:val="22"/>
              </w:rPr>
              <w:t>50.0</w:t>
            </w:r>
          </w:p>
        </w:tc>
      </w:tr>
      <w:tr>
        <w:trPr>
          <w:trHeight w:val="450" w:hRule="atLeast"/>
        </w:trPr>
        <w:tc>
          <w:tcPr>
            <w:tcW w:w="1125" w:type="dxa"/>
          </w:tcPr>
          <w:p>
            <w:pPr>
              <w:pStyle w:val="TableParagraph"/>
              <w:spacing w:before="71"/>
              <w:ind w:left="122"/>
              <w:rPr>
                <w:sz w:val="22"/>
              </w:rPr>
            </w:pPr>
            <w:r>
              <w:rPr>
                <w:sz w:val="22"/>
              </w:rPr>
              <w:t>SP</w:t>
            </w:r>
            <w:r>
              <w:rPr>
                <w:spacing w:val="1"/>
                <w:sz w:val="22"/>
              </w:rPr>
              <w:t> </w:t>
            </w:r>
            <w:r>
              <w:rPr>
                <w:spacing w:val="-5"/>
                <w:sz w:val="22"/>
              </w:rPr>
              <w:t>903</w:t>
            </w:r>
          </w:p>
        </w:tc>
        <w:tc>
          <w:tcPr>
            <w:tcW w:w="822" w:type="dxa"/>
          </w:tcPr>
          <w:p>
            <w:pPr>
              <w:pStyle w:val="TableParagraph"/>
              <w:spacing w:before="71"/>
              <w:ind w:left="76" w:right="76"/>
              <w:jc w:val="center"/>
              <w:rPr>
                <w:sz w:val="22"/>
              </w:rPr>
            </w:pPr>
            <w:r>
              <w:rPr>
                <w:spacing w:val="-4"/>
                <w:sz w:val="22"/>
              </w:rPr>
              <w:t>17.5</w:t>
            </w:r>
          </w:p>
        </w:tc>
        <w:tc>
          <w:tcPr>
            <w:tcW w:w="849" w:type="dxa"/>
          </w:tcPr>
          <w:p>
            <w:pPr>
              <w:pStyle w:val="TableParagraph"/>
              <w:spacing w:before="71"/>
              <w:ind w:left="3" w:right="15"/>
              <w:jc w:val="center"/>
              <w:rPr>
                <w:sz w:val="22"/>
              </w:rPr>
            </w:pPr>
            <w:r>
              <w:rPr>
                <w:spacing w:val="-4"/>
                <w:sz w:val="22"/>
              </w:rPr>
              <w:t>25.0</w:t>
            </w:r>
          </w:p>
        </w:tc>
        <w:tc>
          <w:tcPr>
            <w:tcW w:w="839" w:type="dxa"/>
          </w:tcPr>
          <w:p>
            <w:pPr>
              <w:pStyle w:val="TableParagraph"/>
              <w:spacing w:before="71"/>
              <w:ind w:right="222"/>
              <w:jc w:val="right"/>
              <w:rPr>
                <w:sz w:val="22"/>
              </w:rPr>
            </w:pPr>
            <w:r>
              <w:rPr>
                <w:spacing w:val="-4"/>
                <w:sz w:val="22"/>
              </w:rPr>
              <w:t>17.5</w:t>
            </w:r>
          </w:p>
        </w:tc>
        <w:tc>
          <w:tcPr>
            <w:tcW w:w="880" w:type="dxa"/>
          </w:tcPr>
          <w:p>
            <w:pPr>
              <w:pStyle w:val="TableParagraph"/>
              <w:spacing w:before="71"/>
              <w:ind w:left="19"/>
              <w:jc w:val="center"/>
              <w:rPr>
                <w:sz w:val="22"/>
              </w:rPr>
            </w:pPr>
            <w:r>
              <w:rPr>
                <w:spacing w:val="-4"/>
                <w:sz w:val="22"/>
              </w:rPr>
              <w:t>25.0</w:t>
            </w:r>
          </w:p>
        </w:tc>
        <w:tc>
          <w:tcPr>
            <w:tcW w:w="834" w:type="dxa"/>
          </w:tcPr>
          <w:p>
            <w:pPr>
              <w:pStyle w:val="TableParagraph"/>
              <w:spacing w:before="71"/>
              <w:ind w:right="215"/>
              <w:jc w:val="right"/>
              <w:rPr>
                <w:sz w:val="22"/>
              </w:rPr>
            </w:pPr>
            <w:r>
              <w:rPr>
                <w:spacing w:val="-4"/>
                <w:sz w:val="22"/>
              </w:rPr>
              <w:t>17.5</w:t>
            </w:r>
          </w:p>
        </w:tc>
        <w:tc>
          <w:tcPr>
            <w:tcW w:w="850" w:type="dxa"/>
          </w:tcPr>
          <w:p>
            <w:pPr>
              <w:pStyle w:val="TableParagraph"/>
              <w:spacing w:before="71"/>
              <w:ind w:left="25" w:right="19"/>
              <w:jc w:val="center"/>
              <w:rPr>
                <w:sz w:val="22"/>
              </w:rPr>
            </w:pPr>
            <w:r>
              <w:rPr>
                <w:spacing w:val="-4"/>
                <w:sz w:val="22"/>
              </w:rPr>
              <w:t>25.0</w:t>
            </w:r>
          </w:p>
        </w:tc>
        <w:tc>
          <w:tcPr>
            <w:tcW w:w="817" w:type="dxa"/>
          </w:tcPr>
          <w:p>
            <w:pPr>
              <w:pStyle w:val="TableParagraph"/>
              <w:spacing w:before="71"/>
              <w:ind w:right="201"/>
              <w:jc w:val="right"/>
              <w:rPr>
                <w:sz w:val="22"/>
              </w:rPr>
            </w:pPr>
            <w:r>
              <w:rPr>
                <w:spacing w:val="-4"/>
                <w:sz w:val="22"/>
              </w:rPr>
              <w:t>17.5</w:t>
            </w:r>
          </w:p>
        </w:tc>
        <w:tc>
          <w:tcPr>
            <w:tcW w:w="836" w:type="dxa"/>
          </w:tcPr>
          <w:p>
            <w:pPr>
              <w:pStyle w:val="TableParagraph"/>
              <w:spacing w:before="71"/>
              <w:ind w:left="4"/>
              <w:jc w:val="center"/>
              <w:rPr>
                <w:sz w:val="22"/>
              </w:rPr>
            </w:pPr>
            <w:r>
              <w:rPr>
                <w:spacing w:val="-4"/>
                <w:sz w:val="22"/>
              </w:rPr>
              <w:t>25.0</w:t>
            </w:r>
          </w:p>
        </w:tc>
        <w:tc>
          <w:tcPr>
            <w:tcW w:w="813" w:type="dxa"/>
          </w:tcPr>
          <w:p>
            <w:pPr>
              <w:pStyle w:val="TableParagraph"/>
              <w:spacing w:before="71"/>
              <w:ind w:right="199"/>
              <w:jc w:val="right"/>
              <w:rPr>
                <w:sz w:val="22"/>
              </w:rPr>
            </w:pPr>
            <w:r>
              <w:rPr>
                <w:spacing w:val="-4"/>
                <w:sz w:val="22"/>
              </w:rPr>
              <w:t>17.5</w:t>
            </w:r>
          </w:p>
        </w:tc>
        <w:tc>
          <w:tcPr>
            <w:tcW w:w="840" w:type="dxa"/>
          </w:tcPr>
          <w:p>
            <w:pPr>
              <w:pStyle w:val="TableParagraph"/>
              <w:spacing w:before="71"/>
              <w:ind w:left="31" w:right="11"/>
              <w:jc w:val="center"/>
              <w:rPr>
                <w:sz w:val="22"/>
              </w:rPr>
            </w:pPr>
            <w:r>
              <w:rPr>
                <w:spacing w:val="-4"/>
                <w:sz w:val="22"/>
              </w:rPr>
              <w:t>25.0</w:t>
            </w:r>
          </w:p>
        </w:tc>
      </w:tr>
      <w:tr>
        <w:trPr>
          <w:trHeight w:val="450" w:hRule="atLeast"/>
        </w:trPr>
        <w:tc>
          <w:tcPr>
            <w:tcW w:w="1125" w:type="dxa"/>
          </w:tcPr>
          <w:p>
            <w:pPr>
              <w:pStyle w:val="TableParagraph"/>
              <w:spacing w:before="70"/>
              <w:ind w:left="122"/>
              <w:rPr>
                <w:sz w:val="22"/>
              </w:rPr>
            </w:pPr>
            <w:r>
              <w:rPr>
                <w:sz w:val="22"/>
              </w:rPr>
              <w:t>TS</w:t>
            </w:r>
            <w:r>
              <w:rPr>
                <w:spacing w:val="-1"/>
                <w:sz w:val="22"/>
              </w:rPr>
              <w:t> </w:t>
            </w:r>
            <w:r>
              <w:rPr>
                <w:spacing w:val="-5"/>
                <w:sz w:val="22"/>
              </w:rPr>
              <w:t>328</w:t>
            </w:r>
          </w:p>
        </w:tc>
        <w:tc>
          <w:tcPr>
            <w:tcW w:w="822" w:type="dxa"/>
          </w:tcPr>
          <w:p>
            <w:pPr>
              <w:pStyle w:val="TableParagraph"/>
              <w:spacing w:before="70"/>
              <w:ind w:left="76" w:right="76"/>
              <w:jc w:val="center"/>
              <w:rPr>
                <w:sz w:val="22"/>
              </w:rPr>
            </w:pPr>
            <w:r>
              <w:rPr>
                <w:spacing w:val="-4"/>
                <w:sz w:val="22"/>
              </w:rPr>
              <w:t>17.5</w:t>
            </w:r>
          </w:p>
        </w:tc>
        <w:tc>
          <w:tcPr>
            <w:tcW w:w="849" w:type="dxa"/>
          </w:tcPr>
          <w:p>
            <w:pPr>
              <w:pStyle w:val="TableParagraph"/>
              <w:spacing w:before="70"/>
              <w:ind w:left="3" w:right="15"/>
              <w:jc w:val="center"/>
              <w:rPr>
                <w:sz w:val="22"/>
              </w:rPr>
            </w:pPr>
            <w:r>
              <w:rPr>
                <w:spacing w:val="-4"/>
                <w:sz w:val="22"/>
              </w:rPr>
              <w:t>25.0</w:t>
            </w:r>
          </w:p>
        </w:tc>
        <w:tc>
          <w:tcPr>
            <w:tcW w:w="839" w:type="dxa"/>
          </w:tcPr>
          <w:p>
            <w:pPr>
              <w:pStyle w:val="TableParagraph"/>
              <w:spacing w:before="70"/>
              <w:ind w:right="222"/>
              <w:jc w:val="right"/>
              <w:rPr>
                <w:sz w:val="22"/>
              </w:rPr>
            </w:pPr>
            <w:r>
              <w:rPr>
                <w:spacing w:val="-4"/>
                <w:sz w:val="22"/>
              </w:rPr>
              <w:t>17.5</w:t>
            </w:r>
          </w:p>
        </w:tc>
        <w:tc>
          <w:tcPr>
            <w:tcW w:w="880" w:type="dxa"/>
          </w:tcPr>
          <w:p>
            <w:pPr>
              <w:pStyle w:val="TableParagraph"/>
              <w:spacing w:before="70"/>
              <w:ind w:left="19"/>
              <w:jc w:val="center"/>
              <w:rPr>
                <w:sz w:val="22"/>
              </w:rPr>
            </w:pPr>
            <w:r>
              <w:rPr>
                <w:spacing w:val="-4"/>
                <w:sz w:val="22"/>
              </w:rPr>
              <w:t>25.0</w:t>
            </w:r>
          </w:p>
        </w:tc>
        <w:tc>
          <w:tcPr>
            <w:tcW w:w="834" w:type="dxa"/>
          </w:tcPr>
          <w:p>
            <w:pPr>
              <w:pStyle w:val="TableParagraph"/>
              <w:spacing w:before="70"/>
              <w:ind w:right="215"/>
              <w:jc w:val="right"/>
              <w:rPr>
                <w:sz w:val="22"/>
              </w:rPr>
            </w:pPr>
            <w:r>
              <w:rPr>
                <w:spacing w:val="-4"/>
                <w:sz w:val="22"/>
              </w:rPr>
              <w:t>17.5</w:t>
            </w:r>
          </w:p>
        </w:tc>
        <w:tc>
          <w:tcPr>
            <w:tcW w:w="850" w:type="dxa"/>
          </w:tcPr>
          <w:p>
            <w:pPr>
              <w:pStyle w:val="TableParagraph"/>
              <w:spacing w:before="70"/>
              <w:ind w:left="25" w:right="19"/>
              <w:jc w:val="center"/>
              <w:rPr>
                <w:sz w:val="22"/>
              </w:rPr>
            </w:pPr>
            <w:r>
              <w:rPr>
                <w:spacing w:val="-4"/>
                <w:sz w:val="22"/>
              </w:rPr>
              <w:t>25.0</w:t>
            </w:r>
          </w:p>
        </w:tc>
        <w:tc>
          <w:tcPr>
            <w:tcW w:w="817" w:type="dxa"/>
          </w:tcPr>
          <w:p>
            <w:pPr>
              <w:pStyle w:val="TableParagraph"/>
              <w:spacing w:before="70"/>
              <w:ind w:right="201"/>
              <w:jc w:val="right"/>
              <w:rPr>
                <w:sz w:val="22"/>
              </w:rPr>
            </w:pPr>
            <w:r>
              <w:rPr>
                <w:spacing w:val="-4"/>
                <w:sz w:val="22"/>
              </w:rPr>
              <w:t>17.5</w:t>
            </w:r>
          </w:p>
        </w:tc>
        <w:tc>
          <w:tcPr>
            <w:tcW w:w="836" w:type="dxa"/>
          </w:tcPr>
          <w:p>
            <w:pPr>
              <w:pStyle w:val="TableParagraph"/>
              <w:spacing w:before="70"/>
              <w:ind w:left="4"/>
              <w:jc w:val="center"/>
              <w:rPr>
                <w:sz w:val="22"/>
              </w:rPr>
            </w:pPr>
            <w:r>
              <w:rPr>
                <w:spacing w:val="-4"/>
                <w:sz w:val="22"/>
              </w:rPr>
              <w:t>25.0</w:t>
            </w:r>
          </w:p>
        </w:tc>
        <w:tc>
          <w:tcPr>
            <w:tcW w:w="813" w:type="dxa"/>
          </w:tcPr>
          <w:p>
            <w:pPr>
              <w:pStyle w:val="TableParagraph"/>
              <w:spacing w:before="70"/>
              <w:ind w:right="199"/>
              <w:jc w:val="right"/>
              <w:rPr>
                <w:sz w:val="22"/>
              </w:rPr>
            </w:pPr>
            <w:r>
              <w:rPr>
                <w:spacing w:val="-4"/>
                <w:sz w:val="22"/>
              </w:rPr>
              <w:t>17.5</w:t>
            </w:r>
          </w:p>
        </w:tc>
        <w:tc>
          <w:tcPr>
            <w:tcW w:w="840" w:type="dxa"/>
          </w:tcPr>
          <w:p>
            <w:pPr>
              <w:pStyle w:val="TableParagraph"/>
              <w:spacing w:before="70"/>
              <w:ind w:left="31" w:right="11"/>
              <w:jc w:val="center"/>
              <w:rPr>
                <w:sz w:val="22"/>
              </w:rPr>
            </w:pPr>
            <w:r>
              <w:rPr>
                <w:spacing w:val="-4"/>
                <w:sz w:val="22"/>
              </w:rPr>
              <w:t>25.0</w:t>
            </w:r>
          </w:p>
        </w:tc>
      </w:tr>
      <w:tr>
        <w:trPr>
          <w:trHeight w:val="522" w:hRule="atLeast"/>
        </w:trPr>
        <w:tc>
          <w:tcPr>
            <w:tcW w:w="1125" w:type="dxa"/>
            <w:tcBorders>
              <w:bottom w:val="single" w:sz="4" w:space="0" w:color="000000"/>
            </w:tcBorders>
          </w:tcPr>
          <w:p>
            <w:pPr>
              <w:pStyle w:val="TableParagraph"/>
              <w:spacing w:before="71"/>
              <w:ind w:left="122"/>
              <w:rPr>
                <w:sz w:val="22"/>
              </w:rPr>
            </w:pPr>
            <w:r>
              <w:rPr>
                <w:sz w:val="22"/>
              </w:rPr>
              <w:t>TS</w:t>
            </w:r>
            <w:r>
              <w:rPr>
                <w:spacing w:val="-1"/>
                <w:sz w:val="22"/>
              </w:rPr>
              <w:t> </w:t>
            </w:r>
            <w:r>
              <w:rPr>
                <w:spacing w:val="-5"/>
                <w:sz w:val="22"/>
              </w:rPr>
              <w:t>901</w:t>
            </w:r>
          </w:p>
        </w:tc>
        <w:tc>
          <w:tcPr>
            <w:tcW w:w="822" w:type="dxa"/>
            <w:tcBorders>
              <w:bottom w:val="single" w:sz="4" w:space="0" w:color="000000"/>
            </w:tcBorders>
          </w:tcPr>
          <w:p>
            <w:pPr>
              <w:pStyle w:val="TableParagraph"/>
              <w:spacing w:before="71"/>
              <w:ind w:left="76" w:right="76"/>
              <w:jc w:val="center"/>
              <w:rPr>
                <w:sz w:val="22"/>
              </w:rPr>
            </w:pPr>
            <w:r>
              <w:rPr>
                <w:spacing w:val="-4"/>
                <w:sz w:val="22"/>
              </w:rPr>
              <w:t>17.5</w:t>
            </w:r>
          </w:p>
        </w:tc>
        <w:tc>
          <w:tcPr>
            <w:tcW w:w="849" w:type="dxa"/>
            <w:tcBorders>
              <w:bottom w:val="single" w:sz="4" w:space="0" w:color="000000"/>
            </w:tcBorders>
          </w:tcPr>
          <w:p>
            <w:pPr>
              <w:pStyle w:val="TableParagraph"/>
              <w:spacing w:before="71"/>
              <w:ind w:left="3" w:right="15"/>
              <w:jc w:val="center"/>
              <w:rPr>
                <w:sz w:val="22"/>
              </w:rPr>
            </w:pPr>
            <w:r>
              <w:rPr>
                <w:spacing w:val="-4"/>
                <w:sz w:val="22"/>
              </w:rPr>
              <w:t>25.0</w:t>
            </w:r>
          </w:p>
        </w:tc>
        <w:tc>
          <w:tcPr>
            <w:tcW w:w="839" w:type="dxa"/>
            <w:tcBorders>
              <w:bottom w:val="single" w:sz="4" w:space="0" w:color="000000"/>
            </w:tcBorders>
          </w:tcPr>
          <w:p>
            <w:pPr>
              <w:pStyle w:val="TableParagraph"/>
              <w:spacing w:before="71"/>
              <w:ind w:right="222"/>
              <w:jc w:val="right"/>
              <w:rPr>
                <w:sz w:val="22"/>
              </w:rPr>
            </w:pPr>
            <w:r>
              <w:rPr>
                <w:spacing w:val="-4"/>
                <w:sz w:val="22"/>
              </w:rPr>
              <w:t>17.5</w:t>
            </w:r>
          </w:p>
        </w:tc>
        <w:tc>
          <w:tcPr>
            <w:tcW w:w="880" w:type="dxa"/>
            <w:tcBorders>
              <w:bottom w:val="single" w:sz="4" w:space="0" w:color="000000"/>
            </w:tcBorders>
          </w:tcPr>
          <w:p>
            <w:pPr>
              <w:pStyle w:val="TableParagraph"/>
              <w:spacing w:before="71"/>
              <w:ind w:left="19"/>
              <w:jc w:val="center"/>
              <w:rPr>
                <w:sz w:val="22"/>
              </w:rPr>
            </w:pPr>
            <w:r>
              <w:rPr>
                <w:spacing w:val="-4"/>
                <w:sz w:val="22"/>
              </w:rPr>
              <w:t>25.0</w:t>
            </w:r>
          </w:p>
        </w:tc>
        <w:tc>
          <w:tcPr>
            <w:tcW w:w="834" w:type="dxa"/>
            <w:tcBorders>
              <w:bottom w:val="single" w:sz="4" w:space="0" w:color="000000"/>
            </w:tcBorders>
          </w:tcPr>
          <w:p>
            <w:pPr>
              <w:pStyle w:val="TableParagraph"/>
              <w:spacing w:before="71"/>
              <w:ind w:right="215"/>
              <w:jc w:val="right"/>
              <w:rPr>
                <w:sz w:val="22"/>
              </w:rPr>
            </w:pPr>
            <w:r>
              <w:rPr>
                <w:spacing w:val="-4"/>
                <w:sz w:val="22"/>
              </w:rPr>
              <w:t>22.5</w:t>
            </w:r>
          </w:p>
        </w:tc>
        <w:tc>
          <w:tcPr>
            <w:tcW w:w="850" w:type="dxa"/>
            <w:tcBorders>
              <w:bottom w:val="single" w:sz="4" w:space="0" w:color="000000"/>
            </w:tcBorders>
          </w:tcPr>
          <w:p>
            <w:pPr>
              <w:pStyle w:val="TableParagraph"/>
              <w:spacing w:before="71"/>
              <w:ind w:left="25" w:right="19"/>
              <w:jc w:val="center"/>
              <w:rPr>
                <w:sz w:val="22"/>
              </w:rPr>
            </w:pPr>
            <w:r>
              <w:rPr>
                <w:spacing w:val="-4"/>
                <w:sz w:val="22"/>
              </w:rPr>
              <w:t>35.0</w:t>
            </w:r>
          </w:p>
        </w:tc>
        <w:tc>
          <w:tcPr>
            <w:tcW w:w="817" w:type="dxa"/>
            <w:tcBorders>
              <w:bottom w:val="single" w:sz="4" w:space="0" w:color="000000"/>
            </w:tcBorders>
          </w:tcPr>
          <w:p>
            <w:pPr>
              <w:pStyle w:val="TableParagraph"/>
              <w:spacing w:before="71"/>
              <w:ind w:right="201"/>
              <w:jc w:val="right"/>
              <w:rPr>
                <w:sz w:val="22"/>
              </w:rPr>
            </w:pPr>
            <w:r>
              <w:rPr>
                <w:spacing w:val="-4"/>
                <w:sz w:val="22"/>
              </w:rPr>
              <w:t>17.5</w:t>
            </w:r>
          </w:p>
        </w:tc>
        <w:tc>
          <w:tcPr>
            <w:tcW w:w="836" w:type="dxa"/>
            <w:tcBorders>
              <w:bottom w:val="single" w:sz="4" w:space="0" w:color="000000"/>
            </w:tcBorders>
          </w:tcPr>
          <w:p>
            <w:pPr>
              <w:pStyle w:val="TableParagraph"/>
              <w:spacing w:before="71"/>
              <w:ind w:left="4"/>
              <w:jc w:val="center"/>
              <w:rPr>
                <w:sz w:val="22"/>
              </w:rPr>
            </w:pPr>
            <w:r>
              <w:rPr>
                <w:spacing w:val="-4"/>
                <w:sz w:val="22"/>
              </w:rPr>
              <w:t>25.0</w:t>
            </w:r>
          </w:p>
        </w:tc>
        <w:tc>
          <w:tcPr>
            <w:tcW w:w="813" w:type="dxa"/>
            <w:tcBorders>
              <w:bottom w:val="single" w:sz="4" w:space="0" w:color="000000"/>
            </w:tcBorders>
          </w:tcPr>
          <w:p>
            <w:pPr>
              <w:pStyle w:val="TableParagraph"/>
              <w:spacing w:before="71"/>
              <w:ind w:right="199"/>
              <w:jc w:val="right"/>
              <w:rPr>
                <w:sz w:val="22"/>
              </w:rPr>
            </w:pPr>
            <w:r>
              <w:rPr>
                <w:spacing w:val="-4"/>
                <w:sz w:val="22"/>
              </w:rPr>
              <w:t>17.5</w:t>
            </w:r>
          </w:p>
        </w:tc>
        <w:tc>
          <w:tcPr>
            <w:tcW w:w="840" w:type="dxa"/>
            <w:tcBorders>
              <w:bottom w:val="single" w:sz="4" w:space="0" w:color="000000"/>
            </w:tcBorders>
          </w:tcPr>
          <w:p>
            <w:pPr>
              <w:pStyle w:val="TableParagraph"/>
              <w:spacing w:before="71"/>
              <w:ind w:left="31" w:right="11"/>
              <w:jc w:val="center"/>
              <w:rPr>
                <w:sz w:val="22"/>
              </w:rPr>
            </w:pPr>
            <w:r>
              <w:rPr>
                <w:spacing w:val="-4"/>
                <w:sz w:val="22"/>
              </w:rPr>
              <w:t>25.0</w:t>
            </w:r>
          </w:p>
        </w:tc>
      </w:tr>
    </w:tbl>
    <w:p>
      <w:pPr>
        <w:pStyle w:val="BodyText"/>
        <w:spacing w:line="360" w:lineRule="auto"/>
        <w:ind w:left="380" w:right="975"/>
      </w:pPr>
      <w:r>
        <w:rPr>
          <w:b/>
        </w:rPr>
        <w:t>Key:</w:t>
      </w:r>
      <w:r>
        <w:rPr>
          <w:b/>
          <w:spacing w:val="-4"/>
        </w:rPr>
        <w:t> </w:t>
      </w:r>
      <w:r>
        <w:rPr/>
        <w:t>MIC=Minimum</w:t>
      </w:r>
      <w:r>
        <w:rPr>
          <w:spacing w:val="-3"/>
        </w:rPr>
        <w:t> </w:t>
      </w:r>
      <w:r>
        <w:rPr/>
        <w:t>Inhibitory</w:t>
      </w:r>
      <w:r>
        <w:rPr>
          <w:spacing w:val="-6"/>
        </w:rPr>
        <w:t> </w:t>
      </w:r>
      <w:r>
        <w:rPr/>
        <w:t>Concentration,</w:t>
      </w:r>
      <w:r>
        <w:rPr>
          <w:spacing w:val="-6"/>
        </w:rPr>
        <w:t> </w:t>
      </w:r>
      <w:r>
        <w:rPr/>
        <w:t>MBC=</w:t>
      </w:r>
      <w:r>
        <w:rPr>
          <w:spacing w:val="-6"/>
        </w:rPr>
        <w:t> </w:t>
      </w:r>
      <w:r>
        <w:rPr/>
        <w:t>Minimum</w:t>
      </w:r>
      <w:r>
        <w:rPr>
          <w:spacing w:val="-3"/>
        </w:rPr>
        <w:t> </w:t>
      </w:r>
      <w:r>
        <w:rPr/>
        <w:t>Bactericidal</w:t>
      </w:r>
      <w:r>
        <w:rPr>
          <w:spacing w:val="-7"/>
        </w:rPr>
        <w:t> </w:t>
      </w:r>
      <w:r>
        <w:rPr/>
        <w:t>Concentration, SP=Sputum, TS=Throat Swab.</w:t>
      </w:r>
    </w:p>
    <w:p>
      <w:pPr>
        <w:spacing w:after="0" w:line="360" w:lineRule="auto"/>
        <w:sectPr>
          <w:pgSz w:w="11910" w:h="16840"/>
          <w:pgMar w:header="0" w:footer="1055" w:top="184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3"/>
      </w:pPr>
    </w:p>
    <w:p>
      <w:pPr>
        <w:spacing w:before="0"/>
        <w:ind w:left="620" w:right="0" w:firstLine="0"/>
        <w:jc w:val="left"/>
        <w:rPr>
          <w:b/>
          <w:i/>
          <w:sz w:val="22"/>
        </w:rPr>
      </w:pPr>
      <w:r>
        <w:rPr>
          <w:b/>
          <w:sz w:val="22"/>
        </w:rPr>
        <w:t>MIC</w:t>
      </w:r>
      <w:r>
        <w:rPr>
          <w:b/>
          <w:spacing w:val="-6"/>
          <w:sz w:val="22"/>
        </w:rPr>
        <w:t> </w:t>
      </w:r>
      <w:r>
        <w:rPr>
          <w:b/>
          <w:sz w:val="22"/>
        </w:rPr>
        <w:t>and</w:t>
      </w:r>
      <w:r>
        <w:rPr>
          <w:b/>
          <w:spacing w:val="-4"/>
          <w:sz w:val="22"/>
        </w:rPr>
        <w:t> </w:t>
      </w:r>
      <w:r>
        <w:rPr>
          <w:b/>
          <w:sz w:val="22"/>
        </w:rPr>
        <w:t>MBC</w:t>
      </w:r>
      <w:r>
        <w:rPr>
          <w:b/>
          <w:spacing w:val="-5"/>
          <w:sz w:val="22"/>
        </w:rPr>
        <w:t> </w:t>
      </w:r>
      <w:r>
        <w:rPr>
          <w:b/>
          <w:sz w:val="22"/>
        </w:rPr>
        <w:t>Test</w:t>
      </w:r>
      <w:r>
        <w:rPr>
          <w:b/>
          <w:spacing w:val="-5"/>
          <w:sz w:val="22"/>
        </w:rPr>
        <w:t> </w:t>
      </w:r>
      <w:r>
        <w:rPr>
          <w:b/>
          <w:sz w:val="22"/>
        </w:rPr>
        <w:t>(µg/ml)</w:t>
      </w:r>
      <w:r>
        <w:rPr>
          <w:b/>
          <w:spacing w:val="-5"/>
          <w:sz w:val="22"/>
        </w:rPr>
        <w:t> </w:t>
      </w:r>
      <w:r>
        <w:rPr>
          <w:b/>
          <w:sz w:val="22"/>
        </w:rPr>
        <w:t>of</w:t>
      </w:r>
      <w:r>
        <w:rPr>
          <w:b/>
          <w:spacing w:val="-3"/>
          <w:sz w:val="22"/>
        </w:rPr>
        <w:t> </w:t>
      </w:r>
      <w:r>
        <w:rPr>
          <w:b/>
          <w:sz w:val="22"/>
        </w:rPr>
        <w:t>Honey</w:t>
      </w:r>
      <w:r>
        <w:rPr>
          <w:b/>
          <w:spacing w:val="-4"/>
          <w:sz w:val="22"/>
        </w:rPr>
        <w:t> </w:t>
      </w:r>
      <w:r>
        <w:rPr>
          <w:b/>
          <w:sz w:val="22"/>
        </w:rPr>
        <w:t>and</w:t>
      </w:r>
      <w:r>
        <w:rPr>
          <w:b/>
          <w:spacing w:val="-4"/>
          <w:sz w:val="22"/>
        </w:rPr>
        <w:t> </w:t>
      </w:r>
      <w:r>
        <w:rPr>
          <w:b/>
          <w:sz w:val="22"/>
        </w:rPr>
        <w:t>Lemon</w:t>
      </w:r>
      <w:r>
        <w:rPr>
          <w:b/>
          <w:spacing w:val="-1"/>
          <w:sz w:val="22"/>
        </w:rPr>
        <w:t> </w:t>
      </w:r>
      <w:r>
        <w:rPr>
          <w:b/>
          <w:sz w:val="22"/>
        </w:rPr>
        <w:t>juice</w:t>
      </w:r>
      <w:r>
        <w:rPr>
          <w:b/>
          <w:spacing w:val="-6"/>
          <w:sz w:val="22"/>
        </w:rPr>
        <w:t> </w:t>
      </w:r>
      <w:r>
        <w:rPr>
          <w:b/>
          <w:sz w:val="22"/>
        </w:rPr>
        <w:t>mixture</w:t>
      </w:r>
      <w:r>
        <w:rPr>
          <w:b/>
          <w:spacing w:val="-4"/>
          <w:sz w:val="22"/>
        </w:rPr>
        <w:t> </w:t>
      </w:r>
      <w:r>
        <w:rPr>
          <w:b/>
          <w:sz w:val="22"/>
        </w:rPr>
        <w:t>against</w:t>
      </w:r>
      <w:r>
        <w:rPr>
          <w:b/>
          <w:spacing w:val="-2"/>
          <w:sz w:val="22"/>
        </w:rPr>
        <w:t> </w:t>
      </w:r>
      <w:r>
        <w:rPr>
          <w:b/>
          <w:i/>
          <w:sz w:val="22"/>
        </w:rPr>
        <w:t>Streptococcus</w:t>
      </w:r>
      <w:r>
        <w:rPr>
          <w:b/>
          <w:i/>
          <w:spacing w:val="-6"/>
          <w:sz w:val="22"/>
        </w:rPr>
        <w:t> </w:t>
      </w:r>
      <w:r>
        <w:rPr>
          <w:b/>
          <w:i/>
          <w:spacing w:val="-2"/>
          <w:sz w:val="22"/>
        </w:rPr>
        <w:t>pyogenes</w:t>
      </w:r>
    </w:p>
    <w:p>
      <w:pPr>
        <w:pStyle w:val="BodyText"/>
        <w:rPr>
          <w:b/>
          <w:i/>
          <w:sz w:val="20"/>
        </w:rPr>
      </w:pPr>
    </w:p>
    <w:p>
      <w:pPr>
        <w:pStyle w:val="BodyText"/>
        <w:spacing w:before="146"/>
        <w:rPr>
          <w:b/>
          <w:i/>
          <w:sz w:val="20"/>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5"/>
        <w:gridCol w:w="822"/>
        <w:gridCol w:w="849"/>
        <w:gridCol w:w="839"/>
        <w:gridCol w:w="880"/>
        <w:gridCol w:w="834"/>
        <w:gridCol w:w="850"/>
        <w:gridCol w:w="817"/>
        <w:gridCol w:w="836"/>
        <w:gridCol w:w="813"/>
        <w:gridCol w:w="840"/>
      </w:tblGrid>
      <w:tr>
        <w:trPr>
          <w:trHeight w:val="667" w:hRule="atLeast"/>
        </w:trPr>
        <w:tc>
          <w:tcPr>
            <w:tcW w:w="1125" w:type="dxa"/>
            <w:tcBorders>
              <w:top w:val="single" w:sz="4" w:space="0" w:color="000000"/>
            </w:tcBorders>
          </w:tcPr>
          <w:p>
            <w:pPr>
              <w:pStyle w:val="TableParagraph"/>
              <w:spacing w:line="256" w:lineRule="auto"/>
              <w:ind w:left="412" w:right="206" w:hanging="176"/>
              <w:rPr>
                <w:b/>
                <w:sz w:val="22"/>
              </w:rPr>
            </w:pPr>
            <w:r>
              <w:rPr>
                <w:b/>
                <w:spacing w:val="-2"/>
                <w:sz w:val="22"/>
              </w:rPr>
              <w:t>Sample </w:t>
            </w:r>
            <w:r>
              <w:rPr>
                <w:b/>
                <w:spacing w:val="-4"/>
                <w:sz w:val="22"/>
              </w:rPr>
              <w:t>No.</w:t>
            </w:r>
          </w:p>
        </w:tc>
        <w:tc>
          <w:tcPr>
            <w:tcW w:w="822" w:type="dxa"/>
            <w:tcBorders>
              <w:top w:val="single" w:sz="4" w:space="0" w:color="000000"/>
            </w:tcBorders>
          </w:tcPr>
          <w:p>
            <w:pPr>
              <w:pStyle w:val="TableParagraph"/>
              <w:spacing w:before="143"/>
              <w:ind w:left="73" w:right="76"/>
              <w:jc w:val="center"/>
              <w:rPr>
                <w:b/>
                <w:sz w:val="22"/>
              </w:rPr>
            </w:pPr>
            <w:r>
              <w:rPr>
                <w:b/>
                <w:spacing w:val="-5"/>
                <w:sz w:val="22"/>
              </w:rPr>
              <w:t>MIC</w:t>
            </w:r>
          </w:p>
        </w:tc>
        <w:tc>
          <w:tcPr>
            <w:tcW w:w="849" w:type="dxa"/>
            <w:tcBorders>
              <w:top w:val="single" w:sz="4" w:space="0" w:color="000000"/>
            </w:tcBorders>
          </w:tcPr>
          <w:p>
            <w:pPr>
              <w:pStyle w:val="TableParagraph"/>
              <w:spacing w:before="143"/>
              <w:ind w:right="15"/>
              <w:jc w:val="center"/>
              <w:rPr>
                <w:b/>
                <w:sz w:val="22"/>
              </w:rPr>
            </w:pPr>
            <w:r>
              <w:rPr>
                <w:b/>
                <w:spacing w:val="-5"/>
                <w:sz w:val="22"/>
              </w:rPr>
              <w:t>MBC</w:t>
            </w:r>
          </w:p>
        </w:tc>
        <w:tc>
          <w:tcPr>
            <w:tcW w:w="839" w:type="dxa"/>
            <w:tcBorders>
              <w:top w:val="single" w:sz="4" w:space="0" w:color="000000"/>
            </w:tcBorders>
          </w:tcPr>
          <w:p>
            <w:pPr>
              <w:pStyle w:val="TableParagraph"/>
              <w:spacing w:before="143"/>
              <w:ind w:right="234"/>
              <w:jc w:val="right"/>
              <w:rPr>
                <w:b/>
                <w:sz w:val="22"/>
              </w:rPr>
            </w:pPr>
            <w:r>
              <w:rPr>
                <w:b/>
                <w:spacing w:val="-5"/>
                <w:sz w:val="22"/>
              </w:rPr>
              <w:t>MIC</w:t>
            </w:r>
          </w:p>
        </w:tc>
        <w:tc>
          <w:tcPr>
            <w:tcW w:w="880" w:type="dxa"/>
            <w:tcBorders>
              <w:top w:val="single" w:sz="4" w:space="0" w:color="000000"/>
            </w:tcBorders>
          </w:tcPr>
          <w:p>
            <w:pPr>
              <w:pStyle w:val="TableParagraph"/>
              <w:spacing w:before="143"/>
              <w:ind w:left="19" w:right="2"/>
              <w:jc w:val="center"/>
              <w:rPr>
                <w:b/>
                <w:sz w:val="22"/>
              </w:rPr>
            </w:pPr>
            <w:r>
              <w:rPr>
                <w:b/>
                <w:spacing w:val="-5"/>
                <w:sz w:val="22"/>
              </w:rPr>
              <w:t>MBC</w:t>
            </w:r>
          </w:p>
        </w:tc>
        <w:tc>
          <w:tcPr>
            <w:tcW w:w="834" w:type="dxa"/>
            <w:tcBorders>
              <w:top w:val="single" w:sz="4" w:space="0" w:color="000000"/>
            </w:tcBorders>
          </w:tcPr>
          <w:p>
            <w:pPr>
              <w:pStyle w:val="TableParagraph"/>
              <w:spacing w:before="143"/>
              <w:ind w:right="230"/>
              <w:jc w:val="right"/>
              <w:rPr>
                <w:b/>
                <w:sz w:val="22"/>
              </w:rPr>
            </w:pPr>
            <w:r>
              <w:rPr>
                <w:b/>
                <w:spacing w:val="-5"/>
                <w:sz w:val="22"/>
              </w:rPr>
              <w:t>MIC</w:t>
            </w:r>
          </w:p>
        </w:tc>
        <w:tc>
          <w:tcPr>
            <w:tcW w:w="850" w:type="dxa"/>
            <w:tcBorders>
              <w:top w:val="single" w:sz="4" w:space="0" w:color="000000"/>
            </w:tcBorders>
          </w:tcPr>
          <w:p>
            <w:pPr>
              <w:pStyle w:val="TableParagraph"/>
              <w:spacing w:before="143"/>
              <w:ind w:left="23" w:right="19"/>
              <w:jc w:val="center"/>
              <w:rPr>
                <w:b/>
                <w:sz w:val="22"/>
              </w:rPr>
            </w:pPr>
            <w:r>
              <w:rPr>
                <w:b/>
                <w:spacing w:val="-5"/>
                <w:sz w:val="22"/>
              </w:rPr>
              <w:t>MBC</w:t>
            </w:r>
          </w:p>
        </w:tc>
        <w:tc>
          <w:tcPr>
            <w:tcW w:w="817" w:type="dxa"/>
            <w:tcBorders>
              <w:top w:val="single" w:sz="4" w:space="0" w:color="000000"/>
            </w:tcBorders>
          </w:tcPr>
          <w:p>
            <w:pPr>
              <w:pStyle w:val="TableParagraph"/>
              <w:spacing w:before="143"/>
              <w:ind w:right="216"/>
              <w:jc w:val="right"/>
              <w:rPr>
                <w:b/>
                <w:sz w:val="22"/>
              </w:rPr>
            </w:pPr>
            <w:r>
              <w:rPr>
                <w:b/>
                <w:spacing w:val="-5"/>
                <w:sz w:val="22"/>
              </w:rPr>
              <w:t>MIC</w:t>
            </w:r>
          </w:p>
        </w:tc>
        <w:tc>
          <w:tcPr>
            <w:tcW w:w="836" w:type="dxa"/>
            <w:tcBorders>
              <w:top w:val="single" w:sz="4" w:space="0" w:color="000000"/>
            </w:tcBorders>
          </w:tcPr>
          <w:p>
            <w:pPr>
              <w:pStyle w:val="TableParagraph"/>
              <w:spacing w:before="143"/>
              <w:ind w:left="4" w:right="2"/>
              <w:jc w:val="center"/>
              <w:rPr>
                <w:b/>
                <w:sz w:val="22"/>
              </w:rPr>
            </w:pPr>
            <w:r>
              <w:rPr>
                <w:b/>
                <w:spacing w:val="-5"/>
                <w:sz w:val="22"/>
              </w:rPr>
              <w:t>MBC</w:t>
            </w:r>
          </w:p>
        </w:tc>
        <w:tc>
          <w:tcPr>
            <w:tcW w:w="813" w:type="dxa"/>
            <w:tcBorders>
              <w:top w:val="single" w:sz="4" w:space="0" w:color="000000"/>
            </w:tcBorders>
          </w:tcPr>
          <w:p>
            <w:pPr>
              <w:pStyle w:val="TableParagraph"/>
              <w:spacing w:before="143"/>
              <w:ind w:right="211"/>
              <w:jc w:val="right"/>
              <w:rPr>
                <w:b/>
                <w:sz w:val="22"/>
              </w:rPr>
            </w:pPr>
            <w:r>
              <w:rPr>
                <w:b/>
                <w:spacing w:val="-5"/>
                <w:sz w:val="22"/>
              </w:rPr>
              <w:t>MIC</w:t>
            </w:r>
          </w:p>
        </w:tc>
        <w:tc>
          <w:tcPr>
            <w:tcW w:w="840" w:type="dxa"/>
            <w:tcBorders>
              <w:top w:val="single" w:sz="4" w:space="0" w:color="000000"/>
            </w:tcBorders>
          </w:tcPr>
          <w:p>
            <w:pPr>
              <w:pStyle w:val="TableParagraph"/>
              <w:spacing w:before="143"/>
              <w:ind w:left="28" w:right="11"/>
              <w:jc w:val="center"/>
              <w:rPr>
                <w:b/>
                <w:sz w:val="22"/>
              </w:rPr>
            </w:pPr>
            <w:r>
              <w:rPr>
                <w:b/>
                <w:spacing w:val="-5"/>
                <w:sz w:val="22"/>
              </w:rPr>
              <w:t>MBC</w:t>
            </w:r>
          </w:p>
        </w:tc>
      </w:tr>
      <w:tr>
        <w:trPr>
          <w:trHeight w:val="522" w:hRule="atLeast"/>
        </w:trPr>
        <w:tc>
          <w:tcPr>
            <w:tcW w:w="1125" w:type="dxa"/>
            <w:tcBorders>
              <w:bottom w:val="single" w:sz="4" w:space="0" w:color="000000"/>
            </w:tcBorders>
          </w:tcPr>
          <w:p>
            <w:pPr>
              <w:pStyle w:val="TableParagraph"/>
              <w:rPr>
                <w:rFonts w:ascii="Times New Roman"/>
                <w:sz w:val="22"/>
              </w:rPr>
            </w:pPr>
          </w:p>
        </w:tc>
        <w:tc>
          <w:tcPr>
            <w:tcW w:w="822" w:type="dxa"/>
            <w:tcBorders>
              <w:bottom w:val="single" w:sz="4" w:space="0" w:color="000000"/>
            </w:tcBorders>
          </w:tcPr>
          <w:p>
            <w:pPr>
              <w:pStyle w:val="TableParagraph"/>
              <w:spacing w:before="71"/>
              <w:ind w:right="76"/>
              <w:jc w:val="center"/>
              <w:rPr>
                <w:b/>
                <w:sz w:val="22"/>
              </w:rPr>
            </w:pPr>
            <w:r>
              <w:rPr>
                <w:b/>
                <w:spacing w:val="-2"/>
                <w:sz w:val="22"/>
              </w:rPr>
              <w:t>10:50</w:t>
            </w:r>
          </w:p>
        </w:tc>
        <w:tc>
          <w:tcPr>
            <w:tcW w:w="849" w:type="dxa"/>
            <w:tcBorders>
              <w:bottom w:val="single" w:sz="4" w:space="0" w:color="000000"/>
            </w:tcBorders>
          </w:tcPr>
          <w:p>
            <w:pPr>
              <w:pStyle w:val="TableParagraph"/>
              <w:rPr>
                <w:rFonts w:ascii="Times New Roman"/>
                <w:sz w:val="22"/>
              </w:rPr>
            </w:pPr>
          </w:p>
        </w:tc>
        <w:tc>
          <w:tcPr>
            <w:tcW w:w="839" w:type="dxa"/>
            <w:tcBorders>
              <w:bottom w:val="single" w:sz="4" w:space="0" w:color="000000"/>
            </w:tcBorders>
          </w:tcPr>
          <w:p>
            <w:pPr>
              <w:pStyle w:val="TableParagraph"/>
              <w:spacing w:before="71"/>
              <w:ind w:right="223"/>
              <w:jc w:val="right"/>
              <w:rPr>
                <w:b/>
                <w:sz w:val="22"/>
              </w:rPr>
            </w:pPr>
            <w:r>
              <w:rPr>
                <w:b/>
                <w:spacing w:val="-2"/>
                <w:sz w:val="22"/>
              </w:rPr>
              <w:t>20:50</w:t>
            </w:r>
          </w:p>
        </w:tc>
        <w:tc>
          <w:tcPr>
            <w:tcW w:w="880" w:type="dxa"/>
            <w:tcBorders>
              <w:bottom w:val="single" w:sz="4" w:space="0" w:color="000000"/>
            </w:tcBorders>
          </w:tcPr>
          <w:p>
            <w:pPr>
              <w:pStyle w:val="TableParagraph"/>
              <w:rPr>
                <w:rFonts w:ascii="Times New Roman"/>
                <w:sz w:val="22"/>
              </w:rPr>
            </w:pPr>
          </w:p>
        </w:tc>
        <w:tc>
          <w:tcPr>
            <w:tcW w:w="834" w:type="dxa"/>
            <w:tcBorders>
              <w:bottom w:val="single" w:sz="4" w:space="0" w:color="000000"/>
            </w:tcBorders>
          </w:tcPr>
          <w:p>
            <w:pPr>
              <w:pStyle w:val="TableParagraph"/>
              <w:spacing w:before="71"/>
              <w:ind w:right="196"/>
              <w:jc w:val="right"/>
              <w:rPr>
                <w:b/>
                <w:sz w:val="22"/>
              </w:rPr>
            </w:pPr>
            <w:r>
              <w:rPr>
                <w:b/>
                <w:spacing w:val="-2"/>
                <w:sz w:val="22"/>
              </w:rPr>
              <w:t>30:50</w:t>
            </w:r>
          </w:p>
        </w:tc>
        <w:tc>
          <w:tcPr>
            <w:tcW w:w="850" w:type="dxa"/>
            <w:tcBorders>
              <w:bottom w:val="single" w:sz="4" w:space="0" w:color="000000"/>
            </w:tcBorders>
          </w:tcPr>
          <w:p>
            <w:pPr>
              <w:pStyle w:val="TableParagraph"/>
              <w:rPr>
                <w:rFonts w:ascii="Times New Roman"/>
                <w:sz w:val="22"/>
              </w:rPr>
            </w:pPr>
          </w:p>
        </w:tc>
        <w:tc>
          <w:tcPr>
            <w:tcW w:w="817" w:type="dxa"/>
            <w:tcBorders>
              <w:bottom w:val="single" w:sz="4" w:space="0" w:color="000000"/>
            </w:tcBorders>
          </w:tcPr>
          <w:p>
            <w:pPr>
              <w:pStyle w:val="TableParagraph"/>
              <w:spacing w:before="71"/>
              <w:ind w:right="183"/>
              <w:jc w:val="right"/>
              <w:rPr>
                <w:b/>
                <w:sz w:val="22"/>
              </w:rPr>
            </w:pPr>
            <w:r>
              <w:rPr>
                <w:b/>
                <w:spacing w:val="-2"/>
                <w:sz w:val="22"/>
              </w:rPr>
              <w:t>40:50</w:t>
            </w:r>
          </w:p>
        </w:tc>
        <w:tc>
          <w:tcPr>
            <w:tcW w:w="836" w:type="dxa"/>
            <w:tcBorders>
              <w:bottom w:val="single" w:sz="4" w:space="0" w:color="000000"/>
            </w:tcBorders>
          </w:tcPr>
          <w:p>
            <w:pPr>
              <w:pStyle w:val="TableParagraph"/>
              <w:rPr>
                <w:rFonts w:ascii="Times New Roman"/>
                <w:sz w:val="22"/>
              </w:rPr>
            </w:pPr>
          </w:p>
        </w:tc>
        <w:tc>
          <w:tcPr>
            <w:tcW w:w="813" w:type="dxa"/>
            <w:tcBorders>
              <w:bottom w:val="single" w:sz="4" w:space="0" w:color="000000"/>
            </w:tcBorders>
          </w:tcPr>
          <w:p>
            <w:pPr>
              <w:pStyle w:val="TableParagraph"/>
              <w:spacing w:before="71"/>
              <w:ind w:right="190"/>
              <w:jc w:val="right"/>
              <w:rPr>
                <w:b/>
                <w:sz w:val="22"/>
              </w:rPr>
            </w:pPr>
            <w:r>
              <w:rPr>
                <w:b/>
                <w:spacing w:val="-2"/>
                <w:sz w:val="22"/>
              </w:rPr>
              <w:t>50:50</w:t>
            </w:r>
          </w:p>
        </w:tc>
        <w:tc>
          <w:tcPr>
            <w:tcW w:w="840" w:type="dxa"/>
            <w:tcBorders>
              <w:bottom w:val="single" w:sz="4" w:space="0" w:color="000000"/>
            </w:tcBorders>
          </w:tcPr>
          <w:p>
            <w:pPr>
              <w:pStyle w:val="TableParagraph"/>
              <w:rPr>
                <w:rFonts w:ascii="Times New Roman"/>
                <w:sz w:val="22"/>
              </w:rPr>
            </w:pPr>
          </w:p>
        </w:tc>
      </w:tr>
      <w:tr>
        <w:trPr>
          <w:trHeight w:val="376" w:hRule="atLeast"/>
        </w:trPr>
        <w:tc>
          <w:tcPr>
            <w:tcW w:w="1125" w:type="dxa"/>
            <w:tcBorders>
              <w:top w:val="single" w:sz="4" w:space="0" w:color="000000"/>
            </w:tcBorders>
          </w:tcPr>
          <w:p>
            <w:pPr>
              <w:pStyle w:val="TableParagraph"/>
              <w:spacing w:line="265" w:lineRule="exact"/>
              <w:ind w:right="276"/>
              <w:jc w:val="center"/>
              <w:rPr>
                <w:sz w:val="22"/>
              </w:rPr>
            </w:pPr>
            <w:r>
              <w:rPr>
                <w:sz w:val="22"/>
              </w:rPr>
              <w:t>SP</w:t>
            </w:r>
            <w:r>
              <w:rPr>
                <w:spacing w:val="1"/>
                <w:sz w:val="22"/>
              </w:rPr>
              <w:t> </w:t>
            </w:r>
            <w:r>
              <w:rPr>
                <w:spacing w:val="-5"/>
                <w:sz w:val="22"/>
              </w:rPr>
              <w:t>265</w:t>
            </w:r>
          </w:p>
        </w:tc>
        <w:tc>
          <w:tcPr>
            <w:tcW w:w="822" w:type="dxa"/>
            <w:tcBorders>
              <w:top w:val="single" w:sz="4" w:space="0" w:color="000000"/>
            </w:tcBorders>
          </w:tcPr>
          <w:p>
            <w:pPr>
              <w:pStyle w:val="TableParagraph"/>
              <w:spacing w:line="265" w:lineRule="exact"/>
              <w:ind w:left="76" w:right="76"/>
              <w:jc w:val="center"/>
              <w:rPr>
                <w:sz w:val="22"/>
              </w:rPr>
            </w:pPr>
            <w:r>
              <w:rPr>
                <w:spacing w:val="-4"/>
                <w:sz w:val="22"/>
              </w:rPr>
              <w:t>17.5</w:t>
            </w:r>
          </w:p>
        </w:tc>
        <w:tc>
          <w:tcPr>
            <w:tcW w:w="849" w:type="dxa"/>
            <w:tcBorders>
              <w:top w:val="single" w:sz="4" w:space="0" w:color="000000"/>
            </w:tcBorders>
          </w:tcPr>
          <w:p>
            <w:pPr>
              <w:pStyle w:val="TableParagraph"/>
              <w:spacing w:line="265" w:lineRule="exact"/>
              <w:ind w:left="3" w:right="15"/>
              <w:jc w:val="center"/>
              <w:rPr>
                <w:sz w:val="22"/>
              </w:rPr>
            </w:pPr>
            <w:r>
              <w:rPr>
                <w:spacing w:val="-4"/>
                <w:sz w:val="22"/>
              </w:rPr>
              <w:t>25.0</w:t>
            </w:r>
          </w:p>
        </w:tc>
        <w:tc>
          <w:tcPr>
            <w:tcW w:w="839" w:type="dxa"/>
            <w:tcBorders>
              <w:top w:val="single" w:sz="4" w:space="0" w:color="000000"/>
            </w:tcBorders>
          </w:tcPr>
          <w:p>
            <w:pPr>
              <w:pStyle w:val="TableParagraph"/>
              <w:spacing w:line="265" w:lineRule="exact"/>
              <w:ind w:right="222"/>
              <w:jc w:val="right"/>
              <w:rPr>
                <w:sz w:val="22"/>
              </w:rPr>
            </w:pPr>
            <w:r>
              <w:rPr>
                <w:spacing w:val="-4"/>
                <w:sz w:val="22"/>
              </w:rPr>
              <w:t>20.0</w:t>
            </w:r>
          </w:p>
        </w:tc>
        <w:tc>
          <w:tcPr>
            <w:tcW w:w="880" w:type="dxa"/>
            <w:tcBorders>
              <w:top w:val="single" w:sz="4" w:space="0" w:color="000000"/>
            </w:tcBorders>
          </w:tcPr>
          <w:p>
            <w:pPr>
              <w:pStyle w:val="TableParagraph"/>
              <w:spacing w:line="265" w:lineRule="exact"/>
              <w:ind w:left="19"/>
              <w:jc w:val="center"/>
              <w:rPr>
                <w:sz w:val="22"/>
              </w:rPr>
            </w:pPr>
            <w:r>
              <w:rPr>
                <w:spacing w:val="-4"/>
                <w:sz w:val="22"/>
              </w:rPr>
              <w:t>30.0</w:t>
            </w:r>
          </w:p>
        </w:tc>
        <w:tc>
          <w:tcPr>
            <w:tcW w:w="834" w:type="dxa"/>
            <w:tcBorders>
              <w:top w:val="single" w:sz="4" w:space="0" w:color="000000"/>
            </w:tcBorders>
          </w:tcPr>
          <w:p>
            <w:pPr>
              <w:pStyle w:val="TableParagraph"/>
              <w:spacing w:line="265" w:lineRule="exact"/>
              <w:ind w:right="215"/>
              <w:jc w:val="right"/>
              <w:rPr>
                <w:sz w:val="22"/>
              </w:rPr>
            </w:pPr>
            <w:r>
              <w:rPr>
                <w:spacing w:val="-4"/>
                <w:sz w:val="22"/>
              </w:rPr>
              <w:t>17.5</w:t>
            </w:r>
          </w:p>
        </w:tc>
        <w:tc>
          <w:tcPr>
            <w:tcW w:w="850" w:type="dxa"/>
            <w:tcBorders>
              <w:top w:val="single" w:sz="4" w:space="0" w:color="000000"/>
            </w:tcBorders>
          </w:tcPr>
          <w:p>
            <w:pPr>
              <w:pStyle w:val="TableParagraph"/>
              <w:spacing w:line="265" w:lineRule="exact"/>
              <w:ind w:left="25" w:right="19"/>
              <w:jc w:val="center"/>
              <w:rPr>
                <w:sz w:val="22"/>
              </w:rPr>
            </w:pPr>
            <w:r>
              <w:rPr>
                <w:spacing w:val="-4"/>
                <w:sz w:val="22"/>
              </w:rPr>
              <w:t>25.0</w:t>
            </w:r>
          </w:p>
        </w:tc>
        <w:tc>
          <w:tcPr>
            <w:tcW w:w="817" w:type="dxa"/>
            <w:tcBorders>
              <w:top w:val="single" w:sz="4" w:space="0" w:color="000000"/>
            </w:tcBorders>
          </w:tcPr>
          <w:p>
            <w:pPr>
              <w:pStyle w:val="TableParagraph"/>
              <w:spacing w:line="265" w:lineRule="exact"/>
              <w:ind w:right="201"/>
              <w:jc w:val="right"/>
              <w:rPr>
                <w:sz w:val="22"/>
              </w:rPr>
            </w:pPr>
            <w:r>
              <w:rPr>
                <w:spacing w:val="-4"/>
                <w:sz w:val="22"/>
              </w:rPr>
              <w:t>17.5</w:t>
            </w:r>
          </w:p>
        </w:tc>
        <w:tc>
          <w:tcPr>
            <w:tcW w:w="836" w:type="dxa"/>
            <w:tcBorders>
              <w:top w:val="single" w:sz="4" w:space="0" w:color="000000"/>
            </w:tcBorders>
          </w:tcPr>
          <w:p>
            <w:pPr>
              <w:pStyle w:val="TableParagraph"/>
              <w:spacing w:line="265" w:lineRule="exact"/>
              <w:ind w:left="4"/>
              <w:jc w:val="center"/>
              <w:rPr>
                <w:sz w:val="22"/>
              </w:rPr>
            </w:pPr>
            <w:r>
              <w:rPr>
                <w:spacing w:val="-4"/>
                <w:sz w:val="22"/>
              </w:rPr>
              <w:t>25.0</w:t>
            </w:r>
          </w:p>
        </w:tc>
        <w:tc>
          <w:tcPr>
            <w:tcW w:w="813" w:type="dxa"/>
            <w:tcBorders>
              <w:top w:val="single" w:sz="4" w:space="0" w:color="000000"/>
            </w:tcBorders>
          </w:tcPr>
          <w:p>
            <w:pPr>
              <w:pStyle w:val="TableParagraph"/>
              <w:spacing w:line="265" w:lineRule="exact"/>
              <w:ind w:right="199"/>
              <w:jc w:val="right"/>
              <w:rPr>
                <w:sz w:val="22"/>
              </w:rPr>
            </w:pPr>
            <w:r>
              <w:rPr>
                <w:spacing w:val="-4"/>
                <w:sz w:val="22"/>
              </w:rPr>
              <w:t>17.5</w:t>
            </w:r>
          </w:p>
        </w:tc>
        <w:tc>
          <w:tcPr>
            <w:tcW w:w="840" w:type="dxa"/>
            <w:tcBorders>
              <w:top w:val="single" w:sz="4" w:space="0" w:color="000000"/>
            </w:tcBorders>
          </w:tcPr>
          <w:p>
            <w:pPr>
              <w:pStyle w:val="TableParagraph"/>
              <w:spacing w:line="265" w:lineRule="exact"/>
              <w:ind w:left="31" w:right="11"/>
              <w:jc w:val="center"/>
              <w:rPr>
                <w:sz w:val="22"/>
              </w:rPr>
            </w:pPr>
            <w:r>
              <w:rPr>
                <w:spacing w:val="-4"/>
                <w:sz w:val="22"/>
              </w:rPr>
              <w:t>25.0</w:t>
            </w:r>
          </w:p>
        </w:tc>
      </w:tr>
      <w:tr>
        <w:trPr>
          <w:trHeight w:val="499" w:hRule="atLeast"/>
        </w:trPr>
        <w:tc>
          <w:tcPr>
            <w:tcW w:w="1125" w:type="dxa"/>
          </w:tcPr>
          <w:p>
            <w:pPr>
              <w:pStyle w:val="TableParagraph"/>
              <w:spacing w:before="71"/>
              <w:ind w:left="110" w:right="276"/>
              <w:jc w:val="center"/>
              <w:rPr>
                <w:sz w:val="22"/>
              </w:rPr>
            </w:pPr>
            <w:r>
              <w:rPr>
                <w:sz w:val="22"/>
              </w:rPr>
              <w:t>SP</w:t>
            </w:r>
            <w:r>
              <w:rPr>
                <w:spacing w:val="1"/>
                <w:sz w:val="22"/>
              </w:rPr>
              <w:t> </w:t>
            </w:r>
            <w:r>
              <w:rPr>
                <w:spacing w:val="-4"/>
                <w:sz w:val="22"/>
              </w:rPr>
              <w:t>1349</w:t>
            </w:r>
          </w:p>
        </w:tc>
        <w:tc>
          <w:tcPr>
            <w:tcW w:w="822" w:type="dxa"/>
          </w:tcPr>
          <w:p>
            <w:pPr>
              <w:pStyle w:val="TableParagraph"/>
              <w:spacing w:before="71"/>
              <w:ind w:left="76" w:right="76"/>
              <w:jc w:val="center"/>
              <w:rPr>
                <w:sz w:val="22"/>
              </w:rPr>
            </w:pPr>
            <w:r>
              <w:rPr>
                <w:spacing w:val="-4"/>
                <w:sz w:val="22"/>
              </w:rPr>
              <w:t>17.5</w:t>
            </w:r>
          </w:p>
        </w:tc>
        <w:tc>
          <w:tcPr>
            <w:tcW w:w="849" w:type="dxa"/>
          </w:tcPr>
          <w:p>
            <w:pPr>
              <w:pStyle w:val="TableParagraph"/>
              <w:spacing w:before="71"/>
              <w:ind w:left="3" w:right="15"/>
              <w:jc w:val="center"/>
              <w:rPr>
                <w:sz w:val="22"/>
              </w:rPr>
            </w:pPr>
            <w:r>
              <w:rPr>
                <w:spacing w:val="-4"/>
                <w:sz w:val="22"/>
              </w:rPr>
              <w:t>25.0</w:t>
            </w:r>
          </w:p>
        </w:tc>
        <w:tc>
          <w:tcPr>
            <w:tcW w:w="839" w:type="dxa"/>
          </w:tcPr>
          <w:p>
            <w:pPr>
              <w:pStyle w:val="TableParagraph"/>
              <w:spacing w:before="71"/>
              <w:ind w:right="222"/>
              <w:jc w:val="right"/>
              <w:rPr>
                <w:sz w:val="22"/>
              </w:rPr>
            </w:pPr>
            <w:r>
              <w:rPr>
                <w:spacing w:val="-4"/>
                <w:sz w:val="22"/>
              </w:rPr>
              <w:t>20.0</w:t>
            </w:r>
          </w:p>
        </w:tc>
        <w:tc>
          <w:tcPr>
            <w:tcW w:w="880" w:type="dxa"/>
          </w:tcPr>
          <w:p>
            <w:pPr>
              <w:pStyle w:val="TableParagraph"/>
              <w:spacing w:before="71"/>
              <w:ind w:left="19"/>
              <w:jc w:val="center"/>
              <w:rPr>
                <w:sz w:val="22"/>
              </w:rPr>
            </w:pPr>
            <w:r>
              <w:rPr>
                <w:spacing w:val="-4"/>
                <w:sz w:val="22"/>
              </w:rPr>
              <w:t>35.0</w:t>
            </w:r>
          </w:p>
        </w:tc>
        <w:tc>
          <w:tcPr>
            <w:tcW w:w="834" w:type="dxa"/>
          </w:tcPr>
          <w:p>
            <w:pPr>
              <w:pStyle w:val="TableParagraph"/>
              <w:spacing w:before="71"/>
              <w:ind w:right="215"/>
              <w:jc w:val="right"/>
              <w:rPr>
                <w:sz w:val="22"/>
              </w:rPr>
            </w:pPr>
            <w:r>
              <w:rPr>
                <w:spacing w:val="-4"/>
                <w:sz w:val="22"/>
              </w:rPr>
              <w:t>17.5</w:t>
            </w:r>
          </w:p>
        </w:tc>
        <w:tc>
          <w:tcPr>
            <w:tcW w:w="850" w:type="dxa"/>
          </w:tcPr>
          <w:p>
            <w:pPr>
              <w:pStyle w:val="TableParagraph"/>
              <w:spacing w:before="71"/>
              <w:ind w:left="25" w:right="19"/>
              <w:jc w:val="center"/>
              <w:rPr>
                <w:sz w:val="22"/>
              </w:rPr>
            </w:pPr>
            <w:r>
              <w:rPr>
                <w:spacing w:val="-4"/>
                <w:sz w:val="22"/>
              </w:rPr>
              <w:t>25.0</w:t>
            </w:r>
          </w:p>
        </w:tc>
        <w:tc>
          <w:tcPr>
            <w:tcW w:w="817" w:type="dxa"/>
          </w:tcPr>
          <w:p>
            <w:pPr>
              <w:pStyle w:val="TableParagraph"/>
              <w:spacing w:before="71"/>
              <w:ind w:right="201"/>
              <w:jc w:val="right"/>
              <w:rPr>
                <w:sz w:val="22"/>
              </w:rPr>
            </w:pPr>
            <w:r>
              <w:rPr>
                <w:spacing w:val="-4"/>
                <w:sz w:val="22"/>
              </w:rPr>
              <w:t>17.5</w:t>
            </w:r>
          </w:p>
        </w:tc>
        <w:tc>
          <w:tcPr>
            <w:tcW w:w="836" w:type="dxa"/>
          </w:tcPr>
          <w:p>
            <w:pPr>
              <w:pStyle w:val="TableParagraph"/>
              <w:spacing w:before="71"/>
              <w:ind w:left="4"/>
              <w:jc w:val="center"/>
              <w:rPr>
                <w:sz w:val="22"/>
              </w:rPr>
            </w:pPr>
            <w:r>
              <w:rPr>
                <w:spacing w:val="-4"/>
                <w:sz w:val="22"/>
              </w:rPr>
              <w:t>25.0</w:t>
            </w:r>
          </w:p>
        </w:tc>
        <w:tc>
          <w:tcPr>
            <w:tcW w:w="813" w:type="dxa"/>
          </w:tcPr>
          <w:p>
            <w:pPr>
              <w:pStyle w:val="TableParagraph"/>
              <w:spacing w:before="71"/>
              <w:ind w:right="199"/>
              <w:jc w:val="right"/>
              <w:rPr>
                <w:sz w:val="22"/>
              </w:rPr>
            </w:pPr>
            <w:r>
              <w:rPr>
                <w:spacing w:val="-4"/>
                <w:sz w:val="22"/>
              </w:rPr>
              <w:t>17.5</w:t>
            </w:r>
          </w:p>
        </w:tc>
        <w:tc>
          <w:tcPr>
            <w:tcW w:w="840" w:type="dxa"/>
          </w:tcPr>
          <w:p>
            <w:pPr>
              <w:pStyle w:val="TableParagraph"/>
              <w:spacing w:before="71"/>
              <w:ind w:left="31" w:right="11"/>
              <w:jc w:val="center"/>
              <w:rPr>
                <w:sz w:val="22"/>
              </w:rPr>
            </w:pPr>
            <w:r>
              <w:rPr>
                <w:spacing w:val="-4"/>
                <w:sz w:val="22"/>
              </w:rPr>
              <w:t>25.0</w:t>
            </w:r>
          </w:p>
        </w:tc>
      </w:tr>
      <w:tr>
        <w:trPr>
          <w:trHeight w:val="547" w:hRule="atLeast"/>
        </w:trPr>
        <w:tc>
          <w:tcPr>
            <w:tcW w:w="1125" w:type="dxa"/>
          </w:tcPr>
          <w:p>
            <w:pPr>
              <w:pStyle w:val="TableParagraph"/>
              <w:spacing w:before="119"/>
              <w:ind w:right="276"/>
              <w:jc w:val="center"/>
              <w:rPr>
                <w:sz w:val="22"/>
              </w:rPr>
            </w:pPr>
            <w:r>
              <w:rPr>
                <w:sz w:val="22"/>
              </w:rPr>
              <w:t>SP</w:t>
            </w:r>
            <w:r>
              <w:rPr>
                <w:spacing w:val="1"/>
                <w:sz w:val="22"/>
              </w:rPr>
              <w:t> </w:t>
            </w:r>
            <w:r>
              <w:rPr>
                <w:spacing w:val="-5"/>
                <w:sz w:val="22"/>
              </w:rPr>
              <w:t>275</w:t>
            </w:r>
          </w:p>
        </w:tc>
        <w:tc>
          <w:tcPr>
            <w:tcW w:w="822" w:type="dxa"/>
          </w:tcPr>
          <w:p>
            <w:pPr>
              <w:pStyle w:val="TableParagraph"/>
              <w:spacing w:before="119"/>
              <w:ind w:left="76" w:right="76"/>
              <w:jc w:val="center"/>
              <w:rPr>
                <w:sz w:val="22"/>
              </w:rPr>
            </w:pPr>
            <w:r>
              <w:rPr>
                <w:spacing w:val="-4"/>
                <w:sz w:val="22"/>
              </w:rPr>
              <w:t>17.5</w:t>
            </w:r>
          </w:p>
        </w:tc>
        <w:tc>
          <w:tcPr>
            <w:tcW w:w="849" w:type="dxa"/>
          </w:tcPr>
          <w:p>
            <w:pPr>
              <w:pStyle w:val="TableParagraph"/>
              <w:spacing w:before="119"/>
              <w:ind w:left="3" w:right="15"/>
              <w:jc w:val="center"/>
              <w:rPr>
                <w:sz w:val="22"/>
              </w:rPr>
            </w:pPr>
            <w:r>
              <w:rPr>
                <w:spacing w:val="-4"/>
                <w:sz w:val="22"/>
              </w:rPr>
              <w:t>25.0</w:t>
            </w:r>
          </w:p>
        </w:tc>
        <w:tc>
          <w:tcPr>
            <w:tcW w:w="839" w:type="dxa"/>
          </w:tcPr>
          <w:p>
            <w:pPr>
              <w:pStyle w:val="TableParagraph"/>
              <w:spacing w:before="119"/>
              <w:ind w:right="222"/>
              <w:jc w:val="right"/>
              <w:rPr>
                <w:sz w:val="22"/>
              </w:rPr>
            </w:pPr>
            <w:r>
              <w:rPr>
                <w:spacing w:val="-4"/>
                <w:sz w:val="22"/>
              </w:rPr>
              <w:t>17.5</w:t>
            </w:r>
          </w:p>
        </w:tc>
        <w:tc>
          <w:tcPr>
            <w:tcW w:w="880" w:type="dxa"/>
          </w:tcPr>
          <w:p>
            <w:pPr>
              <w:pStyle w:val="TableParagraph"/>
              <w:spacing w:before="119"/>
              <w:ind w:left="19"/>
              <w:jc w:val="center"/>
              <w:rPr>
                <w:sz w:val="22"/>
              </w:rPr>
            </w:pPr>
            <w:r>
              <w:rPr>
                <w:spacing w:val="-4"/>
                <w:sz w:val="22"/>
              </w:rPr>
              <w:t>25.0</w:t>
            </w:r>
          </w:p>
        </w:tc>
        <w:tc>
          <w:tcPr>
            <w:tcW w:w="834" w:type="dxa"/>
          </w:tcPr>
          <w:p>
            <w:pPr>
              <w:pStyle w:val="TableParagraph"/>
              <w:spacing w:before="119"/>
              <w:ind w:right="215"/>
              <w:jc w:val="right"/>
              <w:rPr>
                <w:sz w:val="22"/>
              </w:rPr>
            </w:pPr>
            <w:r>
              <w:rPr>
                <w:spacing w:val="-4"/>
                <w:sz w:val="22"/>
              </w:rPr>
              <w:t>17.5</w:t>
            </w:r>
          </w:p>
        </w:tc>
        <w:tc>
          <w:tcPr>
            <w:tcW w:w="850" w:type="dxa"/>
          </w:tcPr>
          <w:p>
            <w:pPr>
              <w:pStyle w:val="TableParagraph"/>
              <w:spacing w:before="119"/>
              <w:ind w:left="25" w:right="19"/>
              <w:jc w:val="center"/>
              <w:rPr>
                <w:sz w:val="22"/>
              </w:rPr>
            </w:pPr>
            <w:r>
              <w:rPr>
                <w:spacing w:val="-4"/>
                <w:sz w:val="22"/>
              </w:rPr>
              <w:t>25.0</w:t>
            </w:r>
          </w:p>
        </w:tc>
        <w:tc>
          <w:tcPr>
            <w:tcW w:w="817" w:type="dxa"/>
          </w:tcPr>
          <w:p>
            <w:pPr>
              <w:pStyle w:val="TableParagraph"/>
              <w:spacing w:before="119"/>
              <w:ind w:right="201"/>
              <w:jc w:val="right"/>
              <w:rPr>
                <w:sz w:val="22"/>
              </w:rPr>
            </w:pPr>
            <w:r>
              <w:rPr>
                <w:spacing w:val="-4"/>
                <w:sz w:val="22"/>
              </w:rPr>
              <w:t>17.5</w:t>
            </w:r>
          </w:p>
        </w:tc>
        <w:tc>
          <w:tcPr>
            <w:tcW w:w="836" w:type="dxa"/>
          </w:tcPr>
          <w:p>
            <w:pPr>
              <w:pStyle w:val="TableParagraph"/>
              <w:spacing w:before="119"/>
              <w:ind w:left="4"/>
              <w:jc w:val="center"/>
              <w:rPr>
                <w:sz w:val="22"/>
              </w:rPr>
            </w:pPr>
            <w:r>
              <w:rPr>
                <w:spacing w:val="-4"/>
                <w:sz w:val="22"/>
              </w:rPr>
              <w:t>25.0</w:t>
            </w:r>
          </w:p>
        </w:tc>
        <w:tc>
          <w:tcPr>
            <w:tcW w:w="813" w:type="dxa"/>
          </w:tcPr>
          <w:p>
            <w:pPr>
              <w:pStyle w:val="TableParagraph"/>
              <w:spacing w:before="119"/>
              <w:ind w:right="199"/>
              <w:jc w:val="right"/>
              <w:rPr>
                <w:sz w:val="22"/>
              </w:rPr>
            </w:pPr>
            <w:r>
              <w:rPr>
                <w:spacing w:val="-4"/>
                <w:sz w:val="22"/>
              </w:rPr>
              <w:t>17.5</w:t>
            </w:r>
          </w:p>
        </w:tc>
        <w:tc>
          <w:tcPr>
            <w:tcW w:w="840" w:type="dxa"/>
          </w:tcPr>
          <w:p>
            <w:pPr>
              <w:pStyle w:val="TableParagraph"/>
              <w:spacing w:before="119"/>
              <w:ind w:left="31" w:right="11"/>
              <w:jc w:val="center"/>
              <w:rPr>
                <w:sz w:val="22"/>
              </w:rPr>
            </w:pPr>
            <w:r>
              <w:rPr>
                <w:spacing w:val="-4"/>
                <w:sz w:val="22"/>
              </w:rPr>
              <w:t>25.0</w:t>
            </w:r>
          </w:p>
        </w:tc>
      </w:tr>
      <w:tr>
        <w:trPr>
          <w:trHeight w:val="497" w:hRule="atLeast"/>
        </w:trPr>
        <w:tc>
          <w:tcPr>
            <w:tcW w:w="1125" w:type="dxa"/>
          </w:tcPr>
          <w:p>
            <w:pPr>
              <w:pStyle w:val="TableParagraph"/>
              <w:spacing w:before="119"/>
              <w:ind w:right="276"/>
              <w:jc w:val="center"/>
              <w:rPr>
                <w:sz w:val="22"/>
              </w:rPr>
            </w:pPr>
            <w:r>
              <w:rPr>
                <w:sz w:val="22"/>
              </w:rPr>
              <w:t>SP</w:t>
            </w:r>
            <w:r>
              <w:rPr>
                <w:spacing w:val="1"/>
                <w:sz w:val="22"/>
              </w:rPr>
              <w:t> </w:t>
            </w:r>
            <w:r>
              <w:rPr>
                <w:spacing w:val="-5"/>
                <w:sz w:val="22"/>
              </w:rPr>
              <w:t>321</w:t>
            </w:r>
          </w:p>
        </w:tc>
        <w:tc>
          <w:tcPr>
            <w:tcW w:w="822" w:type="dxa"/>
          </w:tcPr>
          <w:p>
            <w:pPr>
              <w:pStyle w:val="TableParagraph"/>
              <w:spacing w:before="119"/>
              <w:ind w:left="76" w:right="76"/>
              <w:jc w:val="center"/>
              <w:rPr>
                <w:sz w:val="22"/>
              </w:rPr>
            </w:pPr>
            <w:r>
              <w:rPr>
                <w:spacing w:val="-4"/>
                <w:sz w:val="22"/>
              </w:rPr>
              <w:t>35.0</w:t>
            </w:r>
          </w:p>
        </w:tc>
        <w:tc>
          <w:tcPr>
            <w:tcW w:w="849" w:type="dxa"/>
          </w:tcPr>
          <w:p>
            <w:pPr>
              <w:pStyle w:val="TableParagraph"/>
              <w:spacing w:before="119"/>
              <w:ind w:left="3" w:right="15"/>
              <w:jc w:val="center"/>
              <w:rPr>
                <w:sz w:val="22"/>
              </w:rPr>
            </w:pPr>
            <w:r>
              <w:rPr>
                <w:spacing w:val="-4"/>
                <w:sz w:val="22"/>
              </w:rPr>
              <w:t>50.0</w:t>
            </w:r>
          </w:p>
        </w:tc>
        <w:tc>
          <w:tcPr>
            <w:tcW w:w="839" w:type="dxa"/>
          </w:tcPr>
          <w:p>
            <w:pPr>
              <w:pStyle w:val="TableParagraph"/>
              <w:spacing w:before="119"/>
              <w:ind w:right="222"/>
              <w:jc w:val="right"/>
              <w:rPr>
                <w:sz w:val="22"/>
              </w:rPr>
            </w:pPr>
            <w:r>
              <w:rPr>
                <w:spacing w:val="-4"/>
                <w:sz w:val="22"/>
              </w:rPr>
              <w:t>25.0</w:t>
            </w:r>
          </w:p>
        </w:tc>
        <w:tc>
          <w:tcPr>
            <w:tcW w:w="880" w:type="dxa"/>
          </w:tcPr>
          <w:p>
            <w:pPr>
              <w:pStyle w:val="TableParagraph"/>
              <w:spacing w:before="119"/>
              <w:ind w:left="19"/>
              <w:jc w:val="center"/>
              <w:rPr>
                <w:sz w:val="22"/>
              </w:rPr>
            </w:pPr>
            <w:r>
              <w:rPr>
                <w:spacing w:val="-4"/>
                <w:sz w:val="22"/>
              </w:rPr>
              <w:t>50.0</w:t>
            </w:r>
          </w:p>
        </w:tc>
        <w:tc>
          <w:tcPr>
            <w:tcW w:w="834" w:type="dxa"/>
          </w:tcPr>
          <w:p>
            <w:pPr>
              <w:pStyle w:val="TableParagraph"/>
              <w:spacing w:before="119"/>
              <w:ind w:right="215"/>
              <w:jc w:val="right"/>
              <w:rPr>
                <w:sz w:val="22"/>
              </w:rPr>
            </w:pPr>
            <w:r>
              <w:rPr>
                <w:spacing w:val="-4"/>
                <w:sz w:val="22"/>
              </w:rPr>
              <w:t>20.0</w:t>
            </w:r>
          </w:p>
        </w:tc>
        <w:tc>
          <w:tcPr>
            <w:tcW w:w="850" w:type="dxa"/>
          </w:tcPr>
          <w:p>
            <w:pPr>
              <w:pStyle w:val="TableParagraph"/>
              <w:spacing w:before="119"/>
              <w:ind w:left="25" w:right="19"/>
              <w:jc w:val="center"/>
              <w:rPr>
                <w:sz w:val="22"/>
              </w:rPr>
            </w:pPr>
            <w:r>
              <w:rPr>
                <w:spacing w:val="-4"/>
                <w:sz w:val="22"/>
              </w:rPr>
              <w:t>30.0</w:t>
            </w:r>
          </w:p>
        </w:tc>
        <w:tc>
          <w:tcPr>
            <w:tcW w:w="817" w:type="dxa"/>
          </w:tcPr>
          <w:p>
            <w:pPr>
              <w:pStyle w:val="TableParagraph"/>
              <w:spacing w:before="119"/>
              <w:ind w:right="201"/>
              <w:jc w:val="right"/>
              <w:rPr>
                <w:sz w:val="22"/>
              </w:rPr>
            </w:pPr>
            <w:r>
              <w:rPr>
                <w:spacing w:val="-4"/>
                <w:sz w:val="22"/>
              </w:rPr>
              <w:t>20.0</w:t>
            </w:r>
          </w:p>
        </w:tc>
        <w:tc>
          <w:tcPr>
            <w:tcW w:w="836" w:type="dxa"/>
          </w:tcPr>
          <w:p>
            <w:pPr>
              <w:pStyle w:val="TableParagraph"/>
              <w:spacing w:before="119"/>
              <w:ind w:left="4"/>
              <w:jc w:val="center"/>
              <w:rPr>
                <w:sz w:val="22"/>
              </w:rPr>
            </w:pPr>
            <w:r>
              <w:rPr>
                <w:spacing w:val="-4"/>
                <w:sz w:val="22"/>
              </w:rPr>
              <w:t>35.0</w:t>
            </w:r>
          </w:p>
        </w:tc>
        <w:tc>
          <w:tcPr>
            <w:tcW w:w="813" w:type="dxa"/>
          </w:tcPr>
          <w:p>
            <w:pPr>
              <w:pStyle w:val="TableParagraph"/>
              <w:spacing w:before="119"/>
              <w:ind w:right="199"/>
              <w:jc w:val="right"/>
              <w:rPr>
                <w:sz w:val="22"/>
              </w:rPr>
            </w:pPr>
            <w:r>
              <w:rPr>
                <w:spacing w:val="-4"/>
                <w:sz w:val="22"/>
              </w:rPr>
              <w:t>25.0</w:t>
            </w:r>
          </w:p>
        </w:tc>
        <w:tc>
          <w:tcPr>
            <w:tcW w:w="840" w:type="dxa"/>
          </w:tcPr>
          <w:p>
            <w:pPr>
              <w:pStyle w:val="TableParagraph"/>
              <w:spacing w:before="119"/>
              <w:ind w:left="31" w:right="11"/>
              <w:jc w:val="center"/>
              <w:rPr>
                <w:sz w:val="22"/>
              </w:rPr>
            </w:pPr>
            <w:r>
              <w:rPr>
                <w:spacing w:val="-4"/>
                <w:sz w:val="22"/>
              </w:rPr>
              <w:t>40.0</w:t>
            </w:r>
          </w:p>
        </w:tc>
      </w:tr>
      <w:tr>
        <w:trPr>
          <w:trHeight w:val="450" w:hRule="atLeast"/>
        </w:trPr>
        <w:tc>
          <w:tcPr>
            <w:tcW w:w="1125" w:type="dxa"/>
          </w:tcPr>
          <w:p>
            <w:pPr>
              <w:pStyle w:val="TableParagraph"/>
              <w:spacing w:before="70"/>
              <w:ind w:right="276"/>
              <w:jc w:val="center"/>
              <w:rPr>
                <w:sz w:val="22"/>
              </w:rPr>
            </w:pPr>
            <w:r>
              <w:rPr>
                <w:sz w:val="22"/>
              </w:rPr>
              <w:t>SP</w:t>
            </w:r>
            <w:r>
              <w:rPr>
                <w:spacing w:val="1"/>
                <w:sz w:val="22"/>
              </w:rPr>
              <w:t> </w:t>
            </w:r>
            <w:r>
              <w:rPr>
                <w:spacing w:val="-5"/>
                <w:sz w:val="22"/>
              </w:rPr>
              <w:t>266</w:t>
            </w:r>
          </w:p>
        </w:tc>
        <w:tc>
          <w:tcPr>
            <w:tcW w:w="822" w:type="dxa"/>
          </w:tcPr>
          <w:p>
            <w:pPr>
              <w:pStyle w:val="TableParagraph"/>
              <w:spacing w:before="70"/>
              <w:ind w:left="76" w:right="76"/>
              <w:jc w:val="center"/>
              <w:rPr>
                <w:sz w:val="22"/>
              </w:rPr>
            </w:pPr>
            <w:r>
              <w:rPr>
                <w:spacing w:val="-4"/>
                <w:sz w:val="22"/>
              </w:rPr>
              <w:t>17.5</w:t>
            </w:r>
          </w:p>
        </w:tc>
        <w:tc>
          <w:tcPr>
            <w:tcW w:w="849" w:type="dxa"/>
          </w:tcPr>
          <w:p>
            <w:pPr>
              <w:pStyle w:val="TableParagraph"/>
              <w:spacing w:before="70"/>
              <w:ind w:left="3" w:right="15"/>
              <w:jc w:val="center"/>
              <w:rPr>
                <w:sz w:val="22"/>
              </w:rPr>
            </w:pPr>
            <w:r>
              <w:rPr>
                <w:spacing w:val="-4"/>
                <w:sz w:val="22"/>
              </w:rPr>
              <w:t>25.0</w:t>
            </w:r>
          </w:p>
        </w:tc>
        <w:tc>
          <w:tcPr>
            <w:tcW w:w="839" w:type="dxa"/>
          </w:tcPr>
          <w:p>
            <w:pPr>
              <w:pStyle w:val="TableParagraph"/>
              <w:spacing w:before="70"/>
              <w:ind w:right="222"/>
              <w:jc w:val="right"/>
              <w:rPr>
                <w:sz w:val="22"/>
              </w:rPr>
            </w:pPr>
            <w:r>
              <w:rPr>
                <w:spacing w:val="-4"/>
                <w:sz w:val="22"/>
              </w:rPr>
              <w:t>17.5</w:t>
            </w:r>
          </w:p>
        </w:tc>
        <w:tc>
          <w:tcPr>
            <w:tcW w:w="880" w:type="dxa"/>
          </w:tcPr>
          <w:p>
            <w:pPr>
              <w:pStyle w:val="TableParagraph"/>
              <w:spacing w:before="70"/>
              <w:ind w:left="19"/>
              <w:jc w:val="center"/>
              <w:rPr>
                <w:sz w:val="22"/>
              </w:rPr>
            </w:pPr>
            <w:r>
              <w:rPr>
                <w:spacing w:val="-4"/>
                <w:sz w:val="22"/>
              </w:rPr>
              <w:t>25.0</w:t>
            </w:r>
          </w:p>
        </w:tc>
        <w:tc>
          <w:tcPr>
            <w:tcW w:w="834" w:type="dxa"/>
          </w:tcPr>
          <w:p>
            <w:pPr>
              <w:pStyle w:val="TableParagraph"/>
              <w:spacing w:before="70"/>
              <w:ind w:right="215"/>
              <w:jc w:val="right"/>
              <w:rPr>
                <w:sz w:val="22"/>
              </w:rPr>
            </w:pPr>
            <w:r>
              <w:rPr>
                <w:spacing w:val="-4"/>
                <w:sz w:val="22"/>
              </w:rPr>
              <w:t>17.5</w:t>
            </w:r>
          </w:p>
        </w:tc>
        <w:tc>
          <w:tcPr>
            <w:tcW w:w="850" w:type="dxa"/>
          </w:tcPr>
          <w:p>
            <w:pPr>
              <w:pStyle w:val="TableParagraph"/>
              <w:spacing w:before="70"/>
              <w:ind w:left="25" w:right="19"/>
              <w:jc w:val="center"/>
              <w:rPr>
                <w:sz w:val="22"/>
              </w:rPr>
            </w:pPr>
            <w:r>
              <w:rPr>
                <w:spacing w:val="-4"/>
                <w:sz w:val="22"/>
              </w:rPr>
              <w:t>25.0</w:t>
            </w:r>
          </w:p>
        </w:tc>
        <w:tc>
          <w:tcPr>
            <w:tcW w:w="817" w:type="dxa"/>
          </w:tcPr>
          <w:p>
            <w:pPr>
              <w:pStyle w:val="TableParagraph"/>
              <w:spacing w:before="70"/>
              <w:ind w:right="201"/>
              <w:jc w:val="right"/>
              <w:rPr>
                <w:sz w:val="22"/>
              </w:rPr>
            </w:pPr>
            <w:r>
              <w:rPr>
                <w:spacing w:val="-4"/>
                <w:sz w:val="22"/>
              </w:rPr>
              <w:t>17.5</w:t>
            </w:r>
          </w:p>
        </w:tc>
        <w:tc>
          <w:tcPr>
            <w:tcW w:w="836" w:type="dxa"/>
          </w:tcPr>
          <w:p>
            <w:pPr>
              <w:pStyle w:val="TableParagraph"/>
              <w:spacing w:before="70"/>
              <w:ind w:left="4"/>
              <w:jc w:val="center"/>
              <w:rPr>
                <w:sz w:val="22"/>
              </w:rPr>
            </w:pPr>
            <w:r>
              <w:rPr>
                <w:spacing w:val="-4"/>
                <w:sz w:val="22"/>
              </w:rPr>
              <w:t>25.0</w:t>
            </w:r>
          </w:p>
        </w:tc>
        <w:tc>
          <w:tcPr>
            <w:tcW w:w="813" w:type="dxa"/>
          </w:tcPr>
          <w:p>
            <w:pPr>
              <w:pStyle w:val="TableParagraph"/>
              <w:spacing w:before="70"/>
              <w:ind w:right="199"/>
              <w:jc w:val="right"/>
              <w:rPr>
                <w:sz w:val="22"/>
              </w:rPr>
            </w:pPr>
            <w:r>
              <w:rPr>
                <w:spacing w:val="-4"/>
                <w:sz w:val="22"/>
              </w:rPr>
              <w:t>17.5</w:t>
            </w:r>
          </w:p>
        </w:tc>
        <w:tc>
          <w:tcPr>
            <w:tcW w:w="840" w:type="dxa"/>
          </w:tcPr>
          <w:p>
            <w:pPr>
              <w:pStyle w:val="TableParagraph"/>
              <w:spacing w:before="70"/>
              <w:ind w:left="31" w:right="11"/>
              <w:jc w:val="center"/>
              <w:rPr>
                <w:sz w:val="22"/>
              </w:rPr>
            </w:pPr>
            <w:r>
              <w:rPr>
                <w:spacing w:val="-4"/>
                <w:sz w:val="22"/>
              </w:rPr>
              <w:t>25.0</w:t>
            </w:r>
          </w:p>
        </w:tc>
      </w:tr>
      <w:tr>
        <w:trPr>
          <w:trHeight w:val="523" w:hRule="atLeast"/>
        </w:trPr>
        <w:tc>
          <w:tcPr>
            <w:tcW w:w="1125" w:type="dxa"/>
            <w:tcBorders>
              <w:bottom w:val="single" w:sz="4" w:space="0" w:color="000000"/>
            </w:tcBorders>
          </w:tcPr>
          <w:p>
            <w:pPr>
              <w:pStyle w:val="TableParagraph"/>
              <w:spacing w:before="71"/>
              <w:ind w:right="276"/>
              <w:jc w:val="center"/>
              <w:rPr>
                <w:sz w:val="22"/>
              </w:rPr>
            </w:pPr>
            <w:r>
              <w:rPr>
                <w:sz w:val="22"/>
              </w:rPr>
              <w:t>SP</w:t>
            </w:r>
            <w:r>
              <w:rPr>
                <w:spacing w:val="1"/>
                <w:sz w:val="22"/>
              </w:rPr>
              <w:t> </w:t>
            </w:r>
            <w:r>
              <w:rPr>
                <w:spacing w:val="-5"/>
                <w:sz w:val="22"/>
              </w:rPr>
              <w:t>269</w:t>
            </w:r>
          </w:p>
        </w:tc>
        <w:tc>
          <w:tcPr>
            <w:tcW w:w="822" w:type="dxa"/>
            <w:tcBorders>
              <w:bottom w:val="single" w:sz="4" w:space="0" w:color="000000"/>
            </w:tcBorders>
          </w:tcPr>
          <w:p>
            <w:pPr>
              <w:pStyle w:val="TableParagraph"/>
              <w:spacing w:before="71"/>
              <w:ind w:left="76" w:right="76"/>
              <w:jc w:val="center"/>
              <w:rPr>
                <w:sz w:val="22"/>
              </w:rPr>
            </w:pPr>
            <w:r>
              <w:rPr>
                <w:spacing w:val="-4"/>
                <w:sz w:val="22"/>
              </w:rPr>
              <w:t>17.5</w:t>
            </w:r>
          </w:p>
        </w:tc>
        <w:tc>
          <w:tcPr>
            <w:tcW w:w="849" w:type="dxa"/>
            <w:tcBorders>
              <w:bottom w:val="single" w:sz="4" w:space="0" w:color="000000"/>
            </w:tcBorders>
          </w:tcPr>
          <w:p>
            <w:pPr>
              <w:pStyle w:val="TableParagraph"/>
              <w:spacing w:before="71"/>
              <w:ind w:left="3" w:right="15"/>
              <w:jc w:val="center"/>
              <w:rPr>
                <w:sz w:val="22"/>
              </w:rPr>
            </w:pPr>
            <w:r>
              <w:rPr>
                <w:spacing w:val="-4"/>
                <w:sz w:val="22"/>
              </w:rPr>
              <w:t>25.0</w:t>
            </w:r>
          </w:p>
        </w:tc>
        <w:tc>
          <w:tcPr>
            <w:tcW w:w="839" w:type="dxa"/>
            <w:tcBorders>
              <w:bottom w:val="single" w:sz="4" w:space="0" w:color="000000"/>
            </w:tcBorders>
          </w:tcPr>
          <w:p>
            <w:pPr>
              <w:pStyle w:val="TableParagraph"/>
              <w:spacing w:before="71"/>
              <w:ind w:right="222"/>
              <w:jc w:val="right"/>
              <w:rPr>
                <w:sz w:val="22"/>
              </w:rPr>
            </w:pPr>
            <w:r>
              <w:rPr>
                <w:spacing w:val="-4"/>
                <w:sz w:val="22"/>
              </w:rPr>
              <w:t>17.5</w:t>
            </w:r>
          </w:p>
        </w:tc>
        <w:tc>
          <w:tcPr>
            <w:tcW w:w="880" w:type="dxa"/>
            <w:tcBorders>
              <w:bottom w:val="single" w:sz="4" w:space="0" w:color="000000"/>
            </w:tcBorders>
          </w:tcPr>
          <w:p>
            <w:pPr>
              <w:pStyle w:val="TableParagraph"/>
              <w:spacing w:before="71"/>
              <w:ind w:left="19"/>
              <w:jc w:val="center"/>
              <w:rPr>
                <w:sz w:val="22"/>
              </w:rPr>
            </w:pPr>
            <w:r>
              <w:rPr>
                <w:spacing w:val="-4"/>
                <w:sz w:val="22"/>
              </w:rPr>
              <w:t>25.0</w:t>
            </w:r>
          </w:p>
        </w:tc>
        <w:tc>
          <w:tcPr>
            <w:tcW w:w="834" w:type="dxa"/>
            <w:tcBorders>
              <w:bottom w:val="single" w:sz="4" w:space="0" w:color="000000"/>
            </w:tcBorders>
          </w:tcPr>
          <w:p>
            <w:pPr>
              <w:pStyle w:val="TableParagraph"/>
              <w:spacing w:before="71"/>
              <w:ind w:right="215"/>
              <w:jc w:val="right"/>
              <w:rPr>
                <w:sz w:val="22"/>
              </w:rPr>
            </w:pPr>
            <w:r>
              <w:rPr>
                <w:spacing w:val="-4"/>
                <w:sz w:val="22"/>
              </w:rPr>
              <w:t>17.5</w:t>
            </w:r>
          </w:p>
        </w:tc>
        <w:tc>
          <w:tcPr>
            <w:tcW w:w="850" w:type="dxa"/>
            <w:tcBorders>
              <w:bottom w:val="single" w:sz="4" w:space="0" w:color="000000"/>
            </w:tcBorders>
          </w:tcPr>
          <w:p>
            <w:pPr>
              <w:pStyle w:val="TableParagraph"/>
              <w:spacing w:before="71"/>
              <w:ind w:left="25" w:right="19"/>
              <w:jc w:val="center"/>
              <w:rPr>
                <w:sz w:val="22"/>
              </w:rPr>
            </w:pPr>
            <w:r>
              <w:rPr>
                <w:spacing w:val="-4"/>
                <w:sz w:val="22"/>
              </w:rPr>
              <w:t>25.0</w:t>
            </w:r>
          </w:p>
        </w:tc>
        <w:tc>
          <w:tcPr>
            <w:tcW w:w="817" w:type="dxa"/>
            <w:tcBorders>
              <w:bottom w:val="single" w:sz="4" w:space="0" w:color="000000"/>
            </w:tcBorders>
          </w:tcPr>
          <w:p>
            <w:pPr>
              <w:pStyle w:val="TableParagraph"/>
              <w:spacing w:before="71"/>
              <w:ind w:right="201"/>
              <w:jc w:val="right"/>
              <w:rPr>
                <w:sz w:val="22"/>
              </w:rPr>
            </w:pPr>
            <w:r>
              <w:rPr>
                <w:spacing w:val="-4"/>
                <w:sz w:val="22"/>
              </w:rPr>
              <w:t>17.5</w:t>
            </w:r>
          </w:p>
        </w:tc>
        <w:tc>
          <w:tcPr>
            <w:tcW w:w="836" w:type="dxa"/>
            <w:tcBorders>
              <w:bottom w:val="single" w:sz="4" w:space="0" w:color="000000"/>
            </w:tcBorders>
          </w:tcPr>
          <w:p>
            <w:pPr>
              <w:pStyle w:val="TableParagraph"/>
              <w:spacing w:before="71"/>
              <w:ind w:left="4"/>
              <w:jc w:val="center"/>
              <w:rPr>
                <w:sz w:val="22"/>
              </w:rPr>
            </w:pPr>
            <w:r>
              <w:rPr>
                <w:spacing w:val="-4"/>
                <w:sz w:val="22"/>
              </w:rPr>
              <w:t>25.0</w:t>
            </w:r>
          </w:p>
        </w:tc>
        <w:tc>
          <w:tcPr>
            <w:tcW w:w="813" w:type="dxa"/>
            <w:tcBorders>
              <w:bottom w:val="single" w:sz="4" w:space="0" w:color="000000"/>
            </w:tcBorders>
          </w:tcPr>
          <w:p>
            <w:pPr>
              <w:pStyle w:val="TableParagraph"/>
              <w:spacing w:before="71"/>
              <w:ind w:right="199"/>
              <w:jc w:val="right"/>
              <w:rPr>
                <w:sz w:val="22"/>
              </w:rPr>
            </w:pPr>
            <w:r>
              <w:rPr>
                <w:spacing w:val="-4"/>
                <w:sz w:val="22"/>
              </w:rPr>
              <w:t>17.5</w:t>
            </w:r>
          </w:p>
        </w:tc>
        <w:tc>
          <w:tcPr>
            <w:tcW w:w="840" w:type="dxa"/>
            <w:tcBorders>
              <w:bottom w:val="single" w:sz="4" w:space="0" w:color="000000"/>
            </w:tcBorders>
          </w:tcPr>
          <w:p>
            <w:pPr>
              <w:pStyle w:val="TableParagraph"/>
              <w:spacing w:before="71"/>
              <w:ind w:left="31" w:right="11"/>
              <w:jc w:val="center"/>
              <w:rPr>
                <w:sz w:val="22"/>
              </w:rPr>
            </w:pPr>
            <w:r>
              <w:rPr>
                <w:spacing w:val="-4"/>
                <w:sz w:val="22"/>
              </w:rPr>
              <w:t>25.0</w:t>
            </w:r>
          </w:p>
        </w:tc>
      </w:tr>
    </w:tbl>
    <w:p>
      <w:pPr>
        <w:pStyle w:val="BodyText"/>
        <w:spacing w:line="360" w:lineRule="auto"/>
        <w:ind w:left="380" w:right="975"/>
      </w:pPr>
      <w:r>
        <w:rPr>
          <w:b/>
        </w:rPr>
        <w:t>Key:</w:t>
      </w:r>
      <w:r>
        <w:rPr>
          <w:b/>
          <w:spacing w:val="-4"/>
        </w:rPr>
        <w:t> </w:t>
      </w:r>
      <w:r>
        <w:rPr/>
        <w:t>MIC=Minimum</w:t>
      </w:r>
      <w:r>
        <w:rPr>
          <w:spacing w:val="-3"/>
        </w:rPr>
        <w:t> </w:t>
      </w:r>
      <w:r>
        <w:rPr/>
        <w:t>Inhibitory</w:t>
      </w:r>
      <w:r>
        <w:rPr>
          <w:spacing w:val="-6"/>
        </w:rPr>
        <w:t> </w:t>
      </w:r>
      <w:r>
        <w:rPr/>
        <w:t>Concentration,</w:t>
      </w:r>
      <w:r>
        <w:rPr>
          <w:spacing w:val="-6"/>
        </w:rPr>
        <w:t> </w:t>
      </w:r>
      <w:r>
        <w:rPr/>
        <w:t>MBC=</w:t>
      </w:r>
      <w:r>
        <w:rPr>
          <w:spacing w:val="-6"/>
        </w:rPr>
        <w:t> </w:t>
      </w:r>
      <w:r>
        <w:rPr/>
        <w:t>Minimum</w:t>
      </w:r>
      <w:r>
        <w:rPr>
          <w:spacing w:val="-3"/>
        </w:rPr>
        <w:t> </w:t>
      </w:r>
      <w:r>
        <w:rPr/>
        <w:t>Bactericidal</w:t>
      </w:r>
      <w:r>
        <w:rPr>
          <w:spacing w:val="-7"/>
        </w:rPr>
        <w:t> </w:t>
      </w:r>
      <w:r>
        <w:rPr/>
        <w:t>Concentration, </w:t>
      </w:r>
      <w:r>
        <w:rPr>
          <w:spacing w:val="-2"/>
        </w:rPr>
        <w:t>SP=Sputum.</w:t>
      </w:r>
    </w:p>
    <w:p>
      <w:pPr>
        <w:spacing w:after="0" w:line="360"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0"/>
      </w:pPr>
    </w:p>
    <w:p>
      <w:pPr>
        <w:spacing w:before="0"/>
        <w:ind w:left="678" w:right="0" w:firstLine="0"/>
        <w:jc w:val="left"/>
        <w:rPr>
          <w:b/>
          <w:i/>
          <w:sz w:val="22"/>
        </w:rPr>
      </w:pPr>
      <w:r>
        <w:rPr>
          <w:b/>
          <w:sz w:val="22"/>
        </w:rPr>
        <w:t>MIC</w:t>
      </w:r>
      <w:r>
        <w:rPr>
          <w:b/>
          <w:spacing w:val="-6"/>
          <w:sz w:val="22"/>
        </w:rPr>
        <w:t> </w:t>
      </w:r>
      <w:r>
        <w:rPr>
          <w:b/>
          <w:sz w:val="22"/>
        </w:rPr>
        <w:t>and</w:t>
      </w:r>
      <w:r>
        <w:rPr>
          <w:b/>
          <w:spacing w:val="-4"/>
          <w:sz w:val="22"/>
        </w:rPr>
        <w:t> </w:t>
      </w:r>
      <w:r>
        <w:rPr>
          <w:b/>
          <w:sz w:val="22"/>
        </w:rPr>
        <w:t>MBC</w:t>
      </w:r>
      <w:r>
        <w:rPr>
          <w:b/>
          <w:spacing w:val="-5"/>
          <w:sz w:val="22"/>
        </w:rPr>
        <w:t> </w:t>
      </w:r>
      <w:r>
        <w:rPr>
          <w:b/>
          <w:sz w:val="22"/>
        </w:rPr>
        <w:t>Test</w:t>
      </w:r>
      <w:r>
        <w:rPr>
          <w:b/>
          <w:spacing w:val="-5"/>
          <w:sz w:val="22"/>
        </w:rPr>
        <w:t> </w:t>
      </w:r>
      <w:r>
        <w:rPr>
          <w:b/>
          <w:sz w:val="22"/>
        </w:rPr>
        <w:t>(µg/ml)</w:t>
      </w:r>
      <w:r>
        <w:rPr>
          <w:b/>
          <w:spacing w:val="-5"/>
          <w:sz w:val="22"/>
        </w:rPr>
        <w:t> </w:t>
      </w:r>
      <w:r>
        <w:rPr>
          <w:b/>
          <w:sz w:val="22"/>
        </w:rPr>
        <w:t>of</w:t>
      </w:r>
      <w:r>
        <w:rPr>
          <w:b/>
          <w:spacing w:val="-3"/>
          <w:sz w:val="22"/>
        </w:rPr>
        <w:t> </w:t>
      </w:r>
      <w:r>
        <w:rPr>
          <w:b/>
          <w:sz w:val="22"/>
        </w:rPr>
        <w:t>Lemon</w:t>
      </w:r>
      <w:r>
        <w:rPr>
          <w:b/>
          <w:spacing w:val="-3"/>
          <w:sz w:val="22"/>
        </w:rPr>
        <w:t> </w:t>
      </w:r>
      <w:r>
        <w:rPr>
          <w:b/>
          <w:sz w:val="22"/>
        </w:rPr>
        <w:t>juice</w:t>
      </w:r>
      <w:r>
        <w:rPr>
          <w:b/>
          <w:spacing w:val="-3"/>
          <w:sz w:val="22"/>
        </w:rPr>
        <w:t> </w:t>
      </w:r>
      <w:r>
        <w:rPr>
          <w:b/>
          <w:sz w:val="22"/>
        </w:rPr>
        <w:t>and</w:t>
      </w:r>
      <w:r>
        <w:rPr>
          <w:b/>
          <w:spacing w:val="-4"/>
          <w:sz w:val="22"/>
        </w:rPr>
        <w:t> </w:t>
      </w:r>
      <w:r>
        <w:rPr>
          <w:b/>
          <w:sz w:val="22"/>
        </w:rPr>
        <w:t>Honey</w:t>
      </w:r>
      <w:r>
        <w:rPr>
          <w:b/>
          <w:spacing w:val="-5"/>
          <w:sz w:val="22"/>
        </w:rPr>
        <w:t> </w:t>
      </w:r>
      <w:r>
        <w:rPr>
          <w:b/>
          <w:sz w:val="22"/>
        </w:rPr>
        <w:t>mixture</w:t>
      </w:r>
      <w:r>
        <w:rPr>
          <w:b/>
          <w:spacing w:val="-4"/>
          <w:sz w:val="22"/>
        </w:rPr>
        <w:t> </w:t>
      </w:r>
      <w:r>
        <w:rPr>
          <w:b/>
          <w:sz w:val="22"/>
        </w:rPr>
        <w:t>against</w:t>
      </w:r>
      <w:r>
        <w:rPr>
          <w:b/>
          <w:spacing w:val="-2"/>
          <w:sz w:val="22"/>
        </w:rPr>
        <w:t> </w:t>
      </w:r>
      <w:r>
        <w:rPr>
          <w:b/>
          <w:i/>
          <w:sz w:val="22"/>
        </w:rPr>
        <w:t>Klebsiella</w:t>
      </w:r>
      <w:r>
        <w:rPr>
          <w:b/>
          <w:i/>
          <w:spacing w:val="-4"/>
          <w:sz w:val="22"/>
        </w:rPr>
        <w:t> </w:t>
      </w:r>
      <w:r>
        <w:rPr>
          <w:b/>
          <w:i/>
          <w:spacing w:val="-2"/>
          <w:sz w:val="22"/>
        </w:rPr>
        <w:t>pneumoniae</w:t>
      </w:r>
    </w:p>
    <w:p>
      <w:pPr>
        <w:pStyle w:val="BodyText"/>
        <w:rPr>
          <w:b/>
          <w:i/>
          <w:sz w:val="20"/>
        </w:rPr>
      </w:pPr>
    </w:p>
    <w:p>
      <w:pPr>
        <w:pStyle w:val="BodyText"/>
        <w:spacing w:before="146" w:after="1"/>
        <w:rPr>
          <w:b/>
          <w:i/>
          <w:sz w:val="20"/>
        </w:rPr>
      </w:pPr>
    </w:p>
    <w:tbl>
      <w:tblPr>
        <w:tblW w:w="0" w:type="auto"/>
        <w:jc w:val="left"/>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7"/>
        <w:gridCol w:w="827"/>
        <w:gridCol w:w="847"/>
        <w:gridCol w:w="841"/>
        <w:gridCol w:w="877"/>
        <w:gridCol w:w="836"/>
        <w:gridCol w:w="848"/>
        <w:gridCol w:w="820"/>
        <w:gridCol w:w="834"/>
        <w:gridCol w:w="815"/>
        <w:gridCol w:w="839"/>
      </w:tblGrid>
      <w:tr>
        <w:trPr>
          <w:trHeight w:val="665" w:hRule="atLeast"/>
        </w:trPr>
        <w:tc>
          <w:tcPr>
            <w:tcW w:w="1107" w:type="dxa"/>
            <w:tcBorders>
              <w:top w:val="single" w:sz="4" w:space="0" w:color="000000"/>
            </w:tcBorders>
          </w:tcPr>
          <w:p>
            <w:pPr>
              <w:pStyle w:val="TableParagraph"/>
              <w:spacing w:line="259" w:lineRule="auto"/>
              <w:ind w:left="403" w:right="211" w:hanging="173"/>
              <w:rPr>
                <w:sz w:val="22"/>
              </w:rPr>
            </w:pPr>
            <w:r>
              <w:rPr>
                <w:spacing w:val="-2"/>
                <w:sz w:val="22"/>
              </w:rPr>
              <w:t>Sample </w:t>
            </w:r>
            <w:r>
              <w:rPr>
                <w:spacing w:val="-4"/>
                <w:sz w:val="22"/>
              </w:rPr>
              <w:t>No.</w:t>
            </w:r>
          </w:p>
        </w:tc>
        <w:tc>
          <w:tcPr>
            <w:tcW w:w="827" w:type="dxa"/>
            <w:tcBorders>
              <w:top w:val="single" w:sz="4" w:space="0" w:color="000000"/>
            </w:tcBorders>
          </w:tcPr>
          <w:p>
            <w:pPr>
              <w:pStyle w:val="TableParagraph"/>
              <w:spacing w:before="143"/>
              <w:ind w:left="76" w:right="76"/>
              <w:jc w:val="center"/>
              <w:rPr>
                <w:sz w:val="22"/>
              </w:rPr>
            </w:pPr>
            <w:r>
              <w:rPr>
                <w:spacing w:val="-5"/>
                <w:sz w:val="22"/>
              </w:rPr>
              <w:t>MIC</w:t>
            </w:r>
          </w:p>
        </w:tc>
        <w:tc>
          <w:tcPr>
            <w:tcW w:w="847" w:type="dxa"/>
            <w:tcBorders>
              <w:top w:val="single" w:sz="4" w:space="0" w:color="000000"/>
            </w:tcBorders>
          </w:tcPr>
          <w:p>
            <w:pPr>
              <w:pStyle w:val="TableParagraph"/>
              <w:spacing w:before="143"/>
              <w:ind w:left="1" w:right="13"/>
              <w:jc w:val="center"/>
              <w:rPr>
                <w:sz w:val="22"/>
              </w:rPr>
            </w:pPr>
            <w:r>
              <w:rPr>
                <w:spacing w:val="-5"/>
                <w:sz w:val="22"/>
              </w:rPr>
              <w:t>MBC</w:t>
            </w:r>
          </w:p>
        </w:tc>
        <w:tc>
          <w:tcPr>
            <w:tcW w:w="841" w:type="dxa"/>
            <w:tcBorders>
              <w:top w:val="single" w:sz="4" w:space="0" w:color="000000"/>
            </w:tcBorders>
          </w:tcPr>
          <w:p>
            <w:pPr>
              <w:pStyle w:val="TableParagraph"/>
              <w:spacing w:before="143"/>
              <w:ind w:right="239"/>
              <w:jc w:val="right"/>
              <w:rPr>
                <w:sz w:val="22"/>
              </w:rPr>
            </w:pPr>
            <w:r>
              <w:rPr>
                <w:spacing w:val="-5"/>
                <w:sz w:val="22"/>
              </w:rPr>
              <w:t>MIC</w:t>
            </w:r>
          </w:p>
        </w:tc>
        <w:tc>
          <w:tcPr>
            <w:tcW w:w="877" w:type="dxa"/>
            <w:tcBorders>
              <w:top w:val="single" w:sz="4" w:space="0" w:color="000000"/>
            </w:tcBorders>
          </w:tcPr>
          <w:p>
            <w:pPr>
              <w:pStyle w:val="TableParagraph"/>
              <w:spacing w:before="143"/>
              <w:ind w:left="97" w:right="81"/>
              <w:jc w:val="center"/>
              <w:rPr>
                <w:sz w:val="22"/>
              </w:rPr>
            </w:pPr>
            <w:r>
              <w:rPr>
                <w:spacing w:val="-5"/>
                <w:sz w:val="22"/>
              </w:rPr>
              <w:t>MBC</w:t>
            </w:r>
          </w:p>
        </w:tc>
        <w:tc>
          <w:tcPr>
            <w:tcW w:w="836" w:type="dxa"/>
            <w:tcBorders>
              <w:top w:val="single" w:sz="4" w:space="0" w:color="000000"/>
            </w:tcBorders>
          </w:tcPr>
          <w:p>
            <w:pPr>
              <w:pStyle w:val="TableParagraph"/>
              <w:spacing w:before="143"/>
              <w:ind w:right="231"/>
              <w:jc w:val="right"/>
              <w:rPr>
                <w:sz w:val="22"/>
              </w:rPr>
            </w:pPr>
            <w:r>
              <w:rPr>
                <w:spacing w:val="-5"/>
                <w:sz w:val="22"/>
              </w:rPr>
              <w:t>MIC</w:t>
            </w:r>
          </w:p>
        </w:tc>
        <w:tc>
          <w:tcPr>
            <w:tcW w:w="848" w:type="dxa"/>
            <w:tcBorders>
              <w:top w:val="single" w:sz="4" w:space="0" w:color="000000"/>
            </w:tcBorders>
          </w:tcPr>
          <w:p>
            <w:pPr>
              <w:pStyle w:val="TableParagraph"/>
              <w:spacing w:before="143"/>
              <w:ind w:left="7" w:right="4"/>
              <w:jc w:val="center"/>
              <w:rPr>
                <w:sz w:val="22"/>
              </w:rPr>
            </w:pPr>
            <w:r>
              <w:rPr>
                <w:spacing w:val="-5"/>
                <w:sz w:val="22"/>
              </w:rPr>
              <w:t>MBC</w:t>
            </w:r>
          </w:p>
        </w:tc>
        <w:tc>
          <w:tcPr>
            <w:tcW w:w="820" w:type="dxa"/>
            <w:tcBorders>
              <w:top w:val="single" w:sz="4" w:space="0" w:color="000000"/>
            </w:tcBorders>
          </w:tcPr>
          <w:p>
            <w:pPr>
              <w:pStyle w:val="TableParagraph"/>
              <w:spacing w:before="143"/>
              <w:ind w:right="219"/>
              <w:jc w:val="right"/>
              <w:rPr>
                <w:sz w:val="22"/>
              </w:rPr>
            </w:pPr>
            <w:r>
              <w:rPr>
                <w:spacing w:val="-5"/>
                <w:sz w:val="22"/>
              </w:rPr>
              <w:t>MIC</w:t>
            </w:r>
          </w:p>
        </w:tc>
        <w:tc>
          <w:tcPr>
            <w:tcW w:w="834" w:type="dxa"/>
            <w:tcBorders>
              <w:top w:val="single" w:sz="4" w:space="0" w:color="000000"/>
            </w:tcBorders>
          </w:tcPr>
          <w:p>
            <w:pPr>
              <w:pStyle w:val="TableParagraph"/>
              <w:spacing w:before="143"/>
              <w:ind w:left="9" w:right="5"/>
              <w:jc w:val="center"/>
              <w:rPr>
                <w:sz w:val="22"/>
              </w:rPr>
            </w:pPr>
            <w:r>
              <w:rPr>
                <w:spacing w:val="-5"/>
                <w:sz w:val="22"/>
              </w:rPr>
              <w:t>MBC</w:t>
            </w:r>
          </w:p>
        </w:tc>
        <w:tc>
          <w:tcPr>
            <w:tcW w:w="815" w:type="dxa"/>
            <w:tcBorders>
              <w:top w:val="single" w:sz="4" w:space="0" w:color="000000"/>
            </w:tcBorders>
          </w:tcPr>
          <w:p>
            <w:pPr>
              <w:pStyle w:val="TableParagraph"/>
              <w:spacing w:before="143"/>
              <w:ind w:right="216"/>
              <w:jc w:val="right"/>
              <w:rPr>
                <w:sz w:val="22"/>
              </w:rPr>
            </w:pPr>
            <w:r>
              <w:rPr>
                <w:spacing w:val="-5"/>
                <w:sz w:val="22"/>
              </w:rPr>
              <w:t>MIC</w:t>
            </w:r>
          </w:p>
        </w:tc>
        <w:tc>
          <w:tcPr>
            <w:tcW w:w="839" w:type="dxa"/>
            <w:tcBorders>
              <w:top w:val="single" w:sz="4" w:space="0" w:color="000000"/>
            </w:tcBorders>
          </w:tcPr>
          <w:p>
            <w:pPr>
              <w:pStyle w:val="TableParagraph"/>
              <w:spacing w:before="143"/>
              <w:ind w:left="19"/>
              <w:jc w:val="center"/>
              <w:rPr>
                <w:sz w:val="22"/>
              </w:rPr>
            </w:pPr>
            <w:r>
              <w:rPr>
                <w:spacing w:val="-5"/>
                <w:sz w:val="22"/>
              </w:rPr>
              <w:t>MBC</w:t>
            </w:r>
          </w:p>
        </w:tc>
      </w:tr>
      <w:tr>
        <w:trPr>
          <w:trHeight w:val="524" w:hRule="atLeast"/>
        </w:trPr>
        <w:tc>
          <w:tcPr>
            <w:tcW w:w="1107" w:type="dxa"/>
            <w:tcBorders>
              <w:bottom w:val="single" w:sz="4" w:space="0" w:color="000000"/>
            </w:tcBorders>
          </w:tcPr>
          <w:p>
            <w:pPr>
              <w:pStyle w:val="TableParagraph"/>
              <w:rPr>
                <w:rFonts w:ascii="Times New Roman"/>
                <w:sz w:val="22"/>
              </w:rPr>
            </w:pPr>
          </w:p>
        </w:tc>
        <w:tc>
          <w:tcPr>
            <w:tcW w:w="827" w:type="dxa"/>
            <w:tcBorders>
              <w:bottom w:val="single" w:sz="4" w:space="0" w:color="000000"/>
            </w:tcBorders>
          </w:tcPr>
          <w:p>
            <w:pPr>
              <w:pStyle w:val="TableParagraph"/>
              <w:spacing w:before="70"/>
              <w:ind w:left="1" w:right="77"/>
              <w:jc w:val="center"/>
              <w:rPr>
                <w:sz w:val="22"/>
              </w:rPr>
            </w:pPr>
            <w:r>
              <w:rPr>
                <w:spacing w:val="-2"/>
                <w:sz w:val="22"/>
              </w:rPr>
              <w:t>10:50</w:t>
            </w:r>
          </w:p>
        </w:tc>
        <w:tc>
          <w:tcPr>
            <w:tcW w:w="847" w:type="dxa"/>
            <w:tcBorders>
              <w:bottom w:val="single" w:sz="4" w:space="0" w:color="000000"/>
            </w:tcBorders>
          </w:tcPr>
          <w:p>
            <w:pPr>
              <w:pStyle w:val="TableParagraph"/>
              <w:rPr>
                <w:rFonts w:ascii="Times New Roman"/>
                <w:sz w:val="22"/>
              </w:rPr>
            </w:pPr>
          </w:p>
        </w:tc>
        <w:tc>
          <w:tcPr>
            <w:tcW w:w="841" w:type="dxa"/>
            <w:tcBorders>
              <w:bottom w:val="single" w:sz="4" w:space="0" w:color="000000"/>
            </w:tcBorders>
          </w:tcPr>
          <w:p>
            <w:pPr>
              <w:pStyle w:val="TableParagraph"/>
              <w:spacing w:before="70"/>
              <w:ind w:right="227"/>
              <w:jc w:val="right"/>
              <w:rPr>
                <w:sz w:val="22"/>
              </w:rPr>
            </w:pPr>
            <w:r>
              <w:rPr>
                <w:spacing w:val="-2"/>
                <w:sz w:val="22"/>
              </w:rPr>
              <w:t>20:50</w:t>
            </w:r>
          </w:p>
        </w:tc>
        <w:tc>
          <w:tcPr>
            <w:tcW w:w="877" w:type="dxa"/>
            <w:tcBorders>
              <w:bottom w:val="single" w:sz="4" w:space="0" w:color="000000"/>
            </w:tcBorders>
          </w:tcPr>
          <w:p>
            <w:pPr>
              <w:pStyle w:val="TableParagraph"/>
              <w:rPr>
                <w:rFonts w:ascii="Times New Roman"/>
                <w:sz w:val="22"/>
              </w:rPr>
            </w:pPr>
          </w:p>
        </w:tc>
        <w:tc>
          <w:tcPr>
            <w:tcW w:w="836" w:type="dxa"/>
            <w:tcBorders>
              <w:bottom w:val="single" w:sz="4" w:space="0" w:color="000000"/>
            </w:tcBorders>
          </w:tcPr>
          <w:p>
            <w:pPr>
              <w:pStyle w:val="TableParagraph"/>
              <w:spacing w:before="70"/>
              <w:ind w:right="199"/>
              <w:jc w:val="right"/>
              <w:rPr>
                <w:sz w:val="22"/>
              </w:rPr>
            </w:pPr>
            <w:r>
              <w:rPr>
                <w:spacing w:val="-2"/>
                <w:sz w:val="22"/>
              </w:rPr>
              <w:t>30:50</w:t>
            </w:r>
          </w:p>
        </w:tc>
        <w:tc>
          <w:tcPr>
            <w:tcW w:w="848" w:type="dxa"/>
            <w:tcBorders>
              <w:bottom w:val="single" w:sz="4" w:space="0" w:color="000000"/>
            </w:tcBorders>
          </w:tcPr>
          <w:p>
            <w:pPr>
              <w:pStyle w:val="TableParagraph"/>
              <w:rPr>
                <w:rFonts w:ascii="Times New Roman"/>
                <w:sz w:val="22"/>
              </w:rPr>
            </w:pPr>
          </w:p>
        </w:tc>
        <w:tc>
          <w:tcPr>
            <w:tcW w:w="820" w:type="dxa"/>
            <w:tcBorders>
              <w:bottom w:val="single" w:sz="4" w:space="0" w:color="000000"/>
            </w:tcBorders>
          </w:tcPr>
          <w:p>
            <w:pPr>
              <w:pStyle w:val="TableParagraph"/>
              <w:spacing w:before="70"/>
              <w:ind w:right="187"/>
              <w:jc w:val="right"/>
              <w:rPr>
                <w:sz w:val="22"/>
              </w:rPr>
            </w:pPr>
            <w:r>
              <w:rPr>
                <w:spacing w:val="-2"/>
                <w:sz w:val="22"/>
              </w:rPr>
              <w:t>40:50</w:t>
            </w:r>
          </w:p>
        </w:tc>
        <w:tc>
          <w:tcPr>
            <w:tcW w:w="834" w:type="dxa"/>
            <w:tcBorders>
              <w:bottom w:val="single" w:sz="4" w:space="0" w:color="000000"/>
            </w:tcBorders>
          </w:tcPr>
          <w:p>
            <w:pPr>
              <w:pStyle w:val="TableParagraph"/>
              <w:rPr>
                <w:rFonts w:ascii="Times New Roman"/>
                <w:sz w:val="22"/>
              </w:rPr>
            </w:pPr>
          </w:p>
        </w:tc>
        <w:tc>
          <w:tcPr>
            <w:tcW w:w="815" w:type="dxa"/>
            <w:tcBorders>
              <w:bottom w:val="single" w:sz="4" w:space="0" w:color="000000"/>
            </w:tcBorders>
          </w:tcPr>
          <w:p>
            <w:pPr>
              <w:pStyle w:val="TableParagraph"/>
              <w:spacing w:before="70"/>
              <w:ind w:right="194"/>
              <w:jc w:val="right"/>
              <w:rPr>
                <w:sz w:val="22"/>
              </w:rPr>
            </w:pPr>
            <w:r>
              <w:rPr>
                <w:spacing w:val="-2"/>
                <w:sz w:val="22"/>
              </w:rPr>
              <w:t>50:50</w:t>
            </w:r>
          </w:p>
        </w:tc>
        <w:tc>
          <w:tcPr>
            <w:tcW w:w="839" w:type="dxa"/>
            <w:tcBorders>
              <w:bottom w:val="single" w:sz="4" w:space="0" w:color="000000"/>
            </w:tcBorders>
          </w:tcPr>
          <w:p>
            <w:pPr>
              <w:pStyle w:val="TableParagraph"/>
              <w:rPr>
                <w:rFonts w:ascii="Times New Roman"/>
                <w:sz w:val="22"/>
              </w:rPr>
            </w:pPr>
          </w:p>
        </w:tc>
      </w:tr>
      <w:tr>
        <w:trPr>
          <w:trHeight w:val="375" w:hRule="atLeast"/>
        </w:trPr>
        <w:tc>
          <w:tcPr>
            <w:tcW w:w="1107" w:type="dxa"/>
            <w:tcBorders>
              <w:top w:val="single" w:sz="4" w:space="0" w:color="000000"/>
            </w:tcBorders>
          </w:tcPr>
          <w:p>
            <w:pPr>
              <w:pStyle w:val="TableParagraph"/>
              <w:spacing w:line="265" w:lineRule="exact"/>
              <w:ind w:left="107"/>
              <w:rPr>
                <w:sz w:val="22"/>
              </w:rPr>
            </w:pPr>
            <w:r>
              <w:rPr>
                <w:sz w:val="22"/>
              </w:rPr>
              <w:t>ES</w:t>
            </w:r>
            <w:r>
              <w:rPr>
                <w:spacing w:val="-1"/>
                <w:sz w:val="22"/>
              </w:rPr>
              <w:t> </w:t>
            </w:r>
            <w:r>
              <w:rPr>
                <w:spacing w:val="-5"/>
                <w:sz w:val="22"/>
              </w:rPr>
              <w:t>848</w:t>
            </w:r>
          </w:p>
        </w:tc>
        <w:tc>
          <w:tcPr>
            <w:tcW w:w="827" w:type="dxa"/>
            <w:tcBorders>
              <w:top w:val="single" w:sz="4" w:space="0" w:color="000000"/>
            </w:tcBorders>
          </w:tcPr>
          <w:p>
            <w:pPr>
              <w:pStyle w:val="TableParagraph"/>
              <w:spacing w:line="265" w:lineRule="exact"/>
              <w:ind w:left="77" w:right="76"/>
              <w:jc w:val="center"/>
              <w:rPr>
                <w:sz w:val="22"/>
              </w:rPr>
            </w:pPr>
            <w:r>
              <w:rPr>
                <w:spacing w:val="-4"/>
                <w:sz w:val="22"/>
              </w:rPr>
              <w:t>30.0</w:t>
            </w:r>
          </w:p>
        </w:tc>
        <w:tc>
          <w:tcPr>
            <w:tcW w:w="847" w:type="dxa"/>
            <w:tcBorders>
              <w:top w:val="single" w:sz="4" w:space="0" w:color="000000"/>
            </w:tcBorders>
          </w:tcPr>
          <w:p>
            <w:pPr>
              <w:pStyle w:val="TableParagraph"/>
              <w:spacing w:line="265" w:lineRule="exact"/>
              <w:ind w:right="13"/>
              <w:jc w:val="center"/>
              <w:rPr>
                <w:sz w:val="22"/>
              </w:rPr>
            </w:pPr>
            <w:r>
              <w:rPr>
                <w:spacing w:val="-4"/>
                <w:sz w:val="22"/>
              </w:rPr>
              <w:t>45.0</w:t>
            </w:r>
          </w:p>
        </w:tc>
        <w:tc>
          <w:tcPr>
            <w:tcW w:w="841" w:type="dxa"/>
            <w:tcBorders>
              <w:top w:val="single" w:sz="4" w:space="0" w:color="000000"/>
            </w:tcBorders>
          </w:tcPr>
          <w:p>
            <w:pPr>
              <w:pStyle w:val="TableParagraph"/>
              <w:spacing w:line="265" w:lineRule="exact"/>
              <w:ind w:right="224"/>
              <w:jc w:val="right"/>
              <w:rPr>
                <w:sz w:val="22"/>
              </w:rPr>
            </w:pPr>
            <w:r>
              <w:rPr>
                <w:spacing w:val="-4"/>
                <w:sz w:val="22"/>
              </w:rPr>
              <w:t>25.0</w:t>
            </w:r>
          </w:p>
        </w:tc>
        <w:tc>
          <w:tcPr>
            <w:tcW w:w="877" w:type="dxa"/>
            <w:tcBorders>
              <w:top w:val="single" w:sz="4" w:space="0" w:color="000000"/>
            </w:tcBorders>
          </w:tcPr>
          <w:p>
            <w:pPr>
              <w:pStyle w:val="TableParagraph"/>
              <w:spacing w:line="265" w:lineRule="exact"/>
              <w:ind w:left="101" w:right="81"/>
              <w:jc w:val="center"/>
              <w:rPr>
                <w:sz w:val="22"/>
              </w:rPr>
            </w:pPr>
            <w:r>
              <w:rPr>
                <w:spacing w:val="-4"/>
                <w:sz w:val="22"/>
              </w:rPr>
              <w:t>40.0</w:t>
            </w:r>
          </w:p>
        </w:tc>
        <w:tc>
          <w:tcPr>
            <w:tcW w:w="836" w:type="dxa"/>
            <w:tcBorders>
              <w:top w:val="single" w:sz="4" w:space="0" w:color="000000"/>
            </w:tcBorders>
          </w:tcPr>
          <w:p>
            <w:pPr>
              <w:pStyle w:val="TableParagraph"/>
              <w:spacing w:line="265" w:lineRule="exact"/>
              <w:ind w:right="215"/>
              <w:jc w:val="right"/>
              <w:rPr>
                <w:sz w:val="22"/>
              </w:rPr>
            </w:pPr>
            <w:r>
              <w:rPr>
                <w:spacing w:val="-4"/>
                <w:sz w:val="22"/>
              </w:rPr>
              <w:t>35.0</w:t>
            </w:r>
          </w:p>
        </w:tc>
        <w:tc>
          <w:tcPr>
            <w:tcW w:w="848" w:type="dxa"/>
            <w:tcBorders>
              <w:top w:val="single" w:sz="4" w:space="0" w:color="000000"/>
            </w:tcBorders>
          </w:tcPr>
          <w:p>
            <w:pPr>
              <w:pStyle w:val="TableParagraph"/>
              <w:spacing w:line="265" w:lineRule="exact"/>
              <w:ind w:left="7"/>
              <w:jc w:val="center"/>
              <w:rPr>
                <w:sz w:val="22"/>
              </w:rPr>
            </w:pPr>
            <w:r>
              <w:rPr>
                <w:spacing w:val="-4"/>
                <w:sz w:val="22"/>
              </w:rPr>
              <w:t>70.0</w:t>
            </w:r>
          </w:p>
        </w:tc>
        <w:tc>
          <w:tcPr>
            <w:tcW w:w="820" w:type="dxa"/>
            <w:tcBorders>
              <w:top w:val="single" w:sz="4" w:space="0" w:color="000000"/>
            </w:tcBorders>
          </w:tcPr>
          <w:p>
            <w:pPr>
              <w:pStyle w:val="TableParagraph"/>
              <w:spacing w:line="265" w:lineRule="exact"/>
              <w:ind w:right="203"/>
              <w:jc w:val="right"/>
              <w:rPr>
                <w:sz w:val="22"/>
              </w:rPr>
            </w:pPr>
            <w:r>
              <w:rPr>
                <w:spacing w:val="-4"/>
                <w:sz w:val="22"/>
              </w:rPr>
              <w:t>45.0</w:t>
            </w:r>
          </w:p>
        </w:tc>
        <w:tc>
          <w:tcPr>
            <w:tcW w:w="834" w:type="dxa"/>
            <w:tcBorders>
              <w:top w:val="single" w:sz="4" w:space="0" w:color="000000"/>
            </w:tcBorders>
          </w:tcPr>
          <w:p>
            <w:pPr>
              <w:pStyle w:val="TableParagraph"/>
              <w:spacing w:line="265" w:lineRule="exact"/>
              <w:ind w:left="8" w:right="5"/>
              <w:jc w:val="center"/>
              <w:rPr>
                <w:sz w:val="22"/>
              </w:rPr>
            </w:pPr>
            <w:r>
              <w:rPr>
                <w:spacing w:val="-4"/>
                <w:sz w:val="22"/>
              </w:rPr>
              <w:t>80.0</w:t>
            </w:r>
          </w:p>
        </w:tc>
        <w:tc>
          <w:tcPr>
            <w:tcW w:w="815" w:type="dxa"/>
            <w:tcBorders>
              <w:top w:val="single" w:sz="4" w:space="0" w:color="000000"/>
            </w:tcBorders>
          </w:tcPr>
          <w:p>
            <w:pPr>
              <w:pStyle w:val="TableParagraph"/>
              <w:spacing w:line="265" w:lineRule="exact"/>
              <w:ind w:right="201"/>
              <w:jc w:val="right"/>
              <w:rPr>
                <w:sz w:val="22"/>
              </w:rPr>
            </w:pPr>
            <w:r>
              <w:rPr>
                <w:spacing w:val="-4"/>
                <w:sz w:val="22"/>
              </w:rPr>
              <w:t>50.0</w:t>
            </w:r>
          </w:p>
        </w:tc>
        <w:tc>
          <w:tcPr>
            <w:tcW w:w="839" w:type="dxa"/>
            <w:tcBorders>
              <w:top w:val="single" w:sz="4" w:space="0" w:color="000000"/>
            </w:tcBorders>
          </w:tcPr>
          <w:p>
            <w:pPr>
              <w:pStyle w:val="TableParagraph"/>
              <w:spacing w:line="265" w:lineRule="exact"/>
              <w:ind w:left="19" w:right="1"/>
              <w:jc w:val="center"/>
              <w:rPr>
                <w:sz w:val="22"/>
              </w:rPr>
            </w:pPr>
            <w:r>
              <w:rPr>
                <w:spacing w:val="-4"/>
                <w:sz w:val="22"/>
              </w:rPr>
              <w:t>80.0</w:t>
            </w:r>
          </w:p>
        </w:tc>
      </w:tr>
      <w:tr>
        <w:trPr>
          <w:trHeight w:val="335" w:hRule="atLeast"/>
        </w:trPr>
        <w:tc>
          <w:tcPr>
            <w:tcW w:w="1107" w:type="dxa"/>
          </w:tcPr>
          <w:p>
            <w:pPr>
              <w:pStyle w:val="TableParagraph"/>
              <w:spacing w:line="245" w:lineRule="exact" w:before="70"/>
              <w:ind w:left="107"/>
              <w:rPr>
                <w:sz w:val="22"/>
              </w:rPr>
            </w:pPr>
            <w:r>
              <w:rPr>
                <w:sz w:val="22"/>
              </w:rPr>
              <w:t>SP</w:t>
            </w:r>
            <w:r>
              <w:rPr>
                <w:spacing w:val="1"/>
                <w:sz w:val="22"/>
              </w:rPr>
              <w:t> </w:t>
            </w:r>
            <w:r>
              <w:rPr>
                <w:spacing w:val="-4"/>
                <w:sz w:val="22"/>
              </w:rPr>
              <w:t>1348</w:t>
            </w:r>
          </w:p>
        </w:tc>
        <w:tc>
          <w:tcPr>
            <w:tcW w:w="827" w:type="dxa"/>
          </w:tcPr>
          <w:p>
            <w:pPr>
              <w:pStyle w:val="TableParagraph"/>
              <w:spacing w:line="245" w:lineRule="exact" w:before="70"/>
              <w:ind w:left="77" w:right="76"/>
              <w:jc w:val="center"/>
              <w:rPr>
                <w:sz w:val="22"/>
              </w:rPr>
            </w:pPr>
            <w:r>
              <w:rPr>
                <w:spacing w:val="-4"/>
                <w:sz w:val="22"/>
              </w:rPr>
              <w:t>25.0</w:t>
            </w:r>
          </w:p>
        </w:tc>
        <w:tc>
          <w:tcPr>
            <w:tcW w:w="847" w:type="dxa"/>
          </w:tcPr>
          <w:p>
            <w:pPr>
              <w:pStyle w:val="TableParagraph"/>
              <w:spacing w:line="245" w:lineRule="exact" w:before="70"/>
              <w:ind w:right="13"/>
              <w:jc w:val="center"/>
              <w:rPr>
                <w:sz w:val="22"/>
              </w:rPr>
            </w:pPr>
            <w:r>
              <w:rPr>
                <w:spacing w:val="-4"/>
                <w:sz w:val="22"/>
              </w:rPr>
              <w:t>40.0</w:t>
            </w:r>
          </w:p>
        </w:tc>
        <w:tc>
          <w:tcPr>
            <w:tcW w:w="841" w:type="dxa"/>
          </w:tcPr>
          <w:p>
            <w:pPr>
              <w:pStyle w:val="TableParagraph"/>
              <w:spacing w:line="245" w:lineRule="exact" w:before="70"/>
              <w:ind w:right="224"/>
              <w:jc w:val="right"/>
              <w:rPr>
                <w:sz w:val="22"/>
              </w:rPr>
            </w:pPr>
            <w:r>
              <w:rPr>
                <w:spacing w:val="-4"/>
                <w:sz w:val="22"/>
              </w:rPr>
              <w:t>20.0</w:t>
            </w:r>
          </w:p>
        </w:tc>
        <w:tc>
          <w:tcPr>
            <w:tcW w:w="877" w:type="dxa"/>
          </w:tcPr>
          <w:p>
            <w:pPr>
              <w:pStyle w:val="TableParagraph"/>
              <w:spacing w:line="245" w:lineRule="exact" w:before="70"/>
              <w:ind w:left="101" w:right="81"/>
              <w:jc w:val="center"/>
              <w:rPr>
                <w:sz w:val="22"/>
              </w:rPr>
            </w:pPr>
            <w:r>
              <w:rPr>
                <w:spacing w:val="-4"/>
                <w:sz w:val="22"/>
              </w:rPr>
              <w:t>40.0</w:t>
            </w:r>
          </w:p>
        </w:tc>
        <w:tc>
          <w:tcPr>
            <w:tcW w:w="836" w:type="dxa"/>
          </w:tcPr>
          <w:p>
            <w:pPr>
              <w:pStyle w:val="TableParagraph"/>
              <w:spacing w:line="245" w:lineRule="exact" w:before="70"/>
              <w:ind w:right="215"/>
              <w:jc w:val="right"/>
              <w:rPr>
                <w:sz w:val="22"/>
              </w:rPr>
            </w:pPr>
            <w:r>
              <w:rPr>
                <w:spacing w:val="-4"/>
                <w:sz w:val="22"/>
              </w:rPr>
              <w:t>30.0</w:t>
            </w:r>
          </w:p>
        </w:tc>
        <w:tc>
          <w:tcPr>
            <w:tcW w:w="848" w:type="dxa"/>
          </w:tcPr>
          <w:p>
            <w:pPr>
              <w:pStyle w:val="TableParagraph"/>
              <w:spacing w:line="245" w:lineRule="exact" w:before="70"/>
              <w:ind w:left="7"/>
              <w:jc w:val="center"/>
              <w:rPr>
                <w:sz w:val="22"/>
              </w:rPr>
            </w:pPr>
            <w:r>
              <w:rPr>
                <w:spacing w:val="-4"/>
                <w:sz w:val="22"/>
              </w:rPr>
              <w:t>50.0</w:t>
            </w:r>
          </w:p>
        </w:tc>
        <w:tc>
          <w:tcPr>
            <w:tcW w:w="820" w:type="dxa"/>
          </w:tcPr>
          <w:p>
            <w:pPr>
              <w:pStyle w:val="TableParagraph"/>
              <w:spacing w:line="245" w:lineRule="exact" w:before="70"/>
              <w:ind w:right="203"/>
              <w:jc w:val="right"/>
              <w:rPr>
                <w:sz w:val="22"/>
              </w:rPr>
            </w:pPr>
            <w:r>
              <w:rPr>
                <w:spacing w:val="-4"/>
                <w:sz w:val="22"/>
              </w:rPr>
              <w:t>30.0</w:t>
            </w:r>
          </w:p>
        </w:tc>
        <w:tc>
          <w:tcPr>
            <w:tcW w:w="834" w:type="dxa"/>
          </w:tcPr>
          <w:p>
            <w:pPr>
              <w:pStyle w:val="TableParagraph"/>
              <w:spacing w:line="245" w:lineRule="exact" w:before="70"/>
              <w:ind w:left="8" w:right="5"/>
              <w:jc w:val="center"/>
              <w:rPr>
                <w:sz w:val="22"/>
              </w:rPr>
            </w:pPr>
            <w:r>
              <w:rPr>
                <w:spacing w:val="-4"/>
                <w:sz w:val="22"/>
              </w:rPr>
              <w:t>50.0</w:t>
            </w:r>
          </w:p>
        </w:tc>
        <w:tc>
          <w:tcPr>
            <w:tcW w:w="815" w:type="dxa"/>
          </w:tcPr>
          <w:p>
            <w:pPr>
              <w:pStyle w:val="TableParagraph"/>
              <w:spacing w:line="245" w:lineRule="exact" w:before="70"/>
              <w:ind w:right="201"/>
              <w:jc w:val="right"/>
              <w:rPr>
                <w:sz w:val="22"/>
              </w:rPr>
            </w:pPr>
            <w:r>
              <w:rPr>
                <w:spacing w:val="-4"/>
                <w:sz w:val="22"/>
              </w:rPr>
              <w:t>25.0</w:t>
            </w:r>
          </w:p>
        </w:tc>
        <w:tc>
          <w:tcPr>
            <w:tcW w:w="839" w:type="dxa"/>
          </w:tcPr>
          <w:p>
            <w:pPr>
              <w:pStyle w:val="TableParagraph"/>
              <w:spacing w:line="245" w:lineRule="exact" w:before="70"/>
              <w:ind w:left="19" w:right="1"/>
              <w:jc w:val="center"/>
              <w:rPr>
                <w:sz w:val="22"/>
              </w:rPr>
            </w:pPr>
            <w:r>
              <w:rPr>
                <w:spacing w:val="-4"/>
                <w:sz w:val="22"/>
              </w:rPr>
              <w:t>50.0</w:t>
            </w:r>
          </w:p>
        </w:tc>
      </w:tr>
    </w:tbl>
    <w:p>
      <w:pPr>
        <w:spacing w:after="0" w:line="245" w:lineRule="exact"/>
        <w:jc w:val="center"/>
        <w:rPr>
          <w:sz w:val="22"/>
        </w:rPr>
        <w:sectPr>
          <w:pgSz w:w="11910" w:h="16840"/>
          <w:pgMar w:header="0" w:footer="1055" w:top="1920" w:bottom="1635" w:left="1060" w:right="460"/>
        </w:sect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7"/>
        <w:gridCol w:w="864"/>
        <w:gridCol w:w="840"/>
        <w:gridCol w:w="861"/>
        <w:gridCol w:w="861"/>
        <w:gridCol w:w="846"/>
        <w:gridCol w:w="840"/>
        <w:gridCol w:w="829"/>
        <w:gridCol w:w="825"/>
        <w:gridCol w:w="829"/>
        <w:gridCol w:w="834"/>
      </w:tblGrid>
      <w:tr>
        <w:trPr>
          <w:trHeight w:val="335" w:hRule="atLeast"/>
        </w:trPr>
        <w:tc>
          <w:tcPr>
            <w:tcW w:w="1087" w:type="dxa"/>
          </w:tcPr>
          <w:p>
            <w:pPr>
              <w:pStyle w:val="TableParagraph"/>
              <w:spacing w:line="225" w:lineRule="exact"/>
              <w:ind w:left="111" w:right="239"/>
              <w:jc w:val="center"/>
              <w:rPr>
                <w:sz w:val="22"/>
              </w:rPr>
            </w:pPr>
            <w:r>
              <w:rPr>
                <w:sz w:val="22"/>
              </w:rPr>
              <w:t>SP</w:t>
            </w:r>
            <w:r>
              <w:rPr>
                <w:spacing w:val="1"/>
                <w:sz w:val="22"/>
              </w:rPr>
              <w:t> </w:t>
            </w:r>
            <w:r>
              <w:rPr>
                <w:spacing w:val="-4"/>
                <w:sz w:val="22"/>
              </w:rPr>
              <w:t>1386</w:t>
            </w:r>
          </w:p>
        </w:tc>
        <w:tc>
          <w:tcPr>
            <w:tcW w:w="864" w:type="dxa"/>
          </w:tcPr>
          <w:p>
            <w:pPr>
              <w:pStyle w:val="TableParagraph"/>
              <w:spacing w:line="225" w:lineRule="exact"/>
              <w:ind w:left="33"/>
              <w:jc w:val="center"/>
              <w:rPr>
                <w:sz w:val="22"/>
              </w:rPr>
            </w:pPr>
            <w:r>
              <w:rPr>
                <w:spacing w:val="-4"/>
                <w:sz w:val="22"/>
              </w:rPr>
              <w:t>30.0</w:t>
            </w:r>
          </w:p>
        </w:tc>
        <w:tc>
          <w:tcPr>
            <w:tcW w:w="840" w:type="dxa"/>
          </w:tcPr>
          <w:p>
            <w:pPr>
              <w:pStyle w:val="TableParagraph"/>
              <w:spacing w:line="225" w:lineRule="exact"/>
              <w:ind w:left="20" w:right="31"/>
              <w:jc w:val="center"/>
              <w:rPr>
                <w:sz w:val="22"/>
              </w:rPr>
            </w:pPr>
            <w:r>
              <w:rPr>
                <w:spacing w:val="-4"/>
                <w:sz w:val="22"/>
              </w:rPr>
              <w:t>60.0</w:t>
            </w:r>
          </w:p>
        </w:tc>
        <w:tc>
          <w:tcPr>
            <w:tcW w:w="861" w:type="dxa"/>
          </w:tcPr>
          <w:p>
            <w:pPr>
              <w:pStyle w:val="TableParagraph"/>
              <w:spacing w:line="225" w:lineRule="exact"/>
              <w:ind w:left="82" w:right="95"/>
              <w:jc w:val="center"/>
              <w:rPr>
                <w:sz w:val="22"/>
              </w:rPr>
            </w:pPr>
            <w:r>
              <w:rPr>
                <w:spacing w:val="-4"/>
                <w:sz w:val="22"/>
              </w:rPr>
              <w:t>25.0</w:t>
            </w:r>
          </w:p>
        </w:tc>
        <w:tc>
          <w:tcPr>
            <w:tcW w:w="861" w:type="dxa"/>
          </w:tcPr>
          <w:p>
            <w:pPr>
              <w:pStyle w:val="TableParagraph"/>
              <w:spacing w:line="225" w:lineRule="exact"/>
              <w:ind w:left="99" w:right="95"/>
              <w:jc w:val="center"/>
              <w:rPr>
                <w:sz w:val="22"/>
              </w:rPr>
            </w:pPr>
            <w:r>
              <w:rPr>
                <w:spacing w:val="-4"/>
                <w:sz w:val="22"/>
              </w:rPr>
              <w:t>50.0</w:t>
            </w:r>
          </w:p>
        </w:tc>
        <w:tc>
          <w:tcPr>
            <w:tcW w:w="846" w:type="dxa"/>
          </w:tcPr>
          <w:p>
            <w:pPr>
              <w:pStyle w:val="TableParagraph"/>
              <w:spacing w:line="225" w:lineRule="exact"/>
              <w:jc w:val="center"/>
              <w:rPr>
                <w:sz w:val="22"/>
              </w:rPr>
            </w:pPr>
            <w:r>
              <w:rPr>
                <w:spacing w:val="-4"/>
                <w:sz w:val="22"/>
              </w:rPr>
              <w:t>25.0</w:t>
            </w:r>
          </w:p>
        </w:tc>
        <w:tc>
          <w:tcPr>
            <w:tcW w:w="840" w:type="dxa"/>
          </w:tcPr>
          <w:p>
            <w:pPr>
              <w:pStyle w:val="TableParagraph"/>
              <w:spacing w:line="225" w:lineRule="exact"/>
              <w:ind w:left="20" w:right="21"/>
              <w:jc w:val="center"/>
              <w:rPr>
                <w:sz w:val="22"/>
              </w:rPr>
            </w:pPr>
            <w:r>
              <w:rPr>
                <w:spacing w:val="-4"/>
                <w:sz w:val="22"/>
              </w:rPr>
              <w:t>40.0</w:t>
            </w:r>
          </w:p>
        </w:tc>
        <w:tc>
          <w:tcPr>
            <w:tcW w:w="829" w:type="dxa"/>
          </w:tcPr>
          <w:p>
            <w:pPr>
              <w:pStyle w:val="TableParagraph"/>
              <w:spacing w:line="225" w:lineRule="exact"/>
              <w:ind w:left="5" w:right="1"/>
              <w:jc w:val="center"/>
              <w:rPr>
                <w:sz w:val="22"/>
              </w:rPr>
            </w:pPr>
            <w:r>
              <w:rPr>
                <w:spacing w:val="-4"/>
                <w:sz w:val="22"/>
              </w:rPr>
              <w:t>25.0</w:t>
            </w:r>
          </w:p>
        </w:tc>
        <w:tc>
          <w:tcPr>
            <w:tcW w:w="825" w:type="dxa"/>
          </w:tcPr>
          <w:p>
            <w:pPr>
              <w:pStyle w:val="TableParagraph"/>
              <w:spacing w:line="225" w:lineRule="exact"/>
              <w:ind w:right="6"/>
              <w:jc w:val="center"/>
              <w:rPr>
                <w:sz w:val="22"/>
              </w:rPr>
            </w:pPr>
            <w:r>
              <w:rPr>
                <w:spacing w:val="-4"/>
                <w:sz w:val="22"/>
              </w:rPr>
              <w:t>40.0</w:t>
            </w:r>
          </w:p>
        </w:tc>
        <w:tc>
          <w:tcPr>
            <w:tcW w:w="829" w:type="dxa"/>
          </w:tcPr>
          <w:p>
            <w:pPr>
              <w:pStyle w:val="TableParagraph"/>
              <w:spacing w:line="225" w:lineRule="exact"/>
              <w:ind w:left="4" w:right="5"/>
              <w:jc w:val="center"/>
              <w:rPr>
                <w:sz w:val="22"/>
              </w:rPr>
            </w:pPr>
            <w:r>
              <w:rPr>
                <w:spacing w:val="-4"/>
                <w:sz w:val="22"/>
              </w:rPr>
              <w:t>22.5</w:t>
            </w:r>
          </w:p>
        </w:tc>
        <w:tc>
          <w:tcPr>
            <w:tcW w:w="834" w:type="dxa"/>
          </w:tcPr>
          <w:p>
            <w:pPr>
              <w:pStyle w:val="TableParagraph"/>
              <w:spacing w:line="225" w:lineRule="exact"/>
              <w:ind w:left="4" w:right="9"/>
              <w:jc w:val="center"/>
              <w:rPr>
                <w:sz w:val="22"/>
              </w:rPr>
            </w:pPr>
            <w:r>
              <w:rPr>
                <w:spacing w:val="-4"/>
                <w:sz w:val="22"/>
              </w:rPr>
              <w:t>40.0</w:t>
            </w:r>
          </w:p>
        </w:tc>
      </w:tr>
      <w:tr>
        <w:trPr>
          <w:trHeight w:val="450" w:hRule="atLeast"/>
        </w:trPr>
        <w:tc>
          <w:tcPr>
            <w:tcW w:w="1087" w:type="dxa"/>
          </w:tcPr>
          <w:p>
            <w:pPr>
              <w:pStyle w:val="TableParagraph"/>
              <w:spacing w:before="70"/>
              <w:ind w:left="111" w:right="239"/>
              <w:jc w:val="center"/>
              <w:rPr>
                <w:sz w:val="22"/>
              </w:rPr>
            </w:pPr>
            <w:r>
              <w:rPr>
                <w:sz w:val="22"/>
              </w:rPr>
              <w:t>SP</w:t>
            </w:r>
            <w:r>
              <w:rPr>
                <w:spacing w:val="1"/>
                <w:sz w:val="22"/>
              </w:rPr>
              <w:t> </w:t>
            </w:r>
            <w:r>
              <w:rPr>
                <w:spacing w:val="-4"/>
                <w:sz w:val="22"/>
              </w:rPr>
              <w:t>1715</w:t>
            </w:r>
          </w:p>
        </w:tc>
        <w:tc>
          <w:tcPr>
            <w:tcW w:w="864" w:type="dxa"/>
          </w:tcPr>
          <w:p>
            <w:pPr>
              <w:pStyle w:val="TableParagraph"/>
              <w:spacing w:before="70"/>
              <w:ind w:left="33"/>
              <w:jc w:val="center"/>
              <w:rPr>
                <w:sz w:val="22"/>
              </w:rPr>
            </w:pPr>
            <w:r>
              <w:rPr>
                <w:spacing w:val="-4"/>
                <w:sz w:val="22"/>
              </w:rPr>
              <w:t>20.0</w:t>
            </w:r>
          </w:p>
        </w:tc>
        <w:tc>
          <w:tcPr>
            <w:tcW w:w="840" w:type="dxa"/>
          </w:tcPr>
          <w:p>
            <w:pPr>
              <w:pStyle w:val="TableParagraph"/>
              <w:spacing w:before="70"/>
              <w:ind w:left="20" w:right="31"/>
              <w:jc w:val="center"/>
              <w:rPr>
                <w:sz w:val="22"/>
              </w:rPr>
            </w:pPr>
            <w:r>
              <w:rPr>
                <w:spacing w:val="-4"/>
                <w:sz w:val="22"/>
              </w:rPr>
              <w:t>40.0</w:t>
            </w:r>
          </w:p>
        </w:tc>
        <w:tc>
          <w:tcPr>
            <w:tcW w:w="861" w:type="dxa"/>
          </w:tcPr>
          <w:p>
            <w:pPr>
              <w:pStyle w:val="TableParagraph"/>
              <w:spacing w:before="70"/>
              <w:ind w:left="82" w:right="95"/>
              <w:jc w:val="center"/>
              <w:rPr>
                <w:sz w:val="22"/>
              </w:rPr>
            </w:pPr>
            <w:r>
              <w:rPr>
                <w:spacing w:val="-4"/>
                <w:sz w:val="22"/>
              </w:rPr>
              <w:t>20.0</w:t>
            </w:r>
          </w:p>
        </w:tc>
        <w:tc>
          <w:tcPr>
            <w:tcW w:w="861" w:type="dxa"/>
          </w:tcPr>
          <w:p>
            <w:pPr>
              <w:pStyle w:val="TableParagraph"/>
              <w:spacing w:before="70"/>
              <w:ind w:left="99" w:right="95"/>
              <w:jc w:val="center"/>
              <w:rPr>
                <w:sz w:val="22"/>
              </w:rPr>
            </w:pPr>
            <w:r>
              <w:rPr>
                <w:spacing w:val="-4"/>
                <w:sz w:val="22"/>
              </w:rPr>
              <w:t>40.0</w:t>
            </w:r>
          </w:p>
        </w:tc>
        <w:tc>
          <w:tcPr>
            <w:tcW w:w="846" w:type="dxa"/>
          </w:tcPr>
          <w:p>
            <w:pPr>
              <w:pStyle w:val="TableParagraph"/>
              <w:spacing w:before="70"/>
              <w:jc w:val="center"/>
              <w:rPr>
                <w:sz w:val="22"/>
              </w:rPr>
            </w:pPr>
            <w:r>
              <w:rPr>
                <w:spacing w:val="-4"/>
                <w:sz w:val="22"/>
              </w:rPr>
              <w:t>30.0</w:t>
            </w:r>
          </w:p>
        </w:tc>
        <w:tc>
          <w:tcPr>
            <w:tcW w:w="840" w:type="dxa"/>
          </w:tcPr>
          <w:p>
            <w:pPr>
              <w:pStyle w:val="TableParagraph"/>
              <w:spacing w:before="70"/>
              <w:ind w:left="20" w:right="21"/>
              <w:jc w:val="center"/>
              <w:rPr>
                <w:sz w:val="22"/>
              </w:rPr>
            </w:pPr>
            <w:r>
              <w:rPr>
                <w:spacing w:val="-4"/>
                <w:sz w:val="22"/>
              </w:rPr>
              <w:t>45.0</w:t>
            </w:r>
          </w:p>
        </w:tc>
        <w:tc>
          <w:tcPr>
            <w:tcW w:w="829" w:type="dxa"/>
          </w:tcPr>
          <w:p>
            <w:pPr>
              <w:pStyle w:val="TableParagraph"/>
              <w:spacing w:before="70"/>
              <w:ind w:left="5" w:right="1"/>
              <w:jc w:val="center"/>
              <w:rPr>
                <w:sz w:val="22"/>
              </w:rPr>
            </w:pPr>
            <w:r>
              <w:rPr>
                <w:spacing w:val="-4"/>
                <w:sz w:val="22"/>
              </w:rPr>
              <w:t>30.0</w:t>
            </w:r>
          </w:p>
        </w:tc>
        <w:tc>
          <w:tcPr>
            <w:tcW w:w="825" w:type="dxa"/>
          </w:tcPr>
          <w:p>
            <w:pPr>
              <w:pStyle w:val="TableParagraph"/>
              <w:spacing w:before="70"/>
              <w:ind w:right="6"/>
              <w:jc w:val="center"/>
              <w:rPr>
                <w:sz w:val="22"/>
              </w:rPr>
            </w:pPr>
            <w:r>
              <w:rPr>
                <w:spacing w:val="-4"/>
                <w:sz w:val="22"/>
              </w:rPr>
              <w:t>50.0</w:t>
            </w:r>
          </w:p>
        </w:tc>
        <w:tc>
          <w:tcPr>
            <w:tcW w:w="829" w:type="dxa"/>
          </w:tcPr>
          <w:p>
            <w:pPr>
              <w:pStyle w:val="TableParagraph"/>
              <w:spacing w:before="70"/>
              <w:ind w:left="4" w:right="5"/>
              <w:jc w:val="center"/>
              <w:rPr>
                <w:sz w:val="22"/>
              </w:rPr>
            </w:pPr>
            <w:r>
              <w:rPr>
                <w:spacing w:val="-4"/>
                <w:sz w:val="22"/>
              </w:rPr>
              <w:t>35.0</w:t>
            </w:r>
          </w:p>
        </w:tc>
        <w:tc>
          <w:tcPr>
            <w:tcW w:w="834" w:type="dxa"/>
          </w:tcPr>
          <w:p>
            <w:pPr>
              <w:pStyle w:val="TableParagraph"/>
              <w:spacing w:before="70"/>
              <w:ind w:left="4" w:right="9"/>
              <w:jc w:val="center"/>
              <w:rPr>
                <w:sz w:val="22"/>
              </w:rPr>
            </w:pPr>
            <w:r>
              <w:rPr>
                <w:spacing w:val="-4"/>
                <w:sz w:val="22"/>
              </w:rPr>
              <w:t>50.0</w:t>
            </w:r>
          </w:p>
        </w:tc>
      </w:tr>
      <w:tr>
        <w:trPr>
          <w:trHeight w:val="450" w:hRule="atLeast"/>
        </w:trPr>
        <w:tc>
          <w:tcPr>
            <w:tcW w:w="1087" w:type="dxa"/>
          </w:tcPr>
          <w:p>
            <w:pPr>
              <w:pStyle w:val="TableParagraph"/>
              <w:spacing w:before="71"/>
              <w:ind w:left="1" w:right="239"/>
              <w:jc w:val="center"/>
              <w:rPr>
                <w:sz w:val="22"/>
              </w:rPr>
            </w:pPr>
            <w:r>
              <w:rPr>
                <w:sz w:val="22"/>
              </w:rPr>
              <w:t>SP</w:t>
            </w:r>
            <w:r>
              <w:rPr>
                <w:spacing w:val="1"/>
                <w:sz w:val="22"/>
              </w:rPr>
              <w:t> </w:t>
            </w:r>
            <w:r>
              <w:rPr>
                <w:spacing w:val="-5"/>
                <w:sz w:val="22"/>
              </w:rPr>
              <w:t>224</w:t>
            </w:r>
          </w:p>
        </w:tc>
        <w:tc>
          <w:tcPr>
            <w:tcW w:w="864" w:type="dxa"/>
          </w:tcPr>
          <w:p>
            <w:pPr>
              <w:pStyle w:val="TableParagraph"/>
              <w:spacing w:before="71"/>
              <w:ind w:left="33"/>
              <w:jc w:val="center"/>
              <w:rPr>
                <w:sz w:val="22"/>
              </w:rPr>
            </w:pPr>
            <w:r>
              <w:rPr>
                <w:spacing w:val="-4"/>
                <w:sz w:val="22"/>
              </w:rPr>
              <w:t>30.0</w:t>
            </w:r>
          </w:p>
        </w:tc>
        <w:tc>
          <w:tcPr>
            <w:tcW w:w="840" w:type="dxa"/>
          </w:tcPr>
          <w:p>
            <w:pPr>
              <w:pStyle w:val="TableParagraph"/>
              <w:spacing w:before="71"/>
              <w:ind w:left="20" w:right="31"/>
              <w:jc w:val="center"/>
              <w:rPr>
                <w:sz w:val="22"/>
              </w:rPr>
            </w:pPr>
            <w:r>
              <w:rPr>
                <w:spacing w:val="-4"/>
                <w:sz w:val="22"/>
              </w:rPr>
              <w:t>50.0</w:t>
            </w:r>
          </w:p>
        </w:tc>
        <w:tc>
          <w:tcPr>
            <w:tcW w:w="861" w:type="dxa"/>
          </w:tcPr>
          <w:p>
            <w:pPr>
              <w:pStyle w:val="TableParagraph"/>
              <w:spacing w:before="71"/>
              <w:ind w:left="82" w:right="95"/>
              <w:jc w:val="center"/>
              <w:rPr>
                <w:sz w:val="22"/>
              </w:rPr>
            </w:pPr>
            <w:r>
              <w:rPr>
                <w:spacing w:val="-4"/>
                <w:sz w:val="22"/>
              </w:rPr>
              <w:t>30.0</w:t>
            </w:r>
          </w:p>
        </w:tc>
        <w:tc>
          <w:tcPr>
            <w:tcW w:w="861" w:type="dxa"/>
          </w:tcPr>
          <w:p>
            <w:pPr>
              <w:pStyle w:val="TableParagraph"/>
              <w:spacing w:before="71"/>
              <w:ind w:left="99" w:right="95"/>
              <w:jc w:val="center"/>
              <w:rPr>
                <w:sz w:val="22"/>
              </w:rPr>
            </w:pPr>
            <w:r>
              <w:rPr>
                <w:spacing w:val="-4"/>
                <w:sz w:val="22"/>
              </w:rPr>
              <w:t>50.0</w:t>
            </w:r>
          </w:p>
        </w:tc>
        <w:tc>
          <w:tcPr>
            <w:tcW w:w="846" w:type="dxa"/>
          </w:tcPr>
          <w:p>
            <w:pPr>
              <w:pStyle w:val="TableParagraph"/>
              <w:spacing w:before="71"/>
              <w:jc w:val="center"/>
              <w:rPr>
                <w:sz w:val="22"/>
              </w:rPr>
            </w:pPr>
            <w:r>
              <w:rPr>
                <w:spacing w:val="-4"/>
                <w:sz w:val="22"/>
              </w:rPr>
              <w:t>30.0</w:t>
            </w:r>
          </w:p>
        </w:tc>
        <w:tc>
          <w:tcPr>
            <w:tcW w:w="840" w:type="dxa"/>
          </w:tcPr>
          <w:p>
            <w:pPr>
              <w:pStyle w:val="TableParagraph"/>
              <w:spacing w:before="71"/>
              <w:ind w:left="20" w:right="21"/>
              <w:jc w:val="center"/>
              <w:rPr>
                <w:sz w:val="22"/>
              </w:rPr>
            </w:pPr>
            <w:r>
              <w:rPr>
                <w:spacing w:val="-4"/>
                <w:sz w:val="22"/>
              </w:rPr>
              <w:t>50.0</w:t>
            </w:r>
          </w:p>
        </w:tc>
        <w:tc>
          <w:tcPr>
            <w:tcW w:w="829" w:type="dxa"/>
          </w:tcPr>
          <w:p>
            <w:pPr>
              <w:pStyle w:val="TableParagraph"/>
              <w:spacing w:before="71"/>
              <w:ind w:left="5" w:right="1"/>
              <w:jc w:val="center"/>
              <w:rPr>
                <w:sz w:val="22"/>
              </w:rPr>
            </w:pPr>
            <w:r>
              <w:rPr>
                <w:spacing w:val="-4"/>
                <w:sz w:val="22"/>
              </w:rPr>
              <w:t>25.0</w:t>
            </w:r>
          </w:p>
        </w:tc>
        <w:tc>
          <w:tcPr>
            <w:tcW w:w="825" w:type="dxa"/>
          </w:tcPr>
          <w:p>
            <w:pPr>
              <w:pStyle w:val="TableParagraph"/>
              <w:spacing w:before="71"/>
              <w:ind w:right="6"/>
              <w:jc w:val="center"/>
              <w:rPr>
                <w:sz w:val="22"/>
              </w:rPr>
            </w:pPr>
            <w:r>
              <w:rPr>
                <w:spacing w:val="-4"/>
                <w:sz w:val="22"/>
              </w:rPr>
              <w:t>50.0</w:t>
            </w:r>
          </w:p>
        </w:tc>
        <w:tc>
          <w:tcPr>
            <w:tcW w:w="829" w:type="dxa"/>
          </w:tcPr>
          <w:p>
            <w:pPr>
              <w:pStyle w:val="TableParagraph"/>
              <w:spacing w:before="71"/>
              <w:ind w:left="4" w:right="5"/>
              <w:jc w:val="center"/>
              <w:rPr>
                <w:sz w:val="22"/>
              </w:rPr>
            </w:pPr>
            <w:r>
              <w:rPr>
                <w:spacing w:val="-4"/>
                <w:sz w:val="22"/>
              </w:rPr>
              <w:t>17.5</w:t>
            </w:r>
          </w:p>
        </w:tc>
        <w:tc>
          <w:tcPr>
            <w:tcW w:w="834" w:type="dxa"/>
          </w:tcPr>
          <w:p>
            <w:pPr>
              <w:pStyle w:val="TableParagraph"/>
              <w:spacing w:before="71"/>
              <w:ind w:left="4" w:right="9"/>
              <w:jc w:val="center"/>
              <w:rPr>
                <w:sz w:val="22"/>
              </w:rPr>
            </w:pPr>
            <w:r>
              <w:rPr>
                <w:spacing w:val="-4"/>
                <w:sz w:val="22"/>
              </w:rPr>
              <w:t>25.0</w:t>
            </w:r>
          </w:p>
        </w:tc>
      </w:tr>
      <w:tr>
        <w:trPr>
          <w:trHeight w:val="450" w:hRule="atLeast"/>
        </w:trPr>
        <w:tc>
          <w:tcPr>
            <w:tcW w:w="1087" w:type="dxa"/>
          </w:tcPr>
          <w:p>
            <w:pPr>
              <w:pStyle w:val="TableParagraph"/>
              <w:spacing w:before="70"/>
              <w:ind w:left="1" w:right="239"/>
              <w:jc w:val="center"/>
              <w:rPr>
                <w:sz w:val="22"/>
              </w:rPr>
            </w:pPr>
            <w:r>
              <w:rPr>
                <w:sz w:val="22"/>
              </w:rPr>
              <w:t>SP</w:t>
            </w:r>
            <w:r>
              <w:rPr>
                <w:spacing w:val="1"/>
                <w:sz w:val="22"/>
              </w:rPr>
              <w:t> </w:t>
            </w:r>
            <w:r>
              <w:rPr>
                <w:spacing w:val="-5"/>
                <w:sz w:val="22"/>
              </w:rPr>
              <w:t>229</w:t>
            </w:r>
          </w:p>
        </w:tc>
        <w:tc>
          <w:tcPr>
            <w:tcW w:w="864" w:type="dxa"/>
          </w:tcPr>
          <w:p>
            <w:pPr>
              <w:pStyle w:val="TableParagraph"/>
              <w:spacing w:before="70"/>
              <w:ind w:left="33"/>
              <w:jc w:val="center"/>
              <w:rPr>
                <w:sz w:val="22"/>
              </w:rPr>
            </w:pPr>
            <w:r>
              <w:rPr>
                <w:spacing w:val="-4"/>
                <w:sz w:val="22"/>
              </w:rPr>
              <w:t>30.0</w:t>
            </w:r>
          </w:p>
        </w:tc>
        <w:tc>
          <w:tcPr>
            <w:tcW w:w="840" w:type="dxa"/>
          </w:tcPr>
          <w:p>
            <w:pPr>
              <w:pStyle w:val="TableParagraph"/>
              <w:spacing w:before="70"/>
              <w:ind w:left="20" w:right="31"/>
              <w:jc w:val="center"/>
              <w:rPr>
                <w:sz w:val="22"/>
              </w:rPr>
            </w:pPr>
            <w:r>
              <w:rPr>
                <w:spacing w:val="-4"/>
                <w:sz w:val="22"/>
              </w:rPr>
              <w:t>60.0</w:t>
            </w:r>
          </w:p>
        </w:tc>
        <w:tc>
          <w:tcPr>
            <w:tcW w:w="861" w:type="dxa"/>
          </w:tcPr>
          <w:p>
            <w:pPr>
              <w:pStyle w:val="TableParagraph"/>
              <w:spacing w:before="70"/>
              <w:ind w:left="82" w:right="95"/>
              <w:jc w:val="center"/>
              <w:rPr>
                <w:sz w:val="22"/>
              </w:rPr>
            </w:pPr>
            <w:r>
              <w:rPr>
                <w:spacing w:val="-4"/>
                <w:sz w:val="22"/>
              </w:rPr>
              <w:t>35.0</w:t>
            </w:r>
          </w:p>
        </w:tc>
        <w:tc>
          <w:tcPr>
            <w:tcW w:w="861" w:type="dxa"/>
          </w:tcPr>
          <w:p>
            <w:pPr>
              <w:pStyle w:val="TableParagraph"/>
              <w:spacing w:before="70"/>
              <w:ind w:left="99" w:right="95"/>
              <w:jc w:val="center"/>
              <w:rPr>
                <w:sz w:val="22"/>
              </w:rPr>
            </w:pPr>
            <w:r>
              <w:rPr>
                <w:spacing w:val="-4"/>
                <w:sz w:val="22"/>
              </w:rPr>
              <w:t>50.0</w:t>
            </w:r>
          </w:p>
        </w:tc>
        <w:tc>
          <w:tcPr>
            <w:tcW w:w="846" w:type="dxa"/>
          </w:tcPr>
          <w:p>
            <w:pPr>
              <w:pStyle w:val="TableParagraph"/>
              <w:spacing w:before="70"/>
              <w:jc w:val="center"/>
              <w:rPr>
                <w:sz w:val="22"/>
              </w:rPr>
            </w:pPr>
            <w:r>
              <w:rPr>
                <w:spacing w:val="-4"/>
                <w:sz w:val="22"/>
              </w:rPr>
              <w:t>25.0</w:t>
            </w:r>
          </w:p>
        </w:tc>
        <w:tc>
          <w:tcPr>
            <w:tcW w:w="840" w:type="dxa"/>
          </w:tcPr>
          <w:p>
            <w:pPr>
              <w:pStyle w:val="TableParagraph"/>
              <w:spacing w:before="70"/>
              <w:ind w:left="20" w:right="21"/>
              <w:jc w:val="center"/>
              <w:rPr>
                <w:sz w:val="22"/>
              </w:rPr>
            </w:pPr>
            <w:r>
              <w:rPr>
                <w:spacing w:val="-4"/>
                <w:sz w:val="22"/>
              </w:rPr>
              <w:t>40.0</w:t>
            </w:r>
          </w:p>
        </w:tc>
        <w:tc>
          <w:tcPr>
            <w:tcW w:w="829" w:type="dxa"/>
          </w:tcPr>
          <w:p>
            <w:pPr>
              <w:pStyle w:val="TableParagraph"/>
              <w:spacing w:before="70"/>
              <w:ind w:left="5" w:right="1"/>
              <w:jc w:val="center"/>
              <w:rPr>
                <w:sz w:val="22"/>
              </w:rPr>
            </w:pPr>
            <w:r>
              <w:rPr>
                <w:spacing w:val="-4"/>
                <w:sz w:val="22"/>
              </w:rPr>
              <w:t>25.0</w:t>
            </w:r>
          </w:p>
        </w:tc>
        <w:tc>
          <w:tcPr>
            <w:tcW w:w="825" w:type="dxa"/>
          </w:tcPr>
          <w:p>
            <w:pPr>
              <w:pStyle w:val="TableParagraph"/>
              <w:spacing w:before="70"/>
              <w:ind w:right="6"/>
              <w:jc w:val="center"/>
              <w:rPr>
                <w:sz w:val="22"/>
              </w:rPr>
            </w:pPr>
            <w:r>
              <w:rPr>
                <w:spacing w:val="-4"/>
                <w:sz w:val="22"/>
              </w:rPr>
              <w:t>45.0</w:t>
            </w:r>
          </w:p>
        </w:tc>
        <w:tc>
          <w:tcPr>
            <w:tcW w:w="829" w:type="dxa"/>
          </w:tcPr>
          <w:p>
            <w:pPr>
              <w:pStyle w:val="TableParagraph"/>
              <w:spacing w:before="70"/>
              <w:ind w:left="4" w:right="5"/>
              <w:jc w:val="center"/>
              <w:rPr>
                <w:sz w:val="22"/>
              </w:rPr>
            </w:pPr>
            <w:r>
              <w:rPr>
                <w:spacing w:val="-4"/>
                <w:sz w:val="22"/>
              </w:rPr>
              <w:t>25.0</w:t>
            </w:r>
          </w:p>
        </w:tc>
        <w:tc>
          <w:tcPr>
            <w:tcW w:w="834" w:type="dxa"/>
          </w:tcPr>
          <w:p>
            <w:pPr>
              <w:pStyle w:val="TableParagraph"/>
              <w:spacing w:before="70"/>
              <w:ind w:left="4" w:right="9"/>
              <w:jc w:val="center"/>
              <w:rPr>
                <w:sz w:val="22"/>
              </w:rPr>
            </w:pPr>
            <w:r>
              <w:rPr>
                <w:spacing w:val="-4"/>
                <w:sz w:val="22"/>
              </w:rPr>
              <w:t>50.0</w:t>
            </w:r>
          </w:p>
        </w:tc>
      </w:tr>
      <w:tr>
        <w:trPr>
          <w:trHeight w:val="450" w:hRule="atLeast"/>
        </w:trPr>
        <w:tc>
          <w:tcPr>
            <w:tcW w:w="1087" w:type="dxa"/>
          </w:tcPr>
          <w:p>
            <w:pPr>
              <w:pStyle w:val="TableParagraph"/>
              <w:spacing w:before="71"/>
              <w:ind w:left="1" w:right="239"/>
              <w:jc w:val="center"/>
              <w:rPr>
                <w:sz w:val="22"/>
              </w:rPr>
            </w:pPr>
            <w:r>
              <w:rPr>
                <w:sz w:val="22"/>
              </w:rPr>
              <w:t>SP</w:t>
            </w:r>
            <w:r>
              <w:rPr>
                <w:spacing w:val="1"/>
                <w:sz w:val="22"/>
              </w:rPr>
              <w:t> </w:t>
            </w:r>
            <w:r>
              <w:rPr>
                <w:spacing w:val="-5"/>
                <w:sz w:val="22"/>
              </w:rPr>
              <w:t>270</w:t>
            </w:r>
          </w:p>
        </w:tc>
        <w:tc>
          <w:tcPr>
            <w:tcW w:w="864" w:type="dxa"/>
          </w:tcPr>
          <w:p>
            <w:pPr>
              <w:pStyle w:val="TableParagraph"/>
              <w:spacing w:before="71"/>
              <w:ind w:left="33"/>
              <w:jc w:val="center"/>
              <w:rPr>
                <w:sz w:val="22"/>
              </w:rPr>
            </w:pPr>
            <w:r>
              <w:rPr>
                <w:spacing w:val="-4"/>
                <w:sz w:val="22"/>
              </w:rPr>
              <w:t>25.0</w:t>
            </w:r>
          </w:p>
        </w:tc>
        <w:tc>
          <w:tcPr>
            <w:tcW w:w="840" w:type="dxa"/>
          </w:tcPr>
          <w:p>
            <w:pPr>
              <w:pStyle w:val="TableParagraph"/>
              <w:spacing w:before="71"/>
              <w:ind w:left="20" w:right="31"/>
              <w:jc w:val="center"/>
              <w:rPr>
                <w:sz w:val="22"/>
              </w:rPr>
            </w:pPr>
            <w:r>
              <w:rPr>
                <w:spacing w:val="-4"/>
                <w:sz w:val="22"/>
              </w:rPr>
              <w:t>50.0</w:t>
            </w:r>
          </w:p>
        </w:tc>
        <w:tc>
          <w:tcPr>
            <w:tcW w:w="861" w:type="dxa"/>
          </w:tcPr>
          <w:p>
            <w:pPr>
              <w:pStyle w:val="TableParagraph"/>
              <w:spacing w:before="71"/>
              <w:ind w:left="82" w:right="95"/>
              <w:jc w:val="center"/>
              <w:rPr>
                <w:sz w:val="22"/>
              </w:rPr>
            </w:pPr>
            <w:r>
              <w:rPr>
                <w:spacing w:val="-4"/>
                <w:sz w:val="22"/>
              </w:rPr>
              <w:t>25.0</w:t>
            </w:r>
          </w:p>
        </w:tc>
        <w:tc>
          <w:tcPr>
            <w:tcW w:w="861" w:type="dxa"/>
          </w:tcPr>
          <w:p>
            <w:pPr>
              <w:pStyle w:val="TableParagraph"/>
              <w:spacing w:before="71"/>
              <w:ind w:left="99" w:right="95"/>
              <w:jc w:val="center"/>
              <w:rPr>
                <w:sz w:val="22"/>
              </w:rPr>
            </w:pPr>
            <w:r>
              <w:rPr>
                <w:spacing w:val="-4"/>
                <w:sz w:val="22"/>
              </w:rPr>
              <w:t>40.0</w:t>
            </w:r>
          </w:p>
        </w:tc>
        <w:tc>
          <w:tcPr>
            <w:tcW w:w="846" w:type="dxa"/>
          </w:tcPr>
          <w:p>
            <w:pPr>
              <w:pStyle w:val="TableParagraph"/>
              <w:spacing w:before="71"/>
              <w:jc w:val="center"/>
              <w:rPr>
                <w:sz w:val="22"/>
              </w:rPr>
            </w:pPr>
            <w:r>
              <w:rPr>
                <w:spacing w:val="-4"/>
                <w:sz w:val="22"/>
              </w:rPr>
              <w:t>25.0</w:t>
            </w:r>
          </w:p>
        </w:tc>
        <w:tc>
          <w:tcPr>
            <w:tcW w:w="840" w:type="dxa"/>
          </w:tcPr>
          <w:p>
            <w:pPr>
              <w:pStyle w:val="TableParagraph"/>
              <w:spacing w:before="71"/>
              <w:ind w:left="20" w:right="21"/>
              <w:jc w:val="center"/>
              <w:rPr>
                <w:sz w:val="22"/>
              </w:rPr>
            </w:pPr>
            <w:r>
              <w:rPr>
                <w:spacing w:val="-4"/>
                <w:sz w:val="22"/>
              </w:rPr>
              <w:t>50.0</w:t>
            </w:r>
          </w:p>
        </w:tc>
        <w:tc>
          <w:tcPr>
            <w:tcW w:w="829" w:type="dxa"/>
          </w:tcPr>
          <w:p>
            <w:pPr>
              <w:pStyle w:val="TableParagraph"/>
              <w:spacing w:before="71"/>
              <w:ind w:left="5" w:right="1"/>
              <w:jc w:val="center"/>
              <w:rPr>
                <w:sz w:val="22"/>
              </w:rPr>
            </w:pPr>
            <w:r>
              <w:rPr>
                <w:spacing w:val="-4"/>
                <w:sz w:val="22"/>
              </w:rPr>
              <w:t>22.5</w:t>
            </w:r>
          </w:p>
        </w:tc>
        <w:tc>
          <w:tcPr>
            <w:tcW w:w="825" w:type="dxa"/>
          </w:tcPr>
          <w:p>
            <w:pPr>
              <w:pStyle w:val="TableParagraph"/>
              <w:spacing w:before="71"/>
              <w:ind w:right="6"/>
              <w:jc w:val="center"/>
              <w:rPr>
                <w:sz w:val="22"/>
              </w:rPr>
            </w:pPr>
            <w:r>
              <w:rPr>
                <w:spacing w:val="-4"/>
                <w:sz w:val="22"/>
              </w:rPr>
              <w:t>40.0</w:t>
            </w:r>
          </w:p>
        </w:tc>
        <w:tc>
          <w:tcPr>
            <w:tcW w:w="829" w:type="dxa"/>
          </w:tcPr>
          <w:p>
            <w:pPr>
              <w:pStyle w:val="TableParagraph"/>
              <w:spacing w:before="71"/>
              <w:ind w:left="4" w:right="5"/>
              <w:jc w:val="center"/>
              <w:rPr>
                <w:sz w:val="22"/>
              </w:rPr>
            </w:pPr>
            <w:r>
              <w:rPr>
                <w:spacing w:val="-4"/>
                <w:sz w:val="22"/>
              </w:rPr>
              <w:t>15.0</w:t>
            </w:r>
          </w:p>
        </w:tc>
        <w:tc>
          <w:tcPr>
            <w:tcW w:w="834" w:type="dxa"/>
          </w:tcPr>
          <w:p>
            <w:pPr>
              <w:pStyle w:val="TableParagraph"/>
              <w:spacing w:before="71"/>
              <w:ind w:left="4" w:right="9"/>
              <w:jc w:val="center"/>
              <w:rPr>
                <w:sz w:val="22"/>
              </w:rPr>
            </w:pPr>
            <w:r>
              <w:rPr>
                <w:spacing w:val="-4"/>
                <w:sz w:val="22"/>
              </w:rPr>
              <w:t>25.0</w:t>
            </w:r>
          </w:p>
        </w:tc>
      </w:tr>
      <w:tr>
        <w:trPr>
          <w:trHeight w:val="497" w:hRule="atLeast"/>
        </w:trPr>
        <w:tc>
          <w:tcPr>
            <w:tcW w:w="1087" w:type="dxa"/>
          </w:tcPr>
          <w:p>
            <w:pPr>
              <w:pStyle w:val="TableParagraph"/>
              <w:spacing w:before="70"/>
              <w:ind w:left="1" w:right="239"/>
              <w:jc w:val="center"/>
              <w:rPr>
                <w:sz w:val="22"/>
              </w:rPr>
            </w:pPr>
            <w:r>
              <w:rPr>
                <w:sz w:val="22"/>
              </w:rPr>
              <w:t>SP</w:t>
            </w:r>
            <w:r>
              <w:rPr>
                <w:spacing w:val="1"/>
                <w:sz w:val="22"/>
              </w:rPr>
              <w:t> </w:t>
            </w:r>
            <w:r>
              <w:rPr>
                <w:spacing w:val="-5"/>
                <w:sz w:val="22"/>
              </w:rPr>
              <w:t>340</w:t>
            </w:r>
          </w:p>
        </w:tc>
        <w:tc>
          <w:tcPr>
            <w:tcW w:w="864" w:type="dxa"/>
          </w:tcPr>
          <w:p>
            <w:pPr>
              <w:pStyle w:val="TableParagraph"/>
              <w:spacing w:before="70"/>
              <w:ind w:left="33"/>
              <w:jc w:val="center"/>
              <w:rPr>
                <w:sz w:val="22"/>
              </w:rPr>
            </w:pPr>
            <w:r>
              <w:rPr>
                <w:spacing w:val="-4"/>
                <w:sz w:val="22"/>
              </w:rPr>
              <w:t>45.0</w:t>
            </w:r>
          </w:p>
        </w:tc>
        <w:tc>
          <w:tcPr>
            <w:tcW w:w="840" w:type="dxa"/>
          </w:tcPr>
          <w:p>
            <w:pPr>
              <w:pStyle w:val="TableParagraph"/>
              <w:spacing w:before="70"/>
              <w:ind w:left="20" w:right="31"/>
              <w:jc w:val="center"/>
              <w:rPr>
                <w:sz w:val="22"/>
              </w:rPr>
            </w:pPr>
            <w:r>
              <w:rPr>
                <w:spacing w:val="-4"/>
                <w:sz w:val="22"/>
              </w:rPr>
              <w:t>60.0</w:t>
            </w:r>
          </w:p>
        </w:tc>
        <w:tc>
          <w:tcPr>
            <w:tcW w:w="861" w:type="dxa"/>
          </w:tcPr>
          <w:p>
            <w:pPr>
              <w:pStyle w:val="TableParagraph"/>
              <w:spacing w:before="70"/>
              <w:ind w:left="82" w:right="95"/>
              <w:jc w:val="center"/>
              <w:rPr>
                <w:sz w:val="22"/>
              </w:rPr>
            </w:pPr>
            <w:r>
              <w:rPr>
                <w:spacing w:val="-4"/>
                <w:sz w:val="22"/>
              </w:rPr>
              <w:t>45.0</w:t>
            </w:r>
          </w:p>
        </w:tc>
        <w:tc>
          <w:tcPr>
            <w:tcW w:w="861" w:type="dxa"/>
          </w:tcPr>
          <w:p>
            <w:pPr>
              <w:pStyle w:val="TableParagraph"/>
              <w:spacing w:before="70"/>
              <w:ind w:left="99" w:right="95"/>
              <w:jc w:val="center"/>
              <w:rPr>
                <w:sz w:val="22"/>
              </w:rPr>
            </w:pPr>
            <w:r>
              <w:rPr>
                <w:spacing w:val="-4"/>
                <w:sz w:val="22"/>
              </w:rPr>
              <w:t>60.0</w:t>
            </w:r>
          </w:p>
        </w:tc>
        <w:tc>
          <w:tcPr>
            <w:tcW w:w="846" w:type="dxa"/>
          </w:tcPr>
          <w:p>
            <w:pPr>
              <w:pStyle w:val="TableParagraph"/>
              <w:spacing w:before="70"/>
              <w:jc w:val="center"/>
              <w:rPr>
                <w:sz w:val="22"/>
              </w:rPr>
            </w:pPr>
            <w:r>
              <w:rPr>
                <w:spacing w:val="-4"/>
                <w:sz w:val="22"/>
              </w:rPr>
              <w:t>22.5</w:t>
            </w:r>
          </w:p>
        </w:tc>
        <w:tc>
          <w:tcPr>
            <w:tcW w:w="840" w:type="dxa"/>
          </w:tcPr>
          <w:p>
            <w:pPr>
              <w:pStyle w:val="TableParagraph"/>
              <w:spacing w:before="70"/>
              <w:ind w:left="20" w:right="21"/>
              <w:jc w:val="center"/>
              <w:rPr>
                <w:sz w:val="22"/>
              </w:rPr>
            </w:pPr>
            <w:r>
              <w:rPr>
                <w:spacing w:val="-4"/>
                <w:sz w:val="22"/>
              </w:rPr>
              <w:t>40.0</w:t>
            </w:r>
          </w:p>
        </w:tc>
        <w:tc>
          <w:tcPr>
            <w:tcW w:w="829" w:type="dxa"/>
          </w:tcPr>
          <w:p>
            <w:pPr>
              <w:pStyle w:val="TableParagraph"/>
              <w:spacing w:before="70"/>
              <w:ind w:left="5" w:right="1"/>
              <w:jc w:val="center"/>
              <w:rPr>
                <w:sz w:val="22"/>
              </w:rPr>
            </w:pPr>
            <w:r>
              <w:rPr>
                <w:spacing w:val="-4"/>
                <w:sz w:val="22"/>
              </w:rPr>
              <w:t>20.0</w:t>
            </w:r>
          </w:p>
        </w:tc>
        <w:tc>
          <w:tcPr>
            <w:tcW w:w="825" w:type="dxa"/>
          </w:tcPr>
          <w:p>
            <w:pPr>
              <w:pStyle w:val="TableParagraph"/>
              <w:spacing w:before="70"/>
              <w:ind w:right="6"/>
              <w:jc w:val="center"/>
              <w:rPr>
                <w:sz w:val="22"/>
              </w:rPr>
            </w:pPr>
            <w:r>
              <w:rPr>
                <w:spacing w:val="-4"/>
                <w:sz w:val="22"/>
              </w:rPr>
              <w:t>40.0</w:t>
            </w:r>
          </w:p>
        </w:tc>
        <w:tc>
          <w:tcPr>
            <w:tcW w:w="829" w:type="dxa"/>
          </w:tcPr>
          <w:p>
            <w:pPr>
              <w:pStyle w:val="TableParagraph"/>
              <w:spacing w:before="70"/>
              <w:ind w:left="4" w:right="5"/>
              <w:jc w:val="center"/>
              <w:rPr>
                <w:sz w:val="22"/>
              </w:rPr>
            </w:pPr>
            <w:r>
              <w:rPr>
                <w:spacing w:val="-4"/>
                <w:sz w:val="22"/>
              </w:rPr>
              <w:t>25.0</w:t>
            </w:r>
          </w:p>
        </w:tc>
        <w:tc>
          <w:tcPr>
            <w:tcW w:w="834" w:type="dxa"/>
          </w:tcPr>
          <w:p>
            <w:pPr>
              <w:pStyle w:val="TableParagraph"/>
              <w:spacing w:before="70"/>
              <w:ind w:left="4" w:right="9"/>
              <w:jc w:val="center"/>
              <w:rPr>
                <w:sz w:val="22"/>
              </w:rPr>
            </w:pPr>
            <w:r>
              <w:rPr>
                <w:spacing w:val="-4"/>
                <w:sz w:val="22"/>
              </w:rPr>
              <w:t>45.0</w:t>
            </w:r>
          </w:p>
        </w:tc>
      </w:tr>
      <w:tr>
        <w:trPr>
          <w:trHeight w:val="547" w:hRule="atLeast"/>
        </w:trPr>
        <w:tc>
          <w:tcPr>
            <w:tcW w:w="1087" w:type="dxa"/>
          </w:tcPr>
          <w:p>
            <w:pPr>
              <w:pStyle w:val="TableParagraph"/>
              <w:spacing w:before="119"/>
              <w:ind w:left="1" w:right="239"/>
              <w:jc w:val="center"/>
              <w:rPr>
                <w:sz w:val="22"/>
              </w:rPr>
            </w:pPr>
            <w:r>
              <w:rPr>
                <w:sz w:val="22"/>
              </w:rPr>
              <w:t>SP</w:t>
            </w:r>
            <w:r>
              <w:rPr>
                <w:spacing w:val="1"/>
                <w:sz w:val="22"/>
              </w:rPr>
              <w:t> </w:t>
            </w:r>
            <w:r>
              <w:rPr>
                <w:spacing w:val="-5"/>
                <w:sz w:val="22"/>
              </w:rPr>
              <w:t>867</w:t>
            </w:r>
          </w:p>
        </w:tc>
        <w:tc>
          <w:tcPr>
            <w:tcW w:w="864" w:type="dxa"/>
          </w:tcPr>
          <w:p>
            <w:pPr>
              <w:pStyle w:val="TableParagraph"/>
              <w:spacing w:before="119"/>
              <w:ind w:left="33"/>
              <w:jc w:val="center"/>
              <w:rPr>
                <w:sz w:val="22"/>
              </w:rPr>
            </w:pPr>
            <w:r>
              <w:rPr>
                <w:spacing w:val="-4"/>
                <w:sz w:val="22"/>
              </w:rPr>
              <w:t>45.0</w:t>
            </w:r>
          </w:p>
        </w:tc>
        <w:tc>
          <w:tcPr>
            <w:tcW w:w="840" w:type="dxa"/>
          </w:tcPr>
          <w:p>
            <w:pPr>
              <w:pStyle w:val="TableParagraph"/>
              <w:spacing w:before="119"/>
              <w:ind w:left="20" w:right="31"/>
              <w:jc w:val="center"/>
              <w:rPr>
                <w:sz w:val="22"/>
              </w:rPr>
            </w:pPr>
            <w:r>
              <w:rPr>
                <w:spacing w:val="-4"/>
                <w:sz w:val="22"/>
              </w:rPr>
              <w:t>60.0</w:t>
            </w:r>
          </w:p>
        </w:tc>
        <w:tc>
          <w:tcPr>
            <w:tcW w:w="861" w:type="dxa"/>
          </w:tcPr>
          <w:p>
            <w:pPr>
              <w:pStyle w:val="TableParagraph"/>
              <w:spacing w:before="119"/>
              <w:ind w:left="82" w:right="95"/>
              <w:jc w:val="center"/>
              <w:rPr>
                <w:sz w:val="22"/>
              </w:rPr>
            </w:pPr>
            <w:r>
              <w:rPr>
                <w:spacing w:val="-4"/>
                <w:sz w:val="22"/>
              </w:rPr>
              <w:t>40.0</w:t>
            </w:r>
          </w:p>
        </w:tc>
        <w:tc>
          <w:tcPr>
            <w:tcW w:w="861" w:type="dxa"/>
          </w:tcPr>
          <w:p>
            <w:pPr>
              <w:pStyle w:val="TableParagraph"/>
              <w:spacing w:before="119"/>
              <w:ind w:left="99" w:right="95"/>
              <w:jc w:val="center"/>
              <w:rPr>
                <w:sz w:val="22"/>
              </w:rPr>
            </w:pPr>
            <w:r>
              <w:rPr>
                <w:spacing w:val="-4"/>
                <w:sz w:val="22"/>
              </w:rPr>
              <w:t>60.0</w:t>
            </w:r>
          </w:p>
        </w:tc>
        <w:tc>
          <w:tcPr>
            <w:tcW w:w="846" w:type="dxa"/>
          </w:tcPr>
          <w:p>
            <w:pPr>
              <w:pStyle w:val="TableParagraph"/>
              <w:spacing w:before="119"/>
              <w:jc w:val="center"/>
              <w:rPr>
                <w:sz w:val="22"/>
              </w:rPr>
            </w:pPr>
            <w:r>
              <w:rPr>
                <w:spacing w:val="-4"/>
                <w:sz w:val="22"/>
              </w:rPr>
              <w:t>30.0</w:t>
            </w:r>
          </w:p>
        </w:tc>
        <w:tc>
          <w:tcPr>
            <w:tcW w:w="840" w:type="dxa"/>
          </w:tcPr>
          <w:p>
            <w:pPr>
              <w:pStyle w:val="TableParagraph"/>
              <w:spacing w:before="119"/>
              <w:ind w:left="20" w:right="21"/>
              <w:jc w:val="center"/>
              <w:rPr>
                <w:sz w:val="22"/>
              </w:rPr>
            </w:pPr>
            <w:r>
              <w:rPr>
                <w:spacing w:val="-4"/>
                <w:sz w:val="22"/>
              </w:rPr>
              <w:t>60.0</w:t>
            </w:r>
          </w:p>
        </w:tc>
        <w:tc>
          <w:tcPr>
            <w:tcW w:w="829" w:type="dxa"/>
          </w:tcPr>
          <w:p>
            <w:pPr>
              <w:pStyle w:val="TableParagraph"/>
              <w:spacing w:before="119"/>
              <w:ind w:left="5" w:right="1"/>
              <w:jc w:val="center"/>
              <w:rPr>
                <w:sz w:val="22"/>
              </w:rPr>
            </w:pPr>
            <w:r>
              <w:rPr>
                <w:spacing w:val="-4"/>
                <w:sz w:val="22"/>
              </w:rPr>
              <w:t>25.0</w:t>
            </w:r>
          </w:p>
        </w:tc>
        <w:tc>
          <w:tcPr>
            <w:tcW w:w="825" w:type="dxa"/>
          </w:tcPr>
          <w:p>
            <w:pPr>
              <w:pStyle w:val="TableParagraph"/>
              <w:spacing w:before="119"/>
              <w:ind w:right="6"/>
              <w:jc w:val="center"/>
              <w:rPr>
                <w:sz w:val="22"/>
              </w:rPr>
            </w:pPr>
            <w:r>
              <w:rPr>
                <w:spacing w:val="-4"/>
                <w:sz w:val="22"/>
              </w:rPr>
              <w:t>60.0</w:t>
            </w:r>
          </w:p>
        </w:tc>
        <w:tc>
          <w:tcPr>
            <w:tcW w:w="829" w:type="dxa"/>
          </w:tcPr>
          <w:p>
            <w:pPr>
              <w:pStyle w:val="TableParagraph"/>
              <w:spacing w:before="119"/>
              <w:ind w:left="4" w:right="5"/>
              <w:jc w:val="center"/>
              <w:rPr>
                <w:sz w:val="22"/>
              </w:rPr>
            </w:pPr>
            <w:r>
              <w:rPr>
                <w:spacing w:val="-4"/>
                <w:sz w:val="22"/>
              </w:rPr>
              <w:t>25.0</w:t>
            </w:r>
          </w:p>
        </w:tc>
        <w:tc>
          <w:tcPr>
            <w:tcW w:w="834" w:type="dxa"/>
          </w:tcPr>
          <w:p>
            <w:pPr>
              <w:pStyle w:val="TableParagraph"/>
              <w:spacing w:before="119"/>
              <w:ind w:left="4" w:right="9"/>
              <w:jc w:val="center"/>
              <w:rPr>
                <w:sz w:val="22"/>
              </w:rPr>
            </w:pPr>
            <w:r>
              <w:rPr>
                <w:spacing w:val="-4"/>
                <w:sz w:val="22"/>
              </w:rPr>
              <w:t>50.0</w:t>
            </w:r>
          </w:p>
        </w:tc>
      </w:tr>
      <w:tr>
        <w:trPr>
          <w:trHeight w:val="499" w:hRule="atLeast"/>
        </w:trPr>
        <w:tc>
          <w:tcPr>
            <w:tcW w:w="1087" w:type="dxa"/>
          </w:tcPr>
          <w:p>
            <w:pPr>
              <w:pStyle w:val="TableParagraph"/>
              <w:spacing w:before="119"/>
              <w:ind w:left="1" w:right="239"/>
              <w:jc w:val="center"/>
              <w:rPr>
                <w:sz w:val="22"/>
              </w:rPr>
            </w:pPr>
            <w:r>
              <w:rPr>
                <w:sz w:val="22"/>
              </w:rPr>
              <w:t>SP</w:t>
            </w:r>
            <w:r>
              <w:rPr>
                <w:spacing w:val="1"/>
                <w:sz w:val="22"/>
              </w:rPr>
              <w:t> </w:t>
            </w:r>
            <w:r>
              <w:rPr>
                <w:spacing w:val="-5"/>
                <w:sz w:val="22"/>
              </w:rPr>
              <w:t>870</w:t>
            </w:r>
          </w:p>
        </w:tc>
        <w:tc>
          <w:tcPr>
            <w:tcW w:w="864" w:type="dxa"/>
          </w:tcPr>
          <w:p>
            <w:pPr>
              <w:pStyle w:val="TableParagraph"/>
              <w:spacing w:before="119"/>
              <w:ind w:left="33"/>
              <w:jc w:val="center"/>
              <w:rPr>
                <w:sz w:val="22"/>
              </w:rPr>
            </w:pPr>
            <w:r>
              <w:rPr>
                <w:spacing w:val="-4"/>
                <w:sz w:val="22"/>
              </w:rPr>
              <w:t>50.0</w:t>
            </w:r>
          </w:p>
        </w:tc>
        <w:tc>
          <w:tcPr>
            <w:tcW w:w="840" w:type="dxa"/>
          </w:tcPr>
          <w:p>
            <w:pPr>
              <w:pStyle w:val="TableParagraph"/>
              <w:spacing w:before="119"/>
              <w:ind w:left="20" w:right="31"/>
              <w:jc w:val="center"/>
              <w:rPr>
                <w:sz w:val="22"/>
              </w:rPr>
            </w:pPr>
            <w:r>
              <w:rPr>
                <w:spacing w:val="-4"/>
                <w:sz w:val="22"/>
              </w:rPr>
              <w:t>70.0</w:t>
            </w:r>
          </w:p>
        </w:tc>
        <w:tc>
          <w:tcPr>
            <w:tcW w:w="861" w:type="dxa"/>
          </w:tcPr>
          <w:p>
            <w:pPr>
              <w:pStyle w:val="TableParagraph"/>
              <w:spacing w:before="119"/>
              <w:ind w:left="82" w:right="95"/>
              <w:jc w:val="center"/>
              <w:rPr>
                <w:sz w:val="22"/>
              </w:rPr>
            </w:pPr>
            <w:r>
              <w:rPr>
                <w:spacing w:val="-4"/>
                <w:sz w:val="22"/>
              </w:rPr>
              <w:t>40.0</w:t>
            </w:r>
          </w:p>
        </w:tc>
        <w:tc>
          <w:tcPr>
            <w:tcW w:w="861" w:type="dxa"/>
          </w:tcPr>
          <w:p>
            <w:pPr>
              <w:pStyle w:val="TableParagraph"/>
              <w:spacing w:before="119"/>
              <w:ind w:left="100" w:right="95"/>
              <w:jc w:val="center"/>
              <w:rPr>
                <w:sz w:val="22"/>
              </w:rPr>
            </w:pPr>
            <w:r>
              <w:rPr>
                <w:spacing w:val="-4"/>
                <w:sz w:val="22"/>
              </w:rPr>
              <w:t>60.0</w:t>
            </w:r>
          </w:p>
        </w:tc>
        <w:tc>
          <w:tcPr>
            <w:tcW w:w="846" w:type="dxa"/>
          </w:tcPr>
          <w:p>
            <w:pPr>
              <w:pStyle w:val="TableParagraph"/>
              <w:spacing w:before="119"/>
              <w:jc w:val="center"/>
              <w:rPr>
                <w:sz w:val="22"/>
              </w:rPr>
            </w:pPr>
            <w:r>
              <w:rPr>
                <w:spacing w:val="-4"/>
                <w:sz w:val="22"/>
              </w:rPr>
              <w:t>22.5</w:t>
            </w:r>
          </w:p>
        </w:tc>
        <w:tc>
          <w:tcPr>
            <w:tcW w:w="840" w:type="dxa"/>
          </w:tcPr>
          <w:p>
            <w:pPr>
              <w:pStyle w:val="TableParagraph"/>
              <w:spacing w:before="119"/>
              <w:ind w:left="20" w:right="21"/>
              <w:jc w:val="center"/>
              <w:rPr>
                <w:sz w:val="22"/>
              </w:rPr>
            </w:pPr>
            <w:r>
              <w:rPr>
                <w:spacing w:val="-4"/>
                <w:sz w:val="22"/>
              </w:rPr>
              <w:t>40.0</w:t>
            </w:r>
          </w:p>
        </w:tc>
        <w:tc>
          <w:tcPr>
            <w:tcW w:w="829" w:type="dxa"/>
          </w:tcPr>
          <w:p>
            <w:pPr>
              <w:pStyle w:val="TableParagraph"/>
              <w:spacing w:before="119"/>
              <w:ind w:left="5" w:right="1"/>
              <w:jc w:val="center"/>
              <w:rPr>
                <w:sz w:val="22"/>
              </w:rPr>
            </w:pPr>
            <w:r>
              <w:rPr>
                <w:spacing w:val="-4"/>
                <w:sz w:val="22"/>
              </w:rPr>
              <w:t>20.0</w:t>
            </w:r>
          </w:p>
        </w:tc>
        <w:tc>
          <w:tcPr>
            <w:tcW w:w="825" w:type="dxa"/>
          </w:tcPr>
          <w:p>
            <w:pPr>
              <w:pStyle w:val="TableParagraph"/>
              <w:spacing w:before="119"/>
              <w:ind w:right="6"/>
              <w:jc w:val="center"/>
              <w:rPr>
                <w:sz w:val="22"/>
              </w:rPr>
            </w:pPr>
            <w:r>
              <w:rPr>
                <w:spacing w:val="-4"/>
                <w:sz w:val="22"/>
              </w:rPr>
              <w:t>40.0</w:t>
            </w:r>
          </w:p>
        </w:tc>
        <w:tc>
          <w:tcPr>
            <w:tcW w:w="829" w:type="dxa"/>
          </w:tcPr>
          <w:p>
            <w:pPr>
              <w:pStyle w:val="TableParagraph"/>
              <w:spacing w:before="119"/>
              <w:ind w:left="4" w:right="5"/>
              <w:jc w:val="center"/>
              <w:rPr>
                <w:sz w:val="22"/>
              </w:rPr>
            </w:pPr>
            <w:r>
              <w:rPr>
                <w:spacing w:val="-4"/>
                <w:sz w:val="22"/>
              </w:rPr>
              <w:t>17.5</w:t>
            </w:r>
          </w:p>
        </w:tc>
        <w:tc>
          <w:tcPr>
            <w:tcW w:w="834" w:type="dxa"/>
          </w:tcPr>
          <w:p>
            <w:pPr>
              <w:pStyle w:val="TableParagraph"/>
              <w:spacing w:before="119"/>
              <w:ind w:left="4" w:right="9"/>
              <w:jc w:val="center"/>
              <w:rPr>
                <w:sz w:val="22"/>
              </w:rPr>
            </w:pPr>
            <w:r>
              <w:rPr>
                <w:spacing w:val="-4"/>
                <w:sz w:val="22"/>
              </w:rPr>
              <w:t>25.0</w:t>
            </w:r>
          </w:p>
        </w:tc>
      </w:tr>
      <w:tr>
        <w:trPr>
          <w:trHeight w:val="450" w:hRule="atLeast"/>
        </w:trPr>
        <w:tc>
          <w:tcPr>
            <w:tcW w:w="1087" w:type="dxa"/>
          </w:tcPr>
          <w:p>
            <w:pPr>
              <w:pStyle w:val="TableParagraph"/>
              <w:spacing w:before="71"/>
              <w:ind w:left="1" w:right="239"/>
              <w:jc w:val="center"/>
              <w:rPr>
                <w:sz w:val="22"/>
              </w:rPr>
            </w:pPr>
            <w:r>
              <w:rPr>
                <w:sz w:val="22"/>
              </w:rPr>
              <w:t>SP</w:t>
            </w:r>
            <w:r>
              <w:rPr>
                <w:spacing w:val="1"/>
                <w:sz w:val="22"/>
              </w:rPr>
              <w:t> </w:t>
            </w:r>
            <w:r>
              <w:rPr>
                <w:spacing w:val="-5"/>
                <w:sz w:val="22"/>
              </w:rPr>
              <w:t>871</w:t>
            </w:r>
          </w:p>
        </w:tc>
        <w:tc>
          <w:tcPr>
            <w:tcW w:w="864" w:type="dxa"/>
          </w:tcPr>
          <w:p>
            <w:pPr>
              <w:pStyle w:val="TableParagraph"/>
              <w:spacing w:before="71"/>
              <w:ind w:left="33"/>
              <w:jc w:val="center"/>
              <w:rPr>
                <w:sz w:val="22"/>
              </w:rPr>
            </w:pPr>
            <w:r>
              <w:rPr>
                <w:spacing w:val="-4"/>
                <w:sz w:val="22"/>
              </w:rPr>
              <w:t>30.0</w:t>
            </w:r>
          </w:p>
        </w:tc>
        <w:tc>
          <w:tcPr>
            <w:tcW w:w="840" w:type="dxa"/>
          </w:tcPr>
          <w:p>
            <w:pPr>
              <w:pStyle w:val="TableParagraph"/>
              <w:spacing w:before="71"/>
              <w:ind w:left="20" w:right="31"/>
              <w:jc w:val="center"/>
              <w:rPr>
                <w:sz w:val="22"/>
              </w:rPr>
            </w:pPr>
            <w:r>
              <w:rPr>
                <w:spacing w:val="-4"/>
                <w:sz w:val="22"/>
              </w:rPr>
              <w:t>50.0</w:t>
            </w:r>
          </w:p>
        </w:tc>
        <w:tc>
          <w:tcPr>
            <w:tcW w:w="861" w:type="dxa"/>
          </w:tcPr>
          <w:p>
            <w:pPr>
              <w:pStyle w:val="TableParagraph"/>
              <w:spacing w:before="71"/>
              <w:ind w:left="82" w:right="95"/>
              <w:jc w:val="center"/>
              <w:rPr>
                <w:sz w:val="22"/>
              </w:rPr>
            </w:pPr>
            <w:r>
              <w:rPr>
                <w:spacing w:val="-4"/>
                <w:sz w:val="22"/>
              </w:rPr>
              <w:t>30.0</w:t>
            </w:r>
          </w:p>
        </w:tc>
        <w:tc>
          <w:tcPr>
            <w:tcW w:w="861" w:type="dxa"/>
          </w:tcPr>
          <w:p>
            <w:pPr>
              <w:pStyle w:val="TableParagraph"/>
              <w:spacing w:before="71"/>
              <w:ind w:left="99" w:right="95"/>
              <w:jc w:val="center"/>
              <w:rPr>
                <w:sz w:val="22"/>
              </w:rPr>
            </w:pPr>
            <w:r>
              <w:rPr>
                <w:spacing w:val="-4"/>
                <w:sz w:val="22"/>
              </w:rPr>
              <w:t>50.0</w:t>
            </w:r>
          </w:p>
        </w:tc>
        <w:tc>
          <w:tcPr>
            <w:tcW w:w="846" w:type="dxa"/>
          </w:tcPr>
          <w:p>
            <w:pPr>
              <w:pStyle w:val="TableParagraph"/>
              <w:spacing w:before="71"/>
              <w:jc w:val="center"/>
              <w:rPr>
                <w:sz w:val="22"/>
              </w:rPr>
            </w:pPr>
            <w:r>
              <w:rPr>
                <w:spacing w:val="-4"/>
                <w:sz w:val="22"/>
              </w:rPr>
              <w:t>40.0</w:t>
            </w:r>
          </w:p>
        </w:tc>
        <w:tc>
          <w:tcPr>
            <w:tcW w:w="840" w:type="dxa"/>
          </w:tcPr>
          <w:p>
            <w:pPr>
              <w:pStyle w:val="TableParagraph"/>
              <w:spacing w:before="71"/>
              <w:ind w:left="20" w:right="21"/>
              <w:jc w:val="center"/>
              <w:rPr>
                <w:sz w:val="22"/>
              </w:rPr>
            </w:pPr>
            <w:r>
              <w:rPr>
                <w:spacing w:val="-4"/>
                <w:sz w:val="22"/>
              </w:rPr>
              <w:t>60.0</w:t>
            </w:r>
          </w:p>
        </w:tc>
        <w:tc>
          <w:tcPr>
            <w:tcW w:w="829" w:type="dxa"/>
          </w:tcPr>
          <w:p>
            <w:pPr>
              <w:pStyle w:val="TableParagraph"/>
              <w:spacing w:before="71"/>
              <w:ind w:left="5" w:right="1"/>
              <w:jc w:val="center"/>
              <w:rPr>
                <w:sz w:val="22"/>
              </w:rPr>
            </w:pPr>
            <w:r>
              <w:rPr>
                <w:spacing w:val="-4"/>
                <w:sz w:val="22"/>
              </w:rPr>
              <w:t>45.0</w:t>
            </w:r>
          </w:p>
        </w:tc>
        <w:tc>
          <w:tcPr>
            <w:tcW w:w="825" w:type="dxa"/>
          </w:tcPr>
          <w:p>
            <w:pPr>
              <w:pStyle w:val="TableParagraph"/>
              <w:spacing w:before="71"/>
              <w:ind w:right="6"/>
              <w:jc w:val="center"/>
              <w:rPr>
                <w:sz w:val="22"/>
              </w:rPr>
            </w:pPr>
            <w:r>
              <w:rPr>
                <w:spacing w:val="-4"/>
                <w:sz w:val="22"/>
              </w:rPr>
              <w:t>70.0</w:t>
            </w:r>
          </w:p>
        </w:tc>
        <w:tc>
          <w:tcPr>
            <w:tcW w:w="829" w:type="dxa"/>
          </w:tcPr>
          <w:p>
            <w:pPr>
              <w:pStyle w:val="TableParagraph"/>
              <w:spacing w:before="71"/>
              <w:ind w:left="4" w:right="5"/>
              <w:jc w:val="center"/>
              <w:rPr>
                <w:sz w:val="22"/>
              </w:rPr>
            </w:pPr>
            <w:r>
              <w:rPr>
                <w:spacing w:val="-4"/>
                <w:sz w:val="22"/>
              </w:rPr>
              <w:t>35.0</w:t>
            </w:r>
          </w:p>
        </w:tc>
        <w:tc>
          <w:tcPr>
            <w:tcW w:w="834" w:type="dxa"/>
          </w:tcPr>
          <w:p>
            <w:pPr>
              <w:pStyle w:val="TableParagraph"/>
              <w:spacing w:before="71"/>
              <w:ind w:left="4" w:right="9"/>
              <w:jc w:val="center"/>
              <w:rPr>
                <w:sz w:val="22"/>
              </w:rPr>
            </w:pPr>
            <w:r>
              <w:rPr>
                <w:spacing w:val="-4"/>
                <w:sz w:val="22"/>
              </w:rPr>
              <w:t>60.0</w:t>
            </w:r>
          </w:p>
        </w:tc>
      </w:tr>
      <w:tr>
        <w:trPr>
          <w:trHeight w:val="450" w:hRule="atLeast"/>
        </w:trPr>
        <w:tc>
          <w:tcPr>
            <w:tcW w:w="1087" w:type="dxa"/>
          </w:tcPr>
          <w:p>
            <w:pPr>
              <w:pStyle w:val="TableParagraph"/>
              <w:spacing w:before="70"/>
              <w:ind w:left="1" w:right="239"/>
              <w:jc w:val="center"/>
              <w:rPr>
                <w:sz w:val="22"/>
              </w:rPr>
            </w:pPr>
            <w:r>
              <w:rPr>
                <w:sz w:val="22"/>
              </w:rPr>
              <w:t>SP</w:t>
            </w:r>
            <w:r>
              <w:rPr>
                <w:spacing w:val="1"/>
                <w:sz w:val="22"/>
              </w:rPr>
              <w:t> </w:t>
            </w:r>
            <w:r>
              <w:rPr>
                <w:spacing w:val="-5"/>
                <w:sz w:val="22"/>
              </w:rPr>
              <w:t>892</w:t>
            </w:r>
          </w:p>
        </w:tc>
        <w:tc>
          <w:tcPr>
            <w:tcW w:w="864" w:type="dxa"/>
          </w:tcPr>
          <w:p>
            <w:pPr>
              <w:pStyle w:val="TableParagraph"/>
              <w:spacing w:before="70"/>
              <w:ind w:left="33"/>
              <w:jc w:val="center"/>
              <w:rPr>
                <w:sz w:val="22"/>
              </w:rPr>
            </w:pPr>
            <w:r>
              <w:rPr>
                <w:spacing w:val="-4"/>
                <w:sz w:val="22"/>
              </w:rPr>
              <w:t>40.0</w:t>
            </w:r>
          </w:p>
        </w:tc>
        <w:tc>
          <w:tcPr>
            <w:tcW w:w="840" w:type="dxa"/>
          </w:tcPr>
          <w:p>
            <w:pPr>
              <w:pStyle w:val="TableParagraph"/>
              <w:spacing w:before="70"/>
              <w:ind w:left="20" w:right="31"/>
              <w:jc w:val="center"/>
              <w:rPr>
                <w:sz w:val="22"/>
              </w:rPr>
            </w:pPr>
            <w:r>
              <w:rPr>
                <w:spacing w:val="-4"/>
                <w:sz w:val="22"/>
              </w:rPr>
              <w:t>60.0</w:t>
            </w:r>
          </w:p>
        </w:tc>
        <w:tc>
          <w:tcPr>
            <w:tcW w:w="861" w:type="dxa"/>
          </w:tcPr>
          <w:p>
            <w:pPr>
              <w:pStyle w:val="TableParagraph"/>
              <w:spacing w:before="70"/>
              <w:ind w:left="82" w:right="95"/>
              <w:jc w:val="center"/>
              <w:rPr>
                <w:sz w:val="22"/>
              </w:rPr>
            </w:pPr>
            <w:r>
              <w:rPr>
                <w:spacing w:val="-4"/>
                <w:sz w:val="22"/>
              </w:rPr>
              <w:t>35.0</w:t>
            </w:r>
          </w:p>
        </w:tc>
        <w:tc>
          <w:tcPr>
            <w:tcW w:w="861" w:type="dxa"/>
          </w:tcPr>
          <w:p>
            <w:pPr>
              <w:pStyle w:val="TableParagraph"/>
              <w:spacing w:before="70"/>
              <w:ind w:left="99" w:right="95"/>
              <w:jc w:val="center"/>
              <w:rPr>
                <w:sz w:val="22"/>
              </w:rPr>
            </w:pPr>
            <w:r>
              <w:rPr>
                <w:spacing w:val="-4"/>
                <w:sz w:val="22"/>
              </w:rPr>
              <w:t>50.0</w:t>
            </w:r>
          </w:p>
        </w:tc>
        <w:tc>
          <w:tcPr>
            <w:tcW w:w="846" w:type="dxa"/>
          </w:tcPr>
          <w:p>
            <w:pPr>
              <w:pStyle w:val="TableParagraph"/>
              <w:spacing w:before="70"/>
              <w:jc w:val="center"/>
              <w:rPr>
                <w:sz w:val="22"/>
              </w:rPr>
            </w:pPr>
            <w:r>
              <w:rPr>
                <w:spacing w:val="-4"/>
                <w:sz w:val="22"/>
              </w:rPr>
              <w:t>25.0</w:t>
            </w:r>
          </w:p>
        </w:tc>
        <w:tc>
          <w:tcPr>
            <w:tcW w:w="840" w:type="dxa"/>
          </w:tcPr>
          <w:p>
            <w:pPr>
              <w:pStyle w:val="TableParagraph"/>
              <w:spacing w:before="70"/>
              <w:ind w:left="20" w:right="21"/>
              <w:jc w:val="center"/>
              <w:rPr>
                <w:sz w:val="22"/>
              </w:rPr>
            </w:pPr>
            <w:r>
              <w:rPr>
                <w:spacing w:val="-4"/>
                <w:sz w:val="22"/>
              </w:rPr>
              <w:t>50.0</w:t>
            </w:r>
          </w:p>
        </w:tc>
        <w:tc>
          <w:tcPr>
            <w:tcW w:w="829" w:type="dxa"/>
          </w:tcPr>
          <w:p>
            <w:pPr>
              <w:pStyle w:val="TableParagraph"/>
              <w:spacing w:before="70"/>
              <w:ind w:left="5" w:right="1"/>
              <w:jc w:val="center"/>
              <w:rPr>
                <w:sz w:val="22"/>
              </w:rPr>
            </w:pPr>
            <w:r>
              <w:rPr>
                <w:spacing w:val="-4"/>
                <w:sz w:val="22"/>
              </w:rPr>
              <w:t>30.0</w:t>
            </w:r>
          </w:p>
        </w:tc>
        <w:tc>
          <w:tcPr>
            <w:tcW w:w="825" w:type="dxa"/>
          </w:tcPr>
          <w:p>
            <w:pPr>
              <w:pStyle w:val="TableParagraph"/>
              <w:spacing w:before="70"/>
              <w:ind w:right="6"/>
              <w:jc w:val="center"/>
              <w:rPr>
                <w:sz w:val="22"/>
              </w:rPr>
            </w:pPr>
            <w:r>
              <w:rPr>
                <w:spacing w:val="-4"/>
                <w:sz w:val="22"/>
              </w:rPr>
              <w:t>60.0</w:t>
            </w:r>
          </w:p>
        </w:tc>
        <w:tc>
          <w:tcPr>
            <w:tcW w:w="829" w:type="dxa"/>
          </w:tcPr>
          <w:p>
            <w:pPr>
              <w:pStyle w:val="TableParagraph"/>
              <w:spacing w:before="70"/>
              <w:ind w:left="4" w:right="5"/>
              <w:jc w:val="center"/>
              <w:rPr>
                <w:sz w:val="22"/>
              </w:rPr>
            </w:pPr>
            <w:r>
              <w:rPr>
                <w:spacing w:val="-4"/>
                <w:sz w:val="22"/>
              </w:rPr>
              <w:t>25.0</w:t>
            </w:r>
          </w:p>
        </w:tc>
        <w:tc>
          <w:tcPr>
            <w:tcW w:w="834" w:type="dxa"/>
          </w:tcPr>
          <w:p>
            <w:pPr>
              <w:pStyle w:val="TableParagraph"/>
              <w:spacing w:before="70"/>
              <w:ind w:left="4" w:right="9"/>
              <w:jc w:val="center"/>
              <w:rPr>
                <w:sz w:val="22"/>
              </w:rPr>
            </w:pPr>
            <w:r>
              <w:rPr>
                <w:spacing w:val="-4"/>
                <w:sz w:val="22"/>
              </w:rPr>
              <w:t>50.0</w:t>
            </w:r>
          </w:p>
        </w:tc>
      </w:tr>
      <w:tr>
        <w:trPr>
          <w:trHeight w:val="450" w:hRule="atLeast"/>
        </w:trPr>
        <w:tc>
          <w:tcPr>
            <w:tcW w:w="1087" w:type="dxa"/>
          </w:tcPr>
          <w:p>
            <w:pPr>
              <w:pStyle w:val="TableParagraph"/>
              <w:spacing w:before="71"/>
              <w:ind w:left="1" w:right="239"/>
              <w:jc w:val="center"/>
              <w:rPr>
                <w:sz w:val="22"/>
              </w:rPr>
            </w:pPr>
            <w:r>
              <w:rPr>
                <w:sz w:val="22"/>
              </w:rPr>
              <w:t>SP</w:t>
            </w:r>
            <w:r>
              <w:rPr>
                <w:spacing w:val="1"/>
                <w:sz w:val="22"/>
              </w:rPr>
              <w:t> </w:t>
            </w:r>
            <w:r>
              <w:rPr>
                <w:spacing w:val="-5"/>
                <w:sz w:val="22"/>
              </w:rPr>
              <w:t>894</w:t>
            </w:r>
          </w:p>
        </w:tc>
        <w:tc>
          <w:tcPr>
            <w:tcW w:w="864" w:type="dxa"/>
          </w:tcPr>
          <w:p>
            <w:pPr>
              <w:pStyle w:val="TableParagraph"/>
              <w:spacing w:before="71"/>
              <w:ind w:left="33"/>
              <w:jc w:val="center"/>
              <w:rPr>
                <w:sz w:val="22"/>
              </w:rPr>
            </w:pPr>
            <w:r>
              <w:rPr>
                <w:spacing w:val="-4"/>
                <w:sz w:val="22"/>
              </w:rPr>
              <w:t>30.0</w:t>
            </w:r>
          </w:p>
        </w:tc>
        <w:tc>
          <w:tcPr>
            <w:tcW w:w="840" w:type="dxa"/>
          </w:tcPr>
          <w:p>
            <w:pPr>
              <w:pStyle w:val="TableParagraph"/>
              <w:spacing w:before="71"/>
              <w:ind w:left="20" w:right="31"/>
              <w:jc w:val="center"/>
              <w:rPr>
                <w:sz w:val="22"/>
              </w:rPr>
            </w:pPr>
            <w:r>
              <w:rPr>
                <w:spacing w:val="-4"/>
                <w:sz w:val="22"/>
              </w:rPr>
              <w:t>60.0</w:t>
            </w:r>
          </w:p>
        </w:tc>
        <w:tc>
          <w:tcPr>
            <w:tcW w:w="861" w:type="dxa"/>
          </w:tcPr>
          <w:p>
            <w:pPr>
              <w:pStyle w:val="TableParagraph"/>
              <w:spacing w:before="71"/>
              <w:ind w:left="82" w:right="95"/>
              <w:jc w:val="center"/>
              <w:rPr>
                <w:sz w:val="22"/>
              </w:rPr>
            </w:pPr>
            <w:r>
              <w:rPr>
                <w:spacing w:val="-4"/>
                <w:sz w:val="22"/>
              </w:rPr>
              <w:t>40.0</w:t>
            </w:r>
          </w:p>
        </w:tc>
        <w:tc>
          <w:tcPr>
            <w:tcW w:w="861" w:type="dxa"/>
          </w:tcPr>
          <w:p>
            <w:pPr>
              <w:pStyle w:val="TableParagraph"/>
              <w:spacing w:before="71"/>
              <w:ind w:left="99" w:right="95"/>
              <w:jc w:val="center"/>
              <w:rPr>
                <w:sz w:val="22"/>
              </w:rPr>
            </w:pPr>
            <w:r>
              <w:rPr>
                <w:spacing w:val="-4"/>
                <w:sz w:val="22"/>
              </w:rPr>
              <w:t>60.0</w:t>
            </w:r>
          </w:p>
        </w:tc>
        <w:tc>
          <w:tcPr>
            <w:tcW w:w="846" w:type="dxa"/>
          </w:tcPr>
          <w:p>
            <w:pPr>
              <w:pStyle w:val="TableParagraph"/>
              <w:spacing w:before="71"/>
              <w:jc w:val="center"/>
              <w:rPr>
                <w:sz w:val="22"/>
              </w:rPr>
            </w:pPr>
            <w:r>
              <w:rPr>
                <w:spacing w:val="-4"/>
                <w:sz w:val="22"/>
              </w:rPr>
              <w:t>35.0</w:t>
            </w:r>
          </w:p>
        </w:tc>
        <w:tc>
          <w:tcPr>
            <w:tcW w:w="840" w:type="dxa"/>
          </w:tcPr>
          <w:p>
            <w:pPr>
              <w:pStyle w:val="TableParagraph"/>
              <w:spacing w:before="71"/>
              <w:ind w:left="20" w:right="21"/>
              <w:jc w:val="center"/>
              <w:rPr>
                <w:sz w:val="22"/>
              </w:rPr>
            </w:pPr>
            <w:r>
              <w:rPr>
                <w:spacing w:val="-4"/>
                <w:sz w:val="22"/>
              </w:rPr>
              <w:t>60.0</w:t>
            </w:r>
          </w:p>
        </w:tc>
        <w:tc>
          <w:tcPr>
            <w:tcW w:w="829" w:type="dxa"/>
          </w:tcPr>
          <w:p>
            <w:pPr>
              <w:pStyle w:val="TableParagraph"/>
              <w:spacing w:before="71"/>
              <w:ind w:left="5" w:right="1"/>
              <w:jc w:val="center"/>
              <w:rPr>
                <w:sz w:val="22"/>
              </w:rPr>
            </w:pPr>
            <w:r>
              <w:rPr>
                <w:spacing w:val="-4"/>
                <w:sz w:val="22"/>
              </w:rPr>
              <w:t>40.0</w:t>
            </w:r>
          </w:p>
        </w:tc>
        <w:tc>
          <w:tcPr>
            <w:tcW w:w="825" w:type="dxa"/>
          </w:tcPr>
          <w:p>
            <w:pPr>
              <w:pStyle w:val="TableParagraph"/>
              <w:spacing w:before="71"/>
              <w:ind w:right="6"/>
              <w:jc w:val="center"/>
              <w:rPr>
                <w:sz w:val="22"/>
              </w:rPr>
            </w:pPr>
            <w:r>
              <w:rPr>
                <w:spacing w:val="-4"/>
                <w:sz w:val="22"/>
              </w:rPr>
              <w:t>70.0</w:t>
            </w:r>
          </w:p>
        </w:tc>
        <w:tc>
          <w:tcPr>
            <w:tcW w:w="829" w:type="dxa"/>
          </w:tcPr>
          <w:p>
            <w:pPr>
              <w:pStyle w:val="TableParagraph"/>
              <w:spacing w:before="71"/>
              <w:ind w:left="4" w:right="5"/>
              <w:jc w:val="center"/>
              <w:rPr>
                <w:sz w:val="22"/>
              </w:rPr>
            </w:pPr>
            <w:r>
              <w:rPr>
                <w:spacing w:val="-4"/>
                <w:sz w:val="22"/>
              </w:rPr>
              <w:t>40.0</w:t>
            </w:r>
          </w:p>
        </w:tc>
        <w:tc>
          <w:tcPr>
            <w:tcW w:w="834" w:type="dxa"/>
          </w:tcPr>
          <w:p>
            <w:pPr>
              <w:pStyle w:val="TableParagraph"/>
              <w:spacing w:before="71"/>
              <w:ind w:left="4" w:right="9"/>
              <w:jc w:val="center"/>
              <w:rPr>
                <w:sz w:val="22"/>
              </w:rPr>
            </w:pPr>
            <w:r>
              <w:rPr>
                <w:spacing w:val="-4"/>
                <w:sz w:val="22"/>
              </w:rPr>
              <w:t>70.0</w:t>
            </w:r>
          </w:p>
        </w:tc>
      </w:tr>
      <w:tr>
        <w:trPr>
          <w:trHeight w:val="448" w:hRule="atLeast"/>
        </w:trPr>
        <w:tc>
          <w:tcPr>
            <w:tcW w:w="1087" w:type="dxa"/>
          </w:tcPr>
          <w:p>
            <w:pPr>
              <w:pStyle w:val="TableParagraph"/>
              <w:spacing w:before="70"/>
              <w:ind w:left="104" w:right="239"/>
              <w:jc w:val="center"/>
              <w:rPr>
                <w:sz w:val="22"/>
              </w:rPr>
            </w:pPr>
            <w:r>
              <w:rPr>
                <w:sz w:val="22"/>
              </w:rPr>
              <w:t>TS</w:t>
            </w:r>
            <w:r>
              <w:rPr>
                <w:spacing w:val="-1"/>
                <w:sz w:val="22"/>
              </w:rPr>
              <w:t> </w:t>
            </w:r>
            <w:r>
              <w:rPr>
                <w:spacing w:val="-4"/>
                <w:sz w:val="22"/>
              </w:rPr>
              <w:t>1234</w:t>
            </w:r>
          </w:p>
        </w:tc>
        <w:tc>
          <w:tcPr>
            <w:tcW w:w="864" w:type="dxa"/>
          </w:tcPr>
          <w:p>
            <w:pPr>
              <w:pStyle w:val="TableParagraph"/>
              <w:spacing w:before="70"/>
              <w:ind w:left="33"/>
              <w:jc w:val="center"/>
              <w:rPr>
                <w:sz w:val="22"/>
              </w:rPr>
            </w:pPr>
            <w:r>
              <w:rPr>
                <w:spacing w:val="-4"/>
                <w:sz w:val="22"/>
              </w:rPr>
              <w:t>50.0</w:t>
            </w:r>
          </w:p>
        </w:tc>
        <w:tc>
          <w:tcPr>
            <w:tcW w:w="840" w:type="dxa"/>
          </w:tcPr>
          <w:p>
            <w:pPr>
              <w:pStyle w:val="TableParagraph"/>
              <w:spacing w:before="70"/>
              <w:ind w:left="20" w:right="31"/>
              <w:jc w:val="center"/>
              <w:rPr>
                <w:sz w:val="22"/>
              </w:rPr>
            </w:pPr>
            <w:r>
              <w:rPr>
                <w:spacing w:val="-4"/>
                <w:sz w:val="22"/>
              </w:rPr>
              <w:t>70.0</w:t>
            </w:r>
          </w:p>
        </w:tc>
        <w:tc>
          <w:tcPr>
            <w:tcW w:w="861" w:type="dxa"/>
          </w:tcPr>
          <w:p>
            <w:pPr>
              <w:pStyle w:val="TableParagraph"/>
              <w:spacing w:before="70"/>
              <w:ind w:left="82" w:right="95"/>
              <w:jc w:val="center"/>
              <w:rPr>
                <w:sz w:val="22"/>
              </w:rPr>
            </w:pPr>
            <w:r>
              <w:rPr>
                <w:spacing w:val="-4"/>
                <w:sz w:val="22"/>
              </w:rPr>
              <w:t>45.0</w:t>
            </w:r>
          </w:p>
        </w:tc>
        <w:tc>
          <w:tcPr>
            <w:tcW w:w="861" w:type="dxa"/>
          </w:tcPr>
          <w:p>
            <w:pPr>
              <w:pStyle w:val="TableParagraph"/>
              <w:spacing w:before="70"/>
              <w:ind w:left="99" w:right="95"/>
              <w:jc w:val="center"/>
              <w:rPr>
                <w:sz w:val="22"/>
              </w:rPr>
            </w:pPr>
            <w:r>
              <w:rPr>
                <w:spacing w:val="-4"/>
                <w:sz w:val="22"/>
              </w:rPr>
              <w:t>60.0</w:t>
            </w:r>
          </w:p>
        </w:tc>
        <w:tc>
          <w:tcPr>
            <w:tcW w:w="846" w:type="dxa"/>
          </w:tcPr>
          <w:p>
            <w:pPr>
              <w:pStyle w:val="TableParagraph"/>
              <w:spacing w:before="70"/>
              <w:jc w:val="center"/>
              <w:rPr>
                <w:sz w:val="22"/>
              </w:rPr>
            </w:pPr>
            <w:r>
              <w:rPr>
                <w:spacing w:val="-4"/>
                <w:sz w:val="22"/>
              </w:rPr>
              <w:t>40.0</w:t>
            </w:r>
          </w:p>
        </w:tc>
        <w:tc>
          <w:tcPr>
            <w:tcW w:w="840" w:type="dxa"/>
          </w:tcPr>
          <w:p>
            <w:pPr>
              <w:pStyle w:val="TableParagraph"/>
              <w:spacing w:before="70"/>
              <w:ind w:left="20" w:right="21"/>
              <w:jc w:val="center"/>
              <w:rPr>
                <w:sz w:val="22"/>
              </w:rPr>
            </w:pPr>
            <w:r>
              <w:rPr>
                <w:spacing w:val="-4"/>
                <w:sz w:val="22"/>
              </w:rPr>
              <w:t>60.0</w:t>
            </w:r>
          </w:p>
        </w:tc>
        <w:tc>
          <w:tcPr>
            <w:tcW w:w="829" w:type="dxa"/>
          </w:tcPr>
          <w:p>
            <w:pPr>
              <w:pStyle w:val="TableParagraph"/>
              <w:spacing w:before="70"/>
              <w:ind w:left="5" w:right="1"/>
              <w:jc w:val="center"/>
              <w:rPr>
                <w:sz w:val="22"/>
              </w:rPr>
            </w:pPr>
            <w:r>
              <w:rPr>
                <w:spacing w:val="-4"/>
                <w:sz w:val="22"/>
              </w:rPr>
              <w:t>30.0</w:t>
            </w:r>
          </w:p>
        </w:tc>
        <w:tc>
          <w:tcPr>
            <w:tcW w:w="825" w:type="dxa"/>
          </w:tcPr>
          <w:p>
            <w:pPr>
              <w:pStyle w:val="TableParagraph"/>
              <w:spacing w:before="70"/>
              <w:ind w:right="6"/>
              <w:jc w:val="center"/>
              <w:rPr>
                <w:sz w:val="22"/>
              </w:rPr>
            </w:pPr>
            <w:r>
              <w:rPr>
                <w:spacing w:val="-4"/>
                <w:sz w:val="22"/>
              </w:rPr>
              <w:t>70.0</w:t>
            </w:r>
          </w:p>
        </w:tc>
        <w:tc>
          <w:tcPr>
            <w:tcW w:w="829" w:type="dxa"/>
          </w:tcPr>
          <w:p>
            <w:pPr>
              <w:pStyle w:val="TableParagraph"/>
              <w:spacing w:before="70"/>
              <w:ind w:left="4" w:right="5"/>
              <w:jc w:val="center"/>
              <w:rPr>
                <w:sz w:val="22"/>
              </w:rPr>
            </w:pPr>
            <w:r>
              <w:rPr>
                <w:spacing w:val="-4"/>
                <w:sz w:val="22"/>
              </w:rPr>
              <w:t>45.0</w:t>
            </w:r>
          </w:p>
        </w:tc>
        <w:tc>
          <w:tcPr>
            <w:tcW w:w="834" w:type="dxa"/>
          </w:tcPr>
          <w:p>
            <w:pPr>
              <w:pStyle w:val="TableParagraph"/>
              <w:spacing w:before="70"/>
              <w:ind w:left="4" w:right="9"/>
              <w:jc w:val="center"/>
              <w:rPr>
                <w:sz w:val="22"/>
              </w:rPr>
            </w:pPr>
            <w:r>
              <w:rPr>
                <w:spacing w:val="-4"/>
                <w:sz w:val="22"/>
              </w:rPr>
              <w:t>70.0</w:t>
            </w:r>
          </w:p>
        </w:tc>
      </w:tr>
      <w:tr>
        <w:trPr>
          <w:trHeight w:val="524" w:hRule="atLeast"/>
        </w:trPr>
        <w:tc>
          <w:tcPr>
            <w:tcW w:w="1087" w:type="dxa"/>
            <w:tcBorders>
              <w:bottom w:val="single" w:sz="4" w:space="0" w:color="000000"/>
            </w:tcBorders>
          </w:tcPr>
          <w:p>
            <w:pPr>
              <w:pStyle w:val="TableParagraph"/>
              <w:spacing w:before="70"/>
              <w:ind w:right="246"/>
              <w:jc w:val="center"/>
              <w:rPr>
                <w:sz w:val="22"/>
              </w:rPr>
            </w:pPr>
            <w:r>
              <w:rPr>
                <w:sz w:val="22"/>
              </w:rPr>
              <w:t>TS</w:t>
            </w:r>
            <w:r>
              <w:rPr>
                <w:spacing w:val="-1"/>
                <w:sz w:val="22"/>
              </w:rPr>
              <w:t> </w:t>
            </w:r>
            <w:r>
              <w:rPr>
                <w:spacing w:val="-5"/>
                <w:sz w:val="22"/>
              </w:rPr>
              <w:t>320</w:t>
            </w:r>
          </w:p>
        </w:tc>
        <w:tc>
          <w:tcPr>
            <w:tcW w:w="864" w:type="dxa"/>
            <w:tcBorders>
              <w:bottom w:val="single" w:sz="4" w:space="0" w:color="000000"/>
            </w:tcBorders>
          </w:tcPr>
          <w:p>
            <w:pPr>
              <w:pStyle w:val="TableParagraph"/>
              <w:spacing w:before="70"/>
              <w:ind w:left="33"/>
              <w:jc w:val="center"/>
              <w:rPr>
                <w:sz w:val="22"/>
              </w:rPr>
            </w:pPr>
            <w:r>
              <w:rPr>
                <w:spacing w:val="-4"/>
                <w:sz w:val="22"/>
              </w:rPr>
              <w:t>25.0</w:t>
            </w:r>
          </w:p>
        </w:tc>
        <w:tc>
          <w:tcPr>
            <w:tcW w:w="840" w:type="dxa"/>
            <w:tcBorders>
              <w:bottom w:val="single" w:sz="4" w:space="0" w:color="000000"/>
            </w:tcBorders>
          </w:tcPr>
          <w:p>
            <w:pPr>
              <w:pStyle w:val="TableParagraph"/>
              <w:spacing w:before="70"/>
              <w:ind w:left="20" w:right="31"/>
              <w:jc w:val="center"/>
              <w:rPr>
                <w:sz w:val="22"/>
              </w:rPr>
            </w:pPr>
            <w:r>
              <w:rPr>
                <w:spacing w:val="-4"/>
                <w:sz w:val="22"/>
              </w:rPr>
              <w:t>40.0</w:t>
            </w:r>
          </w:p>
        </w:tc>
        <w:tc>
          <w:tcPr>
            <w:tcW w:w="861" w:type="dxa"/>
            <w:tcBorders>
              <w:bottom w:val="single" w:sz="4" w:space="0" w:color="000000"/>
            </w:tcBorders>
          </w:tcPr>
          <w:p>
            <w:pPr>
              <w:pStyle w:val="TableParagraph"/>
              <w:spacing w:before="70"/>
              <w:ind w:left="82" w:right="95"/>
              <w:jc w:val="center"/>
              <w:rPr>
                <w:sz w:val="22"/>
              </w:rPr>
            </w:pPr>
            <w:r>
              <w:rPr>
                <w:spacing w:val="-4"/>
                <w:sz w:val="22"/>
              </w:rPr>
              <w:t>25.0</w:t>
            </w:r>
          </w:p>
        </w:tc>
        <w:tc>
          <w:tcPr>
            <w:tcW w:w="861" w:type="dxa"/>
            <w:tcBorders>
              <w:bottom w:val="single" w:sz="4" w:space="0" w:color="000000"/>
            </w:tcBorders>
          </w:tcPr>
          <w:p>
            <w:pPr>
              <w:pStyle w:val="TableParagraph"/>
              <w:spacing w:before="70"/>
              <w:ind w:left="99" w:right="95"/>
              <w:jc w:val="center"/>
              <w:rPr>
                <w:sz w:val="22"/>
              </w:rPr>
            </w:pPr>
            <w:r>
              <w:rPr>
                <w:spacing w:val="-4"/>
                <w:sz w:val="22"/>
              </w:rPr>
              <w:t>40.0</w:t>
            </w:r>
          </w:p>
        </w:tc>
        <w:tc>
          <w:tcPr>
            <w:tcW w:w="846" w:type="dxa"/>
            <w:tcBorders>
              <w:bottom w:val="single" w:sz="4" w:space="0" w:color="000000"/>
            </w:tcBorders>
          </w:tcPr>
          <w:p>
            <w:pPr>
              <w:pStyle w:val="TableParagraph"/>
              <w:spacing w:before="70"/>
              <w:jc w:val="center"/>
              <w:rPr>
                <w:sz w:val="22"/>
              </w:rPr>
            </w:pPr>
            <w:r>
              <w:rPr>
                <w:spacing w:val="-4"/>
                <w:sz w:val="22"/>
              </w:rPr>
              <w:t>25.0</w:t>
            </w:r>
          </w:p>
        </w:tc>
        <w:tc>
          <w:tcPr>
            <w:tcW w:w="840" w:type="dxa"/>
            <w:tcBorders>
              <w:bottom w:val="single" w:sz="4" w:space="0" w:color="000000"/>
            </w:tcBorders>
          </w:tcPr>
          <w:p>
            <w:pPr>
              <w:pStyle w:val="TableParagraph"/>
              <w:spacing w:before="70"/>
              <w:ind w:left="20" w:right="21"/>
              <w:jc w:val="center"/>
              <w:rPr>
                <w:sz w:val="22"/>
              </w:rPr>
            </w:pPr>
            <w:r>
              <w:rPr>
                <w:spacing w:val="-4"/>
                <w:sz w:val="22"/>
              </w:rPr>
              <w:t>40.0</w:t>
            </w:r>
          </w:p>
        </w:tc>
        <w:tc>
          <w:tcPr>
            <w:tcW w:w="829" w:type="dxa"/>
            <w:tcBorders>
              <w:bottom w:val="single" w:sz="4" w:space="0" w:color="000000"/>
            </w:tcBorders>
          </w:tcPr>
          <w:p>
            <w:pPr>
              <w:pStyle w:val="TableParagraph"/>
              <w:spacing w:before="70"/>
              <w:ind w:left="5" w:right="1"/>
              <w:jc w:val="center"/>
              <w:rPr>
                <w:sz w:val="22"/>
              </w:rPr>
            </w:pPr>
            <w:r>
              <w:rPr>
                <w:spacing w:val="-4"/>
                <w:sz w:val="22"/>
              </w:rPr>
              <w:t>20.0</w:t>
            </w:r>
          </w:p>
        </w:tc>
        <w:tc>
          <w:tcPr>
            <w:tcW w:w="825" w:type="dxa"/>
            <w:tcBorders>
              <w:bottom w:val="single" w:sz="4" w:space="0" w:color="000000"/>
            </w:tcBorders>
          </w:tcPr>
          <w:p>
            <w:pPr>
              <w:pStyle w:val="TableParagraph"/>
              <w:spacing w:before="70"/>
              <w:ind w:right="6"/>
              <w:jc w:val="center"/>
              <w:rPr>
                <w:sz w:val="22"/>
              </w:rPr>
            </w:pPr>
            <w:r>
              <w:rPr>
                <w:spacing w:val="-4"/>
                <w:sz w:val="22"/>
              </w:rPr>
              <w:t>35.0</w:t>
            </w:r>
          </w:p>
        </w:tc>
        <w:tc>
          <w:tcPr>
            <w:tcW w:w="829" w:type="dxa"/>
            <w:tcBorders>
              <w:bottom w:val="single" w:sz="4" w:space="0" w:color="000000"/>
            </w:tcBorders>
          </w:tcPr>
          <w:p>
            <w:pPr>
              <w:pStyle w:val="TableParagraph"/>
              <w:spacing w:before="70"/>
              <w:ind w:left="4" w:right="5"/>
              <w:jc w:val="center"/>
              <w:rPr>
                <w:sz w:val="22"/>
              </w:rPr>
            </w:pPr>
            <w:r>
              <w:rPr>
                <w:spacing w:val="-4"/>
                <w:sz w:val="22"/>
              </w:rPr>
              <w:t>22.5</w:t>
            </w:r>
          </w:p>
        </w:tc>
        <w:tc>
          <w:tcPr>
            <w:tcW w:w="834" w:type="dxa"/>
            <w:tcBorders>
              <w:bottom w:val="single" w:sz="4" w:space="0" w:color="000000"/>
            </w:tcBorders>
          </w:tcPr>
          <w:p>
            <w:pPr>
              <w:pStyle w:val="TableParagraph"/>
              <w:spacing w:before="70"/>
              <w:ind w:left="4" w:right="9"/>
              <w:jc w:val="center"/>
              <w:rPr>
                <w:sz w:val="22"/>
              </w:rPr>
            </w:pPr>
            <w:r>
              <w:rPr>
                <w:spacing w:val="-4"/>
                <w:sz w:val="22"/>
              </w:rPr>
              <w:t>40.0</w:t>
            </w:r>
          </w:p>
        </w:tc>
      </w:tr>
    </w:tbl>
    <w:p>
      <w:pPr>
        <w:pStyle w:val="BodyText"/>
        <w:spacing w:line="360" w:lineRule="auto" w:before="22"/>
        <w:ind w:left="380" w:right="975"/>
      </w:pPr>
      <w:r>
        <w:rPr>
          <w:b/>
        </w:rPr>
        <w:t>Key:</w:t>
      </w:r>
      <w:r>
        <w:rPr>
          <w:b/>
          <w:spacing w:val="-3"/>
        </w:rPr>
        <w:t> </w:t>
      </w:r>
      <w:r>
        <w:rPr/>
        <w:t>MIC=Minimum</w:t>
      </w:r>
      <w:r>
        <w:rPr>
          <w:spacing w:val="-3"/>
        </w:rPr>
        <w:t> </w:t>
      </w:r>
      <w:r>
        <w:rPr/>
        <w:t>Inhibitory</w:t>
      </w:r>
      <w:r>
        <w:rPr>
          <w:spacing w:val="-5"/>
        </w:rPr>
        <w:t> </w:t>
      </w:r>
      <w:r>
        <w:rPr/>
        <w:t>Concentration,</w:t>
      </w:r>
      <w:r>
        <w:rPr>
          <w:spacing w:val="-5"/>
        </w:rPr>
        <w:t> </w:t>
      </w:r>
      <w:r>
        <w:rPr/>
        <w:t>MBC=</w:t>
      </w:r>
      <w:r>
        <w:rPr>
          <w:spacing w:val="-5"/>
        </w:rPr>
        <w:t> </w:t>
      </w:r>
      <w:r>
        <w:rPr/>
        <w:t>Minimum</w:t>
      </w:r>
      <w:r>
        <w:rPr>
          <w:spacing w:val="-3"/>
        </w:rPr>
        <w:t> </w:t>
      </w:r>
      <w:r>
        <w:rPr/>
        <w:t>Bactericidal</w:t>
      </w:r>
      <w:r>
        <w:rPr>
          <w:spacing w:val="-6"/>
        </w:rPr>
        <w:t> </w:t>
      </w:r>
      <w:r>
        <w:rPr/>
        <w:t>Concentration,</w:t>
      </w:r>
      <w:r>
        <w:rPr>
          <w:spacing w:val="-3"/>
        </w:rPr>
        <w:t> </w:t>
      </w:r>
      <w:r>
        <w:rPr/>
        <w:t>ES=Ear Swab, SP=Sputum, TS=Throat Swab.</w:t>
      </w:r>
    </w:p>
    <w:p>
      <w:pPr>
        <w:spacing w:after="0" w:line="360" w:lineRule="auto"/>
        <w:sectPr>
          <w:type w:val="continuous"/>
          <w:pgSz w:w="11910" w:h="16840"/>
          <w:pgMar w:header="0" w:footer="1055" w:top="1440" w:bottom="1240" w:left="1060" w:right="460"/>
        </w:sectPr>
      </w:pPr>
    </w:p>
    <w:p>
      <w:pPr>
        <w:pStyle w:val="BodyText"/>
      </w:pPr>
    </w:p>
    <w:p>
      <w:pPr>
        <w:pStyle w:val="BodyText"/>
      </w:pPr>
    </w:p>
    <w:p>
      <w:pPr>
        <w:pStyle w:val="BodyText"/>
        <w:spacing w:before="42"/>
      </w:pPr>
    </w:p>
    <w:p>
      <w:pPr>
        <w:spacing w:before="0"/>
        <w:ind w:left="680" w:right="0" w:firstLine="0"/>
        <w:jc w:val="left"/>
        <w:rPr>
          <w:b/>
          <w:i/>
          <w:sz w:val="22"/>
        </w:rPr>
      </w:pPr>
      <w:r>
        <w:rPr>
          <w:b/>
          <w:sz w:val="22"/>
        </w:rPr>
        <w:t>MIC</w:t>
      </w:r>
      <w:r>
        <w:rPr>
          <w:b/>
          <w:spacing w:val="-4"/>
          <w:sz w:val="22"/>
        </w:rPr>
        <w:t> </w:t>
      </w:r>
      <w:r>
        <w:rPr>
          <w:b/>
          <w:sz w:val="22"/>
        </w:rPr>
        <w:t>and</w:t>
      </w:r>
      <w:r>
        <w:rPr>
          <w:b/>
          <w:spacing w:val="-4"/>
          <w:sz w:val="22"/>
        </w:rPr>
        <w:t> </w:t>
      </w:r>
      <w:r>
        <w:rPr>
          <w:b/>
          <w:sz w:val="22"/>
        </w:rPr>
        <w:t>MBC</w:t>
      </w:r>
      <w:r>
        <w:rPr>
          <w:b/>
          <w:spacing w:val="-5"/>
          <w:sz w:val="22"/>
        </w:rPr>
        <w:t> </w:t>
      </w:r>
      <w:r>
        <w:rPr>
          <w:b/>
          <w:sz w:val="22"/>
        </w:rPr>
        <w:t>Test</w:t>
      </w:r>
      <w:r>
        <w:rPr>
          <w:b/>
          <w:spacing w:val="-5"/>
          <w:sz w:val="22"/>
        </w:rPr>
        <w:t> </w:t>
      </w:r>
      <w:r>
        <w:rPr>
          <w:b/>
          <w:sz w:val="22"/>
        </w:rPr>
        <w:t>(µg/ml)</w:t>
      </w:r>
      <w:r>
        <w:rPr>
          <w:b/>
          <w:spacing w:val="-5"/>
          <w:sz w:val="22"/>
        </w:rPr>
        <w:t> </w:t>
      </w:r>
      <w:r>
        <w:rPr>
          <w:b/>
          <w:sz w:val="22"/>
        </w:rPr>
        <w:t>of</w:t>
      </w:r>
      <w:r>
        <w:rPr>
          <w:b/>
          <w:spacing w:val="-3"/>
          <w:sz w:val="22"/>
        </w:rPr>
        <w:t> </w:t>
      </w:r>
      <w:r>
        <w:rPr>
          <w:b/>
          <w:sz w:val="22"/>
        </w:rPr>
        <w:t>Lemon</w:t>
      </w:r>
      <w:r>
        <w:rPr>
          <w:b/>
          <w:spacing w:val="-3"/>
          <w:sz w:val="22"/>
        </w:rPr>
        <w:t> </w:t>
      </w:r>
      <w:r>
        <w:rPr>
          <w:b/>
          <w:sz w:val="22"/>
        </w:rPr>
        <w:t>juice</w:t>
      </w:r>
      <w:r>
        <w:rPr>
          <w:b/>
          <w:spacing w:val="-3"/>
          <w:sz w:val="22"/>
        </w:rPr>
        <w:t> </w:t>
      </w:r>
      <w:r>
        <w:rPr>
          <w:b/>
          <w:sz w:val="22"/>
        </w:rPr>
        <w:t>and</w:t>
      </w:r>
      <w:r>
        <w:rPr>
          <w:b/>
          <w:spacing w:val="-4"/>
          <w:sz w:val="22"/>
        </w:rPr>
        <w:t> </w:t>
      </w:r>
      <w:r>
        <w:rPr>
          <w:b/>
          <w:sz w:val="22"/>
        </w:rPr>
        <w:t>Honey</w:t>
      </w:r>
      <w:r>
        <w:rPr>
          <w:b/>
          <w:spacing w:val="-5"/>
          <w:sz w:val="22"/>
        </w:rPr>
        <w:t> </w:t>
      </w:r>
      <w:r>
        <w:rPr>
          <w:b/>
          <w:sz w:val="22"/>
        </w:rPr>
        <w:t>mixture</w:t>
      </w:r>
      <w:r>
        <w:rPr>
          <w:b/>
          <w:spacing w:val="-4"/>
          <w:sz w:val="22"/>
        </w:rPr>
        <w:t> </w:t>
      </w:r>
      <w:r>
        <w:rPr>
          <w:b/>
          <w:sz w:val="22"/>
        </w:rPr>
        <w:t>against</w:t>
      </w:r>
      <w:r>
        <w:rPr>
          <w:b/>
          <w:spacing w:val="-1"/>
          <w:sz w:val="22"/>
        </w:rPr>
        <w:t> </w:t>
      </w:r>
      <w:r>
        <w:rPr>
          <w:b/>
          <w:i/>
          <w:sz w:val="22"/>
        </w:rPr>
        <w:t>Staphylococcus</w:t>
      </w:r>
      <w:r>
        <w:rPr>
          <w:b/>
          <w:i/>
          <w:spacing w:val="-6"/>
          <w:sz w:val="22"/>
        </w:rPr>
        <w:t> </w:t>
      </w:r>
      <w:r>
        <w:rPr>
          <w:b/>
          <w:i/>
          <w:spacing w:val="-2"/>
          <w:sz w:val="22"/>
        </w:rPr>
        <w:t>aureus</w:t>
      </w:r>
    </w:p>
    <w:p>
      <w:pPr>
        <w:pStyle w:val="BodyText"/>
        <w:rPr>
          <w:b/>
          <w:i/>
          <w:sz w:val="20"/>
        </w:rPr>
      </w:pPr>
    </w:p>
    <w:p>
      <w:pPr>
        <w:pStyle w:val="BodyText"/>
        <w:spacing w:before="146"/>
        <w:rPr>
          <w:b/>
          <w:i/>
          <w:sz w:val="20"/>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5"/>
        <w:gridCol w:w="822"/>
        <w:gridCol w:w="849"/>
        <w:gridCol w:w="839"/>
        <w:gridCol w:w="880"/>
        <w:gridCol w:w="834"/>
        <w:gridCol w:w="850"/>
        <w:gridCol w:w="817"/>
        <w:gridCol w:w="836"/>
        <w:gridCol w:w="813"/>
        <w:gridCol w:w="840"/>
      </w:tblGrid>
      <w:tr>
        <w:trPr>
          <w:trHeight w:val="665" w:hRule="atLeast"/>
        </w:trPr>
        <w:tc>
          <w:tcPr>
            <w:tcW w:w="1125" w:type="dxa"/>
            <w:tcBorders>
              <w:top w:val="single" w:sz="4" w:space="0" w:color="000000"/>
            </w:tcBorders>
          </w:tcPr>
          <w:p>
            <w:pPr>
              <w:pStyle w:val="TableParagraph"/>
              <w:spacing w:line="259" w:lineRule="auto"/>
              <w:ind w:left="412" w:right="206" w:hanging="176"/>
              <w:rPr>
                <w:b/>
                <w:sz w:val="22"/>
              </w:rPr>
            </w:pPr>
            <w:r>
              <w:rPr>
                <w:b/>
                <w:spacing w:val="-2"/>
                <w:sz w:val="22"/>
              </w:rPr>
              <w:t>Sample </w:t>
            </w:r>
            <w:r>
              <w:rPr>
                <w:b/>
                <w:spacing w:val="-4"/>
                <w:sz w:val="22"/>
              </w:rPr>
              <w:t>No.</w:t>
            </w:r>
          </w:p>
        </w:tc>
        <w:tc>
          <w:tcPr>
            <w:tcW w:w="822" w:type="dxa"/>
            <w:tcBorders>
              <w:top w:val="single" w:sz="4" w:space="0" w:color="000000"/>
            </w:tcBorders>
          </w:tcPr>
          <w:p>
            <w:pPr>
              <w:pStyle w:val="TableParagraph"/>
              <w:spacing w:before="143"/>
              <w:ind w:left="73" w:right="76"/>
              <w:jc w:val="center"/>
              <w:rPr>
                <w:b/>
                <w:sz w:val="22"/>
              </w:rPr>
            </w:pPr>
            <w:r>
              <w:rPr>
                <w:b/>
                <w:spacing w:val="-5"/>
                <w:sz w:val="22"/>
              </w:rPr>
              <w:t>MIC</w:t>
            </w:r>
          </w:p>
        </w:tc>
        <w:tc>
          <w:tcPr>
            <w:tcW w:w="849" w:type="dxa"/>
            <w:tcBorders>
              <w:top w:val="single" w:sz="4" w:space="0" w:color="000000"/>
            </w:tcBorders>
          </w:tcPr>
          <w:p>
            <w:pPr>
              <w:pStyle w:val="TableParagraph"/>
              <w:spacing w:before="143"/>
              <w:ind w:right="15"/>
              <w:jc w:val="center"/>
              <w:rPr>
                <w:b/>
                <w:sz w:val="22"/>
              </w:rPr>
            </w:pPr>
            <w:r>
              <w:rPr>
                <w:b/>
                <w:spacing w:val="-5"/>
                <w:sz w:val="22"/>
              </w:rPr>
              <w:t>MBC</w:t>
            </w:r>
          </w:p>
        </w:tc>
        <w:tc>
          <w:tcPr>
            <w:tcW w:w="839" w:type="dxa"/>
            <w:tcBorders>
              <w:top w:val="single" w:sz="4" w:space="0" w:color="000000"/>
            </w:tcBorders>
          </w:tcPr>
          <w:p>
            <w:pPr>
              <w:pStyle w:val="TableParagraph"/>
              <w:spacing w:before="143"/>
              <w:ind w:right="234"/>
              <w:jc w:val="right"/>
              <w:rPr>
                <w:b/>
                <w:sz w:val="22"/>
              </w:rPr>
            </w:pPr>
            <w:r>
              <w:rPr>
                <w:b/>
                <w:spacing w:val="-5"/>
                <w:sz w:val="22"/>
              </w:rPr>
              <w:t>MIC</w:t>
            </w:r>
          </w:p>
        </w:tc>
        <w:tc>
          <w:tcPr>
            <w:tcW w:w="880" w:type="dxa"/>
            <w:tcBorders>
              <w:top w:val="single" w:sz="4" w:space="0" w:color="000000"/>
            </w:tcBorders>
          </w:tcPr>
          <w:p>
            <w:pPr>
              <w:pStyle w:val="TableParagraph"/>
              <w:spacing w:before="143"/>
              <w:ind w:left="19" w:right="2"/>
              <w:jc w:val="center"/>
              <w:rPr>
                <w:b/>
                <w:sz w:val="22"/>
              </w:rPr>
            </w:pPr>
            <w:r>
              <w:rPr>
                <w:b/>
                <w:spacing w:val="-5"/>
                <w:sz w:val="22"/>
              </w:rPr>
              <w:t>MBC</w:t>
            </w:r>
          </w:p>
        </w:tc>
        <w:tc>
          <w:tcPr>
            <w:tcW w:w="834" w:type="dxa"/>
            <w:tcBorders>
              <w:top w:val="single" w:sz="4" w:space="0" w:color="000000"/>
            </w:tcBorders>
          </w:tcPr>
          <w:p>
            <w:pPr>
              <w:pStyle w:val="TableParagraph"/>
              <w:spacing w:before="143"/>
              <w:ind w:right="230"/>
              <w:jc w:val="right"/>
              <w:rPr>
                <w:b/>
                <w:sz w:val="22"/>
              </w:rPr>
            </w:pPr>
            <w:r>
              <w:rPr>
                <w:b/>
                <w:spacing w:val="-5"/>
                <w:sz w:val="22"/>
              </w:rPr>
              <w:t>MIC</w:t>
            </w:r>
          </w:p>
        </w:tc>
        <w:tc>
          <w:tcPr>
            <w:tcW w:w="850" w:type="dxa"/>
            <w:tcBorders>
              <w:top w:val="single" w:sz="4" w:space="0" w:color="000000"/>
            </w:tcBorders>
          </w:tcPr>
          <w:p>
            <w:pPr>
              <w:pStyle w:val="TableParagraph"/>
              <w:spacing w:before="143"/>
              <w:ind w:left="23" w:right="19"/>
              <w:jc w:val="center"/>
              <w:rPr>
                <w:b/>
                <w:sz w:val="22"/>
              </w:rPr>
            </w:pPr>
            <w:r>
              <w:rPr>
                <w:b/>
                <w:spacing w:val="-5"/>
                <w:sz w:val="22"/>
              </w:rPr>
              <w:t>MBC</w:t>
            </w:r>
          </w:p>
        </w:tc>
        <w:tc>
          <w:tcPr>
            <w:tcW w:w="817" w:type="dxa"/>
            <w:tcBorders>
              <w:top w:val="single" w:sz="4" w:space="0" w:color="000000"/>
            </w:tcBorders>
          </w:tcPr>
          <w:p>
            <w:pPr>
              <w:pStyle w:val="TableParagraph"/>
              <w:spacing w:before="143"/>
              <w:ind w:right="216"/>
              <w:jc w:val="right"/>
              <w:rPr>
                <w:b/>
                <w:sz w:val="22"/>
              </w:rPr>
            </w:pPr>
            <w:r>
              <w:rPr>
                <w:b/>
                <w:spacing w:val="-5"/>
                <w:sz w:val="22"/>
              </w:rPr>
              <w:t>MIC</w:t>
            </w:r>
          </w:p>
        </w:tc>
        <w:tc>
          <w:tcPr>
            <w:tcW w:w="836" w:type="dxa"/>
            <w:tcBorders>
              <w:top w:val="single" w:sz="4" w:space="0" w:color="000000"/>
            </w:tcBorders>
          </w:tcPr>
          <w:p>
            <w:pPr>
              <w:pStyle w:val="TableParagraph"/>
              <w:spacing w:before="143"/>
              <w:ind w:left="4" w:right="2"/>
              <w:jc w:val="center"/>
              <w:rPr>
                <w:b/>
                <w:sz w:val="22"/>
              </w:rPr>
            </w:pPr>
            <w:r>
              <w:rPr>
                <w:b/>
                <w:spacing w:val="-5"/>
                <w:sz w:val="22"/>
              </w:rPr>
              <w:t>MBC</w:t>
            </w:r>
          </w:p>
        </w:tc>
        <w:tc>
          <w:tcPr>
            <w:tcW w:w="813" w:type="dxa"/>
            <w:tcBorders>
              <w:top w:val="single" w:sz="4" w:space="0" w:color="000000"/>
            </w:tcBorders>
          </w:tcPr>
          <w:p>
            <w:pPr>
              <w:pStyle w:val="TableParagraph"/>
              <w:spacing w:before="143"/>
              <w:ind w:right="211"/>
              <w:jc w:val="right"/>
              <w:rPr>
                <w:b/>
                <w:sz w:val="22"/>
              </w:rPr>
            </w:pPr>
            <w:r>
              <w:rPr>
                <w:b/>
                <w:spacing w:val="-5"/>
                <w:sz w:val="22"/>
              </w:rPr>
              <w:t>MIC</w:t>
            </w:r>
          </w:p>
        </w:tc>
        <w:tc>
          <w:tcPr>
            <w:tcW w:w="840" w:type="dxa"/>
            <w:tcBorders>
              <w:top w:val="single" w:sz="4" w:space="0" w:color="000000"/>
            </w:tcBorders>
          </w:tcPr>
          <w:p>
            <w:pPr>
              <w:pStyle w:val="TableParagraph"/>
              <w:spacing w:before="143"/>
              <w:ind w:left="28" w:right="11"/>
              <w:jc w:val="center"/>
              <w:rPr>
                <w:b/>
                <w:sz w:val="22"/>
              </w:rPr>
            </w:pPr>
            <w:r>
              <w:rPr>
                <w:b/>
                <w:spacing w:val="-5"/>
                <w:sz w:val="22"/>
              </w:rPr>
              <w:t>MBC</w:t>
            </w:r>
          </w:p>
        </w:tc>
      </w:tr>
      <w:tr>
        <w:trPr>
          <w:trHeight w:val="524" w:hRule="atLeast"/>
        </w:trPr>
        <w:tc>
          <w:tcPr>
            <w:tcW w:w="1125" w:type="dxa"/>
            <w:tcBorders>
              <w:bottom w:val="single" w:sz="4" w:space="0" w:color="000000"/>
            </w:tcBorders>
          </w:tcPr>
          <w:p>
            <w:pPr>
              <w:pStyle w:val="TableParagraph"/>
              <w:rPr>
                <w:rFonts w:ascii="Times New Roman"/>
                <w:sz w:val="22"/>
              </w:rPr>
            </w:pPr>
          </w:p>
        </w:tc>
        <w:tc>
          <w:tcPr>
            <w:tcW w:w="822" w:type="dxa"/>
            <w:tcBorders>
              <w:bottom w:val="single" w:sz="4" w:space="0" w:color="000000"/>
            </w:tcBorders>
          </w:tcPr>
          <w:p>
            <w:pPr>
              <w:pStyle w:val="TableParagraph"/>
              <w:spacing w:before="70"/>
              <w:ind w:right="76"/>
              <w:jc w:val="center"/>
              <w:rPr>
                <w:b/>
                <w:sz w:val="22"/>
              </w:rPr>
            </w:pPr>
            <w:r>
              <w:rPr>
                <w:b/>
                <w:spacing w:val="-2"/>
                <w:sz w:val="22"/>
              </w:rPr>
              <w:t>10:50</w:t>
            </w:r>
          </w:p>
        </w:tc>
        <w:tc>
          <w:tcPr>
            <w:tcW w:w="849" w:type="dxa"/>
            <w:tcBorders>
              <w:bottom w:val="single" w:sz="4" w:space="0" w:color="000000"/>
            </w:tcBorders>
          </w:tcPr>
          <w:p>
            <w:pPr>
              <w:pStyle w:val="TableParagraph"/>
              <w:rPr>
                <w:rFonts w:ascii="Times New Roman"/>
                <w:sz w:val="22"/>
              </w:rPr>
            </w:pPr>
          </w:p>
        </w:tc>
        <w:tc>
          <w:tcPr>
            <w:tcW w:w="839" w:type="dxa"/>
            <w:tcBorders>
              <w:bottom w:val="single" w:sz="4" w:space="0" w:color="000000"/>
            </w:tcBorders>
          </w:tcPr>
          <w:p>
            <w:pPr>
              <w:pStyle w:val="TableParagraph"/>
              <w:spacing w:before="70"/>
              <w:ind w:right="223"/>
              <w:jc w:val="right"/>
              <w:rPr>
                <w:b/>
                <w:sz w:val="22"/>
              </w:rPr>
            </w:pPr>
            <w:r>
              <w:rPr>
                <w:b/>
                <w:spacing w:val="-2"/>
                <w:sz w:val="22"/>
              </w:rPr>
              <w:t>20:50</w:t>
            </w:r>
          </w:p>
        </w:tc>
        <w:tc>
          <w:tcPr>
            <w:tcW w:w="880" w:type="dxa"/>
            <w:tcBorders>
              <w:bottom w:val="single" w:sz="4" w:space="0" w:color="000000"/>
            </w:tcBorders>
          </w:tcPr>
          <w:p>
            <w:pPr>
              <w:pStyle w:val="TableParagraph"/>
              <w:rPr>
                <w:rFonts w:ascii="Times New Roman"/>
                <w:sz w:val="22"/>
              </w:rPr>
            </w:pPr>
          </w:p>
        </w:tc>
        <w:tc>
          <w:tcPr>
            <w:tcW w:w="834" w:type="dxa"/>
            <w:tcBorders>
              <w:bottom w:val="single" w:sz="4" w:space="0" w:color="000000"/>
            </w:tcBorders>
          </w:tcPr>
          <w:p>
            <w:pPr>
              <w:pStyle w:val="TableParagraph"/>
              <w:spacing w:before="70"/>
              <w:ind w:right="196"/>
              <w:jc w:val="right"/>
              <w:rPr>
                <w:b/>
                <w:sz w:val="22"/>
              </w:rPr>
            </w:pPr>
            <w:r>
              <w:rPr>
                <w:b/>
                <w:spacing w:val="-2"/>
                <w:sz w:val="22"/>
              </w:rPr>
              <w:t>30:50</w:t>
            </w:r>
          </w:p>
        </w:tc>
        <w:tc>
          <w:tcPr>
            <w:tcW w:w="850" w:type="dxa"/>
            <w:tcBorders>
              <w:bottom w:val="single" w:sz="4" w:space="0" w:color="000000"/>
            </w:tcBorders>
          </w:tcPr>
          <w:p>
            <w:pPr>
              <w:pStyle w:val="TableParagraph"/>
              <w:rPr>
                <w:rFonts w:ascii="Times New Roman"/>
                <w:sz w:val="22"/>
              </w:rPr>
            </w:pPr>
          </w:p>
        </w:tc>
        <w:tc>
          <w:tcPr>
            <w:tcW w:w="817" w:type="dxa"/>
            <w:tcBorders>
              <w:bottom w:val="single" w:sz="4" w:space="0" w:color="000000"/>
            </w:tcBorders>
          </w:tcPr>
          <w:p>
            <w:pPr>
              <w:pStyle w:val="TableParagraph"/>
              <w:spacing w:before="70"/>
              <w:ind w:right="183"/>
              <w:jc w:val="right"/>
              <w:rPr>
                <w:b/>
                <w:sz w:val="22"/>
              </w:rPr>
            </w:pPr>
            <w:r>
              <w:rPr>
                <w:b/>
                <w:spacing w:val="-2"/>
                <w:sz w:val="22"/>
              </w:rPr>
              <w:t>40:50</w:t>
            </w:r>
          </w:p>
        </w:tc>
        <w:tc>
          <w:tcPr>
            <w:tcW w:w="836" w:type="dxa"/>
            <w:tcBorders>
              <w:bottom w:val="single" w:sz="4" w:space="0" w:color="000000"/>
            </w:tcBorders>
          </w:tcPr>
          <w:p>
            <w:pPr>
              <w:pStyle w:val="TableParagraph"/>
              <w:rPr>
                <w:rFonts w:ascii="Times New Roman"/>
                <w:sz w:val="22"/>
              </w:rPr>
            </w:pPr>
          </w:p>
        </w:tc>
        <w:tc>
          <w:tcPr>
            <w:tcW w:w="813" w:type="dxa"/>
            <w:tcBorders>
              <w:bottom w:val="single" w:sz="4" w:space="0" w:color="000000"/>
            </w:tcBorders>
          </w:tcPr>
          <w:p>
            <w:pPr>
              <w:pStyle w:val="TableParagraph"/>
              <w:spacing w:before="70"/>
              <w:ind w:right="190"/>
              <w:jc w:val="right"/>
              <w:rPr>
                <w:b/>
                <w:sz w:val="22"/>
              </w:rPr>
            </w:pPr>
            <w:r>
              <w:rPr>
                <w:b/>
                <w:spacing w:val="-2"/>
                <w:sz w:val="22"/>
              </w:rPr>
              <w:t>50:50</w:t>
            </w:r>
          </w:p>
        </w:tc>
        <w:tc>
          <w:tcPr>
            <w:tcW w:w="840" w:type="dxa"/>
            <w:tcBorders>
              <w:bottom w:val="single" w:sz="4" w:space="0" w:color="000000"/>
            </w:tcBorders>
          </w:tcPr>
          <w:p>
            <w:pPr>
              <w:pStyle w:val="TableParagraph"/>
              <w:rPr>
                <w:rFonts w:ascii="Times New Roman"/>
                <w:sz w:val="22"/>
              </w:rPr>
            </w:pPr>
          </w:p>
        </w:tc>
      </w:tr>
      <w:tr>
        <w:trPr>
          <w:trHeight w:val="375" w:hRule="atLeast"/>
        </w:trPr>
        <w:tc>
          <w:tcPr>
            <w:tcW w:w="1125" w:type="dxa"/>
            <w:tcBorders>
              <w:top w:val="single" w:sz="4" w:space="0" w:color="000000"/>
            </w:tcBorders>
          </w:tcPr>
          <w:p>
            <w:pPr>
              <w:pStyle w:val="TableParagraph"/>
              <w:spacing w:line="266" w:lineRule="exact"/>
              <w:ind w:left="26" w:right="276"/>
              <w:jc w:val="center"/>
              <w:rPr>
                <w:sz w:val="22"/>
              </w:rPr>
            </w:pPr>
            <w:r>
              <w:rPr>
                <w:sz w:val="22"/>
              </w:rPr>
              <w:t>NS</w:t>
            </w:r>
            <w:r>
              <w:rPr>
                <w:spacing w:val="-1"/>
                <w:sz w:val="22"/>
              </w:rPr>
              <w:t> </w:t>
            </w:r>
            <w:r>
              <w:rPr>
                <w:spacing w:val="-5"/>
                <w:sz w:val="22"/>
              </w:rPr>
              <w:t>256</w:t>
            </w:r>
          </w:p>
        </w:tc>
        <w:tc>
          <w:tcPr>
            <w:tcW w:w="822" w:type="dxa"/>
            <w:tcBorders>
              <w:top w:val="single" w:sz="4" w:space="0" w:color="000000"/>
            </w:tcBorders>
          </w:tcPr>
          <w:p>
            <w:pPr>
              <w:pStyle w:val="TableParagraph"/>
              <w:spacing w:line="266" w:lineRule="exact"/>
              <w:ind w:left="76" w:right="76"/>
              <w:jc w:val="center"/>
              <w:rPr>
                <w:sz w:val="22"/>
              </w:rPr>
            </w:pPr>
            <w:r>
              <w:rPr>
                <w:spacing w:val="-4"/>
                <w:sz w:val="22"/>
              </w:rPr>
              <w:t>25.0</w:t>
            </w:r>
          </w:p>
        </w:tc>
        <w:tc>
          <w:tcPr>
            <w:tcW w:w="849" w:type="dxa"/>
            <w:tcBorders>
              <w:top w:val="single" w:sz="4" w:space="0" w:color="000000"/>
            </w:tcBorders>
          </w:tcPr>
          <w:p>
            <w:pPr>
              <w:pStyle w:val="TableParagraph"/>
              <w:spacing w:line="266" w:lineRule="exact"/>
              <w:ind w:left="3" w:right="15"/>
              <w:jc w:val="center"/>
              <w:rPr>
                <w:sz w:val="22"/>
              </w:rPr>
            </w:pPr>
            <w:r>
              <w:rPr>
                <w:spacing w:val="-4"/>
                <w:sz w:val="22"/>
              </w:rPr>
              <w:t>45.0</w:t>
            </w:r>
          </w:p>
        </w:tc>
        <w:tc>
          <w:tcPr>
            <w:tcW w:w="839" w:type="dxa"/>
            <w:tcBorders>
              <w:top w:val="single" w:sz="4" w:space="0" w:color="000000"/>
            </w:tcBorders>
          </w:tcPr>
          <w:p>
            <w:pPr>
              <w:pStyle w:val="TableParagraph"/>
              <w:spacing w:line="266" w:lineRule="exact"/>
              <w:ind w:right="222"/>
              <w:jc w:val="right"/>
              <w:rPr>
                <w:sz w:val="22"/>
              </w:rPr>
            </w:pPr>
            <w:r>
              <w:rPr>
                <w:spacing w:val="-4"/>
                <w:sz w:val="22"/>
              </w:rPr>
              <w:t>20.0</w:t>
            </w:r>
          </w:p>
        </w:tc>
        <w:tc>
          <w:tcPr>
            <w:tcW w:w="880" w:type="dxa"/>
            <w:tcBorders>
              <w:top w:val="single" w:sz="4" w:space="0" w:color="000000"/>
            </w:tcBorders>
          </w:tcPr>
          <w:p>
            <w:pPr>
              <w:pStyle w:val="TableParagraph"/>
              <w:spacing w:line="266" w:lineRule="exact"/>
              <w:ind w:left="19"/>
              <w:jc w:val="center"/>
              <w:rPr>
                <w:sz w:val="22"/>
              </w:rPr>
            </w:pPr>
            <w:r>
              <w:rPr>
                <w:spacing w:val="-4"/>
                <w:sz w:val="22"/>
              </w:rPr>
              <w:t>40.0</w:t>
            </w:r>
          </w:p>
        </w:tc>
        <w:tc>
          <w:tcPr>
            <w:tcW w:w="834" w:type="dxa"/>
            <w:tcBorders>
              <w:top w:val="single" w:sz="4" w:space="0" w:color="000000"/>
            </w:tcBorders>
          </w:tcPr>
          <w:p>
            <w:pPr>
              <w:pStyle w:val="TableParagraph"/>
              <w:spacing w:line="266" w:lineRule="exact"/>
              <w:ind w:right="215"/>
              <w:jc w:val="right"/>
              <w:rPr>
                <w:sz w:val="22"/>
              </w:rPr>
            </w:pPr>
            <w:r>
              <w:rPr>
                <w:spacing w:val="-4"/>
                <w:sz w:val="22"/>
              </w:rPr>
              <w:t>15.0</w:t>
            </w:r>
          </w:p>
        </w:tc>
        <w:tc>
          <w:tcPr>
            <w:tcW w:w="850" w:type="dxa"/>
            <w:tcBorders>
              <w:top w:val="single" w:sz="4" w:space="0" w:color="000000"/>
            </w:tcBorders>
          </w:tcPr>
          <w:p>
            <w:pPr>
              <w:pStyle w:val="TableParagraph"/>
              <w:spacing w:line="266" w:lineRule="exact"/>
              <w:ind w:left="25" w:right="19"/>
              <w:jc w:val="center"/>
              <w:rPr>
                <w:sz w:val="22"/>
              </w:rPr>
            </w:pPr>
            <w:r>
              <w:rPr>
                <w:spacing w:val="-4"/>
                <w:sz w:val="22"/>
              </w:rPr>
              <w:t>25.0</w:t>
            </w:r>
          </w:p>
        </w:tc>
        <w:tc>
          <w:tcPr>
            <w:tcW w:w="817" w:type="dxa"/>
            <w:tcBorders>
              <w:top w:val="single" w:sz="4" w:space="0" w:color="000000"/>
            </w:tcBorders>
          </w:tcPr>
          <w:p>
            <w:pPr>
              <w:pStyle w:val="TableParagraph"/>
              <w:spacing w:line="266" w:lineRule="exact"/>
              <w:ind w:right="201"/>
              <w:jc w:val="right"/>
              <w:rPr>
                <w:sz w:val="22"/>
              </w:rPr>
            </w:pPr>
            <w:r>
              <w:rPr>
                <w:spacing w:val="-4"/>
                <w:sz w:val="22"/>
              </w:rPr>
              <w:t>20.0</w:t>
            </w:r>
          </w:p>
        </w:tc>
        <w:tc>
          <w:tcPr>
            <w:tcW w:w="836" w:type="dxa"/>
            <w:tcBorders>
              <w:top w:val="single" w:sz="4" w:space="0" w:color="000000"/>
            </w:tcBorders>
          </w:tcPr>
          <w:p>
            <w:pPr>
              <w:pStyle w:val="TableParagraph"/>
              <w:spacing w:line="266" w:lineRule="exact"/>
              <w:ind w:left="4"/>
              <w:jc w:val="center"/>
              <w:rPr>
                <w:sz w:val="22"/>
              </w:rPr>
            </w:pPr>
            <w:r>
              <w:rPr>
                <w:spacing w:val="-4"/>
                <w:sz w:val="22"/>
              </w:rPr>
              <w:t>35.0</w:t>
            </w:r>
          </w:p>
        </w:tc>
        <w:tc>
          <w:tcPr>
            <w:tcW w:w="813" w:type="dxa"/>
            <w:tcBorders>
              <w:top w:val="single" w:sz="4" w:space="0" w:color="000000"/>
            </w:tcBorders>
          </w:tcPr>
          <w:p>
            <w:pPr>
              <w:pStyle w:val="TableParagraph"/>
              <w:spacing w:line="266" w:lineRule="exact"/>
              <w:ind w:right="199"/>
              <w:jc w:val="right"/>
              <w:rPr>
                <w:sz w:val="22"/>
              </w:rPr>
            </w:pPr>
            <w:r>
              <w:rPr>
                <w:spacing w:val="-4"/>
                <w:sz w:val="22"/>
              </w:rPr>
              <w:t>20.0</w:t>
            </w:r>
          </w:p>
        </w:tc>
        <w:tc>
          <w:tcPr>
            <w:tcW w:w="840" w:type="dxa"/>
            <w:tcBorders>
              <w:top w:val="single" w:sz="4" w:space="0" w:color="000000"/>
            </w:tcBorders>
          </w:tcPr>
          <w:p>
            <w:pPr>
              <w:pStyle w:val="TableParagraph"/>
              <w:spacing w:line="266" w:lineRule="exact"/>
              <w:ind w:left="31" w:right="11"/>
              <w:jc w:val="center"/>
              <w:rPr>
                <w:sz w:val="22"/>
              </w:rPr>
            </w:pPr>
            <w:r>
              <w:rPr>
                <w:spacing w:val="-4"/>
                <w:sz w:val="22"/>
              </w:rPr>
              <w:t>35.0</w:t>
            </w:r>
          </w:p>
        </w:tc>
      </w:tr>
      <w:tr>
        <w:trPr>
          <w:trHeight w:val="450" w:hRule="atLeast"/>
        </w:trPr>
        <w:tc>
          <w:tcPr>
            <w:tcW w:w="1125" w:type="dxa"/>
          </w:tcPr>
          <w:p>
            <w:pPr>
              <w:pStyle w:val="TableParagraph"/>
              <w:spacing w:before="70"/>
              <w:ind w:left="26" w:right="276"/>
              <w:jc w:val="center"/>
              <w:rPr>
                <w:sz w:val="22"/>
              </w:rPr>
            </w:pPr>
            <w:r>
              <w:rPr>
                <w:sz w:val="22"/>
              </w:rPr>
              <w:t>NS</w:t>
            </w:r>
            <w:r>
              <w:rPr>
                <w:spacing w:val="-1"/>
                <w:sz w:val="22"/>
              </w:rPr>
              <w:t> </w:t>
            </w:r>
            <w:r>
              <w:rPr>
                <w:spacing w:val="-5"/>
                <w:sz w:val="22"/>
              </w:rPr>
              <w:t>893</w:t>
            </w:r>
          </w:p>
        </w:tc>
        <w:tc>
          <w:tcPr>
            <w:tcW w:w="822" w:type="dxa"/>
          </w:tcPr>
          <w:p>
            <w:pPr>
              <w:pStyle w:val="TableParagraph"/>
              <w:spacing w:before="70"/>
              <w:ind w:left="76" w:right="76"/>
              <w:jc w:val="center"/>
              <w:rPr>
                <w:sz w:val="22"/>
              </w:rPr>
            </w:pPr>
            <w:r>
              <w:rPr>
                <w:spacing w:val="-4"/>
                <w:sz w:val="22"/>
              </w:rPr>
              <w:t>35.0</w:t>
            </w:r>
          </w:p>
        </w:tc>
        <w:tc>
          <w:tcPr>
            <w:tcW w:w="849" w:type="dxa"/>
          </w:tcPr>
          <w:p>
            <w:pPr>
              <w:pStyle w:val="TableParagraph"/>
              <w:spacing w:before="70"/>
              <w:ind w:left="3" w:right="15"/>
              <w:jc w:val="center"/>
              <w:rPr>
                <w:sz w:val="22"/>
              </w:rPr>
            </w:pPr>
            <w:r>
              <w:rPr>
                <w:spacing w:val="-4"/>
                <w:sz w:val="22"/>
              </w:rPr>
              <w:t>50.0</w:t>
            </w:r>
          </w:p>
        </w:tc>
        <w:tc>
          <w:tcPr>
            <w:tcW w:w="839" w:type="dxa"/>
          </w:tcPr>
          <w:p>
            <w:pPr>
              <w:pStyle w:val="TableParagraph"/>
              <w:spacing w:before="70"/>
              <w:ind w:right="222"/>
              <w:jc w:val="right"/>
              <w:rPr>
                <w:sz w:val="22"/>
              </w:rPr>
            </w:pPr>
            <w:r>
              <w:rPr>
                <w:spacing w:val="-4"/>
                <w:sz w:val="22"/>
              </w:rPr>
              <w:t>30.0</w:t>
            </w:r>
          </w:p>
        </w:tc>
        <w:tc>
          <w:tcPr>
            <w:tcW w:w="880" w:type="dxa"/>
          </w:tcPr>
          <w:p>
            <w:pPr>
              <w:pStyle w:val="TableParagraph"/>
              <w:spacing w:before="70"/>
              <w:ind w:left="19"/>
              <w:jc w:val="center"/>
              <w:rPr>
                <w:sz w:val="22"/>
              </w:rPr>
            </w:pPr>
            <w:r>
              <w:rPr>
                <w:spacing w:val="-4"/>
                <w:sz w:val="22"/>
              </w:rPr>
              <w:t>50.0</w:t>
            </w:r>
          </w:p>
        </w:tc>
        <w:tc>
          <w:tcPr>
            <w:tcW w:w="834" w:type="dxa"/>
          </w:tcPr>
          <w:p>
            <w:pPr>
              <w:pStyle w:val="TableParagraph"/>
              <w:spacing w:before="70"/>
              <w:ind w:right="215"/>
              <w:jc w:val="right"/>
              <w:rPr>
                <w:sz w:val="22"/>
              </w:rPr>
            </w:pPr>
            <w:r>
              <w:rPr>
                <w:spacing w:val="-4"/>
                <w:sz w:val="22"/>
              </w:rPr>
              <w:t>25.0</w:t>
            </w:r>
          </w:p>
        </w:tc>
        <w:tc>
          <w:tcPr>
            <w:tcW w:w="850" w:type="dxa"/>
          </w:tcPr>
          <w:p>
            <w:pPr>
              <w:pStyle w:val="TableParagraph"/>
              <w:spacing w:before="70"/>
              <w:ind w:left="25" w:right="19"/>
              <w:jc w:val="center"/>
              <w:rPr>
                <w:sz w:val="22"/>
              </w:rPr>
            </w:pPr>
            <w:r>
              <w:rPr>
                <w:spacing w:val="-4"/>
                <w:sz w:val="22"/>
              </w:rPr>
              <w:t>45.0</w:t>
            </w:r>
          </w:p>
        </w:tc>
        <w:tc>
          <w:tcPr>
            <w:tcW w:w="817" w:type="dxa"/>
          </w:tcPr>
          <w:p>
            <w:pPr>
              <w:pStyle w:val="TableParagraph"/>
              <w:spacing w:before="70"/>
              <w:ind w:right="201"/>
              <w:jc w:val="right"/>
              <w:rPr>
                <w:sz w:val="22"/>
              </w:rPr>
            </w:pPr>
            <w:r>
              <w:rPr>
                <w:spacing w:val="-4"/>
                <w:sz w:val="22"/>
              </w:rPr>
              <w:t>30.0</w:t>
            </w:r>
          </w:p>
        </w:tc>
        <w:tc>
          <w:tcPr>
            <w:tcW w:w="836" w:type="dxa"/>
          </w:tcPr>
          <w:p>
            <w:pPr>
              <w:pStyle w:val="TableParagraph"/>
              <w:spacing w:before="70"/>
              <w:ind w:left="4"/>
              <w:jc w:val="center"/>
              <w:rPr>
                <w:sz w:val="22"/>
              </w:rPr>
            </w:pPr>
            <w:r>
              <w:rPr>
                <w:spacing w:val="-4"/>
                <w:sz w:val="22"/>
              </w:rPr>
              <w:t>50.0</w:t>
            </w:r>
          </w:p>
        </w:tc>
        <w:tc>
          <w:tcPr>
            <w:tcW w:w="813" w:type="dxa"/>
          </w:tcPr>
          <w:p>
            <w:pPr>
              <w:pStyle w:val="TableParagraph"/>
              <w:spacing w:before="70"/>
              <w:ind w:right="199"/>
              <w:jc w:val="right"/>
              <w:rPr>
                <w:sz w:val="22"/>
              </w:rPr>
            </w:pPr>
            <w:r>
              <w:rPr>
                <w:spacing w:val="-4"/>
                <w:sz w:val="22"/>
              </w:rPr>
              <w:t>30.0</w:t>
            </w:r>
          </w:p>
        </w:tc>
        <w:tc>
          <w:tcPr>
            <w:tcW w:w="840" w:type="dxa"/>
          </w:tcPr>
          <w:p>
            <w:pPr>
              <w:pStyle w:val="TableParagraph"/>
              <w:spacing w:before="70"/>
              <w:ind w:left="31" w:right="11"/>
              <w:jc w:val="center"/>
              <w:rPr>
                <w:sz w:val="22"/>
              </w:rPr>
            </w:pPr>
            <w:r>
              <w:rPr>
                <w:spacing w:val="-4"/>
                <w:sz w:val="22"/>
              </w:rPr>
              <w:t>50.0</w:t>
            </w:r>
          </w:p>
        </w:tc>
      </w:tr>
      <w:tr>
        <w:trPr>
          <w:trHeight w:val="450" w:hRule="atLeast"/>
        </w:trPr>
        <w:tc>
          <w:tcPr>
            <w:tcW w:w="1125" w:type="dxa"/>
          </w:tcPr>
          <w:p>
            <w:pPr>
              <w:pStyle w:val="TableParagraph"/>
              <w:spacing w:before="71"/>
              <w:ind w:left="110" w:right="276"/>
              <w:jc w:val="center"/>
              <w:rPr>
                <w:sz w:val="22"/>
              </w:rPr>
            </w:pPr>
            <w:r>
              <w:rPr>
                <w:sz w:val="22"/>
              </w:rPr>
              <w:t>SP</w:t>
            </w:r>
            <w:r>
              <w:rPr>
                <w:spacing w:val="1"/>
                <w:sz w:val="22"/>
              </w:rPr>
              <w:t> </w:t>
            </w:r>
            <w:r>
              <w:rPr>
                <w:spacing w:val="-4"/>
                <w:sz w:val="22"/>
              </w:rPr>
              <w:t>1096</w:t>
            </w:r>
          </w:p>
        </w:tc>
        <w:tc>
          <w:tcPr>
            <w:tcW w:w="822" w:type="dxa"/>
          </w:tcPr>
          <w:p>
            <w:pPr>
              <w:pStyle w:val="TableParagraph"/>
              <w:spacing w:before="71"/>
              <w:ind w:left="76" w:right="76"/>
              <w:jc w:val="center"/>
              <w:rPr>
                <w:sz w:val="22"/>
              </w:rPr>
            </w:pPr>
            <w:r>
              <w:rPr>
                <w:spacing w:val="-4"/>
                <w:sz w:val="22"/>
              </w:rPr>
              <w:t>40.0</w:t>
            </w:r>
          </w:p>
        </w:tc>
        <w:tc>
          <w:tcPr>
            <w:tcW w:w="849" w:type="dxa"/>
          </w:tcPr>
          <w:p>
            <w:pPr>
              <w:pStyle w:val="TableParagraph"/>
              <w:spacing w:before="71"/>
              <w:ind w:left="3" w:right="15"/>
              <w:jc w:val="center"/>
              <w:rPr>
                <w:sz w:val="22"/>
              </w:rPr>
            </w:pPr>
            <w:r>
              <w:rPr>
                <w:spacing w:val="-4"/>
                <w:sz w:val="22"/>
              </w:rPr>
              <w:t>60.0</w:t>
            </w:r>
          </w:p>
        </w:tc>
        <w:tc>
          <w:tcPr>
            <w:tcW w:w="839" w:type="dxa"/>
          </w:tcPr>
          <w:p>
            <w:pPr>
              <w:pStyle w:val="TableParagraph"/>
              <w:spacing w:before="71"/>
              <w:ind w:right="222"/>
              <w:jc w:val="right"/>
              <w:rPr>
                <w:sz w:val="22"/>
              </w:rPr>
            </w:pPr>
            <w:r>
              <w:rPr>
                <w:spacing w:val="-4"/>
                <w:sz w:val="22"/>
              </w:rPr>
              <w:t>30.0</w:t>
            </w:r>
          </w:p>
        </w:tc>
        <w:tc>
          <w:tcPr>
            <w:tcW w:w="880" w:type="dxa"/>
          </w:tcPr>
          <w:p>
            <w:pPr>
              <w:pStyle w:val="TableParagraph"/>
              <w:spacing w:before="71"/>
              <w:ind w:left="19"/>
              <w:jc w:val="center"/>
              <w:rPr>
                <w:sz w:val="22"/>
              </w:rPr>
            </w:pPr>
            <w:r>
              <w:rPr>
                <w:spacing w:val="-4"/>
                <w:sz w:val="22"/>
              </w:rPr>
              <w:t>60.0</w:t>
            </w:r>
          </w:p>
        </w:tc>
        <w:tc>
          <w:tcPr>
            <w:tcW w:w="834" w:type="dxa"/>
          </w:tcPr>
          <w:p>
            <w:pPr>
              <w:pStyle w:val="TableParagraph"/>
              <w:spacing w:before="71"/>
              <w:ind w:right="215"/>
              <w:jc w:val="right"/>
              <w:rPr>
                <w:sz w:val="22"/>
              </w:rPr>
            </w:pPr>
            <w:r>
              <w:rPr>
                <w:spacing w:val="-4"/>
                <w:sz w:val="22"/>
              </w:rPr>
              <w:t>25.0</w:t>
            </w:r>
          </w:p>
        </w:tc>
        <w:tc>
          <w:tcPr>
            <w:tcW w:w="850" w:type="dxa"/>
          </w:tcPr>
          <w:p>
            <w:pPr>
              <w:pStyle w:val="TableParagraph"/>
              <w:spacing w:before="71"/>
              <w:ind w:left="25" w:right="19"/>
              <w:jc w:val="center"/>
              <w:rPr>
                <w:sz w:val="22"/>
              </w:rPr>
            </w:pPr>
            <w:r>
              <w:rPr>
                <w:spacing w:val="-4"/>
                <w:sz w:val="22"/>
              </w:rPr>
              <w:t>50.0</w:t>
            </w:r>
          </w:p>
        </w:tc>
        <w:tc>
          <w:tcPr>
            <w:tcW w:w="817" w:type="dxa"/>
          </w:tcPr>
          <w:p>
            <w:pPr>
              <w:pStyle w:val="TableParagraph"/>
              <w:spacing w:before="71"/>
              <w:ind w:right="201"/>
              <w:jc w:val="right"/>
              <w:rPr>
                <w:sz w:val="22"/>
              </w:rPr>
            </w:pPr>
            <w:r>
              <w:rPr>
                <w:spacing w:val="-4"/>
                <w:sz w:val="22"/>
              </w:rPr>
              <w:t>20.0</w:t>
            </w:r>
          </w:p>
        </w:tc>
        <w:tc>
          <w:tcPr>
            <w:tcW w:w="836" w:type="dxa"/>
          </w:tcPr>
          <w:p>
            <w:pPr>
              <w:pStyle w:val="TableParagraph"/>
              <w:spacing w:before="71"/>
              <w:ind w:left="4"/>
              <w:jc w:val="center"/>
              <w:rPr>
                <w:sz w:val="22"/>
              </w:rPr>
            </w:pPr>
            <w:r>
              <w:rPr>
                <w:spacing w:val="-4"/>
                <w:sz w:val="22"/>
              </w:rPr>
              <w:t>35.0</w:t>
            </w:r>
          </w:p>
        </w:tc>
        <w:tc>
          <w:tcPr>
            <w:tcW w:w="813" w:type="dxa"/>
          </w:tcPr>
          <w:p>
            <w:pPr>
              <w:pStyle w:val="TableParagraph"/>
              <w:spacing w:before="71"/>
              <w:ind w:right="199"/>
              <w:jc w:val="right"/>
              <w:rPr>
                <w:sz w:val="22"/>
              </w:rPr>
            </w:pPr>
            <w:r>
              <w:rPr>
                <w:spacing w:val="-4"/>
                <w:sz w:val="22"/>
              </w:rPr>
              <w:t>17.5</w:t>
            </w:r>
          </w:p>
        </w:tc>
        <w:tc>
          <w:tcPr>
            <w:tcW w:w="840" w:type="dxa"/>
          </w:tcPr>
          <w:p>
            <w:pPr>
              <w:pStyle w:val="TableParagraph"/>
              <w:spacing w:before="71"/>
              <w:ind w:left="31" w:right="11"/>
              <w:jc w:val="center"/>
              <w:rPr>
                <w:sz w:val="22"/>
              </w:rPr>
            </w:pPr>
            <w:r>
              <w:rPr>
                <w:spacing w:val="-4"/>
                <w:sz w:val="22"/>
              </w:rPr>
              <w:t>25.0</w:t>
            </w:r>
          </w:p>
        </w:tc>
      </w:tr>
      <w:tr>
        <w:trPr>
          <w:trHeight w:val="450" w:hRule="atLeast"/>
        </w:trPr>
        <w:tc>
          <w:tcPr>
            <w:tcW w:w="1125" w:type="dxa"/>
          </w:tcPr>
          <w:p>
            <w:pPr>
              <w:pStyle w:val="TableParagraph"/>
              <w:spacing w:before="70"/>
              <w:ind w:left="110" w:right="276"/>
              <w:jc w:val="center"/>
              <w:rPr>
                <w:sz w:val="22"/>
              </w:rPr>
            </w:pPr>
            <w:r>
              <w:rPr>
                <w:sz w:val="22"/>
              </w:rPr>
              <w:t>SP</w:t>
            </w:r>
            <w:r>
              <w:rPr>
                <w:spacing w:val="1"/>
                <w:sz w:val="22"/>
              </w:rPr>
              <w:t> </w:t>
            </w:r>
            <w:r>
              <w:rPr>
                <w:spacing w:val="-4"/>
                <w:sz w:val="22"/>
              </w:rPr>
              <w:t>1308</w:t>
            </w:r>
          </w:p>
        </w:tc>
        <w:tc>
          <w:tcPr>
            <w:tcW w:w="822" w:type="dxa"/>
          </w:tcPr>
          <w:p>
            <w:pPr>
              <w:pStyle w:val="TableParagraph"/>
              <w:spacing w:before="70"/>
              <w:ind w:left="76" w:right="76"/>
              <w:jc w:val="center"/>
              <w:rPr>
                <w:sz w:val="22"/>
              </w:rPr>
            </w:pPr>
            <w:r>
              <w:rPr>
                <w:spacing w:val="-4"/>
                <w:sz w:val="22"/>
              </w:rPr>
              <w:t>20.0</w:t>
            </w:r>
          </w:p>
        </w:tc>
        <w:tc>
          <w:tcPr>
            <w:tcW w:w="849" w:type="dxa"/>
          </w:tcPr>
          <w:p>
            <w:pPr>
              <w:pStyle w:val="TableParagraph"/>
              <w:spacing w:before="70"/>
              <w:ind w:left="3" w:right="15"/>
              <w:jc w:val="center"/>
              <w:rPr>
                <w:sz w:val="22"/>
              </w:rPr>
            </w:pPr>
            <w:r>
              <w:rPr>
                <w:spacing w:val="-4"/>
                <w:sz w:val="22"/>
              </w:rPr>
              <w:t>35.0</w:t>
            </w:r>
          </w:p>
        </w:tc>
        <w:tc>
          <w:tcPr>
            <w:tcW w:w="839" w:type="dxa"/>
          </w:tcPr>
          <w:p>
            <w:pPr>
              <w:pStyle w:val="TableParagraph"/>
              <w:spacing w:before="70"/>
              <w:ind w:right="222"/>
              <w:jc w:val="right"/>
              <w:rPr>
                <w:sz w:val="22"/>
              </w:rPr>
            </w:pPr>
            <w:r>
              <w:rPr>
                <w:spacing w:val="-4"/>
                <w:sz w:val="22"/>
              </w:rPr>
              <w:t>20.0</w:t>
            </w:r>
          </w:p>
        </w:tc>
        <w:tc>
          <w:tcPr>
            <w:tcW w:w="880" w:type="dxa"/>
          </w:tcPr>
          <w:p>
            <w:pPr>
              <w:pStyle w:val="TableParagraph"/>
              <w:spacing w:before="70"/>
              <w:ind w:left="19"/>
              <w:jc w:val="center"/>
              <w:rPr>
                <w:sz w:val="22"/>
              </w:rPr>
            </w:pPr>
            <w:r>
              <w:rPr>
                <w:spacing w:val="-4"/>
                <w:sz w:val="22"/>
              </w:rPr>
              <w:t>35.0</w:t>
            </w:r>
          </w:p>
        </w:tc>
        <w:tc>
          <w:tcPr>
            <w:tcW w:w="834" w:type="dxa"/>
          </w:tcPr>
          <w:p>
            <w:pPr>
              <w:pStyle w:val="TableParagraph"/>
              <w:spacing w:before="70"/>
              <w:ind w:right="215"/>
              <w:jc w:val="right"/>
              <w:rPr>
                <w:sz w:val="22"/>
              </w:rPr>
            </w:pPr>
            <w:r>
              <w:rPr>
                <w:spacing w:val="-4"/>
                <w:sz w:val="22"/>
              </w:rPr>
              <w:t>20.0</w:t>
            </w:r>
          </w:p>
        </w:tc>
        <w:tc>
          <w:tcPr>
            <w:tcW w:w="850" w:type="dxa"/>
          </w:tcPr>
          <w:p>
            <w:pPr>
              <w:pStyle w:val="TableParagraph"/>
              <w:spacing w:before="70"/>
              <w:ind w:left="25" w:right="19"/>
              <w:jc w:val="center"/>
              <w:rPr>
                <w:sz w:val="22"/>
              </w:rPr>
            </w:pPr>
            <w:r>
              <w:rPr>
                <w:spacing w:val="-4"/>
                <w:sz w:val="22"/>
              </w:rPr>
              <w:t>30.0</w:t>
            </w:r>
          </w:p>
        </w:tc>
        <w:tc>
          <w:tcPr>
            <w:tcW w:w="817" w:type="dxa"/>
          </w:tcPr>
          <w:p>
            <w:pPr>
              <w:pStyle w:val="TableParagraph"/>
              <w:spacing w:before="70"/>
              <w:ind w:right="201"/>
              <w:jc w:val="right"/>
              <w:rPr>
                <w:sz w:val="22"/>
              </w:rPr>
            </w:pPr>
            <w:r>
              <w:rPr>
                <w:spacing w:val="-4"/>
                <w:sz w:val="22"/>
              </w:rPr>
              <w:t>17.5</w:t>
            </w:r>
          </w:p>
        </w:tc>
        <w:tc>
          <w:tcPr>
            <w:tcW w:w="836" w:type="dxa"/>
          </w:tcPr>
          <w:p>
            <w:pPr>
              <w:pStyle w:val="TableParagraph"/>
              <w:spacing w:before="70"/>
              <w:ind w:left="4"/>
              <w:jc w:val="center"/>
              <w:rPr>
                <w:sz w:val="22"/>
              </w:rPr>
            </w:pPr>
            <w:r>
              <w:rPr>
                <w:spacing w:val="-4"/>
                <w:sz w:val="22"/>
              </w:rPr>
              <w:t>25.0</w:t>
            </w:r>
          </w:p>
        </w:tc>
        <w:tc>
          <w:tcPr>
            <w:tcW w:w="813" w:type="dxa"/>
          </w:tcPr>
          <w:p>
            <w:pPr>
              <w:pStyle w:val="TableParagraph"/>
              <w:spacing w:before="70"/>
              <w:ind w:right="199"/>
              <w:jc w:val="right"/>
              <w:rPr>
                <w:sz w:val="22"/>
              </w:rPr>
            </w:pPr>
            <w:r>
              <w:rPr>
                <w:spacing w:val="-4"/>
                <w:sz w:val="22"/>
              </w:rPr>
              <w:t>17.5</w:t>
            </w:r>
          </w:p>
        </w:tc>
        <w:tc>
          <w:tcPr>
            <w:tcW w:w="840" w:type="dxa"/>
          </w:tcPr>
          <w:p>
            <w:pPr>
              <w:pStyle w:val="TableParagraph"/>
              <w:spacing w:before="70"/>
              <w:ind w:left="31" w:right="11"/>
              <w:jc w:val="center"/>
              <w:rPr>
                <w:sz w:val="22"/>
              </w:rPr>
            </w:pPr>
            <w:r>
              <w:rPr>
                <w:spacing w:val="-4"/>
                <w:sz w:val="22"/>
              </w:rPr>
              <w:t>25.0</w:t>
            </w:r>
          </w:p>
        </w:tc>
      </w:tr>
      <w:tr>
        <w:trPr>
          <w:trHeight w:val="450" w:hRule="atLeast"/>
        </w:trPr>
        <w:tc>
          <w:tcPr>
            <w:tcW w:w="1125" w:type="dxa"/>
          </w:tcPr>
          <w:p>
            <w:pPr>
              <w:pStyle w:val="TableParagraph"/>
              <w:spacing w:before="71"/>
              <w:ind w:left="110" w:right="276"/>
              <w:jc w:val="center"/>
              <w:rPr>
                <w:sz w:val="22"/>
              </w:rPr>
            </w:pPr>
            <w:r>
              <w:rPr>
                <w:sz w:val="22"/>
              </w:rPr>
              <w:t>SP</w:t>
            </w:r>
            <w:r>
              <w:rPr>
                <w:spacing w:val="1"/>
                <w:sz w:val="22"/>
              </w:rPr>
              <w:t> </w:t>
            </w:r>
            <w:r>
              <w:rPr>
                <w:spacing w:val="-4"/>
                <w:sz w:val="22"/>
              </w:rPr>
              <w:t>1347</w:t>
            </w:r>
          </w:p>
        </w:tc>
        <w:tc>
          <w:tcPr>
            <w:tcW w:w="822" w:type="dxa"/>
          </w:tcPr>
          <w:p>
            <w:pPr>
              <w:pStyle w:val="TableParagraph"/>
              <w:spacing w:before="71"/>
              <w:ind w:left="76" w:right="76"/>
              <w:jc w:val="center"/>
              <w:rPr>
                <w:sz w:val="22"/>
              </w:rPr>
            </w:pPr>
            <w:r>
              <w:rPr>
                <w:spacing w:val="-4"/>
                <w:sz w:val="22"/>
              </w:rPr>
              <w:t>40.0</w:t>
            </w:r>
          </w:p>
        </w:tc>
        <w:tc>
          <w:tcPr>
            <w:tcW w:w="849" w:type="dxa"/>
          </w:tcPr>
          <w:p>
            <w:pPr>
              <w:pStyle w:val="TableParagraph"/>
              <w:spacing w:before="71"/>
              <w:ind w:left="3" w:right="15"/>
              <w:jc w:val="center"/>
              <w:rPr>
                <w:sz w:val="22"/>
              </w:rPr>
            </w:pPr>
            <w:r>
              <w:rPr>
                <w:spacing w:val="-4"/>
                <w:sz w:val="22"/>
              </w:rPr>
              <w:t>70.0</w:t>
            </w:r>
          </w:p>
        </w:tc>
        <w:tc>
          <w:tcPr>
            <w:tcW w:w="839" w:type="dxa"/>
          </w:tcPr>
          <w:p>
            <w:pPr>
              <w:pStyle w:val="TableParagraph"/>
              <w:spacing w:before="71"/>
              <w:ind w:right="222"/>
              <w:jc w:val="right"/>
              <w:rPr>
                <w:sz w:val="22"/>
              </w:rPr>
            </w:pPr>
            <w:r>
              <w:rPr>
                <w:spacing w:val="-4"/>
                <w:sz w:val="22"/>
              </w:rPr>
              <w:t>35.0</w:t>
            </w:r>
          </w:p>
        </w:tc>
        <w:tc>
          <w:tcPr>
            <w:tcW w:w="880" w:type="dxa"/>
          </w:tcPr>
          <w:p>
            <w:pPr>
              <w:pStyle w:val="TableParagraph"/>
              <w:spacing w:before="71"/>
              <w:ind w:left="19"/>
              <w:jc w:val="center"/>
              <w:rPr>
                <w:sz w:val="22"/>
              </w:rPr>
            </w:pPr>
            <w:r>
              <w:rPr>
                <w:spacing w:val="-4"/>
                <w:sz w:val="22"/>
              </w:rPr>
              <w:t>70.0</w:t>
            </w:r>
          </w:p>
        </w:tc>
        <w:tc>
          <w:tcPr>
            <w:tcW w:w="834" w:type="dxa"/>
          </w:tcPr>
          <w:p>
            <w:pPr>
              <w:pStyle w:val="TableParagraph"/>
              <w:spacing w:before="71"/>
              <w:ind w:right="215"/>
              <w:jc w:val="right"/>
              <w:rPr>
                <w:sz w:val="22"/>
              </w:rPr>
            </w:pPr>
            <w:r>
              <w:rPr>
                <w:spacing w:val="-4"/>
                <w:sz w:val="22"/>
              </w:rPr>
              <w:t>25.0</w:t>
            </w:r>
          </w:p>
        </w:tc>
        <w:tc>
          <w:tcPr>
            <w:tcW w:w="850" w:type="dxa"/>
          </w:tcPr>
          <w:p>
            <w:pPr>
              <w:pStyle w:val="TableParagraph"/>
              <w:spacing w:before="71"/>
              <w:ind w:left="25" w:right="19"/>
              <w:jc w:val="center"/>
              <w:rPr>
                <w:sz w:val="22"/>
              </w:rPr>
            </w:pPr>
            <w:r>
              <w:rPr>
                <w:spacing w:val="-4"/>
                <w:sz w:val="22"/>
              </w:rPr>
              <w:t>50.0</w:t>
            </w:r>
          </w:p>
        </w:tc>
        <w:tc>
          <w:tcPr>
            <w:tcW w:w="817" w:type="dxa"/>
          </w:tcPr>
          <w:p>
            <w:pPr>
              <w:pStyle w:val="TableParagraph"/>
              <w:spacing w:before="71"/>
              <w:ind w:right="201"/>
              <w:jc w:val="right"/>
              <w:rPr>
                <w:sz w:val="22"/>
              </w:rPr>
            </w:pPr>
            <w:r>
              <w:rPr>
                <w:spacing w:val="-4"/>
                <w:sz w:val="22"/>
              </w:rPr>
              <w:t>25.0</w:t>
            </w:r>
          </w:p>
        </w:tc>
        <w:tc>
          <w:tcPr>
            <w:tcW w:w="836" w:type="dxa"/>
          </w:tcPr>
          <w:p>
            <w:pPr>
              <w:pStyle w:val="TableParagraph"/>
              <w:spacing w:before="71"/>
              <w:ind w:left="4"/>
              <w:jc w:val="center"/>
              <w:rPr>
                <w:sz w:val="22"/>
              </w:rPr>
            </w:pPr>
            <w:r>
              <w:rPr>
                <w:spacing w:val="-4"/>
                <w:sz w:val="22"/>
              </w:rPr>
              <w:t>50.0</w:t>
            </w:r>
          </w:p>
        </w:tc>
        <w:tc>
          <w:tcPr>
            <w:tcW w:w="813" w:type="dxa"/>
          </w:tcPr>
          <w:p>
            <w:pPr>
              <w:pStyle w:val="TableParagraph"/>
              <w:spacing w:before="71"/>
              <w:ind w:right="199"/>
              <w:jc w:val="right"/>
              <w:rPr>
                <w:sz w:val="22"/>
              </w:rPr>
            </w:pPr>
            <w:r>
              <w:rPr>
                <w:spacing w:val="-4"/>
                <w:sz w:val="22"/>
              </w:rPr>
              <w:t>25.0</w:t>
            </w:r>
          </w:p>
        </w:tc>
        <w:tc>
          <w:tcPr>
            <w:tcW w:w="840" w:type="dxa"/>
          </w:tcPr>
          <w:p>
            <w:pPr>
              <w:pStyle w:val="TableParagraph"/>
              <w:spacing w:before="71"/>
              <w:ind w:left="31" w:right="11"/>
              <w:jc w:val="center"/>
              <w:rPr>
                <w:sz w:val="22"/>
              </w:rPr>
            </w:pPr>
            <w:r>
              <w:rPr>
                <w:spacing w:val="-4"/>
                <w:sz w:val="22"/>
              </w:rPr>
              <w:t>50.0</w:t>
            </w:r>
          </w:p>
        </w:tc>
      </w:tr>
      <w:tr>
        <w:trPr>
          <w:trHeight w:val="450" w:hRule="atLeast"/>
        </w:trPr>
        <w:tc>
          <w:tcPr>
            <w:tcW w:w="1125" w:type="dxa"/>
          </w:tcPr>
          <w:p>
            <w:pPr>
              <w:pStyle w:val="TableParagraph"/>
              <w:spacing w:before="70"/>
              <w:ind w:left="110" w:right="276"/>
              <w:jc w:val="center"/>
              <w:rPr>
                <w:sz w:val="22"/>
              </w:rPr>
            </w:pPr>
            <w:r>
              <w:rPr>
                <w:sz w:val="22"/>
              </w:rPr>
              <w:t>SP</w:t>
            </w:r>
            <w:r>
              <w:rPr>
                <w:spacing w:val="1"/>
                <w:sz w:val="22"/>
              </w:rPr>
              <w:t> </w:t>
            </w:r>
            <w:r>
              <w:rPr>
                <w:spacing w:val="-4"/>
                <w:sz w:val="22"/>
              </w:rPr>
              <w:t>1382</w:t>
            </w:r>
          </w:p>
        </w:tc>
        <w:tc>
          <w:tcPr>
            <w:tcW w:w="822" w:type="dxa"/>
          </w:tcPr>
          <w:p>
            <w:pPr>
              <w:pStyle w:val="TableParagraph"/>
              <w:spacing w:before="70"/>
              <w:ind w:left="76" w:right="76"/>
              <w:jc w:val="center"/>
              <w:rPr>
                <w:sz w:val="22"/>
              </w:rPr>
            </w:pPr>
            <w:r>
              <w:rPr>
                <w:spacing w:val="-4"/>
                <w:sz w:val="22"/>
              </w:rPr>
              <w:t>35.0</w:t>
            </w:r>
          </w:p>
        </w:tc>
        <w:tc>
          <w:tcPr>
            <w:tcW w:w="849" w:type="dxa"/>
          </w:tcPr>
          <w:p>
            <w:pPr>
              <w:pStyle w:val="TableParagraph"/>
              <w:spacing w:before="70"/>
              <w:ind w:left="3" w:right="15"/>
              <w:jc w:val="center"/>
              <w:rPr>
                <w:sz w:val="22"/>
              </w:rPr>
            </w:pPr>
            <w:r>
              <w:rPr>
                <w:spacing w:val="-4"/>
                <w:sz w:val="22"/>
              </w:rPr>
              <w:t>50.0</w:t>
            </w:r>
          </w:p>
        </w:tc>
        <w:tc>
          <w:tcPr>
            <w:tcW w:w="839" w:type="dxa"/>
          </w:tcPr>
          <w:p>
            <w:pPr>
              <w:pStyle w:val="TableParagraph"/>
              <w:spacing w:before="70"/>
              <w:ind w:right="222"/>
              <w:jc w:val="right"/>
              <w:rPr>
                <w:sz w:val="22"/>
              </w:rPr>
            </w:pPr>
            <w:r>
              <w:rPr>
                <w:spacing w:val="-4"/>
                <w:sz w:val="22"/>
              </w:rPr>
              <w:t>30.0</w:t>
            </w:r>
          </w:p>
        </w:tc>
        <w:tc>
          <w:tcPr>
            <w:tcW w:w="880" w:type="dxa"/>
          </w:tcPr>
          <w:p>
            <w:pPr>
              <w:pStyle w:val="TableParagraph"/>
              <w:spacing w:before="70"/>
              <w:ind w:left="19"/>
              <w:jc w:val="center"/>
              <w:rPr>
                <w:sz w:val="22"/>
              </w:rPr>
            </w:pPr>
            <w:r>
              <w:rPr>
                <w:spacing w:val="-4"/>
                <w:sz w:val="22"/>
              </w:rPr>
              <w:t>50.0</w:t>
            </w:r>
          </w:p>
        </w:tc>
        <w:tc>
          <w:tcPr>
            <w:tcW w:w="834" w:type="dxa"/>
          </w:tcPr>
          <w:p>
            <w:pPr>
              <w:pStyle w:val="TableParagraph"/>
              <w:spacing w:before="70"/>
              <w:ind w:right="215"/>
              <w:jc w:val="right"/>
              <w:rPr>
                <w:sz w:val="22"/>
              </w:rPr>
            </w:pPr>
            <w:r>
              <w:rPr>
                <w:spacing w:val="-4"/>
                <w:sz w:val="22"/>
              </w:rPr>
              <w:t>17.5</w:t>
            </w:r>
          </w:p>
        </w:tc>
        <w:tc>
          <w:tcPr>
            <w:tcW w:w="850" w:type="dxa"/>
          </w:tcPr>
          <w:p>
            <w:pPr>
              <w:pStyle w:val="TableParagraph"/>
              <w:spacing w:before="70"/>
              <w:ind w:left="25" w:right="19"/>
              <w:jc w:val="center"/>
              <w:rPr>
                <w:sz w:val="22"/>
              </w:rPr>
            </w:pPr>
            <w:r>
              <w:rPr>
                <w:spacing w:val="-4"/>
                <w:sz w:val="22"/>
              </w:rPr>
              <w:t>25.0</w:t>
            </w:r>
          </w:p>
        </w:tc>
        <w:tc>
          <w:tcPr>
            <w:tcW w:w="817" w:type="dxa"/>
          </w:tcPr>
          <w:p>
            <w:pPr>
              <w:pStyle w:val="TableParagraph"/>
              <w:spacing w:before="70"/>
              <w:ind w:right="201"/>
              <w:jc w:val="right"/>
              <w:rPr>
                <w:sz w:val="22"/>
              </w:rPr>
            </w:pPr>
            <w:r>
              <w:rPr>
                <w:spacing w:val="-4"/>
                <w:sz w:val="22"/>
              </w:rPr>
              <w:t>20.0</w:t>
            </w:r>
          </w:p>
        </w:tc>
        <w:tc>
          <w:tcPr>
            <w:tcW w:w="836" w:type="dxa"/>
          </w:tcPr>
          <w:p>
            <w:pPr>
              <w:pStyle w:val="TableParagraph"/>
              <w:spacing w:before="70"/>
              <w:ind w:left="4"/>
              <w:jc w:val="center"/>
              <w:rPr>
                <w:sz w:val="22"/>
              </w:rPr>
            </w:pPr>
            <w:r>
              <w:rPr>
                <w:spacing w:val="-4"/>
                <w:sz w:val="22"/>
              </w:rPr>
              <w:t>35.0</w:t>
            </w:r>
          </w:p>
        </w:tc>
        <w:tc>
          <w:tcPr>
            <w:tcW w:w="813" w:type="dxa"/>
          </w:tcPr>
          <w:p>
            <w:pPr>
              <w:pStyle w:val="TableParagraph"/>
              <w:spacing w:before="70"/>
              <w:ind w:right="199"/>
              <w:jc w:val="right"/>
              <w:rPr>
                <w:sz w:val="22"/>
              </w:rPr>
            </w:pPr>
            <w:r>
              <w:rPr>
                <w:spacing w:val="-4"/>
                <w:sz w:val="22"/>
              </w:rPr>
              <w:t>15.0</w:t>
            </w:r>
          </w:p>
        </w:tc>
        <w:tc>
          <w:tcPr>
            <w:tcW w:w="840" w:type="dxa"/>
          </w:tcPr>
          <w:p>
            <w:pPr>
              <w:pStyle w:val="TableParagraph"/>
              <w:spacing w:before="70"/>
              <w:ind w:left="31" w:right="11"/>
              <w:jc w:val="center"/>
              <w:rPr>
                <w:sz w:val="22"/>
              </w:rPr>
            </w:pPr>
            <w:r>
              <w:rPr>
                <w:spacing w:val="-4"/>
                <w:sz w:val="22"/>
              </w:rPr>
              <w:t>25.0</w:t>
            </w:r>
          </w:p>
        </w:tc>
      </w:tr>
      <w:tr>
        <w:trPr>
          <w:trHeight w:val="450" w:hRule="atLeast"/>
        </w:trPr>
        <w:tc>
          <w:tcPr>
            <w:tcW w:w="1125" w:type="dxa"/>
          </w:tcPr>
          <w:p>
            <w:pPr>
              <w:pStyle w:val="TableParagraph"/>
              <w:spacing w:before="71"/>
              <w:ind w:right="276"/>
              <w:jc w:val="center"/>
              <w:rPr>
                <w:sz w:val="22"/>
              </w:rPr>
            </w:pPr>
            <w:r>
              <w:rPr>
                <w:sz w:val="22"/>
              </w:rPr>
              <w:t>SP</w:t>
            </w:r>
            <w:r>
              <w:rPr>
                <w:spacing w:val="1"/>
                <w:sz w:val="22"/>
              </w:rPr>
              <w:t> </w:t>
            </w:r>
            <w:r>
              <w:rPr>
                <w:spacing w:val="-5"/>
                <w:sz w:val="22"/>
              </w:rPr>
              <w:t>260</w:t>
            </w:r>
          </w:p>
        </w:tc>
        <w:tc>
          <w:tcPr>
            <w:tcW w:w="822" w:type="dxa"/>
          </w:tcPr>
          <w:p>
            <w:pPr>
              <w:pStyle w:val="TableParagraph"/>
              <w:spacing w:before="71"/>
              <w:ind w:left="76" w:right="76"/>
              <w:jc w:val="center"/>
              <w:rPr>
                <w:sz w:val="22"/>
              </w:rPr>
            </w:pPr>
            <w:r>
              <w:rPr>
                <w:spacing w:val="-4"/>
                <w:sz w:val="22"/>
              </w:rPr>
              <w:t>45.0</w:t>
            </w:r>
          </w:p>
        </w:tc>
        <w:tc>
          <w:tcPr>
            <w:tcW w:w="849" w:type="dxa"/>
          </w:tcPr>
          <w:p>
            <w:pPr>
              <w:pStyle w:val="TableParagraph"/>
              <w:spacing w:before="71"/>
              <w:ind w:left="3" w:right="15"/>
              <w:jc w:val="center"/>
              <w:rPr>
                <w:sz w:val="22"/>
              </w:rPr>
            </w:pPr>
            <w:r>
              <w:rPr>
                <w:spacing w:val="-4"/>
                <w:sz w:val="22"/>
              </w:rPr>
              <w:t>70.0</w:t>
            </w:r>
          </w:p>
        </w:tc>
        <w:tc>
          <w:tcPr>
            <w:tcW w:w="839" w:type="dxa"/>
          </w:tcPr>
          <w:p>
            <w:pPr>
              <w:pStyle w:val="TableParagraph"/>
              <w:spacing w:before="71"/>
              <w:ind w:right="222"/>
              <w:jc w:val="right"/>
              <w:rPr>
                <w:sz w:val="22"/>
              </w:rPr>
            </w:pPr>
            <w:r>
              <w:rPr>
                <w:spacing w:val="-4"/>
                <w:sz w:val="22"/>
              </w:rPr>
              <w:t>40.0</w:t>
            </w:r>
          </w:p>
        </w:tc>
        <w:tc>
          <w:tcPr>
            <w:tcW w:w="880" w:type="dxa"/>
          </w:tcPr>
          <w:p>
            <w:pPr>
              <w:pStyle w:val="TableParagraph"/>
              <w:spacing w:before="71"/>
              <w:ind w:left="19"/>
              <w:jc w:val="center"/>
              <w:rPr>
                <w:sz w:val="22"/>
              </w:rPr>
            </w:pPr>
            <w:r>
              <w:rPr>
                <w:spacing w:val="-4"/>
                <w:sz w:val="22"/>
              </w:rPr>
              <w:t>60.0</w:t>
            </w:r>
          </w:p>
        </w:tc>
        <w:tc>
          <w:tcPr>
            <w:tcW w:w="834" w:type="dxa"/>
          </w:tcPr>
          <w:p>
            <w:pPr>
              <w:pStyle w:val="TableParagraph"/>
              <w:spacing w:before="71"/>
              <w:ind w:right="215"/>
              <w:jc w:val="right"/>
              <w:rPr>
                <w:sz w:val="22"/>
              </w:rPr>
            </w:pPr>
            <w:r>
              <w:rPr>
                <w:spacing w:val="-4"/>
                <w:sz w:val="22"/>
              </w:rPr>
              <w:t>17.5</w:t>
            </w:r>
          </w:p>
        </w:tc>
        <w:tc>
          <w:tcPr>
            <w:tcW w:w="850" w:type="dxa"/>
          </w:tcPr>
          <w:p>
            <w:pPr>
              <w:pStyle w:val="TableParagraph"/>
              <w:spacing w:before="71"/>
              <w:ind w:left="25" w:right="19"/>
              <w:jc w:val="center"/>
              <w:rPr>
                <w:sz w:val="22"/>
              </w:rPr>
            </w:pPr>
            <w:r>
              <w:rPr>
                <w:spacing w:val="-4"/>
                <w:sz w:val="22"/>
              </w:rPr>
              <w:t>25.0</w:t>
            </w:r>
          </w:p>
        </w:tc>
        <w:tc>
          <w:tcPr>
            <w:tcW w:w="817" w:type="dxa"/>
          </w:tcPr>
          <w:p>
            <w:pPr>
              <w:pStyle w:val="TableParagraph"/>
              <w:spacing w:before="71"/>
              <w:ind w:right="201"/>
              <w:jc w:val="right"/>
              <w:rPr>
                <w:sz w:val="22"/>
              </w:rPr>
            </w:pPr>
            <w:r>
              <w:rPr>
                <w:spacing w:val="-4"/>
                <w:sz w:val="22"/>
              </w:rPr>
              <w:t>17.5</w:t>
            </w:r>
          </w:p>
        </w:tc>
        <w:tc>
          <w:tcPr>
            <w:tcW w:w="836" w:type="dxa"/>
          </w:tcPr>
          <w:p>
            <w:pPr>
              <w:pStyle w:val="TableParagraph"/>
              <w:spacing w:before="71"/>
              <w:ind w:left="4"/>
              <w:jc w:val="center"/>
              <w:rPr>
                <w:sz w:val="22"/>
              </w:rPr>
            </w:pPr>
            <w:r>
              <w:rPr>
                <w:spacing w:val="-4"/>
                <w:sz w:val="22"/>
              </w:rPr>
              <w:t>30.0</w:t>
            </w:r>
          </w:p>
        </w:tc>
        <w:tc>
          <w:tcPr>
            <w:tcW w:w="813" w:type="dxa"/>
          </w:tcPr>
          <w:p>
            <w:pPr>
              <w:pStyle w:val="TableParagraph"/>
              <w:spacing w:before="71"/>
              <w:ind w:right="199"/>
              <w:jc w:val="right"/>
              <w:rPr>
                <w:sz w:val="22"/>
              </w:rPr>
            </w:pPr>
            <w:r>
              <w:rPr>
                <w:spacing w:val="-4"/>
                <w:sz w:val="22"/>
              </w:rPr>
              <w:t>17.5</w:t>
            </w:r>
          </w:p>
        </w:tc>
        <w:tc>
          <w:tcPr>
            <w:tcW w:w="840" w:type="dxa"/>
          </w:tcPr>
          <w:p>
            <w:pPr>
              <w:pStyle w:val="TableParagraph"/>
              <w:spacing w:before="71"/>
              <w:ind w:left="31" w:right="11"/>
              <w:jc w:val="center"/>
              <w:rPr>
                <w:sz w:val="22"/>
              </w:rPr>
            </w:pPr>
            <w:r>
              <w:rPr>
                <w:spacing w:val="-4"/>
                <w:sz w:val="22"/>
              </w:rPr>
              <w:t>25.0</w:t>
            </w:r>
          </w:p>
        </w:tc>
      </w:tr>
      <w:tr>
        <w:trPr>
          <w:trHeight w:val="448" w:hRule="atLeast"/>
        </w:trPr>
        <w:tc>
          <w:tcPr>
            <w:tcW w:w="1125" w:type="dxa"/>
          </w:tcPr>
          <w:p>
            <w:pPr>
              <w:pStyle w:val="TableParagraph"/>
              <w:spacing w:before="70"/>
              <w:ind w:right="276"/>
              <w:jc w:val="center"/>
              <w:rPr>
                <w:sz w:val="22"/>
              </w:rPr>
            </w:pPr>
            <w:r>
              <w:rPr>
                <w:sz w:val="22"/>
              </w:rPr>
              <w:t>SP</w:t>
            </w:r>
            <w:r>
              <w:rPr>
                <w:spacing w:val="1"/>
                <w:sz w:val="22"/>
              </w:rPr>
              <w:t> </w:t>
            </w:r>
            <w:r>
              <w:rPr>
                <w:spacing w:val="-5"/>
                <w:sz w:val="22"/>
              </w:rPr>
              <w:t>277</w:t>
            </w:r>
          </w:p>
        </w:tc>
        <w:tc>
          <w:tcPr>
            <w:tcW w:w="822" w:type="dxa"/>
          </w:tcPr>
          <w:p>
            <w:pPr>
              <w:pStyle w:val="TableParagraph"/>
              <w:spacing w:before="70"/>
              <w:ind w:left="76" w:right="76"/>
              <w:jc w:val="center"/>
              <w:rPr>
                <w:sz w:val="22"/>
              </w:rPr>
            </w:pPr>
            <w:r>
              <w:rPr>
                <w:spacing w:val="-4"/>
                <w:sz w:val="22"/>
              </w:rPr>
              <w:t>35.0</w:t>
            </w:r>
          </w:p>
        </w:tc>
        <w:tc>
          <w:tcPr>
            <w:tcW w:w="849" w:type="dxa"/>
          </w:tcPr>
          <w:p>
            <w:pPr>
              <w:pStyle w:val="TableParagraph"/>
              <w:spacing w:before="70"/>
              <w:ind w:left="3" w:right="15"/>
              <w:jc w:val="center"/>
              <w:rPr>
                <w:sz w:val="22"/>
              </w:rPr>
            </w:pPr>
            <w:r>
              <w:rPr>
                <w:spacing w:val="-4"/>
                <w:sz w:val="22"/>
              </w:rPr>
              <w:t>60.0</w:t>
            </w:r>
          </w:p>
        </w:tc>
        <w:tc>
          <w:tcPr>
            <w:tcW w:w="839" w:type="dxa"/>
          </w:tcPr>
          <w:p>
            <w:pPr>
              <w:pStyle w:val="TableParagraph"/>
              <w:spacing w:before="70"/>
              <w:ind w:right="222"/>
              <w:jc w:val="right"/>
              <w:rPr>
                <w:sz w:val="22"/>
              </w:rPr>
            </w:pPr>
            <w:r>
              <w:rPr>
                <w:spacing w:val="-4"/>
                <w:sz w:val="22"/>
              </w:rPr>
              <w:t>30.0</w:t>
            </w:r>
          </w:p>
        </w:tc>
        <w:tc>
          <w:tcPr>
            <w:tcW w:w="880" w:type="dxa"/>
          </w:tcPr>
          <w:p>
            <w:pPr>
              <w:pStyle w:val="TableParagraph"/>
              <w:spacing w:before="70"/>
              <w:ind w:left="19"/>
              <w:jc w:val="center"/>
              <w:rPr>
                <w:sz w:val="22"/>
              </w:rPr>
            </w:pPr>
            <w:r>
              <w:rPr>
                <w:spacing w:val="-4"/>
                <w:sz w:val="22"/>
              </w:rPr>
              <w:t>60.0</w:t>
            </w:r>
          </w:p>
        </w:tc>
        <w:tc>
          <w:tcPr>
            <w:tcW w:w="834" w:type="dxa"/>
          </w:tcPr>
          <w:p>
            <w:pPr>
              <w:pStyle w:val="TableParagraph"/>
              <w:spacing w:before="70"/>
              <w:ind w:right="215"/>
              <w:jc w:val="right"/>
              <w:rPr>
                <w:sz w:val="22"/>
              </w:rPr>
            </w:pPr>
            <w:r>
              <w:rPr>
                <w:spacing w:val="-4"/>
                <w:sz w:val="22"/>
              </w:rPr>
              <w:t>35.0</w:t>
            </w:r>
          </w:p>
        </w:tc>
        <w:tc>
          <w:tcPr>
            <w:tcW w:w="850" w:type="dxa"/>
          </w:tcPr>
          <w:p>
            <w:pPr>
              <w:pStyle w:val="TableParagraph"/>
              <w:spacing w:before="70"/>
              <w:ind w:left="25" w:right="19"/>
              <w:jc w:val="center"/>
              <w:rPr>
                <w:sz w:val="22"/>
              </w:rPr>
            </w:pPr>
            <w:r>
              <w:rPr>
                <w:spacing w:val="-4"/>
                <w:sz w:val="22"/>
              </w:rPr>
              <w:t>60.0</w:t>
            </w:r>
          </w:p>
        </w:tc>
        <w:tc>
          <w:tcPr>
            <w:tcW w:w="817" w:type="dxa"/>
          </w:tcPr>
          <w:p>
            <w:pPr>
              <w:pStyle w:val="TableParagraph"/>
              <w:spacing w:before="70"/>
              <w:ind w:right="201"/>
              <w:jc w:val="right"/>
              <w:rPr>
                <w:sz w:val="22"/>
              </w:rPr>
            </w:pPr>
            <w:r>
              <w:rPr>
                <w:spacing w:val="-4"/>
                <w:sz w:val="22"/>
              </w:rPr>
              <w:t>15.0</w:t>
            </w:r>
          </w:p>
        </w:tc>
        <w:tc>
          <w:tcPr>
            <w:tcW w:w="836" w:type="dxa"/>
          </w:tcPr>
          <w:p>
            <w:pPr>
              <w:pStyle w:val="TableParagraph"/>
              <w:spacing w:before="70"/>
              <w:ind w:left="4"/>
              <w:jc w:val="center"/>
              <w:rPr>
                <w:sz w:val="22"/>
              </w:rPr>
            </w:pPr>
            <w:r>
              <w:rPr>
                <w:spacing w:val="-4"/>
                <w:sz w:val="22"/>
              </w:rPr>
              <w:t>25.0</w:t>
            </w:r>
          </w:p>
        </w:tc>
        <w:tc>
          <w:tcPr>
            <w:tcW w:w="813" w:type="dxa"/>
          </w:tcPr>
          <w:p>
            <w:pPr>
              <w:pStyle w:val="TableParagraph"/>
              <w:spacing w:before="70"/>
              <w:ind w:right="199"/>
              <w:jc w:val="right"/>
              <w:rPr>
                <w:sz w:val="22"/>
              </w:rPr>
            </w:pPr>
            <w:r>
              <w:rPr>
                <w:spacing w:val="-4"/>
                <w:sz w:val="22"/>
              </w:rPr>
              <w:t>15.0</w:t>
            </w:r>
          </w:p>
        </w:tc>
        <w:tc>
          <w:tcPr>
            <w:tcW w:w="840" w:type="dxa"/>
          </w:tcPr>
          <w:p>
            <w:pPr>
              <w:pStyle w:val="TableParagraph"/>
              <w:spacing w:before="70"/>
              <w:ind w:left="31" w:right="11"/>
              <w:jc w:val="center"/>
              <w:rPr>
                <w:sz w:val="22"/>
              </w:rPr>
            </w:pPr>
            <w:r>
              <w:rPr>
                <w:spacing w:val="-4"/>
                <w:sz w:val="22"/>
              </w:rPr>
              <w:t>25.0</w:t>
            </w:r>
          </w:p>
        </w:tc>
      </w:tr>
      <w:tr>
        <w:trPr>
          <w:trHeight w:val="450" w:hRule="atLeast"/>
        </w:trPr>
        <w:tc>
          <w:tcPr>
            <w:tcW w:w="1125" w:type="dxa"/>
          </w:tcPr>
          <w:p>
            <w:pPr>
              <w:pStyle w:val="TableParagraph"/>
              <w:spacing w:before="70"/>
              <w:ind w:right="276"/>
              <w:jc w:val="center"/>
              <w:rPr>
                <w:sz w:val="22"/>
              </w:rPr>
            </w:pPr>
            <w:r>
              <w:rPr>
                <w:sz w:val="22"/>
              </w:rPr>
              <w:t>SP</w:t>
            </w:r>
            <w:r>
              <w:rPr>
                <w:spacing w:val="1"/>
                <w:sz w:val="22"/>
              </w:rPr>
              <w:t> </w:t>
            </w:r>
            <w:r>
              <w:rPr>
                <w:spacing w:val="-5"/>
                <w:sz w:val="22"/>
              </w:rPr>
              <w:t>278</w:t>
            </w:r>
          </w:p>
        </w:tc>
        <w:tc>
          <w:tcPr>
            <w:tcW w:w="822" w:type="dxa"/>
          </w:tcPr>
          <w:p>
            <w:pPr>
              <w:pStyle w:val="TableParagraph"/>
              <w:spacing w:before="70"/>
              <w:ind w:left="76" w:right="76"/>
              <w:jc w:val="center"/>
              <w:rPr>
                <w:sz w:val="22"/>
              </w:rPr>
            </w:pPr>
            <w:r>
              <w:rPr>
                <w:spacing w:val="-4"/>
                <w:sz w:val="22"/>
              </w:rPr>
              <w:t>25.0</w:t>
            </w:r>
          </w:p>
        </w:tc>
        <w:tc>
          <w:tcPr>
            <w:tcW w:w="849" w:type="dxa"/>
          </w:tcPr>
          <w:p>
            <w:pPr>
              <w:pStyle w:val="TableParagraph"/>
              <w:spacing w:before="70"/>
              <w:ind w:left="3" w:right="15"/>
              <w:jc w:val="center"/>
              <w:rPr>
                <w:sz w:val="22"/>
              </w:rPr>
            </w:pPr>
            <w:r>
              <w:rPr>
                <w:spacing w:val="-4"/>
                <w:sz w:val="22"/>
              </w:rPr>
              <w:t>45.0</w:t>
            </w:r>
          </w:p>
        </w:tc>
        <w:tc>
          <w:tcPr>
            <w:tcW w:w="839" w:type="dxa"/>
          </w:tcPr>
          <w:p>
            <w:pPr>
              <w:pStyle w:val="TableParagraph"/>
              <w:spacing w:before="70"/>
              <w:ind w:right="222"/>
              <w:jc w:val="right"/>
              <w:rPr>
                <w:sz w:val="22"/>
              </w:rPr>
            </w:pPr>
            <w:r>
              <w:rPr>
                <w:spacing w:val="-4"/>
                <w:sz w:val="22"/>
              </w:rPr>
              <w:t>25.0</w:t>
            </w:r>
          </w:p>
        </w:tc>
        <w:tc>
          <w:tcPr>
            <w:tcW w:w="880" w:type="dxa"/>
          </w:tcPr>
          <w:p>
            <w:pPr>
              <w:pStyle w:val="TableParagraph"/>
              <w:spacing w:before="70"/>
              <w:ind w:left="19"/>
              <w:jc w:val="center"/>
              <w:rPr>
                <w:sz w:val="22"/>
              </w:rPr>
            </w:pPr>
            <w:r>
              <w:rPr>
                <w:spacing w:val="-4"/>
                <w:sz w:val="22"/>
              </w:rPr>
              <w:t>40.0</w:t>
            </w:r>
          </w:p>
        </w:tc>
        <w:tc>
          <w:tcPr>
            <w:tcW w:w="834" w:type="dxa"/>
          </w:tcPr>
          <w:p>
            <w:pPr>
              <w:pStyle w:val="TableParagraph"/>
              <w:spacing w:before="70"/>
              <w:ind w:right="215"/>
              <w:jc w:val="right"/>
              <w:rPr>
                <w:sz w:val="22"/>
              </w:rPr>
            </w:pPr>
            <w:r>
              <w:rPr>
                <w:spacing w:val="-4"/>
                <w:sz w:val="22"/>
              </w:rPr>
              <w:t>15.0</w:t>
            </w:r>
          </w:p>
        </w:tc>
        <w:tc>
          <w:tcPr>
            <w:tcW w:w="850" w:type="dxa"/>
          </w:tcPr>
          <w:p>
            <w:pPr>
              <w:pStyle w:val="TableParagraph"/>
              <w:spacing w:before="70"/>
              <w:ind w:left="25" w:right="19"/>
              <w:jc w:val="center"/>
              <w:rPr>
                <w:sz w:val="22"/>
              </w:rPr>
            </w:pPr>
            <w:r>
              <w:rPr>
                <w:spacing w:val="-4"/>
                <w:sz w:val="22"/>
              </w:rPr>
              <w:t>25.0</w:t>
            </w:r>
          </w:p>
        </w:tc>
        <w:tc>
          <w:tcPr>
            <w:tcW w:w="817" w:type="dxa"/>
          </w:tcPr>
          <w:p>
            <w:pPr>
              <w:pStyle w:val="TableParagraph"/>
              <w:spacing w:before="70"/>
              <w:ind w:right="201"/>
              <w:jc w:val="right"/>
              <w:rPr>
                <w:sz w:val="22"/>
              </w:rPr>
            </w:pPr>
            <w:r>
              <w:rPr>
                <w:spacing w:val="-4"/>
                <w:sz w:val="22"/>
              </w:rPr>
              <w:t>17.5</w:t>
            </w:r>
          </w:p>
        </w:tc>
        <w:tc>
          <w:tcPr>
            <w:tcW w:w="836" w:type="dxa"/>
          </w:tcPr>
          <w:p>
            <w:pPr>
              <w:pStyle w:val="TableParagraph"/>
              <w:spacing w:before="70"/>
              <w:ind w:left="4"/>
              <w:jc w:val="center"/>
              <w:rPr>
                <w:sz w:val="22"/>
              </w:rPr>
            </w:pPr>
            <w:r>
              <w:rPr>
                <w:spacing w:val="-4"/>
                <w:sz w:val="22"/>
              </w:rPr>
              <w:t>30.0</w:t>
            </w:r>
          </w:p>
        </w:tc>
        <w:tc>
          <w:tcPr>
            <w:tcW w:w="813" w:type="dxa"/>
          </w:tcPr>
          <w:p>
            <w:pPr>
              <w:pStyle w:val="TableParagraph"/>
              <w:spacing w:before="70"/>
              <w:ind w:right="199"/>
              <w:jc w:val="right"/>
              <w:rPr>
                <w:sz w:val="22"/>
              </w:rPr>
            </w:pPr>
            <w:r>
              <w:rPr>
                <w:spacing w:val="-4"/>
                <w:sz w:val="22"/>
              </w:rPr>
              <w:t>15.0</w:t>
            </w:r>
          </w:p>
        </w:tc>
        <w:tc>
          <w:tcPr>
            <w:tcW w:w="840" w:type="dxa"/>
          </w:tcPr>
          <w:p>
            <w:pPr>
              <w:pStyle w:val="TableParagraph"/>
              <w:spacing w:before="70"/>
              <w:ind w:left="31" w:right="11"/>
              <w:jc w:val="center"/>
              <w:rPr>
                <w:sz w:val="22"/>
              </w:rPr>
            </w:pPr>
            <w:r>
              <w:rPr>
                <w:spacing w:val="-4"/>
                <w:sz w:val="22"/>
              </w:rPr>
              <w:t>25.0</w:t>
            </w:r>
          </w:p>
        </w:tc>
      </w:tr>
      <w:tr>
        <w:trPr>
          <w:trHeight w:val="450" w:hRule="atLeast"/>
        </w:trPr>
        <w:tc>
          <w:tcPr>
            <w:tcW w:w="1125" w:type="dxa"/>
          </w:tcPr>
          <w:p>
            <w:pPr>
              <w:pStyle w:val="TableParagraph"/>
              <w:spacing w:before="71"/>
              <w:ind w:right="276"/>
              <w:jc w:val="center"/>
              <w:rPr>
                <w:sz w:val="22"/>
              </w:rPr>
            </w:pPr>
            <w:r>
              <w:rPr>
                <w:sz w:val="22"/>
              </w:rPr>
              <w:t>SP</w:t>
            </w:r>
            <w:r>
              <w:rPr>
                <w:spacing w:val="1"/>
                <w:sz w:val="22"/>
              </w:rPr>
              <w:t> </w:t>
            </w:r>
            <w:r>
              <w:rPr>
                <w:spacing w:val="-5"/>
                <w:sz w:val="22"/>
              </w:rPr>
              <w:t>307</w:t>
            </w:r>
          </w:p>
        </w:tc>
        <w:tc>
          <w:tcPr>
            <w:tcW w:w="822" w:type="dxa"/>
          </w:tcPr>
          <w:p>
            <w:pPr>
              <w:pStyle w:val="TableParagraph"/>
              <w:spacing w:before="71"/>
              <w:ind w:left="76" w:right="76"/>
              <w:jc w:val="center"/>
              <w:rPr>
                <w:sz w:val="22"/>
              </w:rPr>
            </w:pPr>
            <w:r>
              <w:rPr>
                <w:spacing w:val="-4"/>
                <w:sz w:val="22"/>
              </w:rPr>
              <w:t>25.0</w:t>
            </w:r>
          </w:p>
        </w:tc>
        <w:tc>
          <w:tcPr>
            <w:tcW w:w="849" w:type="dxa"/>
          </w:tcPr>
          <w:p>
            <w:pPr>
              <w:pStyle w:val="TableParagraph"/>
              <w:spacing w:before="71"/>
              <w:ind w:left="3" w:right="15"/>
              <w:jc w:val="center"/>
              <w:rPr>
                <w:sz w:val="22"/>
              </w:rPr>
            </w:pPr>
            <w:r>
              <w:rPr>
                <w:spacing w:val="-4"/>
                <w:sz w:val="22"/>
              </w:rPr>
              <w:t>40.0</w:t>
            </w:r>
          </w:p>
        </w:tc>
        <w:tc>
          <w:tcPr>
            <w:tcW w:w="839" w:type="dxa"/>
          </w:tcPr>
          <w:p>
            <w:pPr>
              <w:pStyle w:val="TableParagraph"/>
              <w:spacing w:before="71"/>
              <w:ind w:right="222"/>
              <w:jc w:val="right"/>
              <w:rPr>
                <w:sz w:val="22"/>
              </w:rPr>
            </w:pPr>
            <w:r>
              <w:rPr>
                <w:spacing w:val="-4"/>
                <w:sz w:val="22"/>
              </w:rPr>
              <w:t>20.0</w:t>
            </w:r>
          </w:p>
        </w:tc>
        <w:tc>
          <w:tcPr>
            <w:tcW w:w="880" w:type="dxa"/>
          </w:tcPr>
          <w:p>
            <w:pPr>
              <w:pStyle w:val="TableParagraph"/>
              <w:spacing w:before="71"/>
              <w:ind w:left="19"/>
              <w:jc w:val="center"/>
              <w:rPr>
                <w:sz w:val="22"/>
              </w:rPr>
            </w:pPr>
            <w:r>
              <w:rPr>
                <w:spacing w:val="-4"/>
                <w:sz w:val="22"/>
              </w:rPr>
              <w:t>35.0</w:t>
            </w:r>
          </w:p>
        </w:tc>
        <w:tc>
          <w:tcPr>
            <w:tcW w:w="834" w:type="dxa"/>
          </w:tcPr>
          <w:p>
            <w:pPr>
              <w:pStyle w:val="TableParagraph"/>
              <w:spacing w:before="71"/>
              <w:ind w:right="215"/>
              <w:jc w:val="right"/>
              <w:rPr>
                <w:sz w:val="22"/>
              </w:rPr>
            </w:pPr>
            <w:r>
              <w:rPr>
                <w:spacing w:val="-4"/>
                <w:sz w:val="22"/>
              </w:rPr>
              <w:t>25.0</w:t>
            </w:r>
          </w:p>
        </w:tc>
        <w:tc>
          <w:tcPr>
            <w:tcW w:w="850" w:type="dxa"/>
          </w:tcPr>
          <w:p>
            <w:pPr>
              <w:pStyle w:val="TableParagraph"/>
              <w:spacing w:before="71"/>
              <w:ind w:left="25" w:right="19"/>
              <w:jc w:val="center"/>
              <w:rPr>
                <w:sz w:val="22"/>
              </w:rPr>
            </w:pPr>
            <w:r>
              <w:rPr>
                <w:spacing w:val="-4"/>
                <w:sz w:val="22"/>
              </w:rPr>
              <w:t>40.0</w:t>
            </w:r>
          </w:p>
        </w:tc>
        <w:tc>
          <w:tcPr>
            <w:tcW w:w="817" w:type="dxa"/>
          </w:tcPr>
          <w:p>
            <w:pPr>
              <w:pStyle w:val="TableParagraph"/>
              <w:spacing w:before="71"/>
              <w:ind w:right="201"/>
              <w:jc w:val="right"/>
              <w:rPr>
                <w:sz w:val="22"/>
              </w:rPr>
            </w:pPr>
            <w:r>
              <w:rPr>
                <w:spacing w:val="-4"/>
                <w:sz w:val="22"/>
              </w:rPr>
              <w:t>17.5</w:t>
            </w:r>
          </w:p>
        </w:tc>
        <w:tc>
          <w:tcPr>
            <w:tcW w:w="836" w:type="dxa"/>
          </w:tcPr>
          <w:p>
            <w:pPr>
              <w:pStyle w:val="TableParagraph"/>
              <w:spacing w:before="71"/>
              <w:ind w:left="4"/>
              <w:jc w:val="center"/>
              <w:rPr>
                <w:sz w:val="22"/>
              </w:rPr>
            </w:pPr>
            <w:r>
              <w:rPr>
                <w:spacing w:val="-4"/>
                <w:sz w:val="22"/>
              </w:rPr>
              <w:t>30.0</w:t>
            </w:r>
          </w:p>
        </w:tc>
        <w:tc>
          <w:tcPr>
            <w:tcW w:w="813" w:type="dxa"/>
          </w:tcPr>
          <w:p>
            <w:pPr>
              <w:pStyle w:val="TableParagraph"/>
              <w:spacing w:before="71"/>
              <w:ind w:right="199"/>
              <w:jc w:val="right"/>
              <w:rPr>
                <w:sz w:val="22"/>
              </w:rPr>
            </w:pPr>
            <w:r>
              <w:rPr>
                <w:spacing w:val="-4"/>
                <w:sz w:val="22"/>
              </w:rPr>
              <w:t>17.5</w:t>
            </w:r>
          </w:p>
        </w:tc>
        <w:tc>
          <w:tcPr>
            <w:tcW w:w="840" w:type="dxa"/>
          </w:tcPr>
          <w:p>
            <w:pPr>
              <w:pStyle w:val="TableParagraph"/>
              <w:spacing w:before="71"/>
              <w:ind w:left="31" w:right="11"/>
              <w:jc w:val="center"/>
              <w:rPr>
                <w:sz w:val="22"/>
              </w:rPr>
            </w:pPr>
            <w:r>
              <w:rPr>
                <w:spacing w:val="-4"/>
                <w:sz w:val="22"/>
              </w:rPr>
              <w:t>25.0</w:t>
            </w:r>
          </w:p>
        </w:tc>
      </w:tr>
      <w:tr>
        <w:trPr>
          <w:trHeight w:val="498" w:hRule="atLeast"/>
        </w:trPr>
        <w:tc>
          <w:tcPr>
            <w:tcW w:w="1125" w:type="dxa"/>
          </w:tcPr>
          <w:p>
            <w:pPr>
              <w:pStyle w:val="TableParagraph"/>
              <w:spacing w:before="70"/>
              <w:ind w:right="276"/>
              <w:jc w:val="center"/>
              <w:rPr>
                <w:sz w:val="22"/>
              </w:rPr>
            </w:pPr>
            <w:r>
              <w:rPr>
                <w:sz w:val="22"/>
              </w:rPr>
              <w:t>SP</w:t>
            </w:r>
            <w:r>
              <w:rPr>
                <w:spacing w:val="1"/>
                <w:sz w:val="22"/>
              </w:rPr>
              <w:t> </w:t>
            </w:r>
            <w:r>
              <w:rPr>
                <w:spacing w:val="-5"/>
                <w:sz w:val="22"/>
              </w:rPr>
              <w:t>334</w:t>
            </w:r>
          </w:p>
        </w:tc>
        <w:tc>
          <w:tcPr>
            <w:tcW w:w="822" w:type="dxa"/>
          </w:tcPr>
          <w:p>
            <w:pPr>
              <w:pStyle w:val="TableParagraph"/>
              <w:spacing w:before="70"/>
              <w:ind w:left="76" w:right="76"/>
              <w:jc w:val="center"/>
              <w:rPr>
                <w:sz w:val="22"/>
              </w:rPr>
            </w:pPr>
            <w:r>
              <w:rPr>
                <w:spacing w:val="-4"/>
                <w:sz w:val="22"/>
              </w:rPr>
              <w:t>20.0</w:t>
            </w:r>
          </w:p>
        </w:tc>
        <w:tc>
          <w:tcPr>
            <w:tcW w:w="849" w:type="dxa"/>
          </w:tcPr>
          <w:p>
            <w:pPr>
              <w:pStyle w:val="TableParagraph"/>
              <w:spacing w:before="70"/>
              <w:ind w:left="3" w:right="15"/>
              <w:jc w:val="center"/>
              <w:rPr>
                <w:sz w:val="22"/>
              </w:rPr>
            </w:pPr>
            <w:r>
              <w:rPr>
                <w:spacing w:val="-4"/>
                <w:sz w:val="22"/>
              </w:rPr>
              <w:t>35.0</w:t>
            </w:r>
          </w:p>
        </w:tc>
        <w:tc>
          <w:tcPr>
            <w:tcW w:w="839" w:type="dxa"/>
          </w:tcPr>
          <w:p>
            <w:pPr>
              <w:pStyle w:val="TableParagraph"/>
              <w:spacing w:before="70"/>
              <w:ind w:right="222"/>
              <w:jc w:val="right"/>
              <w:rPr>
                <w:sz w:val="22"/>
              </w:rPr>
            </w:pPr>
            <w:r>
              <w:rPr>
                <w:spacing w:val="-4"/>
                <w:sz w:val="22"/>
              </w:rPr>
              <w:t>20.0</w:t>
            </w:r>
          </w:p>
        </w:tc>
        <w:tc>
          <w:tcPr>
            <w:tcW w:w="880" w:type="dxa"/>
          </w:tcPr>
          <w:p>
            <w:pPr>
              <w:pStyle w:val="TableParagraph"/>
              <w:spacing w:before="70"/>
              <w:ind w:left="19"/>
              <w:jc w:val="center"/>
              <w:rPr>
                <w:sz w:val="22"/>
              </w:rPr>
            </w:pPr>
            <w:r>
              <w:rPr>
                <w:spacing w:val="-4"/>
                <w:sz w:val="22"/>
              </w:rPr>
              <w:t>35.0</w:t>
            </w:r>
          </w:p>
        </w:tc>
        <w:tc>
          <w:tcPr>
            <w:tcW w:w="834" w:type="dxa"/>
          </w:tcPr>
          <w:p>
            <w:pPr>
              <w:pStyle w:val="TableParagraph"/>
              <w:spacing w:before="70"/>
              <w:ind w:right="215"/>
              <w:jc w:val="right"/>
              <w:rPr>
                <w:sz w:val="22"/>
              </w:rPr>
            </w:pPr>
            <w:r>
              <w:rPr>
                <w:spacing w:val="-4"/>
                <w:sz w:val="22"/>
              </w:rPr>
              <w:t>30.0</w:t>
            </w:r>
          </w:p>
        </w:tc>
        <w:tc>
          <w:tcPr>
            <w:tcW w:w="850" w:type="dxa"/>
          </w:tcPr>
          <w:p>
            <w:pPr>
              <w:pStyle w:val="TableParagraph"/>
              <w:spacing w:before="70"/>
              <w:ind w:left="25" w:right="19"/>
              <w:jc w:val="center"/>
              <w:rPr>
                <w:sz w:val="22"/>
              </w:rPr>
            </w:pPr>
            <w:r>
              <w:rPr>
                <w:spacing w:val="-4"/>
                <w:sz w:val="22"/>
              </w:rPr>
              <w:t>50.0</w:t>
            </w:r>
          </w:p>
        </w:tc>
        <w:tc>
          <w:tcPr>
            <w:tcW w:w="817" w:type="dxa"/>
          </w:tcPr>
          <w:p>
            <w:pPr>
              <w:pStyle w:val="TableParagraph"/>
              <w:spacing w:before="70"/>
              <w:ind w:right="202"/>
              <w:jc w:val="right"/>
              <w:rPr>
                <w:sz w:val="22"/>
              </w:rPr>
            </w:pPr>
            <w:r>
              <w:rPr>
                <w:spacing w:val="-4"/>
                <w:sz w:val="22"/>
              </w:rPr>
              <w:t>22.5</w:t>
            </w:r>
          </w:p>
        </w:tc>
        <w:tc>
          <w:tcPr>
            <w:tcW w:w="836" w:type="dxa"/>
          </w:tcPr>
          <w:p>
            <w:pPr>
              <w:pStyle w:val="TableParagraph"/>
              <w:spacing w:before="70"/>
              <w:ind w:left="4"/>
              <w:jc w:val="center"/>
              <w:rPr>
                <w:sz w:val="22"/>
              </w:rPr>
            </w:pPr>
            <w:r>
              <w:rPr>
                <w:spacing w:val="-4"/>
                <w:sz w:val="22"/>
              </w:rPr>
              <w:t>35.0</w:t>
            </w:r>
          </w:p>
        </w:tc>
        <w:tc>
          <w:tcPr>
            <w:tcW w:w="813" w:type="dxa"/>
          </w:tcPr>
          <w:p>
            <w:pPr>
              <w:pStyle w:val="TableParagraph"/>
              <w:spacing w:before="70"/>
              <w:ind w:right="199"/>
              <w:jc w:val="right"/>
              <w:rPr>
                <w:sz w:val="22"/>
              </w:rPr>
            </w:pPr>
            <w:r>
              <w:rPr>
                <w:spacing w:val="-4"/>
                <w:sz w:val="22"/>
              </w:rPr>
              <w:t>20.0</w:t>
            </w:r>
          </w:p>
        </w:tc>
        <w:tc>
          <w:tcPr>
            <w:tcW w:w="840" w:type="dxa"/>
          </w:tcPr>
          <w:p>
            <w:pPr>
              <w:pStyle w:val="TableParagraph"/>
              <w:spacing w:before="70"/>
              <w:ind w:left="31" w:right="11"/>
              <w:jc w:val="center"/>
              <w:rPr>
                <w:sz w:val="22"/>
              </w:rPr>
            </w:pPr>
            <w:r>
              <w:rPr>
                <w:spacing w:val="-4"/>
                <w:sz w:val="22"/>
              </w:rPr>
              <w:t>30.0</w:t>
            </w:r>
          </w:p>
        </w:tc>
      </w:tr>
      <w:tr>
        <w:trPr>
          <w:trHeight w:val="547" w:hRule="atLeast"/>
        </w:trPr>
        <w:tc>
          <w:tcPr>
            <w:tcW w:w="1125" w:type="dxa"/>
          </w:tcPr>
          <w:p>
            <w:pPr>
              <w:pStyle w:val="TableParagraph"/>
              <w:spacing w:before="119"/>
              <w:ind w:left="103" w:right="276"/>
              <w:jc w:val="center"/>
              <w:rPr>
                <w:sz w:val="22"/>
              </w:rPr>
            </w:pPr>
            <w:r>
              <w:rPr>
                <w:sz w:val="22"/>
              </w:rPr>
              <w:t>TS</w:t>
            </w:r>
            <w:r>
              <w:rPr>
                <w:spacing w:val="-1"/>
                <w:sz w:val="22"/>
              </w:rPr>
              <w:t> </w:t>
            </w:r>
            <w:r>
              <w:rPr>
                <w:spacing w:val="-4"/>
                <w:sz w:val="22"/>
              </w:rPr>
              <w:t>1097</w:t>
            </w:r>
          </w:p>
        </w:tc>
        <w:tc>
          <w:tcPr>
            <w:tcW w:w="822" w:type="dxa"/>
          </w:tcPr>
          <w:p>
            <w:pPr>
              <w:pStyle w:val="TableParagraph"/>
              <w:spacing w:before="119"/>
              <w:ind w:left="76" w:right="76"/>
              <w:jc w:val="center"/>
              <w:rPr>
                <w:sz w:val="22"/>
              </w:rPr>
            </w:pPr>
            <w:r>
              <w:rPr>
                <w:spacing w:val="-4"/>
                <w:sz w:val="22"/>
              </w:rPr>
              <w:t>30.0</w:t>
            </w:r>
          </w:p>
        </w:tc>
        <w:tc>
          <w:tcPr>
            <w:tcW w:w="849" w:type="dxa"/>
          </w:tcPr>
          <w:p>
            <w:pPr>
              <w:pStyle w:val="TableParagraph"/>
              <w:spacing w:before="119"/>
              <w:ind w:left="3" w:right="15"/>
              <w:jc w:val="center"/>
              <w:rPr>
                <w:sz w:val="22"/>
              </w:rPr>
            </w:pPr>
            <w:r>
              <w:rPr>
                <w:spacing w:val="-4"/>
                <w:sz w:val="22"/>
              </w:rPr>
              <w:t>50.0</w:t>
            </w:r>
          </w:p>
        </w:tc>
        <w:tc>
          <w:tcPr>
            <w:tcW w:w="839" w:type="dxa"/>
          </w:tcPr>
          <w:p>
            <w:pPr>
              <w:pStyle w:val="TableParagraph"/>
              <w:spacing w:before="119"/>
              <w:ind w:right="222"/>
              <w:jc w:val="right"/>
              <w:rPr>
                <w:sz w:val="22"/>
              </w:rPr>
            </w:pPr>
            <w:r>
              <w:rPr>
                <w:spacing w:val="-4"/>
                <w:sz w:val="22"/>
              </w:rPr>
              <w:t>25.0</w:t>
            </w:r>
          </w:p>
        </w:tc>
        <w:tc>
          <w:tcPr>
            <w:tcW w:w="880" w:type="dxa"/>
          </w:tcPr>
          <w:p>
            <w:pPr>
              <w:pStyle w:val="TableParagraph"/>
              <w:spacing w:before="119"/>
              <w:ind w:left="19"/>
              <w:jc w:val="center"/>
              <w:rPr>
                <w:sz w:val="22"/>
              </w:rPr>
            </w:pPr>
            <w:r>
              <w:rPr>
                <w:spacing w:val="-4"/>
                <w:sz w:val="22"/>
              </w:rPr>
              <w:t>40.0</w:t>
            </w:r>
          </w:p>
        </w:tc>
        <w:tc>
          <w:tcPr>
            <w:tcW w:w="834" w:type="dxa"/>
          </w:tcPr>
          <w:p>
            <w:pPr>
              <w:pStyle w:val="TableParagraph"/>
              <w:spacing w:before="119"/>
              <w:ind w:right="215"/>
              <w:jc w:val="right"/>
              <w:rPr>
                <w:sz w:val="22"/>
              </w:rPr>
            </w:pPr>
            <w:r>
              <w:rPr>
                <w:spacing w:val="-4"/>
                <w:sz w:val="22"/>
              </w:rPr>
              <w:t>25.0</w:t>
            </w:r>
          </w:p>
        </w:tc>
        <w:tc>
          <w:tcPr>
            <w:tcW w:w="850" w:type="dxa"/>
          </w:tcPr>
          <w:p>
            <w:pPr>
              <w:pStyle w:val="TableParagraph"/>
              <w:spacing w:before="119"/>
              <w:ind w:left="25" w:right="19"/>
              <w:jc w:val="center"/>
              <w:rPr>
                <w:sz w:val="22"/>
              </w:rPr>
            </w:pPr>
            <w:r>
              <w:rPr>
                <w:spacing w:val="-4"/>
                <w:sz w:val="22"/>
              </w:rPr>
              <w:t>40.0</w:t>
            </w:r>
          </w:p>
        </w:tc>
        <w:tc>
          <w:tcPr>
            <w:tcW w:w="817" w:type="dxa"/>
          </w:tcPr>
          <w:p>
            <w:pPr>
              <w:pStyle w:val="TableParagraph"/>
              <w:spacing w:before="119"/>
              <w:ind w:right="201"/>
              <w:jc w:val="right"/>
              <w:rPr>
                <w:sz w:val="22"/>
              </w:rPr>
            </w:pPr>
            <w:r>
              <w:rPr>
                <w:spacing w:val="-4"/>
                <w:sz w:val="22"/>
              </w:rPr>
              <w:t>20.0</w:t>
            </w:r>
          </w:p>
        </w:tc>
        <w:tc>
          <w:tcPr>
            <w:tcW w:w="836" w:type="dxa"/>
          </w:tcPr>
          <w:p>
            <w:pPr>
              <w:pStyle w:val="TableParagraph"/>
              <w:spacing w:before="119"/>
              <w:ind w:left="4"/>
              <w:jc w:val="center"/>
              <w:rPr>
                <w:sz w:val="22"/>
              </w:rPr>
            </w:pPr>
            <w:r>
              <w:rPr>
                <w:spacing w:val="-4"/>
                <w:sz w:val="22"/>
              </w:rPr>
              <w:t>35.0</w:t>
            </w:r>
          </w:p>
        </w:tc>
        <w:tc>
          <w:tcPr>
            <w:tcW w:w="813" w:type="dxa"/>
          </w:tcPr>
          <w:p>
            <w:pPr>
              <w:pStyle w:val="TableParagraph"/>
              <w:spacing w:before="119"/>
              <w:ind w:right="199"/>
              <w:jc w:val="right"/>
              <w:rPr>
                <w:sz w:val="22"/>
              </w:rPr>
            </w:pPr>
            <w:r>
              <w:rPr>
                <w:spacing w:val="-4"/>
                <w:sz w:val="22"/>
              </w:rPr>
              <w:t>17.5</w:t>
            </w:r>
          </w:p>
        </w:tc>
        <w:tc>
          <w:tcPr>
            <w:tcW w:w="840" w:type="dxa"/>
          </w:tcPr>
          <w:p>
            <w:pPr>
              <w:pStyle w:val="TableParagraph"/>
              <w:spacing w:before="119"/>
              <w:ind w:left="31" w:right="11"/>
              <w:jc w:val="center"/>
              <w:rPr>
                <w:sz w:val="22"/>
              </w:rPr>
            </w:pPr>
            <w:r>
              <w:rPr>
                <w:spacing w:val="-4"/>
                <w:sz w:val="22"/>
              </w:rPr>
              <w:t>25.0</w:t>
            </w:r>
          </w:p>
        </w:tc>
      </w:tr>
      <w:tr>
        <w:trPr>
          <w:trHeight w:val="499" w:hRule="atLeast"/>
        </w:trPr>
        <w:tc>
          <w:tcPr>
            <w:tcW w:w="1125" w:type="dxa"/>
          </w:tcPr>
          <w:p>
            <w:pPr>
              <w:pStyle w:val="TableParagraph"/>
              <w:spacing w:before="119"/>
              <w:ind w:right="284"/>
              <w:jc w:val="center"/>
              <w:rPr>
                <w:sz w:val="22"/>
              </w:rPr>
            </w:pPr>
            <w:r>
              <w:rPr>
                <w:sz w:val="22"/>
              </w:rPr>
              <w:t>TS</w:t>
            </w:r>
            <w:r>
              <w:rPr>
                <w:spacing w:val="-1"/>
                <w:sz w:val="22"/>
              </w:rPr>
              <w:t> </w:t>
            </w:r>
            <w:r>
              <w:rPr>
                <w:spacing w:val="-5"/>
                <w:sz w:val="22"/>
              </w:rPr>
              <w:t>227</w:t>
            </w:r>
          </w:p>
        </w:tc>
        <w:tc>
          <w:tcPr>
            <w:tcW w:w="822" w:type="dxa"/>
          </w:tcPr>
          <w:p>
            <w:pPr>
              <w:pStyle w:val="TableParagraph"/>
              <w:spacing w:before="119"/>
              <w:ind w:left="76" w:right="76"/>
              <w:jc w:val="center"/>
              <w:rPr>
                <w:sz w:val="22"/>
              </w:rPr>
            </w:pPr>
            <w:r>
              <w:rPr>
                <w:spacing w:val="-4"/>
                <w:sz w:val="22"/>
              </w:rPr>
              <w:t>25.0</w:t>
            </w:r>
          </w:p>
        </w:tc>
        <w:tc>
          <w:tcPr>
            <w:tcW w:w="849" w:type="dxa"/>
          </w:tcPr>
          <w:p>
            <w:pPr>
              <w:pStyle w:val="TableParagraph"/>
              <w:spacing w:before="119"/>
              <w:ind w:left="3" w:right="15"/>
              <w:jc w:val="center"/>
              <w:rPr>
                <w:sz w:val="22"/>
              </w:rPr>
            </w:pPr>
            <w:r>
              <w:rPr>
                <w:spacing w:val="-4"/>
                <w:sz w:val="22"/>
              </w:rPr>
              <w:t>45.0</w:t>
            </w:r>
          </w:p>
        </w:tc>
        <w:tc>
          <w:tcPr>
            <w:tcW w:w="839" w:type="dxa"/>
          </w:tcPr>
          <w:p>
            <w:pPr>
              <w:pStyle w:val="TableParagraph"/>
              <w:spacing w:before="119"/>
              <w:ind w:right="222"/>
              <w:jc w:val="right"/>
              <w:rPr>
                <w:sz w:val="22"/>
              </w:rPr>
            </w:pPr>
            <w:r>
              <w:rPr>
                <w:spacing w:val="-4"/>
                <w:sz w:val="22"/>
              </w:rPr>
              <w:t>30.0</w:t>
            </w:r>
          </w:p>
        </w:tc>
        <w:tc>
          <w:tcPr>
            <w:tcW w:w="880" w:type="dxa"/>
          </w:tcPr>
          <w:p>
            <w:pPr>
              <w:pStyle w:val="TableParagraph"/>
              <w:spacing w:before="119"/>
              <w:ind w:left="19"/>
              <w:jc w:val="center"/>
              <w:rPr>
                <w:sz w:val="22"/>
              </w:rPr>
            </w:pPr>
            <w:r>
              <w:rPr>
                <w:spacing w:val="-4"/>
                <w:sz w:val="22"/>
              </w:rPr>
              <w:t>50.0</w:t>
            </w:r>
          </w:p>
        </w:tc>
        <w:tc>
          <w:tcPr>
            <w:tcW w:w="834" w:type="dxa"/>
          </w:tcPr>
          <w:p>
            <w:pPr>
              <w:pStyle w:val="TableParagraph"/>
              <w:spacing w:before="119"/>
              <w:ind w:right="215"/>
              <w:jc w:val="right"/>
              <w:rPr>
                <w:sz w:val="22"/>
              </w:rPr>
            </w:pPr>
            <w:r>
              <w:rPr>
                <w:spacing w:val="-4"/>
                <w:sz w:val="22"/>
              </w:rPr>
              <w:t>17.5</w:t>
            </w:r>
          </w:p>
        </w:tc>
        <w:tc>
          <w:tcPr>
            <w:tcW w:w="850" w:type="dxa"/>
          </w:tcPr>
          <w:p>
            <w:pPr>
              <w:pStyle w:val="TableParagraph"/>
              <w:spacing w:before="119"/>
              <w:ind w:left="25" w:right="19"/>
              <w:jc w:val="center"/>
              <w:rPr>
                <w:sz w:val="22"/>
              </w:rPr>
            </w:pPr>
            <w:r>
              <w:rPr>
                <w:spacing w:val="-4"/>
                <w:sz w:val="22"/>
              </w:rPr>
              <w:t>25.0</w:t>
            </w:r>
          </w:p>
        </w:tc>
        <w:tc>
          <w:tcPr>
            <w:tcW w:w="817" w:type="dxa"/>
          </w:tcPr>
          <w:p>
            <w:pPr>
              <w:pStyle w:val="TableParagraph"/>
              <w:spacing w:before="119"/>
              <w:ind w:right="201"/>
              <w:jc w:val="right"/>
              <w:rPr>
                <w:sz w:val="22"/>
              </w:rPr>
            </w:pPr>
            <w:r>
              <w:rPr>
                <w:spacing w:val="-4"/>
                <w:sz w:val="22"/>
              </w:rPr>
              <w:t>35.0</w:t>
            </w:r>
          </w:p>
        </w:tc>
        <w:tc>
          <w:tcPr>
            <w:tcW w:w="836" w:type="dxa"/>
          </w:tcPr>
          <w:p>
            <w:pPr>
              <w:pStyle w:val="TableParagraph"/>
              <w:spacing w:before="119"/>
              <w:ind w:left="4"/>
              <w:jc w:val="center"/>
              <w:rPr>
                <w:sz w:val="22"/>
              </w:rPr>
            </w:pPr>
            <w:r>
              <w:rPr>
                <w:spacing w:val="-4"/>
                <w:sz w:val="22"/>
              </w:rPr>
              <w:t>45.0</w:t>
            </w:r>
          </w:p>
        </w:tc>
        <w:tc>
          <w:tcPr>
            <w:tcW w:w="813" w:type="dxa"/>
          </w:tcPr>
          <w:p>
            <w:pPr>
              <w:pStyle w:val="TableParagraph"/>
              <w:spacing w:before="119"/>
              <w:ind w:right="199"/>
              <w:jc w:val="right"/>
              <w:rPr>
                <w:sz w:val="22"/>
              </w:rPr>
            </w:pPr>
            <w:r>
              <w:rPr>
                <w:spacing w:val="-4"/>
                <w:sz w:val="22"/>
              </w:rPr>
              <w:t>35.0</w:t>
            </w:r>
          </w:p>
        </w:tc>
        <w:tc>
          <w:tcPr>
            <w:tcW w:w="840" w:type="dxa"/>
          </w:tcPr>
          <w:p>
            <w:pPr>
              <w:pStyle w:val="TableParagraph"/>
              <w:spacing w:before="119"/>
              <w:ind w:left="31" w:right="11"/>
              <w:jc w:val="center"/>
              <w:rPr>
                <w:sz w:val="22"/>
              </w:rPr>
            </w:pPr>
            <w:r>
              <w:rPr>
                <w:spacing w:val="-4"/>
                <w:sz w:val="22"/>
              </w:rPr>
              <w:t>50.0</w:t>
            </w:r>
          </w:p>
        </w:tc>
      </w:tr>
      <w:tr>
        <w:trPr>
          <w:trHeight w:val="522" w:hRule="atLeast"/>
        </w:trPr>
        <w:tc>
          <w:tcPr>
            <w:tcW w:w="1125" w:type="dxa"/>
            <w:tcBorders>
              <w:bottom w:val="single" w:sz="4" w:space="0" w:color="000000"/>
            </w:tcBorders>
          </w:tcPr>
          <w:p>
            <w:pPr>
              <w:pStyle w:val="TableParagraph"/>
              <w:spacing w:before="71"/>
              <w:ind w:right="284"/>
              <w:jc w:val="center"/>
              <w:rPr>
                <w:sz w:val="22"/>
              </w:rPr>
            </w:pPr>
            <w:r>
              <w:rPr>
                <w:sz w:val="22"/>
              </w:rPr>
              <w:t>TS</w:t>
            </w:r>
            <w:r>
              <w:rPr>
                <w:spacing w:val="-1"/>
                <w:sz w:val="22"/>
              </w:rPr>
              <w:t> </w:t>
            </w:r>
            <w:r>
              <w:rPr>
                <w:spacing w:val="-5"/>
                <w:sz w:val="22"/>
              </w:rPr>
              <w:t>312</w:t>
            </w:r>
          </w:p>
        </w:tc>
        <w:tc>
          <w:tcPr>
            <w:tcW w:w="822" w:type="dxa"/>
            <w:tcBorders>
              <w:bottom w:val="single" w:sz="4" w:space="0" w:color="000000"/>
            </w:tcBorders>
          </w:tcPr>
          <w:p>
            <w:pPr>
              <w:pStyle w:val="TableParagraph"/>
              <w:spacing w:before="71"/>
              <w:ind w:left="76" w:right="76"/>
              <w:jc w:val="center"/>
              <w:rPr>
                <w:sz w:val="22"/>
              </w:rPr>
            </w:pPr>
            <w:r>
              <w:rPr>
                <w:spacing w:val="-4"/>
                <w:sz w:val="22"/>
              </w:rPr>
              <w:t>50.0</w:t>
            </w:r>
          </w:p>
        </w:tc>
        <w:tc>
          <w:tcPr>
            <w:tcW w:w="849" w:type="dxa"/>
            <w:tcBorders>
              <w:bottom w:val="single" w:sz="4" w:space="0" w:color="000000"/>
            </w:tcBorders>
          </w:tcPr>
          <w:p>
            <w:pPr>
              <w:pStyle w:val="TableParagraph"/>
              <w:spacing w:before="71"/>
              <w:ind w:left="3" w:right="15"/>
              <w:jc w:val="center"/>
              <w:rPr>
                <w:sz w:val="22"/>
              </w:rPr>
            </w:pPr>
            <w:r>
              <w:rPr>
                <w:spacing w:val="-4"/>
                <w:sz w:val="22"/>
              </w:rPr>
              <w:t>70.0</w:t>
            </w:r>
          </w:p>
        </w:tc>
        <w:tc>
          <w:tcPr>
            <w:tcW w:w="839" w:type="dxa"/>
            <w:tcBorders>
              <w:bottom w:val="single" w:sz="4" w:space="0" w:color="000000"/>
            </w:tcBorders>
          </w:tcPr>
          <w:p>
            <w:pPr>
              <w:pStyle w:val="TableParagraph"/>
              <w:spacing w:before="71"/>
              <w:ind w:right="222"/>
              <w:jc w:val="right"/>
              <w:rPr>
                <w:sz w:val="22"/>
              </w:rPr>
            </w:pPr>
            <w:r>
              <w:rPr>
                <w:spacing w:val="-4"/>
                <w:sz w:val="22"/>
              </w:rPr>
              <w:t>40.0</w:t>
            </w:r>
          </w:p>
        </w:tc>
        <w:tc>
          <w:tcPr>
            <w:tcW w:w="880" w:type="dxa"/>
            <w:tcBorders>
              <w:bottom w:val="single" w:sz="4" w:space="0" w:color="000000"/>
            </w:tcBorders>
          </w:tcPr>
          <w:p>
            <w:pPr>
              <w:pStyle w:val="TableParagraph"/>
              <w:spacing w:before="71"/>
              <w:ind w:left="19"/>
              <w:jc w:val="center"/>
              <w:rPr>
                <w:sz w:val="22"/>
              </w:rPr>
            </w:pPr>
            <w:r>
              <w:rPr>
                <w:spacing w:val="-4"/>
                <w:sz w:val="22"/>
              </w:rPr>
              <w:t>60.0</w:t>
            </w:r>
          </w:p>
        </w:tc>
        <w:tc>
          <w:tcPr>
            <w:tcW w:w="834" w:type="dxa"/>
            <w:tcBorders>
              <w:bottom w:val="single" w:sz="4" w:space="0" w:color="000000"/>
            </w:tcBorders>
          </w:tcPr>
          <w:p>
            <w:pPr>
              <w:pStyle w:val="TableParagraph"/>
              <w:spacing w:before="71"/>
              <w:ind w:right="215"/>
              <w:jc w:val="right"/>
              <w:rPr>
                <w:sz w:val="22"/>
              </w:rPr>
            </w:pPr>
            <w:r>
              <w:rPr>
                <w:spacing w:val="-4"/>
                <w:sz w:val="22"/>
              </w:rPr>
              <w:t>17.5</w:t>
            </w:r>
          </w:p>
        </w:tc>
        <w:tc>
          <w:tcPr>
            <w:tcW w:w="850" w:type="dxa"/>
            <w:tcBorders>
              <w:bottom w:val="single" w:sz="4" w:space="0" w:color="000000"/>
            </w:tcBorders>
          </w:tcPr>
          <w:p>
            <w:pPr>
              <w:pStyle w:val="TableParagraph"/>
              <w:spacing w:before="71"/>
              <w:ind w:left="25" w:right="19"/>
              <w:jc w:val="center"/>
              <w:rPr>
                <w:sz w:val="22"/>
              </w:rPr>
            </w:pPr>
            <w:r>
              <w:rPr>
                <w:spacing w:val="-4"/>
                <w:sz w:val="22"/>
              </w:rPr>
              <w:t>25.0</w:t>
            </w:r>
          </w:p>
        </w:tc>
        <w:tc>
          <w:tcPr>
            <w:tcW w:w="817" w:type="dxa"/>
            <w:tcBorders>
              <w:bottom w:val="single" w:sz="4" w:space="0" w:color="000000"/>
            </w:tcBorders>
          </w:tcPr>
          <w:p>
            <w:pPr>
              <w:pStyle w:val="TableParagraph"/>
              <w:spacing w:before="71"/>
              <w:ind w:right="201"/>
              <w:jc w:val="right"/>
              <w:rPr>
                <w:sz w:val="22"/>
              </w:rPr>
            </w:pPr>
            <w:r>
              <w:rPr>
                <w:spacing w:val="-4"/>
                <w:sz w:val="22"/>
              </w:rPr>
              <w:t>20.0</w:t>
            </w:r>
          </w:p>
        </w:tc>
        <w:tc>
          <w:tcPr>
            <w:tcW w:w="836" w:type="dxa"/>
            <w:tcBorders>
              <w:bottom w:val="single" w:sz="4" w:space="0" w:color="000000"/>
            </w:tcBorders>
          </w:tcPr>
          <w:p>
            <w:pPr>
              <w:pStyle w:val="TableParagraph"/>
              <w:spacing w:before="71"/>
              <w:ind w:left="4"/>
              <w:jc w:val="center"/>
              <w:rPr>
                <w:sz w:val="22"/>
              </w:rPr>
            </w:pPr>
            <w:r>
              <w:rPr>
                <w:spacing w:val="-4"/>
                <w:sz w:val="22"/>
              </w:rPr>
              <w:t>40.0</w:t>
            </w:r>
          </w:p>
        </w:tc>
        <w:tc>
          <w:tcPr>
            <w:tcW w:w="813" w:type="dxa"/>
            <w:tcBorders>
              <w:bottom w:val="single" w:sz="4" w:space="0" w:color="000000"/>
            </w:tcBorders>
          </w:tcPr>
          <w:p>
            <w:pPr>
              <w:pStyle w:val="TableParagraph"/>
              <w:spacing w:before="71"/>
              <w:ind w:right="199"/>
              <w:jc w:val="right"/>
              <w:rPr>
                <w:sz w:val="22"/>
              </w:rPr>
            </w:pPr>
            <w:r>
              <w:rPr>
                <w:spacing w:val="-4"/>
                <w:sz w:val="22"/>
              </w:rPr>
              <w:t>17.5</w:t>
            </w:r>
          </w:p>
        </w:tc>
        <w:tc>
          <w:tcPr>
            <w:tcW w:w="840" w:type="dxa"/>
            <w:tcBorders>
              <w:bottom w:val="single" w:sz="4" w:space="0" w:color="000000"/>
            </w:tcBorders>
          </w:tcPr>
          <w:p>
            <w:pPr>
              <w:pStyle w:val="TableParagraph"/>
              <w:spacing w:before="71"/>
              <w:ind w:left="31" w:right="11"/>
              <w:jc w:val="center"/>
              <w:rPr>
                <w:sz w:val="22"/>
              </w:rPr>
            </w:pPr>
            <w:r>
              <w:rPr>
                <w:spacing w:val="-4"/>
                <w:sz w:val="22"/>
              </w:rPr>
              <w:t>30.0</w:t>
            </w:r>
          </w:p>
        </w:tc>
      </w:tr>
    </w:tbl>
    <w:p>
      <w:pPr>
        <w:pStyle w:val="BodyText"/>
        <w:spacing w:line="360" w:lineRule="auto" w:before="1"/>
        <w:ind w:left="380" w:right="975"/>
      </w:pPr>
      <w:r>
        <w:rPr>
          <w:b/>
        </w:rPr>
        <w:t>Key:</w:t>
      </w:r>
      <w:r>
        <w:rPr>
          <w:b/>
          <w:spacing w:val="-3"/>
        </w:rPr>
        <w:t> </w:t>
      </w:r>
      <w:r>
        <w:rPr/>
        <w:t>MIC=Minimum</w:t>
      </w:r>
      <w:r>
        <w:rPr>
          <w:spacing w:val="-2"/>
        </w:rPr>
        <w:t> </w:t>
      </w:r>
      <w:r>
        <w:rPr/>
        <w:t>Inhibitory</w:t>
      </w:r>
      <w:r>
        <w:rPr>
          <w:spacing w:val="-5"/>
        </w:rPr>
        <w:t> </w:t>
      </w:r>
      <w:r>
        <w:rPr/>
        <w:t>Concentration,</w:t>
      </w:r>
      <w:r>
        <w:rPr>
          <w:spacing w:val="-5"/>
        </w:rPr>
        <w:t> </w:t>
      </w:r>
      <w:r>
        <w:rPr/>
        <w:t>MBC=</w:t>
      </w:r>
      <w:r>
        <w:rPr>
          <w:spacing w:val="-5"/>
        </w:rPr>
        <w:t> </w:t>
      </w:r>
      <w:r>
        <w:rPr/>
        <w:t>Minimum</w:t>
      </w:r>
      <w:r>
        <w:rPr>
          <w:spacing w:val="-2"/>
        </w:rPr>
        <w:t> </w:t>
      </w:r>
      <w:r>
        <w:rPr/>
        <w:t>Bactericidal</w:t>
      </w:r>
      <w:r>
        <w:rPr>
          <w:spacing w:val="-6"/>
        </w:rPr>
        <w:t> </w:t>
      </w:r>
      <w:r>
        <w:rPr/>
        <w:t>Concentration,</w:t>
      </w:r>
      <w:r>
        <w:rPr>
          <w:spacing w:val="-3"/>
        </w:rPr>
        <w:t> </w:t>
      </w:r>
      <w:r>
        <w:rPr/>
        <w:t>NS=Nasal Secretion, SP=Sputum, TS=Throat Swab.</w:t>
      </w:r>
    </w:p>
    <w:p>
      <w:pPr>
        <w:spacing w:after="0" w:line="360"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3"/>
      </w:pPr>
    </w:p>
    <w:p>
      <w:pPr>
        <w:spacing w:before="0"/>
        <w:ind w:left="613" w:right="0" w:firstLine="0"/>
        <w:jc w:val="left"/>
        <w:rPr>
          <w:b/>
          <w:i/>
          <w:sz w:val="22"/>
        </w:rPr>
      </w:pPr>
      <w:r>
        <w:rPr>
          <w:b/>
          <w:sz w:val="22"/>
        </w:rPr>
        <w:t>MIC</w:t>
      </w:r>
      <w:r>
        <w:rPr>
          <w:b/>
          <w:spacing w:val="-6"/>
          <w:sz w:val="22"/>
        </w:rPr>
        <w:t> </w:t>
      </w:r>
      <w:r>
        <w:rPr>
          <w:b/>
          <w:sz w:val="22"/>
        </w:rPr>
        <w:t>and</w:t>
      </w:r>
      <w:r>
        <w:rPr>
          <w:b/>
          <w:spacing w:val="-4"/>
          <w:sz w:val="22"/>
        </w:rPr>
        <w:t> </w:t>
      </w:r>
      <w:r>
        <w:rPr>
          <w:b/>
          <w:sz w:val="22"/>
        </w:rPr>
        <w:t>MBC</w:t>
      </w:r>
      <w:r>
        <w:rPr>
          <w:b/>
          <w:spacing w:val="-5"/>
          <w:sz w:val="22"/>
        </w:rPr>
        <w:t> </w:t>
      </w:r>
      <w:r>
        <w:rPr>
          <w:b/>
          <w:sz w:val="22"/>
        </w:rPr>
        <w:t>Test</w:t>
      </w:r>
      <w:r>
        <w:rPr>
          <w:b/>
          <w:spacing w:val="-5"/>
          <w:sz w:val="22"/>
        </w:rPr>
        <w:t> </w:t>
      </w:r>
      <w:r>
        <w:rPr>
          <w:b/>
          <w:sz w:val="22"/>
        </w:rPr>
        <w:t>(µg/ml)</w:t>
      </w:r>
      <w:r>
        <w:rPr>
          <w:b/>
          <w:spacing w:val="-5"/>
          <w:sz w:val="22"/>
        </w:rPr>
        <w:t> </w:t>
      </w:r>
      <w:r>
        <w:rPr>
          <w:b/>
          <w:sz w:val="22"/>
        </w:rPr>
        <w:t>of</w:t>
      </w:r>
      <w:r>
        <w:rPr>
          <w:b/>
          <w:spacing w:val="-3"/>
          <w:sz w:val="22"/>
        </w:rPr>
        <w:t> </w:t>
      </w:r>
      <w:r>
        <w:rPr>
          <w:b/>
          <w:sz w:val="22"/>
        </w:rPr>
        <w:t>Lemon</w:t>
      </w:r>
      <w:r>
        <w:rPr>
          <w:b/>
          <w:spacing w:val="-2"/>
          <w:sz w:val="22"/>
        </w:rPr>
        <w:t> </w:t>
      </w:r>
      <w:r>
        <w:rPr>
          <w:b/>
          <w:sz w:val="22"/>
        </w:rPr>
        <w:t>juice</w:t>
      </w:r>
      <w:r>
        <w:rPr>
          <w:b/>
          <w:spacing w:val="-3"/>
          <w:sz w:val="22"/>
        </w:rPr>
        <w:t> </w:t>
      </w:r>
      <w:r>
        <w:rPr>
          <w:b/>
          <w:sz w:val="22"/>
        </w:rPr>
        <w:t>and</w:t>
      </w:r>
      <w:r>
        <w:rPr>
          <w:b/>
          <w:spacing w:val="-4"/>
          <w:sz w:val="22"/>
        </w:rPr>
        <w:t> </w:t>
      </w:r>
      <w:r>
        <w:rPr>
          <w:b/>
          <w:sz w:val="22"/>
        </w:rPr>
        <w:t>Honey</w:t>
      </w:r>
      <w:r>
        <w:rPr>
          <w:b/>
          <w:spacing w:val="-5"/>
          <w:sz w:val="22"/>
        </w:rPr>
        <w:t> </w:t>
      </w:r>
      <w:r>
        <w:rPr>
          <w:b/>
          <w:sz w:val="22"/>
        </w:rPr>
        <w:t>mixture</w:t>
      </w:r>
      <w:r>
        <w:rPr>
          <w:b/>
          <w:spacing w:val="-4"/>
          <w:sz w:val="22"/>
        </w:rPr>
        <w:t> </w:t>
      </w:r>
      <w:r>
        <w:rPr>
          <w:b/>
          <w:sz w:val="22"/>
        </w:rPr>
        <w:t>against</w:t>
      </w:r>
      <w:r>
        <w:rPr>
          <w:b/>
          <w:spacing w:val="-2"/>
          <w:sz w:val="22"/>
        </w:rPr>
        <w:t> </w:t>
      </w:r>
      <w:r>
        <w:rPr>
          <w:b/>
          <w:i/>
          <w:sz w:val="22"/>
        </w:rPr>
        <w:t>Haemophilus</w:t>
      </w:r>
      <w:r>
        <w:rPr>
          <w:b/>
          <w:i/>
          <w:spacing w:val="-3"/>
          <w:sz w:val="22"/>
        </w:rPr>
        <w:t> </w:t>
      </w:r>
      <w:r>
        <w:rPr>
          <w:b/>
          <w:i/>
          <w:spacing w:val="-2"/>
          <w:sz w:val="22"/>
        </w:rPr>
        <w:t>influenzae</w:t>
      </w:r>
    </w:p>
    <w:p>
      <w:pPr>
        <w:pStyle w:val="BodyText"/>
        <w:rPr>
          <w:b/>
          <w:i/>
          <w:sz w:val="20"/>
        </w:rPr>
      </w:pPr>
    </w:p>
    <w:p>
      <w:pPr>
        <w:pStyle w:val="BodyText"/>
        <w:spacing w:before="146"/>
        <w:rPr>
          <w:b/>
          <w:i/>
          <w:sz w:val="20"/>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5"/>
        <w:gridCol w:w="822"/>
        <w:gridCol w:w="849"/>
        <w:gridCol w:w="839"/>
        <w:gridCol w:w="880"/>
        <w:gridCol w:w="834"/>
        <w:gridCol w:w="850"/>
        <w:gridCol w:w="817"/>
        <w:gridCol w:w="836"/>
        <w:gridCol w:w="813"/>
        <w:gridCol w:w="840"/>
      </w:tblGrid>
      <w:tr>
        <w:trPr>
          <w:trHeight w:val="665" w:hRule="atLeast"/>
        </w:trPr>
        <w:tc>
          <w:tcPr>
            <w:tcW w:w="1125" w:type="dxa"/>
            <w:tcBorders>
              <w:top w:val="single" w:sz="4" w:space="0" w:color="000000"/>
            </w:tcBorders>
          </w:tcPr>
          <w:p>
            <w:pPr>
              <w:pStyle w:val="TableParagraph"/>
              <w:spacing w:line="259" w:lineRule="auto"/>
              <w:ind w:left="412" w:right="206" w:hanging="176"/>
              <w:rPr>
                <w:b/>
                <w:sz w:val="22"/>
              </w:rPr>
            </w:pPr>
            <w:r>
              <w:rPr>
                <w:b/>
                <w:spacing w:val="-2"/>
                <w:sz w:val="22"/>
              </w:rPr>
              <w:t>Sample </w:t>
            </w:r>
            <w:r>
              <w:rPr>
                <w:b/>
                <w:spacing w:val="-4"/>
                <w:sz w:val="22"/>
              </w:rPr>
              <w:t>No.</w:t>
            </w:r>
          </w:p>
        </w:tc>
        <w:tc>
          <w:tcPr>
            <w:tcW w:w="822" w:type="dxa"/>
            <w:tcBorders>
              <w:top w:val="single" w:sz="4" w:space="0" w:color="000000"/>
            </w:tcBorders>
          </w:tcPr>
          <w:p>
            <w:pPr>
              <w:pStyle w:val="TableParagraph"/>
              <w:spacing w:before="140"/>
              <w:ind w:left="73" w:right="76"/>
              <w:jc w:val="center"/>
              <w:rPr>
                <w:b/>
                <w:sz w:val="22"/>
              </w:rPr>
            </w:pPr>
            <w:r>
              <w:rPr>
                <w:b/>
                <w:spacing w:val="-5"/>
                <w:sz w:val="22"/>
              </w:rPr>
              <w:t>MIC</w:t>
            </w:r>
          </w:p>
        </w:tc>
        <w:tc>
          <w:tcPr>
            <w:tcW w:w="849" w:type="dxa"/>
            <w:tcBorders>
              <w:top w:val="single" w:sz="4" w:space="0" w:color="000000"/>
            </w:tcBorders>
          </w:tcPr>
          <w:p>
            <w:pPr>
              <w:pStyle w:val="TableParagraph"/>
              <w:spacing w:before="140"/>
              <w:ind w:right="15"/>
              <w:jc w:val="center"/>
              <w:rPr>
                <w:b/>
                <w:sz w:val="22"/>
              </w:rPr>
            </w:pPr>
            <w:r>
              <w:rPr>
                <w:b/>
                <w:spacing w:val="-5"/>
                <w:sz w:val="22"/>
              </w:rPr>
              <w:t>MBC</w:t>
            </w:r>
          </w:p>
        </w:tc>
        <w:tc>
          <w:tcPr>
            <w:tcW w:w="839" w:type="dxa"/>
            <w:tcBorders>
              <w:top w:val="single" w:sz="4" w:space="0" w:color="000000"/>
            </w:tcBorders>
          </w:tcPr>
          <w:p>
            <w:pPr>
              <w:pStyle w:val="TableParagraph"/>
              <w:spacing w:before="140"/>
              <w:ind w:right="234"/>
              <w:jc w:val="right"/>
              <w:rPr>
                <w:b/>
                <w:sz w:val="22"/>
              </w:rPr>
            </w:pPr>
            <w:r>
              <w:rPr>
                <w:b/>
                <w:spacing w:val="-5"/>
                <w:sz w:val="22"/>
              </w:rPr>
              <w:t>MIC</w:t>
            </w:r>
          </w:p>
        </w:tc>
        <w:tc>
          <w:tcPr>
            <w:tcW w:w="880" w:type="dxa"/>
            <w:tcBorders>
              <w:top w:val="single" w:sz="4" w:space="0" w:color="000000"/>
            </w:tcBorders>
          </w:tcPr>
          <w:p>
            <w:pPr>
              <w:pStyle w:val="TableParagraph"/>
              <w:spacing w:before="140"/>
              <w:ind w:left="19" w:right="2"/>
              <w:jc w:val="center"/>
              <w:rPr>
                <w:b/>
                <w:sz w:val="22"/>
              </w:rPr>
            </w:pPr>
            <w:r>
              <w:rPr>
                <w:b/>
                <w:spacing w:val="-5"/>
                <w:sz w:val="22"/>
              </w:rPr>
              <w:t>MBC</w:t>
            </w:r>
          </w:p>
        </w:tc>
        <w:tc>
          <w:tcPr>
            <w:tcW w:w="834" w:type="dxa"/>
            <w:tcBorders>
              <w:top w:val="single" w:sz="4" w:space="0" w:color="000000"/>
            </w:tcBorders>
          </w:tcPr>
          <w:p>
            <w:pPr>
              <w:pStyle w:val="TableParagraph"/>
              <w:spacing w:before="140"/>
              <w:ind w:right="230"/>
              <w:jc w:val="right"/>
              <w:rPr>
                <w:b/>
                <w:sz w:val="22"/>
              </w:rPr>
            </w:pPr>
            <w:r>
              <w:rPr>
                <w:b/>
                <w:spacing w:val="-5"/>
                <w:sz w:val="22"/>
              </w:rPr>
              <w:t>MIC</w:t>
            </w:r>
          </w:p>
        </w:tc>
        <w:tc>
          <w:tcPr>
            <w:tcW w:w="850" w:type="dxa"/>
            <w:tcBorders>
              <w:top w:val="single" w:sz="4" w:space="0" w:color="000000"/>
            </w:tcBorders>
          </w:tcPr>
          <w:p>
            <w:pPr>
              <w:pStyle w:val="TableParagraph"/>
              <w:spacing w:before="140"/>
              <w:ind w:left="23" w:right="19"/>
              <w:jc w:val="center"/>
              <w:rPr>
                <w:b/>
                <w:sz w:val="22"/>
              </w:rPr>
            </w:pPr>
            <w:r>
              <w:rPr>
                <w:b/>
                <w:spacing w:val="-5"/>
                <w:sz w:val="22"/>
              </w:rPr>
              <w:t>MBC</w:t>
            </w:r>
          </w:p>
        </w:tc>
        <w:tc>
          <w:tcPr>
            <w:tcW w:w="817" w:type="dxa"/>
            <w:tcBorders>
              <w:top w:val="single" w:sz="4" w:space="0" w:color="000000"/>
            </w:tcBorders>
          </w:tcPr>
          <w:p>
            <w:pPr>
              <w:pStyle w:val="TableParagraph"/>
              <w:spacing w:before="140"/>
              <w:ind w:right="216"/>
              <w:jc w:val="right"/>
              <w:rPr>
                <w:b/>
                <w:sz w:val="22"/>
              </w:rPr>
            </w:pPr>
            <w:r>
              <w:rPr>
                <w:b/>
                <w:spacing w:val="-5"/>
                <w:sz w:val="22"/>
              </w:rPr>
              <w:t>MIC</w:t>
            </w:r>
          </w:p>
        </w:tc>
        <w:tc>
          <w:tcPr>
            <w:tcW w:w="836" w:type="dxa"/>
            <w:tcBorders>
              <w:top w:val="single" w:sz="4" w:space="0" w:color="000000"/>
            </w:tcBorders>
          </w:tcPr>
          <w:p>
            <w:pPr>
              <w:pStyle w:val="TableParagraph"/>
              <w:spacing w:before="140"/>
              <w:ind w:left="4" w:right="2"/>
              <w:jc w:val="center"/>
              <w:rPr>
                <w:b/>
                <w:sz w:val="22"/>
              </w:rPr>
            </w:pPr>
            <w:r>
              <w:rPr>
                <w:b/>
                <w:spacing w:val="-5"/>
                <w:sz w:val="22"/>
              </w:rPr>
              <w:t>MBC</w:t>
            </w:r>
          </w:p>
        </w:tc>
        <w:tc>
          <w:tcPr>
            <w:tcW w:w="813" w:type="dxa"/>
            <w:tcBorders>
              <w:top w:val="single" w:sz="4" w:space="0" w:color="000000"/>
            </w:tcBorders>
          </w:tcPr>
          <w:p>
            <w:pPr>
              <w:pStyle w:val="TableParagraph"/>
              <w:spacing w:before="140"/>
              <w:ind w:right="211"/>
              <w:jc w:val="right"/>
              <w:rPr>
                <w:b/>
                <w:sz w:val="22"/>
              </w:rPr>
            </w:pPr>
            <w:r>
              <w:rPr>
                <w:b/>
                <w:spacing w:val="-5"/>
                <w:sz w:val="22"/>
              </w:rPr>
              <w:t>MIC</w:t>
            </w:r>
          </w:p>
        </w:tc>
        <w:tc>
          <w:tcPr>
            <w:tcW w:w="840" w:type="dxa"/>
            <w:tcBorders>
              <w:top w:val="single" w:sz="4" w:space="0" w:color="000000"/>
            </w:tcBorders>
          </w:tcPr>
          <w:p>
            <w:pPr>
              <w:pStyle w:val="TableParagraph"/>
              <w:spacing w:before="140"/>
              <w:ind w:left="28" w:right="11"/>
              <w:jc w:val="center"/>
              <w:rPr>
                <w:b/>
                <w:sz w:val="22"/>
              </w:rPr>
            </w:pPr>
            <w:r>
              <w:rPr>
                <w:b/>
                <w:spacing w:val="-5"/>
                <w:sz w:val="22"/>
              </w:rPr>
              <w:t>MBC</w:t>
            </w:r>
          </w:p>
        </w:tc>
      </w:tr>
      <w:tr>
        <w:trPr>
          <w:trHeight w:val="524" w:hRule="atLeast"/>
        </w:trPr>
        <w:tc>
          <w:tcPr>
            <w:tcW w:w="1125" w:type="dxa"/>
            <w:tcBorders>
              <w:bottom w:val="single" w:sz="4" w:space="0" w:color="000000"/>
            </w:tcBorders>
          </w:tcPr>
          <w:p>
            <w:pPr>
              <w:pStyle w:val="TableParagraph"/>
              <w:rPr>
                <w:rFonts w:ascii="Times New Roman"/>
                <w:sz w:val="22"/>
              </w:rPr>
            </w:pPr>
          </w:p>
        </w:tc>
        <w:tc>
          <w:tcPr>
            <w:tcW w:w="822" w:type="dxa"/>
            <w:tcBorders>
              <w:bottom w:val="single" w:sz="4" w:space="0" w:color="000000"/>
            </w:tcBorders>
          </w:tcPr>
          <w:p>
            <w:pPr>
              <w:pStyle w:val="TableParagraph"/>
              <w:spacing w:before="70"/>
              <w:ind w:right="76"/>
              <w:jc w:val="center"/>
              <w:rPr>
                <w:b/>
                <w:sz w:val="22"/>
              </w:rPr>
            </w:pPr>
            <w:r>
              <w:rPr>
                <w:b/>
                <w:spacing w:val="-2"/>
                <w:sz w:val="22"/>
              </w:rPr>
              <w:t>10:50</w:t>
            </w:r>
          </w:p>
        </w:tc>
        <w:tc>
          <w:tcPr>
            <w:tcW w:w="849" w:type="dxa"/>
            <w:tcBorders>
              <w:bottom w:val="single" w:sz="4" w:space="0" w:color="000000"/>
            </w:tcBorders>
          </w:tcPr>
          <w:p>
            <w:pPr>
              <w:pStyle w:val="TableParagraph"/>
              <w:rPr>
                <w:rFonts w:ascii="Times New Roman"/>
                <w:sz w:val="22"/>
              </w:rPr>
            </w:pPr>
          </w:p>
        </w:tc>
        <w:tc>
          <w:tcPr>
            <w:tcW w:w="839" w:type="dxa"/>
            <w:tcBorders>
              <w:bottom w:val="single" w:sz="4" w:space="0" w:color="000000"/>
            </w:tcBorders>
          </w:tcPr>
          <w:p>
            <w:pPr>
              <w:pStyle w:val="TableParagraph"/>
              <w:spacing w:before="70"/>
              <w:ind w:right="223"/>
              <w:jc w:val="right"/>
              <w:rPr>
                <w:b/>
                <w:sz w:val="22"/>
              </w:rPr>
            </w:pPr>
            <w:r>
              <w:rPr>
                <w:b/>
                <w:spacing w:val="-2"/>
                <w:sz w:val="22"/>
              </w:rPr>
              <w:t>20:50</w:t>
            </w:r>
          </w:p>
        </w:tc>
        <w:tc>
          <w:tcPr>
            <w:tcW w:w="880" w:type="dxa"/>
            <w:tcBorders>
              <w:bottom w:val="single" w:sz="4" w:space="0" w:color="000000"/>
            </w:tcBorders>
          </w:tcPr>
          <w:p>
            <w:pPr>
              <w:pStyle w:val="TableParagraph"/>
              <w:rPr>
                <w:rFonts w:ascii="Times New Roman"/>
                <w:sz w:val="22"/>
              </w:rPr>
            </w:pPr>
          </w:p>
        </w:tc>
        <w:tc>
          <w:tcPr>
            <w:tcW w:w="834" w:type="dxa"/>
            <w:tcBorders>
              <w:bottom w:val="single" w:sz="4" w:space="0" w:color="000000"/>
            </w:tcBorders>
          </w:tcPr>
          <w:p>
            <w:pPr>
              <w:pStyle w:val="TableParagraph"/>
              <w:spacing w:before="70"/>
              <w:ind w:right="196"/>
              <w:jc w:val="right"/>
              <w:rPr>
                <w:b/>
                <w:sz w:val="22"/>
              </w:rPr>
            </w:pPr>
            <w:r>
              <w:rPr>
                <w:b/>
                <w:spacing w:val="-2"/>
                <w:sz w:val="22"/>
              </w:rPr>
              <w:t>30:50</w:t>
            </w:r>
          </w:p>
        </w:tc>
        <w:tc>
          <w:tcPr>
            <w:tcW w:w="850" w:type="dxa"/>
            <w:tcBorders>
              <w:bottom w:val="single" w:sz="4" w:space="0" w:color="000000"/>
            </w:tcBorders>
          </w:tcPr>
          <w:p>
            <w:pPr>
              <w:pStyle w:val="TableParagraph"/>
              <w:rPr>
                <w:rFonts w:ascii="Times New Roman"/>
                <w:sz w:val="22"/>
              </w:rPr>
            </w:pPr>
          </w:p>
        </w:tc>
        <w:tc>
          <w:tcPr>
            <w:tcW w:w="817" w:type="dxa"/>
            <w:tcBorders>
              <w:bottom w:val="single" w:sz="4" w:space="0" w:color="000000"/>
            </w:tcBorders>
          </w:tcPr>
          <w:p>
            <w:pPr>
              <w:pStyle w:val="TableParagraph"/>
              <w:spacing w:before="70"/>
              <w:ind w:right="183"/>
              <w:jc w:val="right"/>
              <w:rPr>
                <w:b/>
                <w:sz w:val="22"/>
              </w:rPr>
            </w:pPr>
            <w:r>
              <w:rPr>
                <w:b/>
                <w:spacing w:val="-2"/>
                <w:sz w:val="22"/>
              </w:rPr>
              <w:t>40:50</w:t>
            </w:r>
          </w:p>
        </w:tc>
        <w:tc>
          <w:tcPr>
            <w:tcW w:w="836" w:type="dxa"/>
            <w:tcBorders>
              <w:bottom w:val="single" w:sz="4" w:space="0" w:color="000000"/>
            </w:tcBorders>
          </w:tcPr>
          <w:p>
            <w:pPr>
              <w:pStyle w:val="TableParagraph"/>
              <w:rPr>
                <w:rFonts w:ascii="Times New Roman"/>
                <w:sz w:val="22"/>
              </w:rPr>
            </w:pPr>
          </w:p>
        </w:tc>
        <w:tc>
          <w:tcPr>
            <w:tcW w:w="813" w:type="dxa"/>
            <w:tcBorders>
              <w:bottom w:val="single" w:sz="4" w:space="0" w:color="000000"/>
            </w:tcBorders>
          </w:tcPr>
          <w:p>
            <w:pPr>
              <w:pStyle w:val="TableParagraph"/>
              <w:spacing w:before="70"/>
              <w:ind w:right="190"/>
              <w:jc w:val="right"/>
              <w:rPr>
                <w:b/>
                <w:sz w:val="22"/>
              </w:rPr>
            </w:pPr>
            <w:r>
              <w:rPr>
                <w:b/>
                <w:spacing w:val="-2"/>
                <w:sz w:val="22"/>
              </w:rPr>
              <w:t>50:50</w:t>
            </w:r>
          </w:p>
        </w:tc>
        <w:tc>
          <w:tcPr>
            <w:tcW w:w="840" w:type="dxa"/>
            <w:tcBorders>
              <w:bottom w:val="single" w:sz="4" w:space="0" w:color="000000"/>
            </w:tcBorders>
          </w:tcPr>
          <w:p>
            <w:pPr>
              <w:pStyle w:val="TableParagraph"/>
              <w:rPr>
                <w:rFonts w:ascii="Times New Roman"/>
                <w:sz w:val="22"/>
              </w:rPr>
            </w:pPr>
          </w:p>
        </w:tc>
      </w:tr>
      <w:tr>
        <w:trPr>
          <w:trHeight w:val="375" w:hRule="atLeast"/>
        </w:trPr>
        <w:tc>
          <w:tcPr>
            <w:tcW w:w="1125" w:type="dxa"/>
            <w:tcBorders>
              <w:top w:val="single" w:sz="4" w:space="0" w:color="000000"/>
            </w:tcBorders>
          </w:tcPr>
          <w:p>
            <w:pPr>
              <w:pStyle w:val="TableParagraph"/>
              <w:spacing w:line="265" w:lineRule="exact"/>
              <w:ind w:right="276"/>
              <w:jc w:val="center"/>
              <w:rPr>
                <w:sz w:val="22"/>
              </w:rPr>
            </w:pPr>
            <w:r>
              <w:rPr>
                <w:sz w:val="22"/>
              </w:rPr>
              <w:t>SP</w:t>
            </w:r>
            <w:r>
              <w:rPr>
                <w:spacing w:val="1"/>
                <w:sz w:val="22"/>
              </w:rPr>
              <w:t> </w:t>
            </w:r>
            <w:r>
              <w:rPr>
                <w:spacing w:val="-5"/>
                <w:sz w:val="22"/>
              </w:rPr>
              <w:t>267</w:t>
            </w:r>
          </w:p>
        </w:tc>
        <w:tc>
          <w:tcPr>
            <w:tcW w:w="822" w:type="dxa"/>
            <w:tcBorders>
              <w:top w:val="single" w:sz="4" w:space="0" w:color="000000"/>
            </w:tcBorders>
          </w:tcPr>
          <w:p>
            <w:pPr>
              <w:pStyle w:val="TableParagraph"/>
              <w:spacing w:line="265" w:lineRule="exact"/>
              <w:ind w:left="76" w:right="76"/>
              <w:jc w:val="center"/>
              <w:rPr>
                <w:sz w:val="22"/>
              </w:rPr>
            </w:pPr>
            <w:r>
              <w:rPr>
                <w:spacing w:val="-4"/>
                <w:sz w:val="22"/>
              </w:rPr>
              <w:t>30.0</w:t>
            </w:r>
          </w:p>
        </w:tc>
        <w:tc>
          <w:tcPr>
            <w:tcW w:w="849" w:type="dxa"/>
            <w:tcBorders>
              <w:top w:val="single" w:sz="4" w:space="0" w:color="000000"/>
            </w:tcBorders>
          </w:tcPr>
          <w:p>
            <w:pPr>
              <w:pStyle w:val="TableParagraph"/>
              <w:spacing w:line="265" w:lineRule="exact"/>
              <w:ind w:left="3" w:right="15"/>
              <w:jc w:val="center"/>
              <w:rPr>
                <w:sz w:val="22"/>
              </w:rPr>
            </w:pPr>
            <w:r>
              <w:rPr>
                <w:spacing w:val="-4"/>
                <w:sz w:val="22"/>
              </w:rPr>
              <w:t>50.0</w:t>
            </w:r>
          </w:p>
        </w:tc>
        <w:tc>
          <w:tcPr>
            <w:tcW w:w="839" w:type="dxa"/>
            <w:tcBorders>
              <w:top w:val="single" w:sz="4" w:space="0" w:color="000000"/>
            </w:tcBorders>
          </w:tcPr>
          <w:p>
            <w:pPr>
              <w:pStyle w:val="TableParagraph"/>
              <w:spacing w:line="265" w:lineRule="exact"/>
              <w:ind w:right="222"/>
              <w:jc w:val="right"/>
              <w:rPr>
                <w:sz w:val="22"/>
              </w:rPr>
            </w:pPr>
            <w:r>
              <w:rPr>
                <w:spacing w:val="-4"/>
                <w:sz w:val="22"/>
              </w:rPr>
              <w:t>25.0</w:t>
            </w:r>
          </w:p>
        </w:tc>
        <w:tc>
          <w:tcPr>
            <w:tcW w:w="880" w:type="dxa"/>
            <w:tcBorders>
              <w:top w:val="single" w:sz="4" w:space="0" w:color="000000"/>
            </w:tcBorders>
          </w:tcPr>
          <w:p>
            <w:pPr>
              <w:pStyle w:val="TableParagraph"/>
              <w:spacing w:line="265" w:lineRule="exact"/>
              <w:ind w:left="19"/>
              <w:jc w:val="center"/>
              <w:rPr>
                <w:sz w:val="22"/>
              </w:rPr>
            </w:pPr>
            <w:r>
              <w:rPr>
                <w:spacing w:val="-4"/>
                <w:sz w:val="22"/>
              </w:rPr>
              <w:t>40.0</w:t>
            </w:r>
          </w:p>
        </w:tc>
        <w:tc>
          <w:tcPr>
            <w:tcW w:w="834" w:type="dxa"/>
            <w:tcBorders>
              <w:top w:val="single" w:sz="4" w:space="0" w:color="000000"/>
            </w:tcBorders>
          </w:tcPr>
          <w:p>
            <w:pPr>
              <w:pStyle w:val="TableParagraph"/>
              <w:spacing w:line="265" w:lineRule="exact"/>
              <w:ind w:right="215"/>
              <w:jc w:val="right"/>
              <w:rPr>
                <w:sz w:val="22"/>
              </w:rPr>
            </w:pPr>
            <w:r>
              <w:rPr>
                <w:spacing w:val="-4"/>
                <w:sz w:val="22"/>
              </w:rPr>
              <w:t>30.0</w:t>
            </w:r>
          </w:p>
        </w:tc>
        <w:tc>
          <w:tcPr>
            <w:tcW w:w="850" w:type="dxa"/>
            <w:tcBorders>
              <w:top w:val="single" w:sz="4" w:space="0" w:color="000000"/>
            </w:tcBorders>
          </w:tcPr>
          <w:p>
            <w:pPr>
              <w:pStyle w:val="TableParagraph"/>
              <w:spacing w:line="265" w:lineRule="exact"/>
              <w:ind w:left="25" w:right="19"/>
              <w:jc w:val="center"/>
              <w:rPr>
                <w:sz w:val="22"/>
              </w:rPr>
            </w:pPr>
            <w:r>
              <w:rPr>
                <w:spacing w:val="-4"/>
                <w:sz w:val="22"/>
              </w:rPr>
              <w:t>50.0</w:t>
            </w:r>
          </w:p>
        </w:tc>
        <w:tc>
          <w:tcPr>
            <w:tcW w:w="817" w:type="dxa"/>
            <w:tcBorders>
              <w:top w:val="single" w:sz="4" w:space="0" w:color="000000"/>
            </w:tcBorders>
          </w:tcPr>
          <w:p>
            <w:pPr>
              <w:pStyle w:val="TableParagraph"/>
              <w:spacing w:line="265" w:lineRule="exact"/>
              <w:ind w:right="201"/>
              <w:jc w:val="right"/>
              <w:rPr>
                <w:sz w:val="22"/>
              </w:rPr>
            </w:pPr>
            <w:r>
              <w:rPr>
                <w:spacing w:val="-4"/>
                <w:sz w:val="22"/>
              </w:rPr>
              <w:t>30.0</w:t>
            </w:r>
          </w:p>
        </w:tc>
        <w:tc>
          <w:tcPr>
            <w:tcW w:w="836" w:type="dxa"/>
            <w:tcBorders>
              <w:top w:val="single" w:sz="4" w:space="0" w:color="000000"/>
            </w:tcBorders>
          </w:tcPr>
          <w:p>
            <w:pPr>
              <w:pStyle w:val="TableParagraph"/>
              <w:spacing w:line="265" w:lineRule="exact"/>
              <w:ind w:left="4"/>
              <w:jc w:val="center"/>
              <w:rPr>
                <w:sz w:val="22"/>
              </w:rPr>
            </w:pPr>
            <w:r>
              <w:rPr>
                <w:spacing w:val="-4"/>
                <w:sz w:val="22"/>
              </w:rPr>
              <w:t>45.0</w:t>
            </w:r>
          </w:p>
        </w:tc>
        <w:tc>
          <w:tcPr>
            <w:tcW w:w="813" w:type="dxa"/>
            <w:tcBorders>
              <w:top w:val="single" w:sz="4" w:space="0" w:color="000000"/>
            </w:tcBorders>
          </w:tcPr>
          <w:p>
            <w:pPr>
              <w:pStyle w:val="TableParagraph"/>
              <w:spacing w:line="265" w:lineRule="exact"/>
              <w:ind w:right="199"/>
              <w:jc w:val="right"/>
              <w:rPr>
                <w:sz w:val="22"/>
              </w:rPr>
            </w:pPr>
            <w:r>
              <w:rPr>
                <w:spacing w:val="-4"/>
                <w:sz w:val="22"/>
              </w:rPr>
              <w:t>17.5</w:t>
            </w:r>
          </w:p>
        </w:tc>
        <w:tc>
          <w:tcPr>
            <w:tcW w:w="840" w:type="dxa"/>
            <w:tcBorders>
              <w:top w:val="single" w:sz="4" w:space="0" w:color="000000"/>
            </w:tcBorders>
          </w:tcPr>
          <w:p>
            <w:pPr>
              <w:pStyle w:val="TableParagraph"/>
              <w:spacing w:line="265" w:lineRule="exact"/>
              <w:ind w:left="31" w:right="11"/>
              <w:jc w:val="center"/>
              <w:rPr>
                <w:sz w:val="22"/>
              </w:rPr>
            </w:pPr>
            <w:r>
              <w:rPr>
                <w:spacing w:val="-4"/>
                <w:sz w:val="22"/>
              </w:rPr>
              <w:t>25.0</w:t>
            </w:r>
          </w:p>
        </w:tc>
      </w:tr>
      <w:tr>
        <w:trPr>
          <w:trHeight w:val="524" w:hRule="atLeast"/>
        </w:trPr>
        <w:tc>
          <w:tcPr>
            <w:tcW w:w="1125" w:type="dxa"/>
            <w:tcBorders>
              <w:bottom w:val="single" w:sz="4" w:space="0" w:color="000000"/>
            </w:tcBorders>
          </w:tcPr>
          <w:p>
            <w:pPr>
              <w:pStyle w:val="TableParagraph"/>
              <w:spacing w:before="70"/>
              <w:ind w:left="110" w:right="276"/>
              <w:jc w:val="center"/>
              <w:rPr>
                <w:sz w:val="22"/>
              </w:rPr>
            </w:pPr>
            <w:r>
              <w:rPr>
                <w:sz w:val="22"/>
              </w:rPr>
              <w:t>SP</w:t>
            </w:r>
            <w:r>
              <w:rPr>
                <w:spacing w:val="1"/>
                <w:sz w:val="22"/>
              </w:rPr>
              <w:t> </w:t>
            </w:r>
            <w:r>
              <w:rPr>
                <w:spacing w:val="-4"/>
                <w:sz w:val="22"/>
              </w:rPr>
              <w:t>1270</w:t>
            </w:r>
          </w:p>
        </w:tc>
        <w:tc>
          <w:tcPr>
            <w:tcW w:w="822" w:type="dxa"/>
            <w:tcBorders>
              <w:bottom w:val="single" w:sz="4" w:space="0" w:color="000000"/>
            </w:tcBorders>
          </w:tcPr>
          <w:p>
            <w:pPr>
              <w:pStyle w:val="TableParagraph"/>
              <w:spacing w:before="70"/>
              <w:ind w:left="76" w:right="76"/>
              <w:jc w:val="center"/>
              <w:rPr>
                <w:sz w:val="22"/>
              </w:rPr>
            </w:pPr>
            <w:r>
              <w:rPr>
                <w:spacing w:val="-4"/>
                <w:sz w:val="22"/>
              </w:rPr>
              <w:t>30.0</w:t>
            </w:r>
          </w:p>
        </w:tc>
        <w:tc>
          <w:tcPr>
            <w:tcW w:w="849" w:type="dxa"/>
            <w:tcBorders>
              <w:bottom w:val="single" w:sz="4" w:space="0" w:color="000000"/>
            </w:tcBorders>
          </w:tcPr>
          <w:p>
            <w:pPr>
              <w:pStyle w:val="TableParagraph"/>
              <w:spacing w:before="70"/>
              <w:ind w:left="3" w:right="15"/>
              <w:jc w:val="center"/>
              <w:rPr>
                <w:sz w:val="22"/>
              </w:rPr>
            </w:pPr>
            <w:r>
              <w:rPr>
                <w:spacing w:val="-4"/>
                <w:sz w:val="22"/>
              </w:rPr>
              <w:t>45.0</w:t>
            </w:r>
          </w:p>
        </w:tc>
        <w:tc>
          <w:tcPr>
            <w:tcW w:w="839" w:type="dxa"/>
            <w:tcBorders>
              <w:bottom w:val="single" w:sz="4" w:space="0" w:color="000000"/>
            </w:tcBorders>
          </w:tcPr>
          <w:p>
            <w:pPr>
              <w:pStyle w:val="TableParagraph"/>
              <w:spacing w:before="70"/>
              <w:ind w:right="222"/>
              <w:jc w:val="right"/>
              <w:rPr>
                <w:sz w:val="22"/>
              </w:rPr>
            </w:pPr>
            <w:r>
              <w:rPr>
                <w:spacing w:val="-4"/>
                <w:sz w:val="22"/>
              </w:rPr>
              <w:t>30.0</w:t>
            </w:r>
          </w:p>
        </w:tc>
        <w:tc>
          <w:tcPr>
            <w:tcW w:w="880" w:type="dxa"/>
            <w:tcBorders>
              <w:bottom w:val="single" w:sz="4" w:space="0" w:color="000000"/>
            </w:tcBorders>
          </w:tcPr>
          <w:p>
            <w:pPr>
              <w:pStyle w:val="TableParagraph"/>
              <w:spacing w:before="70"/>
              <w:ind w:left="19"/>
              <w:jc w:val="center"/>
              <w:rPr>
                <w:sz w:val="22"/>
              </w:rPr>
            </w:pPr>
            <w:r>
              <w:rPr>
                <w:spacing w:val="-4"/>
                <w:sz w:val="22"/>
              </w:rPr>
              <w:t>45.0</w:t>
            </w:r>
          </w:p>
        </w:tc>
        <w:tc>
          <w:tcPr>
            <w:tcW w:w="834" w:type="dxa"/>
            <w:tcBorders>
              <w:bottom w:val="single" w:sz="4" w:space="0" w:color="000000"/>
            </w:tcBorders>
          </w:tcPr>
          <w:p>
            <w:pPr>
              <w:pStyle w:val="TableParagraph"/>
              <w:spacing w:before="70"/>
              <w:ind w:right="215"/>
              <w:jc w:val="right"/>
              <w:rPr>
                <w:sz w:val="22"/>
              </w:rPr>
            </w:pPr>
            <w:r>
              <w:rPr>
                <w:spacing w:val="-4"/>
                <w:sz w:val="22"/>
              </w:rPr>
              <w:t>25.0</w:t>
            </w:r>
          </w:p>
        </w:tc>
        <w:tc>
          <w:tcPr>
            <w:tcW w:w="850" w:type="dxa"/>
            <w:tcBorders>
              <w:bottom w:val="single" w:sz="4" w:space="0" w:color="000000"/>
            </w:tcBorders>
          </w:tcPr>
          <w:p>
            <w:pPr>
              <w:pStyle w:val="TableParagraph"/>
              <w:spacing w:before="70"/>
              <w:ind w:left="25" w:right="19"/>
              <w:jc w:val="center"/>
              <w:rPr>
                <w:sz w:val="22"/>
              </w:rPr>
            </w:pPr>
            <w:r>
              <w:rPr>
                <w:spacing w:val="-4"/>
                <w:sz w:val="22"/>
              </w:rPr>
              <w:t>40.0</w:t>
            </w:r>
          </w:p>
        </w:tc>
        <w:tc>
          <w:tcPr>
            <w:tcW w:w="817" w:type="dxa"/>
            <w:tcBorders>
              <w:bottom w:val="single" w:sz="4" w:space="0" w:color="000000"/>
            </w:tcBorders>
          </w:tcPr>
          <w:p>
            <w:pPr>
              <w:pStyle w:val="TableParagraph"/>
              <w:spacing w:before="70"/>
              <w:ind w:right="201"/>
              <w:jc w:val="right"/>
              <w:rPr>
                <w:sz w:val="22"/>
              </w:rPr>
            </w:pPr>
            <w:r>
              <w:rPr>
                <w:spacing w:val="-4"/>
                <w:sz w:val="22"/>
              </w:rPr>
              <w:t>17.5</w:t>
            </w:r>
          </w:p>
        </w:tc>
        <w:tc>
          <w:tcPr>
            <w:tcW w:w="836" w:type="dxa"/>
            <w:tcBorders>
              <w:bottom w:val="single" w:sz="4" w:space="0" w:color="000000"/>
            </w:tcBorders>
          </w:tcPr>
          <w:p>
            <w:pPr>
              <w:pStyle w:val="TableParagraph"/>
              <w:spacing w:before="70"/>
              <w:ind w:left="4"/>
              <w:jc w:val="center"/>
              <w:rPr>
                <w:sz w:val="22"/>
              </w:rPr>
            </w:pPr>
            <w:r>
              <w:rPr>
                <w:spacing w:val="-4"/>
                <w:sz w:val="22"/>
              </w:rPr>
              <w:t>25.0</w:t>
            </w:r>
          </w:p>
        </w:tc>
        <w:tc>
          <w:tcPr>
            <w:tcW w:w="813" w:type="dxa"/>
            <w:tcBorders>
              <w:bottom w:val="single" w:sz="4" w:space="0" w:color="000000"/>
            </w:tcBorders>
          </w:tcPr>
          <w:p>
            <w:pPr>
              <w:pStyle w:val="TableParagraph"/>
              <w:spacing w:before="70"/>
              <w:ind w:right="199"/>
              <w:jc w:val="right"/>
              <w:rPr>
                <w:sz w:val="22"/>
              </w:rPr>
            </w:pPr>
            <w:r>
              <w:rPr>
                <w:spacing w:val="-4"/>
                <w:sz w:val="22"/>
              </w:rPr>
              <w:t>17.5</w:t>
            </w:r>
          </w:p>
        </w:tc>
        <w:tc>
          <w:tcPr>
            <w:tcW w:w="840" w:type="dxa"/>
            <w:tcBorders>
              <w:bottom w:val="single" w:sz="4" w:space="0" w:color="000000"/>
            </w:tcBorders>
          </w:tcPr>
          <w:p>
            <w:pPr>
              <w:pStyle w:val="TableParagraph"/>
              <w:spacing w:before="70"/>
              <w:ind w:left="31" w:right="11"/>
              <w:jc w:val="center"/>
              <w:rPr>
                <w:sz w:val="22"/>
              </w:rPr>
            </w:pPr>
            <w:r>
              <w:rPr>
                <w:spacing w:val="-4"/>
                <w:sz w:val="22"/>
              </w:rPr>
              <w:t>25.0</w:t>
            </w:r>
          </w:p>
        </w:tc>
      </w:tr>
    </w:tbl>
    <w:p>
      <w:pPr>
        <w:pStyle w:val="BodyText"/>
        <w:spacing w:line="360" w:lineRule="auto"/>
        <w:ind w:left="380" w:right="975"/>
      </w:pPr>
      <w:r>
        <w:rPr>
          <w:b/>
        </w:rPr>
        <w:t>Key:</w:t>
      </w:r>
      <w:r>
        <w:rPr>
          <w:b/>
          <w:spacing w:val="-4"/>
        </w:rPr>
        <w:t> </w:t>
      </w:r>
      <w:r>
        <w:rPr/>
        <w:t>MIC=Minimum</w:t>
      </w:r>
      <w:r>
        <w:rPr>
          <w:spacing w:val="-3"/>
        </w:rPr>
        <w:t> </w:t>
      </w:r>
      <w:r>
        <w:rPr/>
        <w:t>Inhibitory</w:t>
      </w:r>
      <w:r>
        <w:rPr>
          <w:spacing w:val="-6"/>
        </w:rPr>
        <w:t> </w:t>
      </w:r>
      <w:r>
        <w:rPr/>
        <w:t>Concentration,</w:t>
      </w:r>
      <w:r>
        <w:rPr>
          <w:spacing w:val="-6"/>
        </w:rPr>
        <w:t> </w:t>
      </w:r>
      <w:r>
        <w:rPr/>
        <w:t>MBC=</w:t>
      </w:r>
      <w:r>
        <w:rPr>
          <w:spacing w:val="-6"/>
        </w:rPr>
        <w:t> </w:t>
      </w:r>
      <w:r>
        <w:rPr/>
        <w:t>Minimum</w:t>
      </w:r>
      <w:r>
        <w:rPr>
          <w:spacing w:val="-3"/>
        </w:rPr>
        <w:t> </w:t>
      </w:r>
      <w:r>
        <w:rPr/>
        <w:t>Bactericidal</w:t>
      </w:r>
      <w:r>
        <w:rPr>
          <w:spacing w:val="-7"/>
        </w:rPr>
        <w:t> </w:t>
      </w:r>
      <w:r>
        <w:rPr/>
        <w:t>Concentration, </w:t>
      </w:r>
      <w:r>
        <w:rPr>
          <w:spacing w:val="-2"/>
        </w:rPr>
        <w:t>SP=Sputum.</w:t>
      </w:r>
    </w:p>
    <w:p>
      <w:pPr>
        <w:spacing w:after="0" w:line="360"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0"/>
      </w:pPr>
    </w:p>
    <w:p>
      <w:pPr>
        <w:spacing w:before="0"/>
        <w:ind w:left="538" w:right="0" w:firstLine="0"/>
        <w:jc w:val="left"/>
        <w:rPr>
          <w:b/>
          <w:i/>
          <w:sz w:val="22"/>
        </w:rPr>
      </w:pPr>
      <w:r>
        <w:rPr>
          <w:b/>
          <w:sz w:val="22"/>
        </w:rPr>
        <w:t>MIC</w:t>
      </w:r>
      <w:r>
        <w:rPr>
          <w:b/>
          <w:spacing w:val="-6"/>
          <w:sz w:val="22"/>
        </w:rPr>
        <w:t> </w:t>
      </w:r>
      <w:r>
        <w:rPr>
          <w:b/>
          <w:sz w:val="22"/>
        </w:rPr>
        <w:t>and</w:t>
      </w:r>
      <w:r>
        <w:rPr>
          <w:b/>
          <w:spacing w:val="-4"/>
          <w:sz w:val="22"/>
        </w:rPr>
        <w:t> </w:t>
      </w:r>
      <w:r>
        <w:rPr>
          <w:b/>
          <w:sz w:val="22"/>
        </w:rPr>
        <w:t>MBC</w:t>
      </w:r>
      <w:r>
        <w:rPr>
          <w:b/>
          <w:spacing w:val="-4"/>
          <w:sz w:val="22"/>
        </w:rPr>
        <w:t> </w:t>
      </w:r>
      <w:r>
        <w:rPr>
          <w:b/>
          <w:sz w:val="22"/>
        </w:rPr>
        <w:t>Test</w:t>
      </w:r>
      <w:r>
        <w:rPr>
          <w:b/>
          <w:spacing w:val="-5"/>
          <w:sz w:val="22"/>
        </w:rPr>
        <w:t> </w:t>
      </w:r>
      <w:r>
        <w:rPr>
          <w:b/>
          <w:sz w:val="22"/>
        </w:rPr>
        <w:t>(µg/ml)</w:t>
      </w:r>
      <w:r>
        <w:rPr>
          <w:b/>
          <w:spacing w:val="-5"/>
          <w:sz w:val="22"/>
        </w:rPr>
        <w:t> </w:t>
      </w:r>
      <w:r>
        <w:rPr>
          <w:b/>
          <w:sz w:val="22"/>
        </w:rPr>
        <w:t>of</w:t>
      </w:r>
      <w:r>
        <w:rPr>
          <w:b/>
          <w:spacing w:val="-3"/>
          <w:sz w:val="22"/>
        </w:rPr>
        <w:t> </w:t>
      </w:r>
      <w:r>
        <w:rPr>
          <w:b/>
          <w:sz w:val="22"/>
        </w:rPr>
        <w:t>Lemon</w:t>
      </w:r>
      <w:r>
        <w:rPr>
          <w:b/>
          <w:spacing w:val="-2"/>
          <w:sz w:val="22"/>
        </w:rPr>
        <w:t> </w:t>
      </w:r>
      <w:r>
        <w:rPr>
          <w:b/>
          <w:sz w:val="22"/>
        </w:rPr>
        <w:t>juice</w:t>
      </w:r>
      <w:r>
        <w:rPr>
          <w:b/>
          <w:spacing w:val="-4"/>
          <w:sz w:val="22"/>
        </w:rPr>
        <w:t> </w:t>
      </w:r>
      <w:r>
        <w:rPr>
          <w:b/>
          <w:sz w:val="22"/>
        </w:rPr>
        <w:t>and</w:t>
      </w:r>
      <w:r>
        <w:rPr>
          <w:b/>
          <w:spacing w:val="-4"/>
          <w:sz w:val="22"/>
        </w:rPr>
        <w:t> </w:t>
      </w:r>
      <w:r>
        <w:rPr>
          <w:b/>
          <w:sz w:val="22"/>
        </w:rPr>
        <w:t>Honey</w:t>
      </w:r>
      <w:r>
        <w:rPr>
          <w:b/>
          <w:spacing w:val="-4"/>
          <w:sz w:val="22"/>
        </w:rPr>
        <w:t> </w:t>
      </w:r>
      <w:r>
        <w:rPr>
          <w:b/>
          <w:sz w:val="22"/>
        </w:rPr>
        <w:t>mixture</w:t>
      </w:r>
      <w:r>
        <w:rPr>
          <w:b/>
          <w:spacing w:val="-4"/>
          <w:sz w:val="22"/>
        </w:rPr>
        <w:t> </w:t>
      </w:r>
      <w:r>
        <w:rPr>
          <w:b/>
          <w:sz w:val="22"/>
        </w:rPr>
        <w:t>against</w:t>
      </w:r>
      <w:r>
        <w:rPr>
          <w:b/>
          <w:spacing w:val="-2"/>
          <w:sz w:val="22"/>
        </w:rPr>
        <w:t> </w:t>
      </w:r>
      <w:r>
        <w:rPr>
          <w:b/>
          <w:i/>
          <w:sz w:val="22"/>
        </w:rPr>
        <w:t>Pseudomonas</w:t>
      </w:r>
      <w:r>
        <w:rPr>
          <w:b/>
          <w:i/>
          <w:spacing w:val="-5"/>
          <w:sz w:val="22"/>
        </w:rPr>
        <w:t> </w:t>
      </w:r>
      <w:r>
        <w:rPr>
          <w:b/>
          <w:i/>
          <w:spacing w:val="-2"/>
          <w:sz w:val="22"/>
        </w:rPr>
        <w:t>aeruginosa</w:t>
      </w:r>
    </w:p>
    <w:p>
      <w:pPr>
        <w:pStyle w:val="BodyText"/>
        <w:rPr>
          <w:b/>
          <w:i/>
          <w:sz w:val="20"/>
        </w:rPr>
      </w:pPr>
    </w:p>
    <w:p>
      <w:pPr>
        <w:pStyle w:val="BodyText"/>
        <w:spacing w:before="146" w:after="1"/>
        <w:rPr>
          <w:b/>
          <w:i/>
          <w:sz w:val="20"/>
        </w:rPr>
      </w:pPr>
    </w:p>
    <w:tbl>
      <w:tblPr>
        <w:tblW w:w="0" w:type="auto"/>
        <w:jc w:val="left"/>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1"/>
        <w:gridCol w:w="823"/>
        <w:gridCol w:w="850"/>
        <w:gridCol w:w="840"/>
        <w:gridCol w:w="881"/>
        <w:gridCol w:w="835"/>
        <w:gridCol w:w="851"/>
        <w:gridCol w:w="818"/>
        <w:gridCol w:w="837"/>
        <w:gridCol w:w="814"/>
        <w:gridCol w:w="841"/>
      </w:tblGrid>
      <w:tr>
        <w:trPr>
          <w:trHeight w:val="1115" w:hRule="atLeast"/>
        </w:trPr>
        <w:tc>
          <w:tcPr>
            <w:tcW w:w="1111" w:type="dxa"/>
            <w:tcBorders>
              <w:top w:val="single" w:sz="4" w:space="0" w:color="000000"/>
            </w:tcBorders>
          </w:tcPr>
          <w:p>
            <w:pPr>
              <w:pStyle w:val="TableParagraph"/>
              <w:spacing w:before="179"/>
              <w:rPr>
                <w:b/>
                <w:i/>
                <w:sz w:val="22"/>
              </w:rPr>
            </w:pPr>
          </w:p>
          <w:p>
            <w:pPr>
              <w:pStyle w:val="TableParagraph"/>
              <w:spacing w:line="256" w:lineRule="auto"/>
              <w:ind w:left="398" w:right="206" w:hanging="176"/>
              <w:rPr>
                <w:b/>
                <w:sz w:val="22"/>
              </w:rPr>
            </w:pPr>
            <w:r>
              <w:rPr>
                <w:b/>
                <w:spacing w:val="-2"/>
                <w:sz w:val="22"/>
              </w:rPr>
              <w:t>Sample </w:t>
            </w:r>
            <w:r>
              <w:rPr>
                <w:b/>
                <w:spacing w:val="-4"/>
                <w:sz w:val="22"/>
              </w:rPr>
              <w:t>No.</w:t>
            </w:r>
          </w:p>
        </w:tc>
        <w:tc>
          <w:tcPr>
            <w:tcW w:w="823" w:type="dxa"/>
            <w:tcBorders>
              <w:top w:val="single" w:sz="4" w:space="0" w:color="000000"/>
            </w:tcBorders>
          </w:tcPr>
          <w:p>
            <w:pPr>
              <w:pStyle w:val="TableParagraph"/>
              <w:spacing w:before="97"/>
              <w:rPr>
                <w:b/>
                <w:i/>
                <w:sz w:val="22"/>
              </w:rPr>
            </w:pPr>
          </w:p>
          <w:p>
            <w:pPr>
              <w:pStyle w:val="TableParagraph"/>
              <w:ind w:left="72" w:right="77"/>
              <w:jc w:val="center"/>
              <w:rPr>
                <w:b/>
                <w:sz w:val="22"/>
              </w:rPr>
            </w:pPr>
            <w:r>
              <w:rPr>
                <w:b/>
                <w:spacing w:val="-5"/>
                <w:sz w:val="22"/>
              </w:rPr>
              <w:t>MIC</w:t>
            </w:r>
          </w:p>
        </w:tc>
        <w:tc>
          <w:tcPr>
            <w:tcW w:w="850" w:type="dxa"/>
            <w:tcBorders>
              <w:top w:val="single" w:sz="4" w:space="0" w:color="000000"/>
            </w:tcBorders>
          </w:tcPr>
          <w:p>
            <w:pPr>
              <w:pStyle w:val="TableParagraph"/>
              <w:spacing w:before="97"/>
              <w:rPr>
                <w:b/>
                <w:i/>
                <w:sz w:val="22"/>
              </w:rPr>
            </w:pPr>
          </w:p>
          <w:p>
            <w:pPr>
              <w:pStyle w:val="TableParagraph"/>
              <w:ind w:left="6" w:right="25"/>
              <w:jc w:val="center"/>
              <w:rPr>
                <w:b/>
                <w:sz w:val="22"/>
              </w:rPr>
            </w:pPr>
            <w:r>
              <w:rPr>
                <w:b/>
                <w:spacing w:val="-5"/>
                <w:sz w:val="22"/>
              </w:rPr>
              <w:t>MBC</w:t>
            </w:r>
          </w:p>
        </w:tc>
        <w:tc>
          <w:tcPr>
            <w:tcW w:w="840" w:type="dxa"/>
            <w:tcBorders>
              <w:top w:val="single" w:sz="4" w:space="0" w:color="000000"/>
            </w:tcBorders>
          </w:tcPr>
          <w:p>
            <w:pPr>
              <w:pStyle w:val="TableParagraph"/>
              <w:spacing w:before="97"/>
              <w:rPr>
                <w:b/>
                <w:i/>
                <w:sz w:val="22"/>
              </w:rPr>
            </w:pPr>
          </w:p>
          <w:p>
            <w:pPr>
              <w:pStyle w:val="TableParagraph"/>
              <w:ind w:right="238"/>
              <w:jc w:val="right"/>
              <w:rPr>
                <w:b/>
                <w:sz w:val="22"/>
              </w:rPr>
            </w:pPr>
            <w:r>
              <w:rPr>
                <w:b/>
                <w:spacing w:val="-5"/>
                <w:sz w:val="22"/>
              </w:rPr>
              <w:t>MIC</w:t>
            </w:r>
          </w:p>
        </w:tc>
        <w:tc>
          <w:tcPr>
            <w:tcW w:w="881" w:type="dxa"/>
            <w:tcBorders>
              <w:top w:val="single" w:sz="4" w:space="0" w:color="000000"/>
            </w:tcBorders>
          </w:tcPr>
          <w:p>
            <w:pPr>
              <w:pStyle w:val="TableParagraph"/>
              <w:spacing w:before="97"/>
              <w:rPr>
                <w:b/>
                <w:i/>
                <w:sz w:val="22"/>
              </w:rPr>
            </w:pPr>
          </w:p>
          <w:p>
            <w:pPr>
              <w:pStyle w:val="TableParagraph"/>
              <w:ind w:left="12" w:right="3"/>
              <w:jc w:val="center"/>
              <w:rPr>
                <w:b/>
                <w:sz w:val="22"/>
              </w:rPr>
            </w:pPr>
            <w:r>
              <w:rPr>
                <w:b/>
                <w:spacing w:val="-5"/>
                <w:sz w:val="22"/>
              </w:rPr>
              <w:t>MBC</w:t>
            </w:r>
          </w:p>
        </w:tc>
        <w:tc>
          <w:tcPr>
            <w:tcW w:w="835" w:type="dxa"/>
            <w:tcBorders>
              <w:top w:val="single" w:sz="4" w:space="0" w:color="000000"/>
            </w:tcBorders>
          </w:tcPr>
          <w:p>
            <w:pPr>
              <w:pStyle w:val="TableParagraph"/>
              <w:spacing w:before="97"/>
              <w:rPr>
                <w:b/>
                <w:i/>
                <w:sz w:val="22"/>
              </w:rPr>
            </w:pPr>
          </w:p>
          <w:p>
            <w:pPr>
              <w:pStyle w:val="TableParagraph"/>
              <w:ind w:right="235"/>
              <w:jc w:val="right"/>
              <w:rPr>
                <w:b/>
                <w:sz w:val="22"/>
              </w:rPr>
            </w:pPr>
            <w:r>
              <w:rPr>
                <w:b/>
                <w:spacing w:val="-5"/>
                <w:sz w:val="22"/>
              </w:rPr>
              <w:t>MIC</w:t>
            </w:r>
          </w:p>
        </w:tc>
        <w:tc>
          <w:tcPr>
            <w:tcW w:w="851" w:type="dxa"/>
            <w:tcBorders>
              <w:top w:val="single" w:sz="4" w:space="0" w:color="000000"/>
            </w:tcBorders>
          </w:tcPr>
          <w:p>
            <w:pPr>
              <w:pStyle w:val="TableParagraph"/>
              <w:spacing w:before="97"/>
              <w:rPr>
                <w:b/>
                <w:i/>
                <w:sz w:val="22"/>
              </w:rPr>
            </w:pPr>
          </w:p>
          <w:p>
            <w:pPr>
              <w:pStyle w:val="TableParagraph"/>
              <w:ind w:left="12" w:right="17"/>
              <w:jc w:val="center"/>
              <w:rPr>
                <w:b/>
                <w:sz w:val="22"/>
              </w:rPr>
            </w:pPr>
            <w:r>
              <w:rPr>
                <w:b/>
                <w:spacing w:val="-5"/>
                <w:sz w:val="22"/>
              </w:rPr>
              <w:t>MBC</w:t>
            </w:r>
          </w:p>
        </w:tc>
        <w:tc>
          <w:tcPr>
            <w:tcW w:w="818" w:type="dxa"/>
            <w:tcBorders>
              <w:top w:val="single" w:sz="4" w:space="0" w:color="000000"/>
            </w:tcBorders>
          </w:tcPr>
          <w:p>
            <w:pPr>
              <w:pStyle w:val="TableParagraph"/>
              <w:spacing w:before="97"/>
              <w:rPr>
                <w:b/>
                <w:i/>
                <w:sz w:val="22"/>
              </w:rPr>
            </w:pPr>
          </w:p>
          <w:p>
            <w:pPr>
              <w:pStyle w:val="TableParagraph"/>
              <w:ind w:right="223"/>
              <w:jc w:val="right"/>
              <w:rPr>
                <w:b/>
                <w:sz w:val="22"/>
              </w:rPr>
            </w:pPr>
            <w:r>
              <w:rPr>
                <w:b/>
                <w:spacing w:val="-5"/>
                <w:sz w:val="22"/>
              </w:rPr>
              <w:t>MIC</w:t>
            </w:r>
          </w:p>
        </w:tc>
        <w:tc>
          <w:tcPr>
            <w:tcW w:w="837" w:type="dxa"/>
            <w:tcBorders>
              <w:top w:val="single" w:sz="4" w:space="0" w:color="000000"/>
            </w:tcBorders>
          </w:tcPr>
          <w:p>
            <w:pPr>
              <w:pStyle w:val="TableParagraph"/>
              <w:spacing w:before="97"/>
              <w:rPr>
                <w:b/>
                <w:i/>
                <w:sz w:val="22"/>
              </w:rPr>
            </w:pPr>
          </w:p>
          <w:p>
            <w:pPr>
              <w:pStyle w:val="TableParagraph"/>
              <w:ind w:right="11"/>
              <w:jc w:val="center"/>
              <w:rPr>
                <w:b/>
                <w:sz w:val="22"/>
              </w:rPr>
            </w:pPr>
            <w:r>
              <w:rPr>
                <w:b/>
                <w:spacing w:val="-5"/>
                <w:sz w:val="22"/>
              </w:rPr>
              <w:t>MBC</w:t>
            </w:r>
          </w:p>
        </w:tc>
        <w:tc>
          <w:tcPr>
            <w:tcW w:w="814" w:type="dxa"/>
            <w:tcBorders>
              <w:top w:val="single" w:sz="4" w:space="0" w:color="000000"/>
            </w:tcBorders>
          </w:tcPr>
          <w:p>
            <w:pPr>
              <w:pStyle w:val="TableParagraph"/>
              <w:spacing w:before="97"/>
              <w:rPr>
                <w:b/>
                <w:i/>
                <w:sz w:val="22"/>
              </w:rPr>
            </w:pPr>
          </w:p>
          <w:p>
            <w:pPr>
              <w:pStyle w:val="TableParagraph"/>
              <w:ind w:right="221"/>
              <w:jc w:val="right"/>
              <w:rPr>
                <w:b/>
                <w:sz w:val="22"/>
              </w:rPr>
            </w:pPr>
            <w:r>
              <w:rPr>
                <w:b/>
                <w:spacing w:val="-5"/>
                <w:sz w:val="22"/>
              </w:rPr>
              <w:t>MIC</w:t>
            </w:r>
          </w:p>
        </w:tc>
        <w:tc>
          <w:tcPr>
            <w:tcW w:w="841" w:type="dxa"/>
            <w:tcBorders>
              <w:top w:val="single" w:sz="4" w:space="0" w:color="000000"/>
            </w:tcBorders>
          </w:tcPr>
          <w:p>
            <w:pPr>
              <w:pStyle w:val="TableParagraph"/>
              <w:spacing w:before="97"/>
              <w:rPr>
                <w:b/>
                <w:i/>
                <w:sz w:val="22"/>
              </w:rPr>
            </w:pPr>
          </w:p>
          <w:p>
            <w:pPr>
              <w:pStyle w:val="TableParagraph"/>
              <w:ind w:left="6" w:right="6"/>
              <w:jc w:val="center"/>
              <w:rPr>
                <w:b/>
                <w:sz w:val="22"/>
              </w:rPr>
            </w:pPr>
            <w:r>
              <w:rPr>
                <w:b/>
                <w:spacing w:val="-5"/>
                <w:sz w:val="22"/>
              </w:rPr>
              <w:t>MBC</w:t>
            </w:r>
          </w:p>
        </w:tc>
      </w:tr>
      <w:tr>
        <w:trPr>
          <w:trHeight w:val="523" w:hRule="atLeast"/>
        </w:trPr>
        <w:tc>
          <w:tcPr>
            <w:tcW w:w="1111" w:type="dxa"/>
            <w:tcBorders>
              <w:bottom w:val="single" w:sz="4" w:space="0" w:color="000000"/>
            </w:tcBorders>
          </w:tcPr>
          <w:p>
            <w:pPr>
              <w:pStyle w:val="TableParagraph"/>
              <w:rPr>
                <w:rFonts w:ascii="Times New Roman"/>
                <w:sz w:val="22"/>
              </w:rPr>
            </w:pPr>
          </w:p>
        </w:tc>
        <w:tc>
          <w:tcPr>
            <w:tcW w:w="823" w:type="dxa"/>
            <w:tcBorders>
              <w:bottom w:val="single" w:sz="4" w:space="0" w:color="000000"/>
            </w:tcBorders>
          </w:tcPr>
          <w:p>
            <w:pPr>
              <w:pStyle w:val="TableParagraph"/>
              <w:spacing w:before="71"/>
              <w:ind w:right="77"/>
              <w:jc w:val="center"/>
              <w:rPr>
                <w:b/>
                <w:sz w:val="22"/>
              </w:rPr>
            </w:pPr>
            <w:r>
              <w:rPr>
                <w:b/>
                <w:spacing w:val="-2"/>
                <w:sz w:val="22"/>
              </w:rPr>
              <w:t>10:50</w:t>
            </w:r>
          </w:p>
        </w:tc>
        <w:tc>
          <w:tcPr>
            <w:tcW w:w="850" w:type="dxa"/>
            <w:tcBorders>
              <w:bottom w:val="single" w:sz="4" w:space="0" w:color="000000"/>
            </w:tcBorders>
          </w:tcPr>
          <w:p>
            <w:pPr>
              <w:pStyle w:val="TableParagraph"/>
              <w:rPr>
                <w:rFonts w:ascii="Times New Roman"/>
                <w:sz w:val="22"/>
              </w:rPr>
            </w:pPr>
          </w:p>
        </w:tc>
        <w:tc>
          <w:tcPr>
            <w:tcW w:w="840" w:type="dxa"/>
            <w:tcBorders>
              <w:bottom w:val="single" w:sz="4" w:space="0" w:color="000000"/>
            </w:tcBorders>
          </w:tcPr>
          <w:p>
            <w:pPr>
              <w:pStyle w:val="TableParagraph"/>
              <w:spacing w:before="71"/>
              <w:ind w:right="226"/>
              <w:jc w:val="right"/>
              <w:rPr>
                <w:b/>
                <w:sz w:val="22"/>
              </w:rPr>
            </w:pPr>
            <w:r>
              <w:rPr>
                <w:b/>
                <w:spacing w:val="-2"/>
                <w:sz w:val="22"/>
              </w:rPr>
              <w:t>20:50</w:t>
            </w:r>
          </w:p>
        </w:tc>
        <w:tc>
          <w:tcPr>
            <w:tcW w:w="881" w:type="dxa"/>
            <w:tcBorders>
              <w:bottom w:val="single" w:sz="4" w:space="0" w:color="000000"/>
            </w:tcBorders>
          </w:tcPr>
          <w:p>
            <w:pPr>
              <w:pStyle w:val="TableParagraph"/>
              <w:rPr>
                <w:rFonts w:ascii="Times New Roman"/>
                <w:sz w:val="22"/>
              </w:rPr>
            </w:pPr>
          </w:p>
        </w:tc>
        <w:tc>
          <w:tcPr>
            <w:tcW w:w="835" w:type="dxa"/>
            <w:tcBorders>
              <w:bottom w:val="single" w:sz="4" w:space="0" w:color="000000"/>
            </w:tcBorders>
          </w:tcPr>
          <w:p>
            <w:pPr>
              <w:pStyle w:val="TableParagraph"/>
              <w:spacing w:before="71"/>
              <w:ind w:right="202"/>
              <w:jc w:val="right"/>
              <w:rPr>
                <w:b/>
                <w:sz w:val="22"/>
              </w:rPr>
            </w:pPr>
            <w:r>
              <w:rPr>
                <w:b/>
                <w:spacing w:val="-2"/>
                <w:sz w:val="22"/>
              </w:rPr>
              <w:t>30:50</w:t>
            </w:r>
          </w:p>
        </w:tc>
        <w:tc>
          <w:tcPr>
            <w:tcW w:w="851" w:type="dxa"/>
            <w:tcBorders>
              <w:bottom w:val="single" w:sz="4" w:space="0" w:color="000000"/>
            </w:tcBorders>
          </w:tcPr>
          <w:p>
            <w:pPr>
              <w:pStyle w:val="TableParagraph"/>
              <w:rPr>
                <w:rFonts w:ascii="Times New Roman"/>
                <w:sz w:val="22"/>
              </w:rPr>
            </w:pPr>
          </w:p>
        </w:tc>
        <w:tc>
          <w:tcPr>
            <w:tcW w:w="818" w:type="dxa"/>
            <w:tcBorders>
              <w:bottom w:val="single" w:sz="4" w:space="0" w:color="000000"/>
            </w:tcBorders>
          </w:tcPr>
          <w:p>
            <w:pPr>
              <w:pStyle w:val="TableParagraph"/>
              <w:spacing w:before="71"/>
              <w:ind w:right="191"/>
              <w:jc w:val="right"/>
              <w:rPr>
                <w:b/>
                <w:sz w:val="22"/>
              </w:rPr>
            </w:pPr>
            <w:r>
              <w:rPr>
                <w:b/>
                <w:spacing w:val="-2"/>
                <w:sz w:val="22"/>
              </w:rPr>
              <w:t>40:50</w:t>
            </w:r>
          </w:p>
        </w:tc>
        <w:tc>
          <w:tcPr>
            <w:tcW w:w="837" w:type="dxa"/>
            <w:tcBorders>
              <w:bottom w:val="single" w:sz="4" w:space="0" w:color="000000"/>
            </w:tcBorders>
          </w:tcPr>
          <w:p>
            <w:pPr>
              <w:pStyle w:val="TableParagraph"/>
              <w:rPr>
                <w:rFonts w:ascii="Times New Roman"/>
                <w:sz w:val="22"/>
              </w:rPr>
            </w:pPr>
          </w:p>
        </w:tc>
        <w:tc>
          <w:tcPr>
            <w:tcW w:w="814" w:type="dxa"/>
            <w:tcBorders>
              <w:bottom w:val="single" w:sz="4" w:space="0" w:color="000000"/>
            </w:tcBorders>
          </w:tcPr>
          <w:p>
            <w:pPr>
              <w:pStyle w:val="TableParagraph"/>
              <w:spacing w:before="71"/>
              <w:ind w:right="200"/>
              <w:jc w:val="right"/>
              <w:rPr>
                <w:b/>
                <w:sz w:val="22"/>
              </w:rPr>
            </w:pPr>
            <w:r>
              <w:rPr>
                <w:b/>
                <w:spacing w:val="-2"/>
                <w:sz w:val="22"/>
              </w:rPr>
              <w:t>50:50</w:t>
            </w:r>
          </w:p>
        </w:tc>
        <w:tc>
          <w:tcPr>
            <w:tcW w:w="841" w:type="dxa"/>
            <w:tcBorders>
              <w:bottom w:val="single" w:sz="4" w:space="0" w:color="000000"/>
            </w:tcBorders>
          </w:tcPr>
          <w:p>
            <w:pPr>
              <w:pStyle w:val="TableParagraph"/>
              <w:rPr>
                <w:rFonts w:ascii="Times New Roman"/>
                <w:sz w:val="22"/>
              </w:rPr>
            </w:pPr>
          </w:p>
        </w:tc>
      </w:tr>
      <w:tr>
        <w:trPr>
          <w:trHeight w:val="261" w:hRule="atLeast"/>
        </w:trPr>
        <w:tc>
          <w:tcPr>
            <w:tcW w:w="1111" w:type="dxa"/>
            <w:tcBorders>
              <w:top w:val="single" w:sz="4" w:space="0" w:color="000000"/>
            </w:tcBorders>
          </w:tcPr>
          <w:p>
            <w:pPr>
              <w:pStyle w:val="TableParagraph"/>
              <w:spacing w:line="242" w:lineRule="exact"/>
              <w:ind w:left="107"/>
              <w:rPr>
                <w:sz w:val="22"/>
              </w:rPr>
            </w:pPr>
            <w:r>
              <w:rPr>
                <w:sz w:val="22"/>
              </w:rPr>
              <w:t>ES</w:t>
            </w:r>
            <w:r>
              <w:rPr>
                <w:spacing w:val="-3"/>
                <w:sz w:val="22"/>
              </w:rPr>
              <w:t> </w:t>
            </w:r>
            <w:r>
              <w:rPr>
                <w:spacing w:val="-4"/>
                <w:sz w:val="22"/>
              </w:rPr>
              <w:t>1243</w:t>
            </w:r>
          </w:p>
        </w:tc>
        <w:tc>
          <w:tcPr>
            <w:tcW w:w="823" w:type="dxa"/>
            <w:tcBorders>
              <w:top w:val="single" w:sz="4" w:space="0" w:color="000000"/>
            </w:tcBorders>
          </w:tcPr>
          <w:p>
            <w:pPr>
              <w:pStyle w:val="TableParagraph"/>
              <w:spacing w:line="242" w:lineRule="exact"/>
              <w:ind w:left="77" w:right="77"/>
              <w:jc w:val="center"/>
              <w:rPr>
                <w:sz w:val="22"/>
              </w:rPr>
            </w:pPr>
            <w:r>
              <w:rPr>
                <w:spacing w:val="-4"/>
                <w:sz w:val="22"/>
              </w:rPr>
              <w:t>25.0</w:t>
            </w:r>
          </w:p>
        </w:tc>
        <w:tc>
          <w:tcPr>
            <w:tcW w:w="850" w:type="dxa"/>
            <w:tcBorders>
              <w:top w:val="single" w:sz="4" w:space="0" w:color="000000"/>
            </w:tcBorders>
          </w:tcPr>
          <w:p>
            <w:pPr>
              <w:pStyle w:val="TableParagraph"/>
              <w:spacing w:line="242" w:lineRule="exact"/>
              <w:ind w:left="6" w:right="22"/>
              <w:jc w:val="center"/>
              <w:rPr>
                <w:sz w:val="22"/>
              </w:rPr>
            </w:pPr>
            <w:r>
              <w:rPr>
                <w:spacing w:val="-4"/>
                <w:sz w:val="22"/>
              </w:rPr>
              <w:t>45.0</w:t>
            </w:r>
          </w:p>
        </w:tc>
        <w:tc>
          <w:tcPr>
            <w:tcW w:w="840" w:type="dxa"/>
            <w:tcBorders>
              <w:top w:val="single" w:sz="4" w:space="0" w:color="000000"/>
            </w:tcBorders>
          </w:tcPr>
          <w:p>
            <w:pPr>
              <w:pStyle w:val="TableParagraph"/>
              <w:spacing w:line="242" w:lineRule="exact"/>
              <w:ind w:right="226"/>
              <w:jc w:val="right"/>
              <w:rPr>
                <w:sz w:val="22"/>
              </w:rPr>
            </w:pPr>
            <w:r>
              <w:rPr>
                <w:spacing w:val="-4"/>
                <w:sz w:val="22"/>
              </w:rPr>
              <w:t>25.0</w:t>
            </w:r>
          </w:p>
        </w:tc>
        <w:tc>
          <w:tcPr>
            <w:tcW w:w="881" w:type="dxa"/>
            <w:tcBorders>
              <w:top w:val="single" w:sz="4" w:space="0" w:color="000000"/>
            </w:tcBorders>
          </w:tcPr>
          <w:p>
            <w:pPr>
              <w:pStyle w:val="TableParagraph"/>
              <w:spacing w:line="242" w:lineRule="exact"/>
              <w:ind w:left="12"/>
              <w:jc w:val="center"/>
              <w:rPr>
                <w:sz w:val="22"/>
              </w:rPr>
            </w:pPr>
            <w:r>
              <w:rPr>
                <w:spacing w:val="-5"/>
                <w:sz w:val="22"/>
              </w:rPr>
              <w:t>50</w:t>
            </w:r>
          </w:p>
        </w:tc>
        <w:tc>
          <w:tcPr>
            <w:tcW w:w="835" w:type="dxa"/>
            <w:tcBorders>
              <w:top w:val="single" w:sz="4" w:space="0" w:color="000000"/>
            </w:tcBorders>
          </w:tcPr>
          <w:p>
            <w:pPr>
              <w:pStyle w:val="TableParagraph"/>
              <w:spacing w:line="242" w:lineRule="exact"/>
              <w:ind w:right="220"/>
              <w:jc w:val="right"/>
              <w:rPr>
                <w:sz w:val="22"/>
              </w:rPr>
            </w:pPr>
            <w:r>
              <w:rPr>
                <w:spacing w:val="-4"/>
                <w:sz w:val="22"/>
              </w:rPr>
              <w:t>35.0</w:t>
            </w:r>
          </w:p>
        </w:tc>
        <w:tc>
          <w:tcPr>
            <w:tcW w:w="851" w:type="dxa"/>
            <w:tcBorders>
              <w:top w:val="single" w:sz="4" w:space="0" w:color="000000"/>
            </w:tcBorders>
          </w:tcPr>
          <w:p>
            <w:pPr>
              <w:pStyle w:val="TableParagraph"/>
              <w:spacing w:line="242" w:lineRule="exact"/>
              <w:ind w:left="12" w:right="15"/>
              <w:jc w:val="center"/>
              <w:rPr>
                <w:sz w:val="22"/>
              </w:rPr>
            </w:pPr>
            <w:r>
              <w:rPr>
                <w:spacing w:val="-4"/>
                <w:sz w:val="22"/>
              </w:rPr>
              <w:t>50.0</w:t>
            </w:r>
          </w:p>
        </w:tc>
        <w:tc>
          <w:tcPr>
            <w:tcW w:w="818" w:type="dxa"/>
            <w:tcBorders>
              <w:top w:val="single" w:sz="4" w:space="0" w:color="000000"/>
            </w:tcBorders>
          </w:tcPr>
          <w:p>
            <w:pPr>
              <w:pStyle w:val="TableParagraph"/>
              <w:spacing w:line="242" w:lineRule="exact"/>
              <w:ind w:right="209"/>
              <w:jc w:val="right"/>
              <w:rPr>
                <w:sz w:val="22"/>
              </w:rPr>
            </w:pPr>
            <w:r>
              <w:rPr>
                <w:spacing w:val="-4"/>
                <w:sz w:val="22"/>
              </w:rPr>
              <w:t>25.0</w:t>
            </w:r>
          </w:p>
        </w:tc>
        <w:tc>
          <w:tcPr>
            <w:tcW w:w="837" w:type="dxa"/>
            <w:tcBorders>
              <w:top w:val="single" w:sz="4" w:space="0" w:color="000000"/>
            </w:tcBorders>
          </w:tcPr>
          <w:p>
            <w:pPr>
              <w:pStyle w:val="TableParagraph"/>
              <w:spacing w:line="242" w:lineRule="exact"/>
              <w:ind w:left="2" w:right="11"/>
              <w:jc w:val="center"/>
              <w:rPr>
                <w:sz w:val="22"/>
              </w:rPr>
            </w:pPr>
            <w:r>
              <w:rPr>
                <w:spacing w:val="-4"/>
                <w:sz w:val="22"/>
              </w:rPr>
              <w:t>45.0</w:t>
            </w:r>
          </w:p>
        </w:tc>
        <w:tc>
          <w:tcPr>
            <w:tcW w:w="814" w:type="dxa"/>
            <w:tcBorders>
              <w:top w:val="single" w:sz="4" w:space="0" w:color="000000"/>
            </w:tcBorders>
          </w:tcPr>
          <w:p>
            <w:pPr>
              <w:pStyle w:val="TableParagraph"/>
              <w:spacing w:line="242" w:lineRule="exact"/>
              <w:ind w:right="209"/>
              <w:jc w:val="right"/>
              <w:rPr>
                <w:sz w:val="22"/>
              </w:rPr>
            </w:pPr>
            <w:r>
              <w:rPr>
                <w:spacing w:val="-4"/>
                <w:sz w:val="22"/>
              </w:rPr>
              <w:t>15.0</w:t>
            </w:r>
          </w:p>
        </w:tc>
        <w:tc>
          <w:tcPr>
            <w:tcW w:w="841" w:type="dxa"/>
            <w:tcBorders>
              <w:top w:val="single" w:sz="4" w:space="0" w:color="000000"/>
            </w:tcBorders>
          </w:tcPr>
          <w:p>
            <w:pPr>
              <w:pStyle w:val="TableParagraph"/>
              <w:spacing w:line="242" w:lineRule="exact"/>
              <w:ind w:left="6" w:right="6"/>
              <w:jc w:val="center"/>
              <w:rPr>
                <w:sz w:val="22"/>
              </w:rPr>
            </w:pPr>
            <w:r>
              <w:rPr>
                <w:spacing w:val="-4"/>
                <w:sz w:val="22"/>
              </w:rPr>
              <w:t>22.5</w:t>
            </w:r>
          </w:p>
        </w:tc>
      </w:tr>
    </w:tbl>
    <w:p>
      <w:pPr>
        <w:spacing w:after="0" w:line="242" w:lineRule="exact"/>
        <w:jc w:val="center"/>
        <w:rPr>
          <w:sz w:val="22"/>
        </w:rPr>
        <w:sectPr>
          <w:pgSz w:w="11910" w:h="16840"/>
          <w:pgMar w:header="0" w:footer="1055" w:top="1920" w:bottom="1635" w:left="1060" w:right="460"/>
        </w:sect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7"/>
        <w:gridCol w:w="864"/>
        <w:gridCol w:w="840"/>
        <w:gridCol w:w="903"/>
        <w:gridCol w:w="778"/>
        <w:gridCol w:w="889"/>
        <w:gridCol w:w="841"/>
        <w:gridCol w:w="830"/>
        <w:gridCol w:w="826"/>
        <w:gridCol w:w="830"/>
        <w:gridCol w:w="835"/>
      </w:tblGrid>
      <w:tr>
        <w:trPr>
          <w:trHeight w:val="335" w:hRule="atLeast"/>
        </w:trPr>
        <w:tc>
          <w:tcPr>
            <w:tcW w:w="1087" w:type="dxa"/>
          </w:tcPr>
          <w:p>
            <w:pPr>
              <w:pStyle w:val="TableParagraph"/>
              <w:spacing w:line="225" w:lineRule="exact"/>
              <w:ind w:right="246"/>
              <w:jc w:val="center"/>
              <w:rPr>
                <w:sz w:val="22"/>
              </w:rPr>
            </w:pPr>
            <w:r>
              <w:rPr>
                <w:sz w:val="22"/>
              </w:rPr>
              <w:t>ES</w:t>
            </w:r>
            <w:r>
              <w:rPr>
                <w:spacing w:val="-1"/>
                <w:sz w:val="22"/>
              </w:rPr>
              <w:t> </w:t>
            </w:r>
            <w:r>
              <w:rPr>
                <w:spacing w:val="-5"/>
                <w:sz w:val="22"/>
              </w:rPr>
              <w:t>225</w:t>
            </w:r>
          </w:p>
        </w:tc>
        <w:tc>
          <w:tcPr>
            <w:tcW w:w="864" w:type="dxa"/>
          </w:tcPr>
          <w:p>
            <w:pPr>
              <w:pStyle w:val="TableParagraph"/>
              <w:spacing w:line="225" w:lineRule="exact"/>
              <w:ind w:left="33"/>
              <w:jc w:val="center"/>
              <w:rPr>
                <w:sz w:val="22"/>
              </w:rPr>
            </w:pPr>
            <w:r>
              <w:rPr>
                <w:spacing w:val="-4"/>
                <w:sz w:val="22"/>
              </w:rPr>
              <w:t>30.0</w:t>
            </w:r>
          </w:p>
        </w:tc>
        <w:tc>
          <w:tcPr>
            <w:tcW w:w="840" w:type="dxa"/>
          </w:tcPr>
          <w:p>
            <w:pPr>
              <w:pStyle w:val="TableParagraph"/>
              <w:spacing w:line="225" w:lineRule="exact"/>
              <w:ind w:left="20" w:right="31"/>
              <w:jc w:val="center"/>
              <w:rPr>
                <w:sz w:val="22"/>
              </w:rPr>
            </w:pPr>
            <w:r>
              <w:rPr>
                <w:spacing w:val="-4"/>
                <w:sz w:val="22"/>
              </w:rPr>
              <w:t>50.0</w:t>
            </w:r>
          </w:p>
        </w:tc>
        <w:tc>
          <w:tcPr>
            <w:tcW w:w="903" w:type="dxa"/>
          </w:tcPr>
          <w:p>
            <w:pPr>
              <w:pStyle w:val="TableParagraph"/>
              <w:spacing w:line="225" w:lineRule="exact"/>
              <w:ind w:right="55"/>
              <w:jc w:val="center"/>
              <w:rPr>
                <w:sz w:val="22"/>
              </w:rPr>
            </w:pPr>
            <w:r>
              <w:rPr>
                <w:spacing w:val="-4"/>
                <w:sz w:val="22"/>
              </w:rPr>
              <w:t>25.0</w:t>
            </w:r>
          </w:p>
        </w:tc>
        <w:tc>
          <w:tcPr>
            <w:tcW w:w="778" w:type="dxa"/>
          </w:tcPr>
          <w:p>
            <w:pPr>
              <w:pStyle w:val="TableParagraph"/>
              <w:spacing w:line="225" w:lineRule="exact"/>
              <w:ind w:left="4"/>
              <w:jc w:val="center"/>
              <w:rPr>
                <w:sz w:val="22"/>
              </w:rPr>
            </w:pPr>
            <w:r>
              <w:rPr>
                <w:spacing w:val="-5"/>
                <w:sz w:val="22"/>
              </w:rPr>
              <w:t>40</w:t>
            </w:r>
          </w:p>
        </w:tc>
        <w:tc>
          <w:tcPr>
            <w:tcW w:w="889" w:type="dxa"/>
          </w:tcPr>
          <w:p>
            <w:pPr>
              <w:pStyle w:val="TableParagraph"/>
              <w:spacing w:line="225" w:lineRule="exact"/>
              <w:ind w:left="36"/>
              <w:jc w:val="center"/>
              <w:rPr>
                <w:sz w:val="22"/>
              </w:rPr>
            </w:pPr>
            <w:r>
              <w:rPr>
                <w:spacing w:val="-4"/>
                <w:sz w:val="22"/>
              </w:rPr>
              <w:t>15.0</w:t>
            </w:r>
          </w:p>
        </w:tc>
        <w:tc>
          <w:tcPr>
            <w:tcW w:w="841" w:type="dxa"/>
          </w:tcPr>
          <w:p>
            <w:pPr>
              <w:pStyle w:val="TableParagraph"/>
              <w:spacing w:line="225" w:lineRule="exact"/>
              <w:ind w:right="6"/>
              <w:jc w:val="center"/>
              <w:rPr>
                <w:sz w:val="22"/>
              </w:rPr>
            </w:pPr>
            <w:r>
              <w:rPr>
                <w:spacing w:val="-4"/>
                <w:sz w:val="22"/>
              </w:rPr>
              <w:t>25.0</w:t>
            </w:r>
          </w:p>
        </w:tc>
        <w:tc>
          <w:tcPr>
            <w:tcW w:w="830" w:type="dxa"/>
          </w:tcPr>
          <w:p>
            <w:pPr>
              <w:pStyle w:val="TableParagraph"/>
              <w:spacing w:line="225" w:lineRule="exact"/>
              <w:ind w:left="10" w:right="10"/>
              <w:jc w:val="center"/>
              <w:rPr>
                <w:sz w:val="22"/>
              </w:rPr>
            </w:pPr>
            <w:r>
              <w:rPr>
                <w:spacing w:val="-4"/>
                <w:sz w:val="22"/>
              </w:rPr>
              <w:t>17.5</w:t>
            </w:r>
          </w:p>
        </w:tc>
        <w:tc>
          <w:tcPr>
            <w:tcW w:w="826" w:type="dxa"/>
          </w:tcPr>
          <w:p>
            <w:pPr>
              <w:pStyle w:val="TableParagraph"/>
              <w:spacing w:line="225" w:lineRule="exact"/>
              <w:ind w:right="15"/>
              <w:jc w:val="center"/>
              <w:rPr>
                <w:sz w:val="22"/>
              </w:rPr>
            </w:pPr>
            <w:r>
              <w:rPr>
                <w:spacing w:val="-4"/>
                <w:sz w:val="22"/>
              </w:rPr>
              <w:t>25.0</w:t>
            </w:r>
          </w:p>
        </w:tc>
        <w:tc>
          <w:tcPr>
            <w:tcW w:w="830" w:type="dxa"/>
          </w:tcPr>
          <w:p>
            <w:pPr>
              <w:pStyle w:val="TableParagraph"/>
              <w:spacing w:line="225" w:lineRule="exact"/>
              <w:ind w:right="10"/>
              <w:jc w:val="center"/>
              <w:rPr>
                <w:sz w:val="22"/>
              </w:rPr>
            </w:pPr>
            <w:r>
              <w:rPr>
                <w:spacing w:val="-4"/>
                <w:sz w:val="22"/>
              </w:rPr>
              <w:t>15.0</w:t>
            </w:r>
          </w:p>
        </w:tc>
        <w:tc>
          <w:tcPr>
            <w:tcW w:w="835" w:type="dxa"/>
          </w:tcPr>
          <w:p>
            <w:pPr>
              <w:pStyle w:val="TableParagraph"/>
              <w:spacing w:line="225" w:lineRule="exact"/>
              <w:ind w:right="18"/>
              <w:jc w:val="center"/>
              <w:rPr>
                <w:sz w:val="22"/>
              </w:rPr>
            </w:pPr>
            <w:r>
              <w:rPr>
                <w:spacing w:val="-4"/>
                <w:sz w:val="22"/>
              </w:rPr>
              <w:t>22.5</w:t>
            </w:r>
          </w:p>
        </w:tc>
      </w:tr>
      <w:tr>
        <w:trPr>
          <w:trHeight w:val="450" w:hRule="atLeast"/>
        </w:trPr>
        <w:tc>
          <w:tcPr>
            <w:tcW w:w="1087" w:type="dxa"/>
          </w:tcPr>
          <w:p>
            <w:pPr>
              <w:pStyle w:val="TableParagraph"/>
              <w:spacing w:before="70"/>
              <w:ind w:right="246"/>
              <w:jc w:val="center"/>
              <w:rPr>
                <w:sz w:val="22"/>
              </w:rPr>
            </w:pPr>
            <w:r>
              <w:rPr>
                <w:sz w:val="22"/>
              </w:rPr>
              <w:t>ES</w:t>
            </w:r>
            <w:r>
              <w:rPr>
                <w:spacing w:val="-1"/>
                <w:sz w:val="22"/>
              </w:rPr>
              <w:t> </w:t>
            </w:r>
            <w:r>
              <w:rPr>
                <w:spacing w:val="-5"/>
                <w:sz w:val="22"/>
              </w:rPr>
              <w:t>235</w:t>
            </w:r>
          </w:p>
        </w:tc>
        <w:tc>
          <w:tcPr>
            <w:tcW w:w="864" w:type="dxa"/>
          </w:tcPr>
          <w:p>
            <w:pPr>
              <w:pStyle w:val="TableParagraph"/>
              <w:spacing w:before="70"/>
              <w:ind w:left="33"/>
              <w:jc w:val="center"/>
              <w:rPr>
                <w:sz w:val="22"/>
              </w:rPr>
            </w:pPr>
            <w:r>
              <w:rPr>
                <w:spacing w:val="-4"/>
                <w:sz w:val="22"/>
              </w:rPr>
              <w:t>25.0</w:t>
            </w:r>
          </w:p>
        </w:tc>
        <w:tc>
          <w:tcPr>
            <w:tcW w:w="840" w:type="dxa"/>
          </w:tcPr>
          <w:p>
            <w:pPr>
              <w:pStyle w:val="TableParagraph"/>
              <w:spacing w:before="70"/>
              <w:ind w:left="20" w:right="31"/>
              <w:jc w:val="center"/>
              <w:rPr>
                <w:sz w:val="22"/>
              </w:rPr>
            </w:pPr>
            <w:r>
              <w:rPr>
                <w:spacing w:val="-4"/>
                <w:sz w:val="22"/>
              </w:rPr>
              <w:t>40.0</w:t>
            </w:r>
          </w:p>
        </w:tc>
        <w:tc>
          <w:tcPr>
            <w:tcW w:w="903" w:type="dxa"/>
          </w:tcPr>
          <w:p>
            <w:pPr>
              <w:pStyle w:val="TableParagraph"/>
              <w:spacing w:before="70"/>
              <w:ind w:right="55"/>
              <w:jc w:val="center"/>
              <w:rPr>
                <w:sz w:val="22"/>
              </w:rPr>
            </w:pPr>
            <w:r>
              <w:rPr>
                <w:spacing w:val="-4"/>
                <w:sz w:val="22"/>
              </w:rPr>
              <w:t>22.5</w:t>
            </w:r>
          </w:p>
        </w:tc>
        <w:tc>
          <w:tcPr>
            <w:tcW w:w="778" w:type="dxa"/>
          </w:tcPr>
          <w:p>
            <w:pPr>
              <w:pStyle w:val="TableParagraph"/>
              <w:spacing w:before="70"/>
              <w:ind w:left="4"/>
              <w:jc w:val="center"/>
              <w:rPr>
                <w:sz w:val="22"/>
              </w:rPr>
            </w:pPr>
            <w:r>
              <w:rPr>
                <w:spacing w:val="-5"/>
                <w:sz w:val="22"/>
              </w:rPr>
              <w:t>35</w:t>
            </w:r>
          </w:p>
        </w:tc>
        <w:tc>
          <w:tcPr>
            <w:tcW w:w="889" w:type="dxa"/>
          </w:tcPr>
          <w:p>
            <w:pPr>
              <w:pStyle w:val="TableParagraph"/>
              <w:spacing w:before="70"/>
              <w:ind w:left="36"/>
              <w:jc w:val="center"/>
              <w:rPr>
                <w:sz w:val="22"/>
              </w:rPr>
            </w:pPr>
            <w:r>
              <w:rPr>
                <w:spacing w:val="-4"/>
                <w:sz w:val="22"/>
              </w:rPr>
              <w:t>17.5</w:t>
            </w:r>
          </w:p>
        </w:tc>
        <w:tc>
          <w:tcPr>
            <w:tcW w:w="841" w:type="dxa"/>
          </w:tcPr>
          <w:p>
            <w:pPr>
              <w:pStyle w:val="TableParagraph"/>
              <w:spacing w:before="70"/>
              <w:ind w:right="6"/>
              <w:jc w:val="center"/>
              <w:rPr>
                <w:sz w:val="22"/>
              </w:rPr>
            </w:pPr>
            <w:r>
              <w:rPr>
                <w:spacing w:val="-4"/>
                <w:sz w:val="22"/>
              </w:rPr>
              <w:t>25.0</w:t>
            </w:r>
          </w:p>
        </w:tc>
        <w:tc>
          <w:tcPr>
            <w:tcW w:w="830" w:type="dxa"/>
          </w:tcPr>
          <w:p>
            <w:pPr>
              <w:pStyle w:val="TableParagraph"/>
              <w:spacing w:before="70"/>
              <w:ind w:left="10" w:right="10"/>
              <w:jc w:val="center"/>
              <w:rPr>
                <w:sz w:val="22"/>
              </w:rPr>
            </w:pPr>
            <w:r>
              <w:rPr>
                <w:spacing w:val="-4"/>
                <w:sz w:val="22"/>
              </w:rPr>
              <w:t>17.5</w:t>
            </w:r>
          </w:p>
        </w:tc>
        <w:tc>
          <w:tcPr>
            <w:tcW w:w="826" w:type="dxa"/>
          </w:tcPr>
          <w:p>
            <w:pPr>
              <w:pStyle w:val="TableParagraph"/>
              <w:spacing w:before="70"/>
              <w:ind w:right="15"/>
              <w:jc w:val="center"/>
              <w:rPr>
                <w:sz w:val="22"/>
              </w:rPr>
            </w:pPr>
            <w:r>
              <w:rPr>
                <w:spacing w:val="-4"/>
                <w:sz w:val="22"/>
              </w:rPr>
              <w:t>25.0</w:t>
            </w:r>
          </w:p>
        </w:tc>
        <w:tc>
          <w:tcPr>
            <w:tcW w:w="830" w:type="dxa"/>
          </w:tcPr>
          <w:p>
            <w:pPr>
              <w:pStyle w:val="TableParagraph"/>
              <w:spacing w:before="70"/>
              <w:ind w:right="10"/>
              <w:jc w:val="center"/>
              <w:rPr>
                <w:sz w:val="22"/>
              </w:rPr>
            </w:pPr>
            <w:r>
              <w:rPr>
                <w:spacing w:val="-4"/>
                <w:sz w:val="22"/>
              </w:rPr>
              <w:t>15.0</w:t>
            </w:r>
          </w:p>
        </w:tc>
        <w:tc>
          <w:tcPr>
            <w:tcW w:w="835" w:type="dxa"/>
          </w:tcPr>
          <w:p>
            <w:pPr>
              <w:pStyle w:val="TableParagraph"/>
              <w:spacing w:before="70"/>
              <w:ind w:right="18"/>
              <w:jc w:val="center"/>
              <w:rPr>
                <w:sz w:val="22"/>
              </w:rPr>
            </w:pPr>
            <w:r>
              <w:rPr>
                <w:spacing w:val="-4"/>
                <w:sz w:val="22"/>
              </w:rPr>
              <w:t>22.5</w:t>
            </w:r>
          </w:p>
        </w:tc>
      </w:tr>
      <w:tr>
        <w:trPr>
          <w:trHeight w:val="450" w:hRule="atLeast"/>
        </w:trPr>
        <w:tc>
          <w:tcPr>
            <w:tcW w:w="1087" w:type="dxa"/>
          </w:tcPr>
          <w:p>
            <w:pPr>
              <w:pStyle w:val="TableParagraph"/>
              <w:spacing w:before="71"/>
              <w:ind w:right="246"/>
              <w:jc w:val="center"/>
              <w:rPr>
                <w:sz w:val="22"/>
              </w:rPr>
            </w:pPr>
            <w:r>
              <w:rPr>
                <w:sz w:val="22"/>
              </w:rPr>
              <w:t>ES</w:t>
            </w:r>
            <w:r>
              <w:rPr>
                <w:spacing w:val="-1"/>
                <w:sz w:val="22"/>
              </w:rPr>
              <w:t> </w:t>
            </w:r>
            <w:r>
              <w:rPr>
                <w:spacing w:val="-5"/>
                <w:sz w:val="22"/>
              </w:rPr>
              <w:t>350</w:t>
            </w:r>
          </w:p>
        </w:tc>
        <w:tc>
          <w:tcPr>
            <w:tcW w:w="864" w:type="dxa"/>
          </w:tcPr>
          <w:p>
            <w:pPr>
              <w:pStyle w:val="TableParagraph"/>
              <w:spacing w:before="71"/>
              <w:ind w:left="33"/>
              <w:jc w:val="center"/>
              <w:rPr>
                <w:sz w:val="22"/>
              </w:rPr>
            </w:pPr>
            <w:r>
              <w:rPr>
                <w:spacing w:val="-4"/>
                <w:sz w:val="22"/>
              </w:rPr>
              <w:t>30.0</w:t>
            </w:r>
          </w:p>
        </w:tc>
        <w:tc>
          <w:tcPr>
            <w:tcW w:w="840" w:type="dxa"/>
          </w:tcPr>
          <w:p>
            <w:pPr>
              <w:pStyle w:val="TableParagraph"/>
              <w:spacing w:before="71"/>
              <w:ind w:left="20" w:right="31"/>
              <w:jc w:val="center"/>
              <w:rPr>
                <w:sz w:val="22"/>
              </w:rPr>
            </w:pPr>
            <w:r>
              <w:rPr>
                <w:spacing w:val="-4"/>
                <w:sz w:val="22"/>
              </w:rPr>
              <w:t>45.0</w:t>
            </w:r>
          </w:p>
        </w:tc>
        <w:tc>
          <w:tcPr>
            <w:tcW w:w="903" w:type="dxa"/>
          </w:tcPr>
          <w:p>
            <w:pPr>
              <w:pStyle w:val="TableParagraph"/>
              <w:spacing w:before="71"/>
              <w:ind w:right="55"/>
              <w:jc w:val="center"/>
              <w:rPr>
                <w:sz w:val="22"/>
              </w:rPr>
            </w:pPr>
            <w:r>
              <w:rPr>
                <w:spacing w:val="-4"/>
                <w:sz w:val="22"/>
              </w:rPr>
              <w:t>25.0</w:t>
            </w:r>
          </w:p>
        </w:tc>
        <w:tc>
          <w:tcPr>
            <w:tcW w:w="778" w:type="dxa"/>
          </w:tcPr>
          <w:p>
            <w:pPr>
              <w:pStyle w:val="TableParagraph"/>
              <w:spacing w:before="71"/>
              <w:ind w:left="4"/>
              <w:jc w:val="center"/>
              <w:rPr>
                <w:sz w:val="22"/>
              </w:rPr>
            </w:pPr>
            <w:r>
              <w:rPr>
                <w:spacing w:val="-5"/>
                <w:sz w:val="22"/>
              </w:rPr>
              <w:t>50</w:t>
            </w:r>
          </w:p>
        </w:tc>
        <w:tc>
          <w:tcPr>
            <w:tcW w:w="889" w:type="dxa"/>
          </w:tcPr>
          <w:p>
            <w:pPr>
              <w:pStyle w:val="TableParagraph"/>
              <w:spacing w:before="71"/>
              <w:ind w:left="36"/>
              <w:jc w:val="center"/>
              <w:rPr>
                <w:sz w:val="22"/>
              </w:rPr>
            </w:pPr>
            <w:r>
              <w:rPr>
                <w:spacing w:val="-4"/>
                <w:sz w:val="22"/>
              </w:rPr>
              <w:t>15.0</w:t>
            </w:r>
          </w:p>
        </w:tc>
        <w:tc>
          <w:tcPr>
            <w:tcW w:w="841" w:type="dxa"/>
          </w:tcPr>
          <w:p>
            <w:pPr>
              <w:pStyle w:val="TableParagraph"/>
              <w:spacing w:before="71"/>
              <w:ind w:right="6"/>
              <w:jc w:val="center"/>
              <w:rPr>
                <w:sz w:val="22"/>
              </w:rPr>
            </w:pPr>
            <w:r>
              <w:rPr>
                <w:spacing w:val="-4"/>
                <w:sz w:val="22"/>
              </w:rPr>
              <w:t>25.0</w:t>
            </w:r>
          </w:p>
        </w:tc>
        <w:tc>
          <w:tcPr>
            <w:tcW w:w="830" w:type="dxa"/>
          </w:tcPr>
          <w:p>
            <w:pPr>
              <w:pStyle w:val="TableParagraph"/>
              <w:spacing w:before="71"/>
              <w:ind w:left="10" w:right="10"/>
              <w:jc w:val="center"/>
              <w:rPr>
                <w:sz w:val="22"/>
              </w:rPr>
            </w:pPr>
            <w:r>
              <w:rPr>
                <w:spacing w:val="-4"/>
                <w:sz w:val="22"/>
              </w:rPr>
              <w:t>15.0</w:t>
            </w:r>
          </w:p>
        </w:tc>
        <w:tc>
          <w:tcPr>
            <w:tcW w:w="826" w:type="dxa"/>
          </w:tcPr>
          <w:p>
            <w:pPr>
              <w:pStyle w:val="TableParagraph"/>
              <w:spacing w:before="71"/>
              <w:ind w:right="15"/>
              <w:jc w:val="center"/>
              <w:rPr>
                <w:sz w:val="22"/>
              </w:rPr>
            </w:pPr>
            <w:r>
              <w:rPr>
                <w:spacing w:val="-4"/>
                <w:sz w:val="22"/>
              </w:rPr>
              <w:t>25.0</w:t>
            </w:r>
          </w:p>
        </w:tc>
        <w:tc>
          <w:tcPr>
            <w:tcW w:w="830" w:type="dxa"/>
          </w:tcPr>
          <w:p>
            <w:pPr>
              <w:pStyle w:val="TableParagraph"/>
              <w:spacing w:before="71"/>
              <w:ind w:right="10"/>
              <w:jc w:val="center"/>
              <w:rPr>
                <w:sz w:val="22"/>
              </w:rPr>
            </w:pPr>
            <w:r>
              <w:rPr>
                <w:spacing w:val="-4"/>
                <w:sz w:val="22"/>
              </w:rPr>
              <w:t>15.0</w:t>
            </w:r>
          </w:p>
        </w:tc>
        <w:tc>
          <w:tcPr>
            <w:tcW w:w="835" w:type="dxa"/>
          </w:tcPr>
          <w:p>
            <w:pPr>
              <w:pStyle w:val="TableParagraph"/>
              <w:spacing w:before="71"/>
              <w:ind w:right="18"/>
              <w:jc w:val="center"/>
              <w:rPr>
                <w:sz w:val="22"/>
              </w:rPr>
            </w:pPr>
            <w:r>
              <w:rPr>
                <w:spacing w:val="-4"/>
                <w:sz w:val="22"/>
              </w:rPr>
              <w:t>22.5</w:t>
            </w:r>
          </w:p>
        </w:tc>
      </w:tr>
      <w:tr>
        <w:trPr>
          <w:trHeight w:val="450" w:hRule="atLeast"/>
        </w:trPr>
        <w:tc>
          <w:tcPr>
            <w:tcW w:w="1087" w:type="dxa"/>
          </w:tcPr>
          <w:p>
            <w:pPr>
              <w:pStyle w:val="TableParagraph"/>
              <w:spacing w:before="70"/>
              <w:ind w:right="246"/>
              <w:jc w:val="center"/>
              <w:rPr>
                <w:sz w:val="22"/>
              </w:rPr>
            </w:pPr>
            <w:r>
              <w:rPr>
                <w:sz w:val="22"/>
              </w:rPr>
              <w:t>ES</w:t>
            </w:r>
            <w:r>
              <w:rPr>
                <w:spacing w:val="-1"/>
                <w:sz w:val="22"/>
              </w:rPr>
              <w:t> </w:t>
            </w:r>
            <w:r>
              <w:rPr>
                <w:spacing w:val="-5"/>
                <w:sz w:val="22"/>
              </w:rPr>
              <w:t>876</w:t>
            </w:r>
          </w:p>
        </w:tc>
        <w:tc>
          <w:tcPr>
            <w:tcW w:w="864" w:type="dxa"/>
          </w:tcPr>
          <w:p>
            <w:pPr>
              <w:pStyle w:val="TableParagraph"/>
              <w:spacing w:before="70"/>
              <w:ind w:left="33"/>
              <w:jc w:val="center"/>
              <w:rPr>
                <w:sz w:val="22"/>
              </w:rPr>
            </w:pPr>
            <w:r>
              <w:rPr>
                <w:spacing w:val="-4"/>
                <w:sz w:val="22"/>
              </w:rPr>
              <w:t>17.5</w:t>
            </w:r>
          </w:p>
        </w:tc>
        <w:tc>
          <w:tcPr>
            <w:tcW w:w="840" w:type="dxa"/>
          </w:tcPr>
          <w:p>
            <w:pPr>
              <w:pStyle w:val="TableParagraph"/>
              <w:spacing w:before="70"/>
              <w:ind w:left="20" w:right="31"/>
              <w:jc w:val="center"/>
              <w:rPr>
                <w:sz w:val="22"/>
              </w:rPr>
            </w:pPr>
            <w:r>
              <w:rPr>
                <w:spacing w:val="-4"/>
                <w:sz w:val="22"/>
              </w:rPr>
              <w:t>25.0</w:t>
            </w:r>
          </w:p>
        </w:tc>
        <w:tc>
          <w:tcPr>
            <w:tcW w:w="903" w:type="dxa"/>
          </w:tcPr>
          <w:p>
            <w:pPr>
              <w:pStyle w:val="TableParagraph"/>
              <w:spacing w:before="70"/>
              <w:ind w:right="55"/>
              <w:jc w:val="center"/>
              <w:rPr>
                <w:sz w:val="22"/>
              </w:rPr>
            </w:pPr>
            <w:r>
              <w:rPr>
                <w:spacing w:val="-4"/>
                <w:sz w:val="22"/>
              </w:rPr>
              <w:t>15.0</w:t>
            </w:r>
          </w:p>
        </w:tc>
        <w:tc>
          <w:tcPr>
            <w:tcW w:w="778" w:type="dxa"/>
          </w:tcPr>
          <w:p>
            <w:pPr>
              <w:pStyle w:val="TableParagraph"/>
              <w:spacing w:before="70"/>
              <w:ind w:left="4"/>
              <w:jc w:val="center"/>
              <w:rPr>
                <w:sz w:val="22"/>
              </w:rPr>
            </w:pPr>
            <w:r>
              <w:rPr>
                <w:spacing w:val="-5"/>
                <w:sz w:val="22"/>
              </w:rPr>
              <w:t>25</w:t>
            </w:r>
          </w:p>
        </w:tc>
        <w:tc>
          <w:tcPr>
            <w:tcW w:w="889" w:type="dxa"/>
          </w:tcPr>
          <w:p>
            <w:pPr>
              <w:pStyle w:val="TableParagraph"/>
              <w:spacing w:before="70"/>
              <w:ind w:left="36"/>
              <w:jc w:val="center"/>
              <w:rPr>
                <w:sz w:val="22"/>
              </w:rPr>
            </w:pPr>
            <w:r>
              <w:rPr>
                <w:spacing w:val="-4"/>
                <w:sz w:val="22"/>
              </w:rPr>
              <w:t>17.5</w:t>
            </w:r>
          </w:p>
        </w:tc>
        <w:tc>
          <w:tcPr>
            <w:tcW w:w="841" w:type="dxa"/>
          </w:tcPr>
          <w:p>
            <w:pPr>
              <w:pStyle w:val="TableParagraph"/>
              <w:spacing w:before="70"/>
              <w:ind w:right="6"/>
              <w:jc w:val="center"/>
              <w:rPr>
                <w:sz w:val="22"/>
              </w:rPr>
            </w:pPr>
            <w:r>
              <w:rPr>
                <w:spacing w:val="-4"/>
                <w:sz w:val="22"/>
              </w:rPr>
              <w:t>25.0</w:t>
            </w:r>
          </w:p>
        </w:tc>
        <w:tc>
          <w:tcPr>
            <w:tcW w:w="830" w:type="dxa"/>
          </w:tcPr>
          <w:p>
            <w:pPr>
              <w:pStyle w:val="TableParagraph"/>
              <w:spacing w:before="70"/>
              <w:ind w:left="10" w:right="10"/>
              <w:jc w:val="center"/>
              <w:rPr>
                <w:sz w:val="22"/>
              </w:rPr>
            </w:pPr>
            <w:r>
              <w:rPr>
                <w:spacing w:val="-4"/>
                <w:sz w:val="22"/>
              </w:rPr>
              <w:t>17.5</w:t>
            </w:r>
          </w:p>
        </w:tc>
        <w:tc>
          <w:tcPr>
            <w:tcW w:w="826" w:type="dxa"/>
          </w:tcPr>
          <w:p>
            <w:pPr>
              <w:pStyle w:val="TableParagraph"/>
              <w:spacing w:before="70"/>
              <w:ind w:right="15"/>
              <w:jc w:val="center"/>
              <w:rPr>
                <w:sz w:val="22"/>
              </w:rPr>
            </w:pPr>
            <w:r>
              <w:rPr>
                <w:spacing w:val="-4"/>
                <w:sz w:val="22"/>
              </w:rPr>
              <w:t>25.0</w:t>
            </w:r>
          </w:p>
        </w:tc>
        <w:tc>
          <w:tcPr>
            <w:tcW w:w="830" w:type="dxa"/>
          </w:tcPr>
          <w:p>
            <w:pPr>
              <w:pStyle w:val="TableParagraph"/>
              <w:spacing w:before="70"/>
              <w:ind w:right="10"/>
              <w:jc w:val="center"/>
              <w:rPr>
                <w:sz w:val="22"/>
              </w:rPr>
            </w:pPr>
            <w:r>
              <w:rPr>
                <w:spacing w:val="-4"/>
                <w:sz w:val="22"/>
              </w:rPr>
              <w:t>25.0</w:t>
            </w:r>
          </w:p>
        </w:tc>
        <w:tc>
          <w:tcPr>
            <w:tcW w:w="835" w:type="dxa"/>
          </w:tcPr>
          <w:p>
            <w:pPr>
              <w:pStyle w:val="TableParagraph"/>
              <w:spacing w:before="70"/>
              <w:ind w:right="18"/>
              <w:jc w:val="center"/>
              <w:rPr>
                <w:sz w:val="22"/>
              </w:rPr>
            </w:pPr>
            <w:r>
              <w:rPr>
                <w:spacing w:val="-4"/>
                <w:sz w:val="22"/>
              </w:rPr>
              <w:t>40.0</w:t>
            </w:r>
          </w:p>
        </w:tc>
      </w:tr>
      <w:tr>
        <w:trPr>
          <w:trHeight w:val="450" w:hRule="atLeast"/>
        </w:trPr>
        <w:tc>
          <w:tcPr>
            <w:tcW w:w="1087" w:type="dxa"/>
          </w:tcPr>
          <w:p>
            <w:pPr>
              <w:pStyle w:val="TableParagraph"/>
              <w:spacing w:before="71"/>
              <w:ind w:right="246"/>
              <w:jc w:val="center"/>
              <w:rPr>
                <w:sz w:val="22"/>
              </w:rPr>
            </w:pPr>
            <w:r>
              <w:rPr>
                <w:sz w:val="22"/>
              </w:rPr>
              <w:t>ES</w:t>
            </w:r>
            <w:r>
              <w:rPr>
                <w:spacing w:val="-1"/>
                <w:sz w:val="22"/>
              </w:rPr>
              <w:t> </w:t>
            </w:r>
            <w:r>
              <w:rPr>
                <w:spacing w:val="-5"/>
                <w:sz w:val="22"/>
              </w:rPr>
              <w:t>877</w:t>
            </w:r>
          </w:p>
        </w:tc>
        <w:tc>
          <w:tcPr>
            <w:tcW w:w="864" w:type="dxa"/>
          </w:tcPr>
          <w:p>
            <w:pPr>
              <w:pStyle w:val="TableParagraph"/>
              <w:spacing w:before="71"/>
              <w:ind w:left="33"/>
              <w:jc w:val="center"/>
              <w:rPr>
                <w:sz w:val="22"/>
              </w:rPr>
            </w:pPr>
            <w:r>
              <w:rPr>
                <w:spacing w:val="-4"/>
                <w:sz w:val="22"/>
              </w:rPr>
              <w:t>35.0</w:t>
            </w:r>
          </w:p>
        </w:tc>
        <w:tc>
          <w:tcPr>
            <w:tcW w:w="840" w:type="dxa"/>
          </w:tcPr>
          <w:p>
            <w:pPr>
              <w:pStyle w:val="TableParagraph"/>
              <w:spacing w:before="71"/>
              <w:ind w:left="20" w:right="31"/>
              <w:jc w:val="center"/>
              <w:rPr>
                <w:sz w:val="22"/>
              </w:rPr>
            </w:pPr>
            <w:r>
              <w:rPr>
                <w:spacing w:val="-4"/>
                <w:sz w:val="22"/>
              </w:rPr>
              <w:t>50.0</w:t>
            </w:r>
          </w:p>
        </w:tc>
        <w:tc>
          <w:tcPr>
            <w:tcW w:w="903" w:type="dxa"/>
          </w:tcPr>
          <w:p>
            <w:pPr>
              <w:pStyle w:val="TableParagraph"/>
              <w:spacing w:before="71"/>
              <w:ind w:right="55"/>
              <w:jc w:val="center"/>
              <w:rPr>
                <w:sz w:val="22"/>
              </w:rPr>
            </w:pPr>
            <w:r>
              <w:rPr>
                <w:spacing w:val="-4"/>
                <w:sz w:val="22"/>
              </w:rPr>
              <w:t>25.0</w:t>
            </w:r>
          </w:p>
        </w:tc>
        <w:tc>
          <w:tcPr>
            <w:tcW w:w="778" w:type="dxa"/>
          </w:tcPr>
          <w:p>
            <w:pPr>
              <w:pStyle w:val="TableParagraph"/>
              <w:spacing w:before="71"/>
              <w:ind w:left="4"/>
              <w:jc w:val="center"/>
              <w:rPr>
                <w:sz w:val="22"/>
              </w:rPr>
            </w:pPr>
            <w:r>
              <w:rPr>
                <w:spacing w:val="-5"/>
                <w:sz w:val="22"/>
              </w:rPr>
              <w:t>40</w:t>
            </w:r>
          </w:p>
        </w:tc>
        <w:tc>
          <w:tcPr>
            <w:tcW w:w="889" w:type="dxa"/>
          </w:tcPr>
          <w:p>
            <w:pPr>
              <w:pStyle w:val="TableParagraph"/>
              <w:spacing w:before="71"/>
              <w:ind w:left="36"/>
              <w:jc w:val="center"/>
              <w:rPr>
                <w:sz w:val="22"/>
              </w:rPr>
            </w:pPr>
            <w:r>
              <w:rPr>
                <w:spacing w:val="-4"/>
                <w:sz w:val="22"/>
              </w:rPr>
              <w:t>15.0</w:t>
            </w:r>
          </w:p>
        </w:tc>
        <w:tc>
          <w:tcPr>
            <w:tcW w:w="841" w:type="dxa"/>
          </w:tcPr>
          <w:p>
            <w:pPr>
              <w:pStyle w:val="TableParagraph"/>
              <w:spacing w:before="71"/>
              <w:ind w:right="6"/>
              <w:jc w:val="center"/>
              <w:rPr>
                <w:sz w:val="22"/>
              </w:rPr>
            </w:pPr>
            <w:r>
              <w:rPr>
                <w:spacing w:val="-4"/>
                <w:sz w:val="22"/>
              </w:rPr>
              <w:t>25.0</w:t>
            </w:r>
          </w:p>
        </w:tc>
        <w:tc>
          <w:tcPr>
            <w:tcW w:w="830" w:type="dxa"/>
          </w:tcPr>
          <w:p>
            <w:pPr>
              <w:pStyle w:val="TableParagraph"/>
              <w:spacing w:before="71"/>
              <w:ind w:left="10" w:right="10"/>
              <w:jc w:val="center"/>
              <w:rPr>
                <w:sz w:val="22"/>
              </w:rPr>
            </w:pPr>
            <w:r>
              <w:rPr>
                <w:spacing w:val="-4"/>
                <w:sz w:val="22"/>
              </w:rPr>
              <w:t>17.5</w:t>
            </w:r>
          </w:p>
        </w:tc>
        <w:tc>
          <w:tcPr>
            <w:tcW w:w="826" w:type="dxa"/>
          </w:tcPr>
          <w:p>
            <w:pPr>
              <w:pStyle w:val="TableParagraph"/>
              <w:spacing w:before="71"/>
              <w:ind w:right="15"/>
              <w:jc w:val="center"/>
              <w:rPr>
                <w:sz w:val="22"/>
              </w:rPr>
            </w:pPr>
            <w:r>
              <w:rPr>
                <w:spacing w:val="-4"/>
                <w:sz w:val="22"/>
              </w:rPr>
              <w:t>25.0</w:t>
            </w:r>
          </w:p>
        </w:tc>
        <w:tc>
          <w:tcPr>
            <w:tcW w:w="830" w:type="dxa"/>
          </w:tcPr>
          <w:p>
            <w:pPr>
              <w:pStyle w:val="TableParagraph"/>
              <w:spacing w:before="71"/>
              <w:ind w:right="10"/>
              <w:jc w:val="center"/>
              <w:rPr>
                <w:sz w:val="22"/>
              </w:rPr>
            </w:pPr>
            <w:r>
              <w:rPr>
                <w:spacing w:val="-4"/>
                <w:sz w:val="22"/>
              </w:rPr>
              <w:t>25.0</w:t>
            </w:r>
          </w:p>
        </w:tc>
        <w:tc>
          <w:tcPr>
            <w:tcW w:w="835" w:type="dxa"/>
          </w:tcPr>
          <w:p>
            <w:pPr>
              <w:pStyle w:val="TableParagraph"/>
              <w:spacing w:before="71"/>
              <w:ind w:right="18"/>
              <w:jc w:val="center"/>
              <w:rPr>
                <w:sz w:val="22"/>
              </w:rPr>
            </w:pPr>
            <w:r>
              <w:rPr>
                <w:spacing w:val="-4"/>
                <w:sz w:val="22"/>
              </w:rPr>
              <w:t>50.0</w:t>
            </w:r>
          </w:p>
        </w:tc>
      </w:tr>
      <w:tr>
        <w:trPr>
          <w:trHeight w:val="450" w:hRule="atLeast"/>
        </w:trPr>
        <w:tc>
          <w:tcPr>
            <w:tcW w:w="1087" w:type="dxa"/>
          </w:tcPr>
          <w:p>
            <w:pPr>
              <w:pStyle w:val="TableParagraph"/>
              <w:spacing w:before="70"/>
              <w:ind w:right="246"/>
              <w:jc w:val="center"/>
              <w:rPr>
                <w:sz w:val="22"/>
              </w:rPr>
            </w:pPr>
            <w:r>
              <w:rPr>
                <w:sz w:val="22"/>
              </w:rPr>
              <w:t>ES</w:t>
            </w:r>
            <w:r>
              <w:rPr>
                <w:spacing w:val="-1"/>
                <w:sz w:val="22"/>
              </w:rPr>
              <w:t> </w:t>
            </w:r>
            <w:r>
              <w:rPr>
                <w:spacing w:val="-5"/>
                <w:sz w:val="22"/>
              </w:rPr>
              <w:t>895</w:t>
            </w:r>
          </w:p>
        </w:tc>
        <w:tc>
          <w:tcPr>
            <w:tcW w:w="864" w:type="dxa"/>
          </w:tcPr>
          <w:p>
            <w:pPr>
              <w:pStyle w:val="TableParagraph"/>
              <w:spacing w:before="70"/>
              <w:ind w:left="33"/>
              <w:jc w:val="center"/>
              <w:rPr>
                <w:sz w:val="22"/>
              </w:rPr>
            </w:pPr>
            <w:r>
              <w:rPr>
                <w:spacing w:val="-4"/>
                <w:sz w:val="22"/>
              </w:rPr>
              <w:t>20.0</w:t>
            </w:r>
          </w:p>
        </w:tc>
        <w:tc>
          <w:tcPr>
            <w:tcW w:w="840" w:type="dxa"/>
          </w:tcPr>
          <w:p>
            <w:pPr>
              <w:pStyle w:val="TableParagraph"/>
              <w:spacing w:before="70"/>
              <w:ind w:left="20" w:right="31"/>
              <w:jc w:val="center"/>
              <w:rPr>
                <w:sz w:val="22"/>
              </w:rPr>
            </w:pPr>
            <w:r>
              <w:rPr>
                <w:spacing w:val="-4"/>
                <w:sz w:val="22"/>
              </w:rPr>
              <w:t>35.0</w:t>
            </w:r>
          </w:p>
        </w:tc>
        <w:tc>
          <w:tcPr>
            <w:tcW w:w="903" w:type="dxa"/>
          </w:tcPr>
          <w:p>
            <w:pPr>
              <w:pStyle w:val="TableParagraph"/>
              <w:spacing w:before="70"/>
              <w:ind w:right="55"/>
              <w:jc w:val="center"/>
              <w:rPr>
                <w:sz w:val="22"/>
              </w:rPr>
            </w:pPr>
            <w:r>
              <w:rPr>
                <w:spacing w:val="-4"/>
                <w:sz w:val="22"/>
              </w:rPr>
              <w:t>20.0</w:t>
            </w:r>
          </w:p>
        </w:tc>
        <w:tc>
          <w:tcPr>
            <w:tcW w:w="778" w:type="dxa"/>
          </w:tcPr>
          <w:p>
            <w:pPr>
              <w:pStyle w:val="TableParagraph"/>
              <w:spacing w:before="70"/>
              <w:ind w:left="4"/>
              <w:jc w:val="center"/>
              <w:rPr>
                <w:sz w:val="22"/>
              </w:rPr>
            </w:pPr>
            <w:r>
              <w:rPr>
                <w:spacing w:val="-5"/>
                <w:sz w:val="22"/>
              </w:rPr>
              <w:t>40</w:t>
            </w:r>
          </w:p>
        </w:tc>
        <w:tc>
          <w:tcPr>
            <w:tcW w:w="889" w:type="dxa"/>
          </w:tcPr>
          <w:p>
            <w:pPr>
              <w:pStyle w:val="TableParagraph"/>
              <w:spacing w:before="70"/>
              <w:ind w:left="36"/>
              <w:jc w:val="center"/>
              <w:rPr>
                <w:sz w:val="22"/>
              </w:rPr>
            </w:pPr>
            <w:r>
              <w:rPr>
                <w:spacing w:val="-4"/>
                <w:sz w:val="22"/>
              </w:rPr>
              <w:t>17.5</w:t>
            </w:r>
          </w:p>
        </w:tc>
        <w:tc>
          <w:tcPr>
            <w:tcW w:w="841" w:type="dxa"/>
          </w:tcPr>
          <w:p>
            <w:pPr>
              <w:pStyle w:val="TableParagraph"/>
              <w:spacing w:before="70"/>
              <w:ind w:right="6"/>
              <w:jc w:val="center"/>
              <w:rPr>
                <w:sz w:val="22"/>
              </w:rPr>
            </w:pPr>
            <w:r>
              <w:rPr>
                <w:spacing w:val="-4"/>
                <w:sz w:val="22"/>
              </w:rPr>
              <w:t>25.0</w:t>
            </w:r>
          </w:p>
        </w:tc>
        <w:tc>
          <w:tcPr>
            <w:tcW w:w="830" w:type="dxa"/>
          </w:tcPr>
          <w:p>
            <w:pPr>
              <w:pStyle w:val="TableParagraph"/>
              <w:spacing w:before="70"/>
              <w:ind w:left="10" w:right="10"/>
              <w:jc w:val="center"/>
              <w:rPr>
                <w:sz w:val="22"/>
              </w:rPr>
            </w:pPr>
            <w:r>
              <w:rPr>
                <w:spacing w:val="-4"/>
                <w:sz w:val="22"/>
              </w:rPr>
              <w:t>17.5</w:t>
            </w:r>
          </w:p>
        </w:tc>
        <w:tc>
          <w:tcPr>
            <w:tcW w:w="826" w:type="dxa"/>
          </w:tcPr>
          <w:p>
            <w:pPr>
              <w:pStyle w:val="TableParagraph"/>
              <w:spacing w:before="70"/>
              <w:ind w:right="15"/>
              <w:jc w:val="center"/>
              <w:rPr>
                <w:sz w:val="22"/>
              </w:rPr>
            </w:pPr>
            <w:r>
              <w:rPr>
                <w:spacing w:val="-4"/>
                <w:sz w:val="22"/>
              </w:rPr>
              <w:t>25.0</w:t>
            </w:r>
          </w:p>
        </w:tc>
        <w:tc>
          <w:tcPr>
            <w:tcW w:w="830" w:type="dxa"/>
          </w:tcPr>
          <w:p>
            <w:pPr>
              <w:pStyle w:val="TableParagraph"/>
              <w:spacing w:before="70"/>
              <w:ind w:right="10"/>
              <w:jc w:val="center"/>
              <w:rPr>
                <w:sz w:val="22"/>
              </w:rPr>
            </w:pPr>
            <w:r>
              <w:rPr>
                <w:spacing w:val="-4"/>
                <w:sz w:val="22"/>
              </w:rPr>
              <w:t>25.0</w:t>
            </w:r>
          </w:p>
        </w:tc>
        <w:tc>
          <w:tcPr>
            <w:tcW w:w="835" w:type="dxa"/>
          </w:tcPr>
          <w:p>
            <w:pPr>
              <w:pStyle w:val="TableParagraph"/>
              <w:spacing w:before="70"/>
              <w:ind w:right="18"/>
              <w:jc w:val="center"/>
              <w:rPr>
                <w:sz w:val="22"/>
              </w:rPr>
            </w:pPr>
            <w:r>
              <w:rPr>
                <w:spacing w:val="-4"/>
                <w:sz w:val="22"/>
              </w:rPr>
              <w:t>45.0</w:t>
            </w:r>
          </w:p>
        </w:tc>
      </w:tr>
      <w:tr>
        <w:trPr>
          <w:trHeight w:val="450" w:hRule="atLeast"/>
        </w:trPr>
        <w:tc>
          <w:tcPr>
            <w:tcW w:w="1087" w:type="dxa"/>
          </w:tcPr>
          <w:p>
            <w:pPr>
              <w:pStyle w:val="TableParagraph"/>
              <w:spacing w:before="71"/>
              <w:ind w:left="111" w:right="239"/>
              <w:jc w:val="center"/>
              <w:rPr>
                <w:sz w:val="22"/>
              </w:rPr>
            </w:pPr>
            <w:r>
              <w:rPr>
                <w:sz w:val="22"/>
              </w:rPr>
              <w:t>SP</w:t>
            </w:r>
            <w:r>
              <w:rPr>
                <w:spacing w:val="1"/>
                <w:sz w:val="22"/>
              </w:rPr>
              <w:t> </w:t>
            </w:r>
            <w:r>
              <w:rPr>
                <w:spacing w:val="-4"/>
                <w:sz w:val="22"/>
              </w:rPr>
              <w:t>1203</w:t>
            </w:r>
          </w:p>
        </w:tc>
        <w:tc>
          <w:tcPr>
            <w:tcW w:w="864" w:type="dxa"/>
          </w:tcPr>
          <w:p>
            <w:pPr>
              <w:pStyle w:val="TableParagraph"/>
              <w:spacing w:before="71"/>
              <w:ind w:left="33"/>
              <w:jc w:val="center"/>
              <w:rPr>
                <w:sz w:val="22"/>
              </w:rPr>
            </w:pPr>
            <w:r>
              <w:rPr>
                <w:spacing w:val="-4"/>
                <w:sz w:val="22"/>
              </w:rPr>
              <w:t>30.0</w:t>
            </w:r>
          </w:p>
        </w:tc>
        <w:tc>
          <w:tcPr>
            <w:tcW w:w="840" w:type="dxa"/>
          </w:tcPr>
          <w:p>
            <w:pPr>
              <w:pStyle w:val="TableParagraph"/>
              <w:spacing w:before="71"/>
              <w:ind w:left="20" w:right="31"/>
              <w:jc w:val="center"/>
              <w:rPr>
                <w:sz w:val="22"/>
              </w:rPr>
            </w:pPr>
            <w:r>
              <w:rPr>
                <w:spacing w:val="-4"/>
                <w:sz w:val="22"/>
              </w:rPr>
              <w:t>50.0</w:t>
            </w:r>
          </w:p>
        </w:tc>
        <w:tc>
          <w:tcPr>
            <w:tcW w:w="903" w:type="dxa"/>
          </w:tcPr>
          <w:p>
            <w:pPr>
              <w:pStyle w:val="TableParagraph"/>
              <w:spacing w:before="71"/>
              <w:ind w:right="55"/>
              <w:jc w:val="center"/>
              <w:rPr>
                <w:sz w:val="22"/>
              </w:rPr>
            </w:pPr>
            <w:r>
              <w:rPr>
                <w:spacing w:val="-4"/>
                <w:sz w:val="22"/>
              </w:rPr>
              <w:t>25.0</w:t>
            </w:r>
          </w:p>
        </w:tc>
        <w:tc>
          <w:tcPr>
            <w:tcW w:w="778" w:type="dxa"/>
          </w:tcPr>
          <w:p>
            <w:pPr>
              <w:pStyle w:val="TableParagraph"/>
              <w:spacing w:before="71"/>
              <w:ind w:left="4"/>
              <w:jc w:val="center"/>
              <w:rPr>
                <w:sz w:val="22"/>
              </w:rPr>
            </w:pPr>
            <w:r>
              <w:rPr>
                <w:spacing w:val="-5"/>
                <w:sz w:val="22"/>
              </w:rPr>
              <w:t>50</w:t>
            </w:r>
          </w:p>
        </w:tc>
        <w:tc>
          <w:tcPr>
            <w:tcW w:w="889" w:type="dxa"/>
          </w:tcPr>
          <w:p>
            <w:pPr>
              <w:pStyle w:val="TableParagraph"/>
              <w:spacing w:before="71"/>
              <w:ind w:left="36"/>
              <w:jc w:val="center"/>
              <w:rPr>
                <w:sz w:val="22"/>
              </w:rPr>
            </w:pPr>
            <w:r>
              <w:rPr>
                <w:spacing w:val="-4"/>
                <w:sz w:val="22"/>
              </w:rPr>
              <w:t>30.0</w:t>
            </w:r>
          </w:p>
        </w:tc>
        <w:tc>
          <w:tcPr>
            <w:tcW w:w="841" w:type="dxa"/>
          </w:tcPr>
          <w:p>
            <w:pPr>
              <w:pStyle w:val="TableParagraph"/>
              <w:spacing w:before="71"/>
              <w:ind w:right="6"/>
              <w:jc w:val="center"/>
              <w:rPr>
                <w:sz w:val="22"/>
              </w:rPr>
            </w:pPr>
            <w:r>
              <w:rPr>
                <w:spacing w:val="-4"/>
                <w:sz w:val="22"/>
              </w:rPr>
              <w:t>50.0</w:t>
            </w:r>
          </w:p>
        </w:tc>
        <w:tc>
          <w:tcPr>
            <w:tcW w:w="830" w:type="dxa"/>
          </w:tcPr>
          <w:p>
            <w:pPr>
              <w:pStyle w:val="TableParagraph"/>
              <w:spacing w:before="71"/>
              <w:ind w:left="10" w:right="10"/>
              <w:jc w:val="center"/>
              <w:rPr>
                <w:sz w:val="22"/>
              </w:rPr>
            </w:pPr>
            <w:r>
              <w:rPr>
                <w:spacing w:val="-4"/>
                <w:sz w:val="22"/>
              </w:rPr>
              <w:t>15.0</w:t>
            </w:r>
          </w:p>
        </w:tc>
        <w:tc>
          <w:tcPr>
            <w:tcW w:w="826" w:type="dxa"/>
          </w:tcPr>
          <w:p>
            <w:pPr>
              <w:pStyle w:val="TableParagraph"/>
              <w:spacing w:before="71"/>
              <w:ind w:right="15"/>
              <w:jc w:val="center"/>
              <w:rPr>
                <w:sz w:val="22"/>
              </w:rPr>
            </w:pPr>
            <w:r>
              <w:rPr>
                <w:spacing w:val="-4"/>
                <w:sz w:val="22"/>
              </w:rPr>
              <w:t>25.0</w:t>
            </w:r>
          </w:p>
        </w:tc>
        <w:tc>
          <w:tcPr>
            <w:tcW w:w="830" w:type="dxa"/>
          </w:tcPr>
          <w:p>
            <w:pPr>
              <w:pStyle w:val="TableParagraph"/>
              <w:spacing w:before="71"/>
              <w:ind w:right="10"/>
              <w:jc w:val="center"/>
              <w:rPr>
                <w:sz w:val="22"/>
              </w:rPr>
            </w:pPr>
            <w:r>
              <w:rPr>
                <w:spacing w:val="-4"/>
                <w:sz w:val="22"/>
              </w:rPr>
              <w:t>15.0</w:t>
            </w:r>
          </w:p>
        </w:tc>
        <w:tc>
          <w:tcPr>
            <w:tcW w:w="835" w:type="dxa"/>
          </w:tcPr>
          <w:p>
            <w:pPr>
              <w:pStyle w:val="TableParagraph"/>
              <w:spacing w:before="71"/>
              <w:ind w:right="18"/>
              <w:jc w:val="center"/>
              <w:rPr>
                <w:sz w:val="22"/>
              </w:rPr>
            </w:pPr>
            <w:r>
              <w:rPr>
                <w:spacing w:val="-4"/>
                <w:sz w:val="22"/>
              </w:rPr>
              <w:t>22.5</w:t>
            </w:r>
          </w:p>
        </w:tc>
      </w:tr>
      <w:tr>
        <w:trPr>
          <w:trHeight w:val="449" w:hRule="atLeast"/>
        </w:trPr>
        <w:tc>
          <w:tcPr>
            <w:tcW w:w="1087" w:type="dxa"/>
          </w:tcPr>
          <w:p>
            <w:pPr>
              <w:pStyle w:val="TableParagraph"/>
              <w:spacing w:before="70"/>
              <w:ind w:left="111" w:right="239"/>
              <w:jc w:val="center"/>
              <w:rPr>
                <w:sz w:val="22"/>
              </w:rPr>
            </w:pPr>
            <w:r>
              <w:rPr>
                <w:sz w:val="22"/>
              </w:rPr>
              <w:t>SP</w:t>
            </w:r>
            <w:r>
              <w:rPr>
                <w:spacing w:val="1"/>
                <w:sz w:val="22"/>
              </w:rPr>
              <w:t> </w:t>
            </w:r>
            <w:r>
              <w:rPr>
                <w:spacing w:val="-4"/>
                <w:sz w:val="22"/>
              </w:rPr>
              <w:t>1204</w:t>
            </w:r>
          </w:p>
        </w:tc>
        <w:tc>
          <w:tcPr>
            <w:tcW w:w="864" w:type="dxa"/>
          </w:tcPr>
          <w:p>
            <w:pPr>
              <w:pStyle w:val="TableParagraph"/>
              <w:spacing w:before="70"/>
              <w:ind w:left="33"/>
              <w:jc w:val="center"/>
              <w:rPr>
                <w:sz w:val="22"/>
              </w:rPr>
            </w:pPr>
            <w:r>
              <w:rPr>
                <w:spacing w:val="-4"/>
                <w:sz w:val="22"/>
              </w:rPr>
              <w:t>25.0</w:t>
            </w:r>
          </w:p>
        </w:tc>
        <w:tc>
          <w:tcPr>
            <w:tcW w:w="840" w:type="dxa"/>
          </w:tcPr>
          <w:p>
            <w:pPr>
              <w:pStyle w:val="TableParagraph"/>
              <w:spacing w:before="70"/>
              <w:ind w:left="20" w:right="31"/>
              <w:jc w:val="center"/>
              <w:rPr>
                <w:sz w:val="22"/>
              </w:rPr>
            </w:pPr>
            <w:r>
              <w:rPr>
                <w:spacing w:val="-4"/>
                <w:sz w:val="22"/>
              </w:rPr>
              <w:t>40.0</w:t>
            </w:r>
          </w:p>
        </w:tc>
        <w:tc>
          <w:tcPr>
            <w:tcW w:w="903" w:type="dxa"/>
          </w:tcPr>
          <w:p>
            <w:pPr>
              <w:pStyle w:val="TableParagraph"/>
              <w:spacing w:before="70"/>
              <w:ind w:right="55"/>
              <w:jc w:val="center"/>
              <w:rPr>
                <w:sz w:val="22"/>
              </w:rPr>
            </w:pPr>
            <w:r>
              <w:rPr>
                <w:spacing w:val="-4"/>
                <w:sz w:val="22"/>
              </w:rPr>
              <w:t>25.0</w:t>
            </w:r>
          </w:p>
        </w:tc>
        <w:tc>
          <w:tcPr>
            <w:tcW w:w="778" w:type="dxa"/>
          </w:tcPr>
          <w:p>
            <w:pPr>
              <w:pStyle w:val="TableParagraph"/>
              <w:spacing w:before="70"/>
              <w:ind w:left="4"/>
              <w:jc w:val="center"/>
              <w:rPr>
                <w:sz w:val="22"/>
              </w:rPr>
            </w:pPr>
            <w:r>
              <w:rPr>
                <w:spacing w:val="-5"/>
                <w:sz w:val="22"/>
              </w:rPr>
              <w:t>45</w:t>
            </w:r>
          </w:p>
        </w:tc>
        <w:tc>
          <w:tcPr>
            <w:tcW w:w="889" w:type="dxa"/>
          </w:tcPr>
          <w:p>
            <w:pPr>
              <w:pStyle w:val="TableParagraph"/>
              <w:spacing w:before="70"/>
              <w:ind w:left="36"/>
              <w:jc w:val="center"/>
              <w:rPr>
                <w:sz w:val="22"/>
              </w:rPr>
            </w:pPr>
            <w:r>
              <w:rPr>
                <w:spacing w:val="-4"/>
                <w:sz w:val="22"/>
              </w:rPr>
              <w:t>17.5</w:t>
            </w:r>
          </w:p>
        </w:tc>
        <w:tc>
          <w:tcPr>
            <w:tcW w:w="841" w:type="dxa"/>
          </w:tcPr>
          <w:p>
            <w:pPr>
              <w:pStyle w:val="TableParagraph"/>
              <w:spacing w:before="70"/>
              <w:ind w:right="6"/>
              <w:jc w:val="center"/>
              <w:rPr>
                <w:sz w:val="22"/>
              </w:rPr>
            </w:pPr>
            <w:r>
              <w:rPr>
                <w:spacing w:val="-4"/>
                <w:sz w:val="22"/>
              </w:rPr>
              <w:t>25.0</w:t>
            </w:r>
          </w:p>
        </w:tc>
        <w:tc>
          <w:tcPr>
            <w:tcW w:w="830" w:type="dxa"/>
          </w:tcPr>
          <w:p>
            <w:pPr>
              <w:pStyle w:val="TableParagraph"/>
              <w:spacing w:before="70"/>
              <w:ind w:left="10" w:right="10"/>
              <w:jc w:val="center"/>
              <w:rPr>
                <w:sz w:val="22"/>
              </w:rPr>
            </w:pPr>
            <w:r>
              <w:rPr>
                <w:spacing w:val="-4"/>
                <w:sz w:val="22"/>
              </w:rPr>
              <w:t>15.0</w:t>
            </w:r>
          </w:p>
        </w:tc>
        <w:tc>
          <w:tcPr>
            <w:tcW w:w="826" w:type="dxa"/>
          </w:tcPr>
          <w:p>
            <w:pPr>
              <w:pStyle w:val="TableParagraph"/>
              <w:spacing w:before="70"/>
              <w:ind w:right="15"/>
              <w:jc w:val="center"/>
              <w:rPr>
                <w:sz w:val="22"/>
              </w:rPr>
            </w:pPr>
            <w:r>
              <w:rPr>
                <w:spacing w:val="-4"/>
                <w:sz w:val="22"/>
              </w:rPr>
              <w:t>25.0</w:t>
            </w:r>
          </w:p>
        </w:tc>
        <w:tc>
          <w:tcPr>
            <w:tcW w:w="830" w:type="dxa"/>
          </w:tcPr>
          <w:p>
            <w:pPr>
              <w:pStyle w:val="TableParagraph"/>
              <w:spacing w:before="70"/>
              <w:ind w:right="10"/>
              <w:jc w:val="center"/>
              <w:rPr>
                <w:sz w:val="22"/>
              </w:rPr>
            </w:pPr>
            <w:r>
              <w:rPr>
                <w:spacing w:val="-4"/>
                <w:sz w:val="22"/>
              </w:rPr>
              <w:t>17.5</w:t>
            </w:r>
          </w:p>
        </w:tc>
        <w:tc>
          <w:tcPr>
            <w:tcW w:w="835" w:type="dxa"/>
          </w:tcPr>
          <w:p>
            <w:pPr>
              <w:pStyle w:val="TableParagraph"/>
              <w:spacing w:before="70"/>
              <w:ind w:right="18"/>
              <w:jc w:val="center"/>
              <w:rPr>
                <w:sz w:val="22"/>
              </w:rPr>
            </w:pPr>
            <w:r>
              <w:rPr>
                <w:spacing w:val="-4"/>
                <w:sz w:val="22"/>
              </w:rPr>
              <w:t>25.0</w:t>
            </w:r>
          </w:p>
        </w:tc>
      </w:tr>
      <w:tr>
        <w:trPr>
          <w:trHeight w:val="450" w:hRule="atLeast"/>
        </w:trPr>
        <w:tc>
          <w:tcPr>
            <w:tcW w:w="1087" w:type="dxa"/>
          </w:tcPr>
          <w:p>
            <w:pPr>
              <w:pStyle w:val="TableParagraph"/>
              <w:spacing w:before="70"/>
              <w:ind w:left="111" w:right="239"/>
              <w:jc w:val="center"/>
              <w:rPr>
                <w:sz w:val="22"/>
              </w:rPr>
            </w:pPr>
            <w:r>
              <w:rPr>
                <w:sz w:val="22"/>
              </w:rPr>
              <w:t>SP</w:t>
            </w:r>
            <w:r>
              <w:rPr>
                <w:spacing w:val="1"/>
                <w:sz w:val="22"/>
              </w:rPr>
              <w:t> </w:t>
            </w:r>
            <w:r>
              <w:rPr>
                <w:spacing w:val="-4"/>
                <w:sz w:val="22"/>
              </w:rPr>
              <w:t>1205</w:t>
            </w:r>
          </w:p>
        </w:tc>
        <w:tc>
          <w:tcPr>
            <w:tcW w:w="864" w:type="dxa"/>
          </w:tcPr>
          <w:p>
            <w:pPr>
              <w:pStyle w:val="TableParagraph"/>
              <w:spacing w:before="70"/>
              <w:ind w:left="33"/>
              <w:jc w:val="center"/>
              <w:rPr>
                <w:sz w:val="22"/>
              </w:rPr>
            </w:pPr>
            <w:r>
              <w:rPr>
                <w:spacing w:val="-4"/>
                <w:sz w:val="22"/>
              </w:rPr>
              <w:t>25.0</w:t>
            </w:r>
          </w:p>
        </w:tc>
        <w:tc>
          <w:tcPr>
            <w:tcW w:w="840" w:type="dxa"/>
          </w:tcPr>
          <w:p>
            <w:pPr>
              <w:pStyle w:val="TableParagraph"/>
              <w:spacing w:before="70"/>
              <w:ind w:left="20" w:right="31"/>
              <w:jc w:val="center"/>
              <w:rPr>
                <w:sz w:val="22"/>
              </w:rPr>
            </w:pPr>
            <w:r>
              <w:rPr>
                <w:spacing w:val="-4"/>
                <w:sz w:val="22"/>
              </w:rPr>
              <w:t>50.0</w:t>
            </w:r>
          </w:p>
        </w:tc>
        <w:tc>
          <w:tcPr>
            <w:tcW w:w="903" w:type="dxa"/>
          </w:tcPr>
          <w:p>
            <w:pPr>
              <w:pStyle w:val="TableParagraph"/>
              <w:spacing w:before="70"/>
              <w:ind w:right="55"/>
              <w:jc w:val="center"/>
              <w:rPr>
                <w:sz w:val="22"/>
              </w:rPr>
            </w:pPr>
            <w:r>
              <w:rPr>
                <w:spacing w:val="-4"/>
                <w:sz w:val="22"/>
              </w:rPr>
              <w:t>25.0</w:t>
            </w:r>
          </w:p>
        </w:tc>
        <w:tc>
          <w:tcPr>
            <w:tcW w:w="778" w:type="dxa"/>
          </w:tcPr>
          <w:p>
            <w:pPr>
              <w:pStyle w:val="TableParagraph"/>
              <w:spacing w:before="70"/>
              <w:ind w:left="4"/>
              <w:jc w:val="center"/>
              <w:rPr>
                <w:sz w:val="22"/>
              </w:rPr>
            </w:pPr>
            <w:r>
              <w:rPr>
                <w:spacing w:val="-5"/>
                <w:sz w:val="22"/>
              </w:rPr>
              <w:t>50</w:t>
            </w:r>
          </w:p>
        </w:tc>
        <w:tc>
          <w:tcPr>
            <w:tcW w:w="889" w:type="dxa"/>
          </w:tcPr>
          <w:p>
            <w:pPr>
              <w:pStyle w:val="TableParagraph"/>
              <w:spacing w:before="70"/>
              <w:ind w:left="36"/>
              <w:jc w:val="center"/>
              <w:rPr>
                <w:sz w:val="22"/>
              </w:rPr>
            </w:pPr>
            <w:r>
              <w:rPr>
                <w:spacing w:val="-4"/>
                <w:sz w:val="22"/>
              </w:rPr>
              <w:t>30.0</w:t>
            </w:r>
          </w:p>
        </w:tc>
        <w:tc>
          <w:tcPr>
            <w:tcW w:w="841" w:type="dxa"/>
          </w:tcPr>
          <w:p>
            <w:pPr>
              <w:pStyle w:val="TableParagraph"/>
              <w:spacing w:before="70"/>
              <w:ind w:right="6"/>
              <w:jc w:val="center"/>
              <w:rPr>
                <w:sz w:val="22"/>
              </w:rPr>
            </w:pPr>
            <w:r>
              <w:rPr>
                <w:spacing w:val="-4"/>
                <w:sz w:val="22"/>
              </w:rPr>
              <w:t>45.0</w:t>
            </w:r>
          </w:p>
        </w:tc>
        <w:tc>
          <w:tcPr>
            <w:tcW w:w="830" w:type="dxa"/>
          </w:tcPr>
          <w:p>
            <w:pPr>
              <w:pStyle w:val="TableParagraph"/>
              <w:spacing w:before="70"/>
              <w:ind w:left="10" w:right="10"/>
              <w:jc w:val="center"/>
              <w:rPr>
                <w:sz w:val="22"/>
              </w:rPr>
            </w:pPr>
            <w:r>
              <w:rPr>
                <w:spacing w:val="-4"/>
                <w:sz w:val="22"/>
              </w:rPr>
              <w:t>25.0</w:t>
            </w:r>
          </w:p>
        </w:tc>
        <w:tc>
          <w:tcPr>
            <w:tcW w:w="826" w:type="dxa"/>
          </w:tcPr>
          <w:p>
            <w:pPr>
              <w:pStyle w:val="TableParagraph"/>
              <w:spacing w:before="70"/>
              <w:ind w:right="15"/>
              <w:jc w:val="center"/>
              <w:rPr>
                <w:sz w:val="22"/>
              </w:rPr>
            </w:pPr>
            <w:r>
              <w:rPr>
                <w:spacing w:val="-4"/>
                <w:sz w:val="22"/>
              </w:rPr>
              <w:t>40.0</w:t>
            </w:r>
          </w:p>
        </w:tc>
        <w:tc>
          <w:tcPr>
            <w:tcW w:w="830" w:type="dxa"/>
          </w:tcPr>
          <w:p>
            <w:pPr>
              <w:pStyle w:val="TableParagraph"/>
              <w:spacing w:before="70"/>
              <w:ind w:right="10"/>
              <w:jc w:val="center"/>
              <w:rPr>
                <w:sz w:val="22"/>
              </w:rPr>
            </w:pPr>
            <w:r>
              <w:rPr>
                <w:spacing w:val="-4"/>
                <w:sz w:val="22"/>
              </w:rPr>
              <w:t>25.0</w:t>
            </w:r>
          </w:p>
        </w:tc>
        <w:tc>
          <w:tcPr>
            <w:tcW w:w="835" w:type="dxa"/>
          </w:tcPr>
          <w:p>
            <w:pPr>
              <w:pStyle w:val="TableParagraph"/>
              <w:spacing w:before="70"/>
              <w:ind w:right="18"/>
              <w:jc w:val="center"/>
              <w:rPr>
                <w:sz w:val="22"/>
              </w:rPr>
            </w:pPr>
            <w:r>
              <w:rPr>
                <w:spacing w:val="-4"/>
                <w:sz w:val="22"/>
              </w:rPr>
              <w:t>40.0</w:t>
            </w:r>
          </w:p>
        </w:tc>
      </w:tr>
      <w:tr>
        <w:trPr>
          <w:trHeight w:val="450" w:hRule="atLeast"/>
        </w:trPr>
        <w:tc>
          <w:tcPr>
            <w:tcW w:w="1087" w:type="dxa"/>
          </w:tcPr>
          <w:p>
            <w:pPr>
              <w:pStyle w:val="TableParagraph"/>
              <w:spacing w:before="71"/>
              <w:ind w:right="239"/>
              <w:jc w:val="center"/>
              <w:rPr>
                <w:sz w:val="22"/>
              </w:rPr>
            </w:pPr>
            <w:r>
              <w:rPr>
                <w:sz w:val="22"/>
              </w:rPr>
              <w:t>SP </w:t>
            </w:r>
            <w:r>
              <w:rPr>
                <w:spacing w:val="-5"/>
                <w:sz w:val="22"/>
              </w:rPr>
              <w:t>259</w:t>
            </w:r>
          </w:p>
        </w:tc>
        <w:tc>
          <w:tcPr>
            <w:tcW w:w="864" w:type="dxa"/>
          </w:tcPr>
          <w:p>
            <w:pPr>
              <w:pStyle w:val="TableParagraph"/>
              <w:spacing w:before="71"/>
              <w:ind w:left="33"/>
              <w:jc w:val="center"/>
              <w:rPr>
                <w:sz w:val="22"/>
              </w:rPr>
            </w:pPr>
            <w:r>
              <w:rPr>
                <w:spacing w:val="-4"/>
                <w:sz w:val="22"/>
              </w:rPr>
              <w:t>25.0</w:t>
            </w:r>
          </w:p>
        </w:tc>
        <w:tc>
          <w:tcPr>
            <w:tcW w:w="840" w:type="dxa"/>
          </w:tcPr>
          <w:p>
            <w:pPr>
              <w:pStyle w:val="TableParagraph"/>
              <w:spacing w:before="71"/>
              <w:ind w:left="20" w:right="31"/>
              <w:jc w:val="center"/>
              <w:rPr>
                <w:sz w:val="22"/>
              </w:rPr>
            </w:pPr>
            <w:r>
              <w:rPr>
                <w:spacing w:val="-4"/>
                <w:sz w:val="22"/>
              </w:rPr>
              <w:t>40.0</w:t>
            </w:r>
          </w:p>
        </w:tc>
        <w:tc>
          <w:tcPr>
            <w:tcW w:w="903" w:type="dxa"/>
          </w:tcPr>
          <w:p>
            <w:pPr>
              <w:pStyle w:val="TableParagraph"/>
              <w:spacing w:before="71"/>
              <w:ind w:right="55"/>
              <w:jc w:val="center"/>
              <w:rPr>
                <w:sz w:val="22"/>
              </w:rPr>
            </w:pPr>
            <w:r>
              <w:rPr>
                <w:spacing w:val="-4"/>
                <w:sz w:val="22"/>
              </w:rPr>
              <w:t>20.0</w:t>
            </w:r>
          </w:p>
        </w:tc>
        <w:tc>
          <w:tcPr>
            <w:tcW w:w="778" w:type="dxa"/>
          </w:tcPr>
          <w:p>
            <w:pPr>
              <w:pStyle w:val="TableParagraph"/>
              <w:spacing w:before="71"/>
              <w:ind w:left="4"/>
              <w:jc w:val="center"/>
              <w:rPr>
                <w:sz w:val="22"/>
              </w:rPr>
            </w:pPr>
            <w:r>
              <w:rPr>
                <w:spacing w:val="-5"/>
                <w:sz w:val="22"/>
              </w:rPr>
              <w:t>35</w:t>
            </w:r>
          </w:p>
        </w:tc>
        <w:tc>
          <w:tcPr>
            <w:tcW w:w="889" w:type="dxa"/>
          </w:tcPr>
          <w:p>
            <w:pPr>
              <w:pStyle w:val="TableParagraph"/>
              <w:spacing w:before="71"/>
              <w:ind w:left="36"/>
              <w:jc w:val="center"/>
              <w:rPr>
                <w:sz w:val="22"/>
              </w:rPr>
            </w:pPr>
            <w:r>
              <w:rPr>
                <w:spacing w:val="-4"/>
                <w:sz w:val="22"/>
              </w:rPr>
              <w:t>17.5</w:t>
            </w:r>
          </w:p>
        </w:tc>
        <w:tc>
          <w:tcPr>
            <w:tcW w:w="841" w:type="dxa"/>
          </w:tcPr>
          <w:p>
            <w:pPr>
              <w:pStyle w:val="TableParagraph"/>
              <w:spacing w:before="71"/>
              <w:ind w:right="6"/>
              <w:jc w:val="center"/>
              <w:rPr>
                <w:sz w:val="22"/>
              </w:rPr>
            </w:pPr>
            <w:r>
              <w:rPr>
                <w:spacing w:val="-4"/>
                <w:sz w:val="22"/>
              </w:rPr>
              <w:t>25.0</w:t>
            </w:r>
          </w:p>
        </w:tc>
        <w:tc>
          <w:tcPr>
            <w:tcW w:w="830" w:type="dxa"/>
          </w:tcPr>
          <w:p>
            <w:pPr>
              <w:pStyle w:val="TableParagraph"/>
              <w:spacing w:before="71"/>
              <w:ind w:left="10" w:right="10"/>
              <w:jc w:val="center"/>
              <w:rPr>
                <w:sz w:val="22"/>
              </w:rPr>
            </w:pPr>
            <w:r>
              <w:rPr>
                <w:spacing w:val="-4"/>
                <w:sz w:val="22"/>
              </w:rPr>
              <w:t>17.5</w:t>
            </w:r>
          </w:p>
        </w:tc>
        <w:tc>
          <w:tcPr>
            <w:tcW w:w="826" w:type="dxa"/>
          </w:tcPr>
          <w:p>
            <w:pPr>
              <w:pStyle w:val="TableParagraph"/>
              <w:spacing w:before="71"/>
              <w:ind w:right="15"/>
              <w:jc w:val="center"/>
              <w:rPr>
                <w:sz w:val="22"/>
              </w:rPr>
            </w:pPr>
            <w:r>
              <w:rPr>
                <w:spacing w:val="-4"/>
                <w:sz w:val="22"/>
              </w:rPr>
              <w:t>25.0</w:t>
            </w:r>
          </w:p>
        </w:tc>
        <w:tc>
          <w:tcPr>
            <w:tcW w:w="830" w:type="dxa"/>
          </w:tcPr>
          <w:p>
            <w:pPr>
              <w:pStyle w:val="TableParagraph"/>
              <w:spacing w:before="71"/>
              <w:ind w:right="10"/>
              <w:jc w:val="center"/>
              <w:rPr>
                <w:sz w:val="22"/>
              </w:rPr>
            </w:pPr>
            <w:r>
              <w:rPr>
                <w:spacing w:val="-4"/>
                <w:sz w:val="22"/>
              </w:rPr>
              <w:t>25.0</w:t>
            </w:r>
          </w:p>
        </w:tc>
        <w:tc>
          <w:tcPr>
            <w:tcW w:w="835" w:type="dxa"/>
          </w:tcPr>
          <w:p>
            <w:pPr>
              <w:pStyle w:val="TableParagraph"/>
              <w:spacing w:before="71"/>
              <w:ind w:right="18"/>
              <w:jc w:val="center"/>
              <w:rPr>
                <w:sz w:val="22"/>
              </w:rPr>
            </w:pPr>
            <w:r>
              <w:rPr>
                <w:spacing w:val="-4"/>
                <w:sz w:val="22"/>
              </w:rPr>
              <w:t>40.0</w:t>
            </w:r>
          </w:p>
        </w:tc>
      </w:tr>
      <w:tr>
        <w:trPr>
          <w:trHeight w:val="524" w:hRule="atLeast"/>
        </w:trPr>
        <w:tc>
          <w:tcPr>
            <w:tcW w:w="1087" w:type="dxa"/>
            <w:tcBorders>
              <w:bottom w:val="single" w:sz="4" w:space="0" w:color="000000"/>
            </w:tcBorders>
          </w:tcPr>
          <w:p>
            <w:pPr>
              <w:pStyle w:val="TableParagraph"/>
              <w:spacing w:before="70"/>
              <w:ind w:left="1" w:right="239"/>
              <w:jc w:val="center"/>
              <w:rPr>
                <w:sz w:val="22"/>
              </w:rPr>
            </w:pPr>
            <w:r>
              <w:rPr>
                <w:sz w:val="22"/>
              </w:rPr>
              <w:t>SP</w:t>
            </w:r>
            <w:r>
              <w:rPr>
                <w:spacing w:val="1"/>
                <w:sz w:val="22"/>
              </w:rPr>
              <w:t> </w:t>
            </w:r>
            <w:r>
              <w:rPr>
                <w:spacing w:val="-5"/>
                <w:sz w:val="22"/>
              </w:rPr>
              <w:t>897</w:t>
            </w:r>
          </w:p>
        </w:tc>
        <w:tc>
          <w:tcPr>
            <w:tcW w:w="864" w:type="dxa"/>
            <w:tcBorders>
              <w:bottom w:val="single" w:sz="4" w:space="0" w:color="000000"/>
            </w:tcBorders>
          </w:tcPr>
          <w:p>
            <w:pPr>
              <w:pStyle w:val="TableParagraph"/>
              <w:spacing w:before="70"/>
              <w:ind w:left="33"/>
              <w:jc w:val="center"/>
              <w:rPr>
                <w:sz w:val="22"/>
              </w:rPr>
            </w:pPr>
            <w:r>
              <w:rPr>
                <w:spacing w:val="-4"/>
                <w:sz w:val="22"/>
              </w:rPr>
              <w:t>22.5</w:t>
            </w:r>
          </w:p>
        </w:tc>
        <w:tc>
          <w:tcPr>
            <w:tcW w:w="840" w:type="dxa"/>
            <w:tcBorders>
              <w:bottom w:val="single" w:sz="4" w:space="0" w:color="000000"/>
            </w:tcBorders>
          </w:tcPr>
          <w:p>
            <w:pPr>
              <w:pStyle w:val="TableParagraph"/>
              <w:spacing w:before="70"/>
              <w:ind w:left="20" w:right="31"/>
              <w:jc w:val="center"/>
              <w:rPr>
                <w:sz w:val="22"/>
              </w:rPr>
            </w:pPr>
            <w:r>
              <w:rPr>
                <w:spacing w:val="-4"/>
                <w:sz w:val="22"/>
              </w:rPr>
              <w:t>35.0</w:t>
            </w:r>
          </w:p>
        </w:tc>
        <w:tc>
          <w:tcPr>
            <w:tcW w:w="903" w:type="dxa"/>
            <w:tcBorders>
              <w:bottom w:val="single" w:sz="4" w:space="0" w:color="000000"/>
            </w:tcBorders>
          </w:tcPr>
          <w:p>
            <w:pPr>
              <w:pStyle w:val="TableParagraph"/>
              <w:spacing w:before="70"/>
              <w:ind w:right="55"/>
              <w:jc w:val="center"/>
              <w:rPr>
                <w:sz w:val="22"/>
              </w:rPr>
            </w:pPr>
            <w:r>
              <w:rPr>
                <w:spacing w:val="-4"/>
                <w:sz w:val="22"/>
              </w:rPr>
              <w:t>25.0</w:t>
            </w:r>
          </w:p>
        </w:tc>
        <w:tc>
          <w:tcPr>
            <w:tcW w:w="778" w:type="dxa"/>
            <w:tcBorders>
              <w:bottom w:val="single" w:sz="4" w:space="0" w:color="000000"/>
            </w:tcBorders>
          </w:tcPr>
          <w:p>
            <w:pPr>
              <w:pStyle w:val="TableParagraph"/>
              <w:spacing w:before="70"/>
              <w:ind w:left="4"/>
              <w:jc w:val="center"/>
              <w:rPr>
                <w:sz w:val="22"/>
              </w:rPr>
            </w:pPr>
            <w:r>
              <w:rPr>
                <w:spacing w:val="-5"/>
                <w:sz w:val="22"/>
              </w:rPr>
              <w:t>45</w:t>
            </w:r>
          </w:p>
        </w:tc>
        <w:tc>
          <w:tcPr>
            <w:tcW w:w="889" w:type="dxa"/>
            <w:tcBorders>
              <w:bottom w:val="single" w:sz="4" w:space="0" w:color="000000"/>
            </w:tcBorders>
          </w:tcPr>
          <w:p>
            <w:pPr>
              <w:pStyle w:val="TableParagraph"/>
              <w:spacing w:before="70"/>
              <w:ind w:left="36"/>
              <w:jc w:val="center"/>
              <w:rPr>
                <w:sz w:val="22"/>
              </w:rPr>
            </w:pPr>
            <w:r>
              <w:rPr>
                <w:spacing w:val="-4"/>
                <w:sz w:val="22"/>
              </w:rPr>
              <w:t>15.0</w:t>
            </w:r>
          </w:p>
        </w:tc>
        <w:tc>
          <w:tcPr>
            <w:tcW w:w="841" w:type="dxa"/>
            <w:tcBorders>
              <w:bottom w:val="single" w:sz="4" w:space="0" w:color="000000"/>
            </w:tcBorders>
          </w:tcPr>
          <w:p>
            <w:pPr>
              <w:pStyle w:val="TableParagraph"/>
              <w:spacing w:before="70"/>
              <w:ind w:right="6"/>
              <w:jc w:val="center"/>
              <w:rPr>
                <w:sz w:val="22"/>
              </w:rPr>
            </w:pPr>
            <w:r>
              <w:rPr>
                <w:spacing w:val="-4"/>
                <w:sz w:val="22"/>
              </w:rPr>
              <w:t>25.0</w:t>
            </w:r>
          </w:p>
        </w:tc>
        <w:tc>
          <w:tcPr>
            <w:tcW w:w="830" w:type="dxa"/>
            <w:tcBorders>
              <w:bottom w:val="single" w:sz="4" w:space="0" w:color="000000"/>
            </w:tcBorders>
          </w:tcPr>
          <w:p>
            <w:pPr>
              <w:pStyle w:val="TableParagraph"/>
              <w:spacing w:before="70"/>
              <w:ind w:left="10" w:right="10"/>
              <w:jc w:val="center"/>
              <w:rPr>
                <w:sz w:val="22"/>
              </w:rPr>
            </w:pPr>
            <w:r>
              <w:rPr>
                <w:spacing w:val="-4"/>
                <w:sz w:val="22"/>
              </w:rPr>
              <w:t>17.5</w:t>
            </w:r>
          </w:p>
        </w:tc>
        <w:tc>
          <w:tcPr>
            <w:tcW w:w="826" w:type="dxa"/>
            <w:tcBorders>
              <w:bottom w:val="single" w:sz="4" w:space="0" w:color="000000"/>
            </w:tcBorders>
          </w:tcPr>
          <w:p>
            <w:pPr>
              <w:pStyle w:val="TableParagraph"/>
              <w:spacing w:before="70"/>
              <w:ind w:right="15"/>
              <w:jc w:val="center"/>
              <w:rPr>
                <w:sz w:val="22"/>
              </w:rPr>
            </w:pPr>
            <w:r>
              <w:rPr>
                <w:spacing w:val="-4"/>
                <w:sz w:val="22"/>
              </w:rPr>
              <w:t>25.0</w:t>
            </w:r>
          </w:p>
        </w:tc>
        <w:tc>
          <w:tcPr>
            <w:tcW w:w="830" w:type="dxa"/>
            <w:tcBorders>
              <w:bottom w:val="single" w:sz="4" w:space="0" w:color="000000"/>
            </w:tcBorders>
          </w:tcPr>
          <w:p>
            <w:pPr>
              <w:pStyle w:val="TableParagraph"/>
              <w:spacing w:before="70"/>
              <w:ind w:right="10"/>
              <w:jc w:val="center"/>
              <w:rPr>
                <w:sz w:val="22"/>
              </w:rPr>
            </w:pPr>
            <w:r>
              <w:rPr>
                <w:spacing w:val="-4"/>
                <w:sz w:val="22"/>
              </w:rPr>
              <w:t>17.5</w:t>
            </w:r>
          </w:p>
        </w:tc>
        <w:tc>
          <w:tcPr>
            <w:tcW w:w="835" w:type="dxa"/>
            <w:tcBorders>
              <w:bottom w:val="single" w:sz="4" w:space="0" w:color="000000"/>
            </w:tcBorders>
          </w:tcPr>
          <w:p>
            <w:pPr>
              <w:pStyle w:val="TableParagraph"/>
              <w:spacing w:before="70"/>
              <w:ind w:right="18"/>
              <w:jc w:val="center"/>
              <w:rPr>
                <w:sz w:val="22"/>
              </w:rPr>
            </w:pPr>
            <w:r>
              <w:rPr>
                <w:spacing w:val="-4"/>
                <w:sz w:val="22"/>
              </w:rPr>
              <w:t>25.0</w:t>
            </w:r>
          </w:p>
        </w:tc>
      </w:tr>
    </w:tbl>
    <w:p>
      <w:pPr>
        <w:pStyle w:val="BodyText"/>
        <w:spacing w:line="360" w:lineRule="auto" w:before="20"/>
        <w:ind w:left="380" w:right="975"/>
      </w:pPr>
      <w:r>
        <w:rPr>
          <w:b/>
        </w:rPr>
        <w:t>Key:</w:t>
      </w:r>
      <w:r>
        <w:rPr>
          <w:b/>
          <w:spacing w:val="-3"/>
        </w:rPr>
        <w:t> </w:t>
      </w:r>
      <w:r>
        <w:rPr/>
        <w:t>MIC=Minimum</w:t>
      </w:r>
      <w:r>
        <w:rPr>
          <w:spacing w:val="-3"/>
        </w:rPr>
        <w:t> </w:t>
      </w:r>
      <w:r>
        <w:rPr/>
        <w:t>Inhibitory</w:t>
      </w:r>
      <w:r>
        <w:rPr>
          <w:spacing w:val="-5"/>
        </w:rPr>
        <w:t> </w:t>
      </w:r>
      <w:r>
        <w:rPr/>
        <w:t>Concentration,</w:t>
      </w:r>
      <w:r>
        <w:rPr>
          <w:spacing w:val="-5"/>
        </w:rPr>
        <w:t> </w:t>
      </w:r>
      <w:r>
        <w:rPr/>
        <w:t>MBC=</w:t>
      </w:r>
      <w:r>
        <w:rPr>
          <w:spacing w:val="-5"/>
        </w:rPr>
        <w:t> </w:t>
      </w:r>
      <w:r>
        <w:rPr/>
        <w:t>Minimum</w:t>
      </w:r>
      <w:r>
        <w:rPr>
          <w:spacing w:val="-3"/>
        </w:rPr>
        <w:t> </w:t>
      </w:r>
      <w:r>
        <w:rPr/>
        <w:t>Bactericidal</w:t>
      </w:r>
      <w:r>
        <w:rPr>
          <w:spacing w:val="-6"/>
        </w:rPr>
        <w:t> </w:t>
      </w:r>
      <w:r>
        <w:rPr/>
        <w:t>Concentration,</w:t>
      </w:r>
      <w:r>
        <w:rPr>
          <w:spacing w:val="-3"/>
        </w:rPr>
        <w:t> </w:t>
      </w:r>
      <w:r>
        <w:rPr/>
        <w:t>ES=Ear Swab, SP=Sputum.</w:t>
      </w:r>
    </w:p>
    <w:p>
      <w:pPr>
        <w:spacing w:after="0" w:line="360" w:lineRule="auto"/>
        <w:sectPr>
          <w:type w:val="continuous"/>
          <w:pgSz w:w="11910" w:h="16840"/>
          <w:pgMar w:header="0" w:footer="1055" w:top="1440" w:bottom="1240" w:left="1060" w:right="460"/>
        </w:sectPr>
      </w:pPr>
    </w:p>
    <w:p>
      <w:pPr>
        <w:pStyle w:val="BodyText"/>
      </w:pPr>
    </w:p>
    <w:p>
      <w:pPr>
        <w:pStyle w:val="BodyText"/>
      </w:pPr>
    </w:p>
    <w:p>
      <w:pPr>
        <w:pStyle w:val="BodyText"/>
      </w:pPr>
    </w:p>
    <w:p>
      <w:pPr>
        <w:pStyle w:val="BodyText"/>
      </w:pPr>
    </w:p>
    <w:p>
      <w:pPr>
        <w:pStyle w:val="BodyText"/>
      </w:pPr>
    </w:p>
    <w:p>
      <w:pPr>
        <w:pStyle w:val="BodyText"/>
        <w:spacing w:before="136"/>
      </w:pPr>
    </w:p>
    <w:p>
      <w:pPr>
        <w:spacing w:before="0"/>
        <w:ind w:left="483" w:right="0" w:firstLine="0"/>
        <w:jc w:val="left"/>
        <w:rPr>
          <w:b/>
          <w:i/>
          <w:sz w:val="22"/>
        </w:rPr>
      </w:pPr>
      <w:r>
        <w:rPr>
          <w:b/>
          <w:sz w:val="22"/>
        </w:rPr>
        <w:t>MIC</w:t>
      </w:r>
      <w:r>
        <w:rPr>
          <w:b/>
          <w:spacing w:val="-6"/>
          <w:sz w:val="22"/>
        </w:rPr>
        <w:t> </w:t>
      </w:r>
      <w:r>
        <w:rPr>
          <w:b/>
          <w:sz w:val="22"/>
        </w:rPr>
        <w:t>and</w:t>
      </w:r>
      <w:r>
        <w:rPr>
          <w:b/>
          <w:spacing w:val="-4"/>
          <w:sz w:val="22"/>
        </w:rPr>
        <w:t> </w:t>
      </w:r>
      <w:r>
        <w:rPr>
          <w:b/>
          <w:sz w:val="22"/>
        </w:rPr>
        <w:t>MBC</w:t>
      </w:r>
      <w:r>
        <w:rPr>
          <w:b/>
          <w:spacing w:val="-5"/>
          <w:sz w:val="22"/>
        </w:rPr>
        <w:t> </w:t>
      </w:r>
      <w:r>
        <w:rPr>
          <w:b/>
          <w:sz w:val="22"/>
        </w:rPr>
        <w:t>Test</w:t>
      </w:r>
      <w:r>
        <w:rPr>
          <w:b/>
          <w:spacing w:val="-5"/>
          <w:sz w:val="22"/>
        </w:rPr>
        <w:t> </w:t>
      </w:r>
      <w:r>
        <w:rPr>
          <w:b/>
          <w:sz w:val="22"/>
        </w:rPr>
        <w:t>(µg/ml)</w:t>
      </w:r>
      <w:r>
        <w:rPr>
          <w:b/>
          <w:spacing w:val="-5"/>
          <w:sz w:val="22"/>
        </w:rPr>
        <w:t> </w:t>
      </w:r>
      <w:r>
        <w:rPr>
          <w:b/>
          <w:sz w:val="22"/>
        </w:rPr>
        <w:t>of</w:t>
      </w:r>
      <w:r>
        <w:rPr>
          <w:b/>
          <w:spacing w:val="-3"/>
          <w:sz w:val="22"/>
        </w:rPr>
        <w:t> </w:t>
      </w:r>
      <w:r>
        <w:rPr>
          <w:b/>
          <w:sz w:val="22"/>
        </w:rPr>
        <w:t>Lemon</w:t>
      </w:r>
      <w:r>
        <w:rPr>
          <w:b/>
          <w:spacing w:val="-4"/>
          <w:sz w:val="22"/>
        </w:rPr>
        <w:t> </w:t>
      </w:r>
      <w:r>
        <w:rPr>
          <w:b/>
          <w:sz w:val="22"/>
        </w:rPr>
        <w:t>juice</w:t>
      </w:r>
      <w:r>
        <w:rPr>
          <w:b/>
          <w:spacing w:val="-3"/>
          <w:sz w:val="22"/>
        </w:rPr>
        <w:t> </w:t>
      </w:r>
      <w:r>
        <w:rPr>
          <w:b/>
          <w:sz w:val="22"/>
        </w:rPr>
        <w:t>and</w:t>
      </w:r>
      <w:r>
        <w:rPr>
          <w:b/>
          <w:spacing w:val="-4"/>
          <w:sz w:val="22"/>
        </w:rPr>
        <w:t> </w:t>
      </w:r>
      <w:r>
        <w:rPr>
          <w:b/>
          <w:sz w:val="22"/>
        </w:rPr>
        <w:t>Honey</w:t>
      </w:r>
      <w:r>
        <w:rPr>
          <w:b/>
          <w:spacing w:val="-5"/>
          <w:sz w:val="22"/>
        </w:rPr>
        <w:t> </w:t>
      </w:r>
      <w:r>
        <w:rPr>
          <w:b/>
          <w:sz w:val="22"/>
        </w:rPr>
        <w:t>mixture</w:t>
      </w:r>
      <w:r>
        <w:rPr>
          <w:b/>
          <w:spacing w:val="-4"/>
          <w:sz w:val="22"/>
        </w:rPr>
        <w:t> </w:t>
      </w:r>
      <w:r>
        <w:rPr>
          <w:b/>
          <w:sz w:val="22"/>
        </w:rPr>
        <w:t>against</w:t>
      </w:r>
      <w:r>
        <w:rPr>
          <w:b/>
          <w:spacing w:val="-1"/>
          <w:sz w:val="22"/>
        </w:rPr>
        <w:t> </w:t>
      </w:r>
      <w:r>
        <w:rPr>
          <w:b/>
          <w:i/>
          <w:sz w:val="22"/>
        </w:rPr>
        <w:t>Streptococcus</w:t>
      </w:r>
      <w:r>
        <w:rPr>
          <w:b/>
          <w:i/>
          <w:spacing w:val="-6"/>
          <w:sz w:val="22"/>
        </w:rPr>
        <w:t> </w:t>
      </w:r>
      <w:r>
        <w:rPr>
          <w:b/>
          <w:i/>
          <w:spacing w:val="-2"/>
          <w:sz w:val="22"/>
        </w:rPr>
        <w:t>pneumoniae</w:t>
      </w:r>
    </w:p>
    <w:p>
      <w:pPr>
        <w:pStyle w:val="BodyText"/>
        <w:rPr>
          <w:b/>
          <w:i/>
          <w:sz w:val="20"/>
        </w:rPr>
      </w:pPr>
    </w:p>
    <w:p>
      <w:pPr>
        <w:pStyle w:val="BodyText"/>
        <w:spacing w:before="146"/>
        <w:rPr>
          <w:b/>
          <w:i/>
          <w:sz w:val="20"/>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5"/>
        <w:gridCol w:w="822"/>
        <w:gridCol w:w="849"/>
        <w:gridCol w:w="839"/>
        <w:gridCol w:w="880"/>
        <w:gridCol w:w="834"/>
        <w:gridCol w:w="850"/>
        <w:gridCol w:w="817"/>
        <w:gridCol w:w="836"/>
        <w:gridCol w:w="813"/>
        <w:gridCol w:w="840"/>
      </w:tblGrid>
      <w:tr>
        <w:trPr>
          <w:trHeight w:val="666" w:hRule="atLeast"/>
        </w:trPr>
        <w:tc>
          <w:tcPr>
            <w:tcW w:w="1125" w:type="dxa"/>
            <w:tcBorders>
              <w:top w:val="single" w:sz="4" w:space="0" w:color="000000"/>
            </w:tcBorders>
          </w:tcPr>
          <w:p>
            <w:pPr>
              <w:pStyle w:val="TableParagraph"/>
              <w:spacing w:line="259" w:lineRule="auto"/>
              <w:ind w:left="412" w:right="206" w:hanging="176"/>
              <w:rPr>
                <w:b/>
                <w:sz w:val="22"/>
              </w:rPr>
            </w:pPr>
            <w:r>
              <w:rPr>
                <w:b/>
                <w:spacing w:val="-2"/>
                <w:sz w:val="22"/>
              </w:rPr>
              <w:t>Sample </w:t>
            </w:r>
            <w:r>
              <w:rPr>
                <w:b/>
                <w:spacing w:val="-4"/>
                <w:sz w:val="22"/>
              </w:rPr>
              <w:t>No.</w:t>
            </w:r>
          </w:p>
        </w:tc>
        <w:tc>
          <w:tcPr>
            <w:tcW w:w="822" w:type="dxa"/>
            <w:tcBorders>
              <w:top w:val="single" w:sz="4" w:space="0" w:color="000000"/>
            </w:tcBorders>
          </w:tcPr>
          <w:p>
            <w:pPr>
              <w:pStyle w:val="TableParagraph"/>
              <w:spacing w:before="143"/>
              <w:ind w:left="73" w:right="76"/>
              <w:jc w:val="center"/>
              <w:rPr>
                <w:b/>
                <w:sz w:val="22"/>
              </w:rPr>
            </w:pPr>
            <w:r>
              <w:rPr>
                <w:b/>
                <w:spacing w:val="-5"/>
                <w:sz w:val="22"/>
              </w:rPr>
              <w:t>MIC</w:t>
            </w:r>
          </w:p>
        </w:tc>
        <w:tc>
          <w:tcPr>
            <w:tcW w:w="849" w:type="dxa"/>
            <w:tcBorders>
              <w:top w:val="single" w:sz="4" w:space="0" w:color="000000"/>
            </w:tcBorders>
          </w:tcPr>
          <w:p>
            <w:pPr>
              <w:pStyle w:val="TableParagraph"/>
              <w:spacing w:before="143"/>
              <w:ind w:right="15"/>
              <w:jc w:val="center"/>
              <w:rPr>
                <w:b/>
                <w:sz w:val="22"/>
              </w:rPr>
            </w:pPr>
            <w:r>
              <w:rPr>
                <w:b/>
                <w:spacing w:val="-5"/>
                <w:sz w:val="22"/>
              </w:rPr>
              <w:t>MBC</w:t>
            </w:r>
          </w:p>
        </w:tc>
        <w:tc>
          <w:tcPr>
            <w:tcW w:w="839" w:type="dxa"/>
            <w:tcBorders>
              <w:top w:val="single" w:sz="4" w:space="0" w:color="000000"/>
            </w:tcBorders>
          </w:tcPr>
          <w:p>
            <w:pPr>
              <w:pStyle w:val="TableParagraph"/>
              <w:spacing w:before="143"/>
              <w:ind w:right="234"/>
              <w:jc w:val="right"/>
              <w:rPr>
                <w:b/>
                <w:sz w:val="22"/>
              </w:rPr>
            </w:pPr>
            <w:r>
              <w:rPr>
                <w:b/>
                <w:spacing w:val="-5"/>
                <w:sz w:val="22"/>
              </w:rPr>
              <w:t>MIC</w:t>
            </w:r>
          </w:p>
        </w:tc>
        <w:tc>
          <w:tcPr>
            <w:tcW w:w="880" w:type="dxa"/>
            <w:tcBorders>
              <w:top w:val="single" w:sz="4" w:space="0" w:color="000000"/>
            </w:tcBorders>
          </w:tcPr>
          <w:p>
            <w:pPr>
              <w:pStyle w:val="TableParagraph"/>
              <w:spacing w:before="143"/>
              <w:ind w:left="19" w:right="2"/>
              <w:jc w:val="center"/>
              <w:rPr>
                <w:b/>
                <w:sz w:val="22"/>
              </w:rPr>
            </w:pPr>
            <w:r>
              <w:rPr>
                <w:b/>
                <w:spacing w:val="-5"/>
                <w:sz w:val="22"/>
              </w:rPr>
              <w:t>MBC</w:t>
            </w:r>
          </w:p>
        </w:tc>
        <w:tc>
          <w:tcPr>
            <w:tcW w:w="834" w:type="dxa"/>
            <w:tcBorders>
              <w:top w:val="single" w:sz="4" w:space="0" w:color="000000"/>
            </w:tcBorders>
          </w:tcPr>
          <w:p>
            <w:pPr>
              <w:pStyle w:val="TableParagraph"/>
              <w:spacing w:before="143"/>
              <w:ind w:right="230"/>
              <w:jc w:val="right"/>
              <w:rPr>
                <w:b/>
                <w:sz w:val="22"/>
              </w:rPr>
            </w:pPr>
            <w:r>
              <w:rPr>
                <w:b/>
                <w:spacing w:val="-5"/>
                <w:sz w:val="22"/>
              </w:rPr>
              <w:t>MIC</w:t>
            </w:r>
          </w:p>
        </w:tc>
        <w:tc>
          <w:tcPr>
            <w:tcW w:w="850" w:type="dxa"/>
            <w:tcBorders>
              <w:top w:val="single" w:sz="4" w:space="0" w:color="000000"/>
            </w:tcBorders>
          </w:tcPr>
          <w:p>
            <w:pPr>
              <w:pStyle w:val="TableParagraph"/>
              <w:spacing w:before="143"/>
              <w:ind w:left="23" w:right="19"/>
              <w:jc w:val="center"/>
              <w:rPr>
                <w:b/>
                <w:sz w:val="22"/>
              </w:rPr>
            </w:pPr>
            <w:r>
              <w:rPr>
                <w:b/>
                <w:spacing w:val="-5"/>
                <w:sz w:val="22"/>
              </w:rPr>
              <w:t>MBC</w:t>
            </w:r>
          </w:p>
        </w:tc>
        <w:tc>
          <w:tcPr>
            <w:tcW w:w="817" w:type="dxa"/>
            <w:tcBorders>
              <w:top w:val="single" w:sz="4" w:space="0" w:color="000000"/>
            </w:tcBorders>
          </w:tcPr>
          <w:p>
            <w:pPr>
              <w:pStyle w:val="TableParagraph"/>
              <w:spacing w:before="143"/>
              <w:ind w:right="216"/>
              <w:jc w:val="right"/>
              <w:rPr>
                <w:b/>
                <w:sz w:val="22"/>
              </w:rPr>
            </w:pPr>
            <w:r>
              <w:rPr>
                <w:b/>
                <w:spacing w:val="-5"/>
                <w:sz w:val="22"/>
              </w:rPr>
              <w:t>MIC</w:t>
            </w:r>
          </w:p>
        </w:tc>
        <w:tc>
          <w:tcPr>
            <w:tcW w:w="836" w:type="dxa"/>
            <w:tcBorders>
              <w:top w:val="single" w:sz="4" w:space="0" w:color="000000"/>
            </w:tcBorders>
          </w:tcPr>
          <w:p>
            <w:pPr>
              <w:pStyle w:val="TableParagraph"/>
              <w:spacing w:before="143"/>
              <w:ind w:left="4" w:right="2"/>
              <w:jc w:val="center"/>
              <w:rPr>
                <w:b/>
                <w:sz w:val="22"/>
              </w:rPr>
            </w:pPr>
            <w:r>
              <w:rPr>
                <w:b/>
                <w:spacing w:val="-5"/>
                <w:sz w:val="22"/>
              </w:rPr>
              <w:t>MBC</w:t>
            </w:r>
          </w:p>
        </w:tc>
        <w:tc>
          <w:tcPr>
            <w:tcW w:w="813" w:type="dxa"/>
            <w:tcBorders>
              <w:top w:val="single" w:sz="4" w:space="0" w:color="000000"/>
            </w:tcBorders>
          </w:tcPr>
          <w:p>
            <w:pPr>
              <w:pStyle w:val="TableParagraph"/>
              <w:spacing w:before="143"/>
              <w:ind w:right="211"/>
              <w:jc w:val="right"/>
              <w:rPr>
                <w:b/>
                <w:sz w:val="22"/>
              </w:rPr>
            </w:pPr>
            <w:r>
              <w:rPr>
                <w:b/>
                <w:spacing w:val="-5"/>
                <w:sz w:val="22"/>
              </w:rPr>
              <w:t>MIC</w:t>
            </w:r>
          </w:p>
        </w:tc>
        <w:tc>
          <w:tcPr>
            <w:tcW w:w="840" w:type="dxa"/>
            <w:tcBorders>
              <w:top w:val="single" w:sz="4" w:space="0" w:color="000000"/>
            </w:tcBorders>
          </w:tcPr>
          <w:p>
            <w:pPr>
              <w:pStyle w:val="TableParagraph"/>
              <w:spacing w:before="143"/>
              <w:ind w:left="28" w:right="11"/>
              <w:jc w:val="center"/>
              <w:rPr>
                <w:b/>
                <w:sz w:val="22"/>
              </w:rPr>
            </w:pPr>
            <w:r>
              <w:rPr>
                <w:b/>
                <w:spacing w:val="-5"/>
                <w:sz w:val="22"/>
              </w:rPr>
              <w:t>MBC</w:t>
            </w:r>
          </w:p>
        </w:tc>
      </w:tr>
      <w:tr>
        <w:trPr>
          <w:trHeight w:val="524" w:hRule="atLeast"/>
        </w:trPr>
        <w:tc>
          <w:tcPr>
            <w:tcW w:w="1125" w:type="dxa"/>
            <w:tcBorders>
              <w:bottom w:val="single" w:sz="4" w:space="0" w:color="000000"/>
            </w:tcBorders>
          </w:tcPr>
          <w:p>
            <w:pPr>
              <w:pStyle w:val="TableParagraph"/>
              <w:rPr>
                <w:rFonts w:ascii="Times New Roman"/>
                <w:sz w:val="22"/>
              </w:rPr>
            </w:pPr>
          </w:p>
        </w:tc>
        <w:tc>
          <w:tcPr>
            <w:tcW w:w="822" w:type="dxa"/>
            <w:tcBorders>
              <w:bottom w:val="single" w:sz="4" w:space="0" w:color="000000"/>
            </w:tcBorders>
          </w:tcPr>
          <w:p>
            <w:pPr>
              <w:pStyle w:val="TableParagraph"/>
              <w:spacing w:before="70"/>
              <w:ind w:right="76"/>
              <w:jc w:val="center"/>
              <w:rPr>
                <w:b/>
                <w:sz w:val="22"/>
              </w:rPr>
            </w:pPr>
            <w:r>
              <w:rPr>
                <w:b/>
                <w:spacing w:val="-2"/>
                <w:sz w:val="22"/>
              </w:rPr>
              <w:t>10:50</w:t>
            </w:r>
          </w:p>
        </w:tc>
        <w:tc>
          <w:tcPr>
            <w:tcW w:w="849" w:type="dxa"/>
            <w:tcBorders>
              <w:bottom w:val="single" w:sz="4" w:space="0" w:color="000000"/>
            </w:tcBorders>
          </w:tcPr>
          <w:p>
            <w:pPr>
              <w:pStyle w:val="TableParagraph"/>
              <w:rPr>
                <w:rFonts w:ascii="Times New Roman"/>
                <w:sz w:val="22"/>
              </w:rPr>
            </w:pPr>
          </w:p>
        </w:tc>
        <w:tc>
          <w:tcPr>
            <w:tcW w:w="839" w:type="dxa"/>
            <w:tcBorders>
              <w:bottom w:val="single" w:sz="4" w:space="0" w:color="000000"/>
            </w:tcBorders>
          </w:tcPr>
          <w:p>
            <w:pPr>
              <w:pStyle w:val="TableParagraph"/>
              <w:spacing w:before="70"/>
              <w:ind w:right="223"/>
              <w:jc w:val="right"/>
              <w:rPr>
                <w:b/>
                <w:sz w:val="22"/>
              </w:rPr>
            </w:pPr>
            <w:r>
              <w:rPr>
                <w:b/>
                <w:spacing w:val="-2"/>
                <w:sz w:val="22"/>
              </w:rPr>
              <w:t>20:50</w:t>
            </w:r>
          </w:p>
        </w:tc>
        <w:tc>
          <w:tcPr>
            <w:tcW w:w="880" w:type="dxa"/>
            <w:tcBorders>
              <w:bottom w:val="single" w:sz="4" w:space="0" w:color="000000"/>
            </w:tcBorders>
          </w:tcPr>
          <w:p>
            <w:pPr>
              <w:pStyle w:val="TableParagraph"/>
              <w:rPr>
                <w:rFonts w:ascii="Times New Roman"/>
                <w:sz w:val="22"/>
              </w:rPr>
            </w:pPr>
          </w:p>
        </w:tc>
        <w:tc>
          <w:tcPr>
            <w:tcW w:w="834" w:type="dxa"/>
            <w:tcBorders>
              <w:bottom w:val="single" w:sz="4" w:space="0" w:color="000000"/>
            </w:tcBorders>
          </w:tcPr>
          <w:p>
            <w:pPr>
              <w:pStyle w:val="TableParagraph"/>
              <w:spacing w:before="70"/>
              <w:ind w:right="196"/>
              <w:jc w:val="right"/>
              <w:rPr>
                <w:b/>
                <w:sz w:val="22"/>
              </w:rPr>
            </w:pPr>
            <w:r>
              <w:rPr>
                <w:b/>
                <w:spacing w:val="-2"/>
                <w:sz w:val="22"/>
              </w:rPr>
              <w:t>30:50</w:t>
            </w:r>
          </w:p>
        </w:tc>
        <w:tc>
          <w:tcPr>
            <w:tcW w:w="850" w:type="dxa"/>
            <w:tcBorders>
              <w:bottom w:val="single" w:sz="4" w:space="0" w:color="000000"/>
            </w:tcBorders>
          </w:tcPr>
          <w:p>
            <w:pPr>
              <w:pStyle w:val="TableParagraph"/>
              <w:rPr>
                <w:rFonts w:ascii="Times New Roman"/>
                <w:sz w:val="22"/>
              </w:rPr>
            </w:pPr>
          </w:p>
        </w:tc>
        <w:tc>
          <w:tcPr>
            <w:tcW w:w="817" w:type="dxa"/>
            <w:tcBorders>
              <w:bottom w:val="single" w:sz="4" w:space="0" w:color="000000"/>
            </w:tcBorders>
          </w:tcPr>
          <w:p>
            <w:pPr>
              <w:pStyle w:val="TableParagraph"/>
              <w:spacing w:before="70"/>
              <w:ind w:right="183"/>
              <w:jc w:val="right"/>
              <w:rPr>
                <w:b/>
                <w:sz w:val="22"/>
              </w:rPr>
            </w:pPr>
            <w:r>
              <w:rPr>
                <w:b/>
                <w:spacing w:val="-2"/>
                <w:sz w:val="22"/>
              </w:rPr>
              <w:t>40:50</w:t>
            </w:r>
          </w:p>
        </w:tc>
        <w:tc>
          <w:tcPr>
            <w:tcW w:w="836" w:type="dxa"/>
            <w:tcBorders>
              <w:bottom w:val="single" w:sz="4" w:space="0" w:color="000000"/>
            </w:tcBorders>
          </w:tcPr>
          <w:p>
            <w:pPr>
              <w:pStyle w:val="TableParagraph"/>
              <w:rPr>
                <w:rFonts w:ascii="Times New Roman"/>
                <w:sz w:val="22"/>
              </w:rPr>
            </w:pPr>
          </w:p>
        </w:tc>
        <w:tc>
          <w:tcPr>
            <w:tcW w:w="813" w:type="dxa"/>
            <w:tcBorders>
              <w:bottom w:val="single" w:sz="4" w:space="0" w:color="000000"/>
            </w:tcBorders>
          </w:tcPr>
          <w:p>
            <w:pPr>
              <w:pStyle w:val="TableParagraph"/>
              <w:spacing w:before="70"/>
              <w:ind w:right="190"/>
              <w:jc w:val="right"/>
              <w:rPr>
                <w:b/>
                <w:sz w:val="22"/>
              </w:rPr>
            </w:pPr>
            <w:r>
              <w:rPr>
                <w:b/>
                <w:spacing w:val="-2"/>
                <w:sz w:val="22"/>
              </w:rPr>
              <w:t>50:50</w:t>
            </w:r>
          </w:p>
        </w:tc>
        <w:tc>
          <w:tcPr>
            <w:tcW w:w="840" w:type="dxa"/>
            <w:tcBorders>
              <w:bottom w:val="single" w:sz="4" w:space="0" w:color="000000"/>
            </w:tcBorders>
          </w:tcPr>
          <w:p>
            <w:pPr>
              <w:pStyle w:val="TableParagraph"/>
              <w:rPr>
                <w:rFonts w:ascii="Times New Roman"/>
                <w:sz w:val="22"/>
              </w:rPr>
            </w:pPr>
          </w:p>
        </w:tc>
      </w:tr>
      <w:tr>
        <w:trPr>
          <w:trHeight w:val="375" w:hRule="atLeast"/>
        </w:trPr>
        <w:tc>
          <w:tcPr>
            <w:tcW w:w="1125" w:type="dxa"/>
            <w:tcBorders>
              <w:top w:val="single" w:sz="4" w:space="0" w:color="000000"/>
            </w:tcBorders>
          </w:tcPr>
          <w:p>
            <w:pPr>
              <w:pStyle w:val="TableParagraph"/>
              <w:spacing w:line="265" w:lineRule="exact"/>
              <w:ind w:left="122"/>
              <w:rPr>
                <w:sz w:val="22"/>
              </w:rPr>
            </w:pPr>
            <w:r>
              <w:rPr>
                <w:sz w:val="22"/>
              </w:rPr>
              <w:t>SP</w:t>
            </w:r>
            <w:r>
              <w:rPr>
                <w:spacing w:val="1"/>
                <w:sz w:val="22"/>
              </w:rPr>
              <w:t> </w:t>
            </w:r>
            <w:r>
              <w:rPr>
                <w:spacing w:val="-5"/>
                <w:sz w:val="22"/>
              </w:rPr>
              <w:t>228</w:t>
            </w:r>
          </w:p>
        </w:tc>
        <w:tc>
          <w:tcPr>
            <w:tcW w:w="822" w:type="dxa"/>
            <w:tcBorders>
              <w:top w:val="single" w:sz="4" w:space="0" w:color="000000"/>
            </w:tcBorders>
          </w:tcPr>
          <w:p>
            <w:pPr>
              <w:pStyle w:val="TableParagraph"/>
              <w:spacing w:line="265" w:lineRule="exact"/>
              <w:ind w:left="76" w:right="76"/>
              <w:jc w:val="center"/>
              <w:rPr>
                <w:sz w:val="22"/>
              </w:rPr>
            </w:pPr>
            <w:r>
              <w:rPr>
                <w:spacing w:val="-4"/>
                <w:sz w:val="22"/>
              </w:rPr>
              <w:t>70.0</w:t>
            </w:r>
          </w:p>
        </w:tc>
        <w:tc>
          <w:tcPr>
            <w:tcW w:w="849" w:type="dxa"/>
            <w:tcBorders>
              <w:top w:val="single" w:sz="4" w:space="0" w:color="000000"/>
            </w:tcBorders>
          </w:tcPr>
          <w:p>
            <w:pPr>
              <w:pStyle w:val="TableParagraph"/>
              <w:spacing w:line="265" w:lineRule="exact"/>
              <w:ind w:left="2" w:right="15"/>
              <w:jc w:val="center"/>
              <w:rPr>
                <w:sz w:val="22"/>
              </w:rPr>
            </w:pPr>
            <w:r>
              <w:rPr>
                <w:spacing w:val="-5"/>
                <w:sz w:val="22"/>
              </w:rPr>
              <w:t>100</w:t>
            </w:r>
          </w:p>
        </w:tc>
        <w:tc>
          <w:tcPr>
            <w:tcW w:w="839" w:type="dxa"/>
            <w:tcBorders>
              <w:top w:val="single" w:sz="4" w:space="0" w:color="000000"/>
            </w:tcBorders>
          </w:tcPr>
          <w:p>
            <w:pPr>
              <w:pStyle w:val="TableParagraph"/>
              <w:spacing w:line="265" w:lineRule="exact"/>
              <w:ind w:right="222"/>
              <w:jc w:val="right"/>
              <w:rPr>
                <w:sz w:val="22"/>
              </w:rPr>
            </w:pPr>
            <w:r>
              <w:rPr>
                <w:spacing w:val="-4"/>
                <w:sz w:val="22"/>
              </w:rPr>
              <w:t>50.0</w:t>
            </w:r>
          </w:p>
        </w:tc>
        <w:tc>
          <w:tcPr>
            <w:tcW w:w="880" w:type="dxa"/>
            <w:tcBorders>
              <w:top w:val="single" w:sz="4" w:space="0" w:color="000000"/>
            </w:tcBorders>
          </w:tcPr>
          <w:p>
            <w:pPr>
              <w:pStyle w:val="TableParagraph"/>
              <w:spacing w:line="265" w:lineRule="exact"/>
              <w:ind w:left="19"/>
              <w:jc w:val="center"/>
              <w:rPr>
                <w:sz w:val="22"/>
              </w:rPr>
            </w:pPr>
            <w:r>
              <w:rPr>
                <w:spacing w:val="-4"/>
                <w:sz w:val="22"/>
              </w:rPr>
              <w:t>80.0</w:t>
            </w:r>
          </w:p>
        </w:tc>
        <w:tc>
          <w:tcPr>
            <w:tcW w:w="834" w:type="dxa"/>
            <w:tcBorders>
              <w:top w:val="single" w:sz="4" w:space="0" w:color="000000"/>
            </w:tcBorders>
          </w:tcPr>
          <w:p>
            <w:pPr>
              <w:pStyle w:val="TableParagraph"/>
              <w:spacing w:line="265" w:lineRule="exact"/>
              <w:ind w:right="215"/>
              <w:jc w:val="right"/>
              <w:rPr>
                <w:sz w:val="22"/>
              </w:rPr>
            </w:pPr>
            <w:r>
              <w:rPr>
                <w:spacing w:val="-4"/>
                <w:sz w:val="22"/>
              </w:rPr>
              <w:t>50.0</w:t>
            </w:r>
          </w:p>
        </w:tc>
        <w:tc>
          <w:tcPr>
            <w:tcW w:w="850" w:type="dxa"/>
            <w:tcBorders>
              <w:top w:val="single" w:sz="4" w:space="0" w:color="000000"/>
            </w:tcBorders>
          </w:tcPr>
          <w:p>
            <w:pPr>
              <w:pStyle w:val="TableParagraph"/>
              <w:spacing w:line="265" w:lineRule="exact"/>
              <w:ind w:left="25" w:right="19"/>
              <w:jc w:val="center"/>
              <w:rPr>
                <w:sz w:val="22"/>
              </w:rPr>
            </w:pPr>
            <w:r>
              <w:rPr>
                <w:spacing w:val="-5"/>
                <w:sz w:val="22"/>
              </w:rPr>
              <w:t>100</w:t>
            </w:r>
          </w:p>
        </w:tc>
        <w:tc>
          <w:tcPr>
            <w:tcW w:w="817" w:type="dxa"/>
            <w:tcBorders>
              <w:top w:val="single" w:sz="4" w:space="0" w:color="000000"/>
            </w:tcBorders>
          </w:tcPr>
          <w:p>
            <w:pPr>
              <w:pStyle w:val="TableParagraph"/>
              <w:spacing w:line="265" w:lineRule="exact"/>
              <w:ind w:right="201"/>
              <w:jc w:val="right"/>
              <w:rPr>
                <w:sz w:val="22"/>
              </w:rPr>
            </w:pPr>
            <w:r>
              <w:rPr>
                <w:spacing w:val="-4"/>
                <w:sz w:val="22"/>
              </w:rPr>
              <w:t>40.0</w:t>
            </w:r>
          </w:p>
        </w:tc>
        <w:tc>
          <w:tcPr>
            <w:tcW w:w="836" w:type="dxa"/>
            <w:tcBorders>
              <w:top w:val="single" w:sz="4" w:space="0" w:color="000000"/>
            </w:tcBorders>
          </w:tcPr>
          <w:p>
            <w:pPr>
              <w:pStyle w:val="TableParagraph"/>
              <w:spacing w:line="265" w:lineRule="exact"/>
              <w:ind w:left="4"/>
              <w:jc w:val="center"/>
              <w:rPr>
                <w:sz w:val="22"/>
              </w:rPr>
            </w:pPr>
            <w:r>
              <w:rPr>
                <w:spacing w:val="-4"/>
                <w:sz w:val="22"/>
              </w:rPr>
              <w:t>70.0</w:t>
            </w:r>
          </w:p>
        </w:tc>
        <w:tc>
          <w:tcPr>
            <w:tcW w:w="813" w:type="dxa"/>
            <w:tcBorders>
              <w:top w:val="single" w:sz="4" w:space="0" w:color="000000"/>
            </w:tcBorders>
          </w:tcPr>
          <w:p>
            <w:pPr>
              <w:pStyle w:val="TableParagraph"/>
              <w:spacing w:line="265" w:lineRule="exact"/>
              <w:ind w:right="199"/>
              <w:jc w:val="right"/>
              <w:rPr>
                <w:sz w:val="22"/>
              </w:rPr>
            </w:pPr>
            <w:r>
              <w:rPr>
                <w:spacing w:val="-4"/>
                <w:sz w:val="22"/>
              </w:rPr>
              <w:t>25.0</w:t>
            </w:r>
          </w:p>
        </w:tc>
        <w:tc>
          <w:tcPr>
            <w:tcW w:w="840" w:type="dxa"/>
            <w:tcBorders>
              <w:top w:val="single" w:sz="4" w:space="0" w:color="000000"/>
            </w:tcBorders>
          </w:tcPr>
          <w:p>
            <w:pPr>
              <w:pStyle w:val="TableParagraph"/>
              <w:spacing w:line="265" w:lineRule="exact"/>
              <w:ind w:left="31" w:right="11"/>
              <w:jc w:val="center"/>
              <w:rPr>
                <w:sz w:val="22"/>
              </w:rPr>
            </w:pPr>
            <w:r>
              <w:rPr>
                <w:spacing w:val="-4"/>
                <w:sz w:val="22"/>
              </w:rPr>
              <w:t>60.0</w:t>
            </w:r>
          </w:p>
        </w:tc>
      </w:tr>
      <w:tr>
        <w:trPr>
          <w:trHeight w:val="450" w:hRule="atLeast"/>
        </w:trPr>
        <w:tc>
          <w:tcPr>
            <w:tcW w:w="1125" w:type="dxa"/>
          </w:tcPr>
          <w:p>
            <w:pPr>
              <w:pStyle w:val="TableParagraph"/>
              <w:spacing w:before="70"/>
              <w:ind w:left="122"/>
              <w:rPr>
                <w:sz w:val="22"/>
              </w:rPr>
            </w:pPr>
            <w:r>
              <w:rPr>
                <w:sz w:val="22"/>
              </w:rPr>
              <w:t>SP</w:t>
            </w:r>
            <w:r>
              <w:rPr>
                <w:spacing w:val="1"/>
                <w:sz w:val="22"/>
              </w:rPr>
              <w:t> </w:t>
            </w:r>
            <w:r>
              <w:rPr>
                <w:spacing w:val="-5"/>
                <w:sz w:val="22"/>
              </w:rPr>
              <w:t>232</w:t>
            </w:r>
          </w:p>
        </w:tc>
        <w:tc>
          <w:tcPr>
            <w:tcW w:w="822" w:type="dxa"/>
          </w:tcPr>
          <w:p>
            <w:pPr>
              <w:pStyle w:val="TableParagraph"/>
              <w:spacing w:before="70"/>
              <w:ind w:left="76" w:right="76"/>
              <w:jc w:val="center"/>
              <w:rPr>
                <w:sz w:val="22"/>
              </w:rPr>
            </w:pPr>
            <w:r>
              <w:rPr>
                <w:spacing w:val="-4"/>
                <w:sz w:val="22"/>
              </w:rPr>
              <w:t>35.0</w:t>
            </w:r>
          </w:p>
        </w:tc>
        <w:tc>
          <w:tcPr>
            <w:tcW w:w="849" w:type="dxa"/>
          </w:tcPr>
          <w:p>
            <w:pPr>
              <w:pStyle w:val="TableParagraph"/>
              <w:spacing w:before="70"/>
              <w:ind w:left="3" w:right="15"/>
              <w:jc w:val="center"/>
              <w:rPr>
                <w:sz w:val="22"/>
              </w:rPr>
            </w:pPr>
            <w:r>
              <w:rPr>
                <w:spacing w:val="-4"/>
                <w:sz w:val="22"/>
              </w:rPr>
              <w:t>50.0</w:t>
            </w:r>
          </w:p>
        </w:tc>
        <w:tc>
          <w:tcPr>
            <w:tcW w:w="839" w:type="dxa"/>
          </w:tcPr>
          <w:p>
            <w:pPr>
              <w:pStyle w:val="TableParagraph"/>
              <w:spacing w:before="70"/>
              <w:ind w:right="222"/>
              <w:jc w:val="right"/>
              <w:rPr>
                <w:sz w:val="22"/>
              </w:rPr>
            </w:pPr>
            <w:r>
              <w:rPr>
                <w:spacing w:val="-4"/>
                <w:sz w:val="22"/>
              </w:rPr>
              <w:t>30.0</w:t>
            </w:r>
          </w:p>
        </w:tc>
        <w:tc>
          <w:tcPr>
            <w:tcW w:w="880" w:type="dxa"/>
          </w:tcPr>
          <w:p>
            <w:pPr>
              <w:pStyle w:val="TableParagraph"/>
              <w:spacing w:before="70"/>
              <w:ind w:left="19"/>
              <w:jc w:val="center"/>
              <w:rPr>
                <w:sz w:val="22"/>
              </w:rPr>
            </w:pPr>
            <w:r>
              <w:rPr>
                <w:spacing w:val="-4"/>
                <w:sz w:val="22"/>
              </w:rPr>
              <w:t>50.0</w:t>
            </w:r>
          </w:p>
        </w:tc>
        <w:tc>
          <w:tcPr>
            <w:tcW w:w="834" w:type="dxa"/>
          </w:tcPr>
          <w:p>
            <w:pPr>
              <w:pStyle w:val="TableParagraph"/>
              <w:spacing w:before="70"/>
              <w:ind w:right="215"/>
              <w:jc w:val="right"/>
              <w:rPr>
                <w:sz w:val="22"/>
              </w:rPr>
            </w:pPr>
            <w:r>
              <w:rPr>
                <w:spacing w:val="-4"/>
                <w:sz w:val="22"/>
              </w:rPr>
              <w:t>17.5</w:t>
            </w:r>
          </w:p>
        </w:tc>
        <w:tc>
          <w:tcPr>
            <w:tcW w:w="850" w:type="dxa"/>
          </w:tcPr>
          <w:p>
            <w:pPr>
              <w:pStyle w:val="TableParagraph"/>
              <w:spacing w:before="70"/>
              <w:ind w:left="25" w:right="19"/>
              <w:jc w:val="center"/>
              <w:rPr>
                <w:sz w:val="22"/>
              </w:rPr>
            </w:pPr>
            <w:r>
              <w:rPr>
                <w:spacing w:val="-4"/>
                <w:sz w:val="22"/>
              </w:rPr>
              <w:t>25.0</w:t>
            </w:r>
          </w:p>
        </w:tc>
        <w:tc>
          <w:tcPr>
            <w:tcW w:w="817" w:type="dxa"/>
          </w:tcPr>
          <w:p>
            <w:pPr>
              <w:pStyle w:val="TableParagraph"/>
              <w:spacing w:before="70"/>
              <w:ind w:right="201"/>
              <w:jc w:val="right"/>
              <w:rPr>
                <w:sz w:val="22"/>
              </w:rPr>
            </w:pPr>
            <w:r>
              <w:rPr>
                <w:spacing w:val="-4"/>
                <w:sz w:val="22"/>
              </w:rPr>
              <w:t>17.5</w:t>
            </w:r>
          </w:p>
        </w:tc>
        <w:tc>
          <w:tcPr>
            <w:tcW w:w="836" w:type="dxa"/>
          </w:tcPr>
          <w:p>
            <w:pPr>
              <w:pStyle w:val="TableParagraph"/>
              <w:spacing w:before="70"/>
              <w:ind w:left="4"/>
              <w:jc w:val="center"/>
              <w:rPr>
                <w:sz w:val="22"/>
              </w:rPr>
            </w:pPr>
            <w:r>
              <w:rPr>
                <w:spacing w:val="-4"/>
                <w:sz w:val="22"/>
              </w:rPr>
              <w:t>25.0</w:t>
            </w:r>
          </w:p>
        </w:tc>
        <w:tc>
          <w:tcPr>
            <w:tcW w:w="813" w:type="dxa"/>
          </w:tcPr>
          <w:p>
            <w:pPr>
              <w:pStyle w:val="TableParagraph"/>
              <w:spacing w:before="70"/>
              <w:ind w:right="199"/>
              <w:jc w:val="right"/>
              <w:rPr>
                <w:sz w:val="22"/>
              </w:rPr>
            </w:pPr>
            <w:r>
              <w:rPr>
                <w:spacing w:val="-4"/>
                <w:sz w:val="22"/>
              </w:rPr>
              <w:t>17.5</w:t>
            </w:r>
          </w:p>
        </w:tc>
        <w:tc>
          <w:tcPr>
            <w:tcW w:w="840" w:type="dxa"/>
          </w:tcPr>
          <w:p>
            <w:pPr>
              <w:pStyle w:val="TableParagraph"/>
              <w:spacing w:before="70"/>
              <w:ind w:left="31" w:right="11"/>
              <w:jc w:val="center"/>
              <w:rPr>
                <w:sz w:val="22"/>
              </w:rPr>
            </w:pPr>
            <w:r>
              <w:rPr>
                <w:spacing w:val="-4"/>
                <w:sz w:val="22"/>
              </w:rPr>
              <w:t>25.0</w:t>
            </w:r>
          </w:p>
        </w:tc>
      </w:tr>
      <w:tr>
        <w:trPr>
          <w:trHeight w:val="450" w:hRule="atLeast"/>
        </w:trPr>
        <w:tc>
          <w:tcPr>
            <w:tcW w:w="1125" w:type="dxa"/>
          </w:tcPr>
          <w:p>
            <w:pPr>
              <w:pStyle w:val="TableParagraph"/>
              <w:spacing w:before="71"/>
              <w:ind w:left="122"/>
              <w:rPr>
                <w:sz w:val="22"/>
              </w:rPr>
            </w:pPr>
            <w:r>
              <w:rPr>
                <w:sz w:val="22"/>
              </w:rPr>
              <w:t>SP</w:t>
            </w:r>
            <w:r>
              <w:rPr>
                <w:spacing w:val="1"/>
                <w:sz w:val="22"/>
              </w:rPr>
              <w:t> </w:t>
            </w:r>
            <w:r>
              <w:rPr>
                <w:spacing w:val="-5"/>
                <w:sz w:val="22"/>
              </w:rPr>
              <w:t>285</w:t>
            </w:r>
          </w:p>
        </w:tc>
        <w:tc>
          <w:tcPr>
            <w:tcW w:w="822" w:type="dxa"/>
          </w:tcPr>
          <w:p>
            <w:pPr>
              <w:pStyle w:val="TableParagraph"/>
              <w:spacing w:before="71"/>
              <w:ind w:left="76" w:right="76"/>
              <w:jc w:val="center"/>
              <w:rPr>
                <w:sz w:val="22"/>
              </w:rPr>
            </w:pPr>
            <w:r>
              <w:rPr>
                <w:spacing w:val="-4"/>
                <w:sz w:val="22"/>
              </w:rPr>
              <w:t>50.0</w:t>
            </w:r>
          </w:p>
        </w:tc>
        <w:tc>
          <w:tcPr>
            <w:tcW w:w="849" w:type="dxa"/>
          </w:tcPr>
          <w:p>
            <w:pPr>
              <w:pStyle w:val="TableParagraph"/>
              <w:spacing w:before="71"/>
              <w:ind w:left="3" w:right="15"/>
              <w:jc w:val="center"/>
              <w:rPr>
                <w:sz w:val="22"/>
              </w:rPr>
            </w:pPr>
            <w:r>
              <w:rPr>
                <w:spacing w:val="-4"/>
                <w:sz w:val="22"/>
              </w:rPr>
              <w:t>70.0</w:t>
            </w:r>
          </w:p>
        </w:tc>
        <w:tc>
          <w:tcPr>
            <w:tcW w:w="839" w:type="dxa"/>
          </w:tcPr>
          <w:p>
            <w:pPr>
              <w:pStyle w:val="TableParagraph"/>
              <w:spacing w:before="71"/>
              <w:ind w:right="222"/>
              <w:jc w:val="right"/>
              <w:rPr>
                <w:sz w:val="22"/>
              </w:rPr>
            </w:pPr>
            <w:r>
              <w:rPr>
                <w:spacing w:val="-4"/>
                <w:sz w:val="22"/>
              </w:rPr>
              <w:t>45.0</w:t>
            </w:r>
          </w:p>
        </w:tc>
        <w:tc>
          <w:tcPr>
            <w:tcW w:w="880" w:type="dxa"/>
          </w:tcPr>
          <w:p>
            <w:pPr>
              <w:pStyle w:val="TableParagraph"/>
              <w:spacing w:before="71"/>
              <w:ind w:left="19"/>
              <w:jc w:val="center"/>
              <w:rPr>
                <w:sz w:val="22"/>
              </w:rPr>
            </w:pPr>
            <w:r>
              <w:rPr>
                <w:spacing w:val="-4"/>
                <w:sz w:val="22"/>
              </w:rPr>
              <w:t>70.0</w:t>
            </w:r>
          </w:p>
        </w:tc>
        <w:tc>
          <w:tcPr>
            <w:tcW w:w="834" w:type="dxa"/>
          </w:tcPr>
          <w:p>
            <w:pPr>
              <w:pStyle w:val="TableParagraph"/>
              <w:spacing w:before="71"/>
              <w:ind w:right="215"/>
              <w:jc w:val="right"/>
              <w:rPr>
                <w:sz w:val="22"/>
              </w:rPr>
            </w:pPr>
            <w:r>
              <w:rPr>
                <w:spacing w:val="-4"/>
                <w:sz w:val="22"/>
              </w:rPr>
              <w:t>20.0</w:t>
            </w:r>
          </w:p>
        </w:tc>
        <w:tc>
          <w:tcPr>
            <w:tcW w:w="850" w:type="dxa"/>
          </w:tcPr>
          <w:p>
            <w:pPr>
              <w:pStyle w:val="TableParagraph"/>
              <w:spacing w:before="71"/>
              <w:ind w:left="25" w:right="19"/>
              <w:jc w:val="center"/>
              <w:rPr>
                <w:sz w:val="22"/>
              </w:rPr>
            </w:pPr>
            <w:r>
              <w:rPr>
                <w:spacing w:val="-4"/>
                <w:sz w:val="22"/>
              </w:rPr>
              <w:t>35.0</w:t>
            </w:r>
          </w:p>
        </w:tc>
        <w:tc>
          <w:tcPr>
            <w:tcW w:w="817" w:type="dxa"/>
          </w:tcPr>
          <w:p>
            <w:pPr>
              <w:pStyle w:val="TableParagraph"/>
              <w:spacing w:before="71"/>
              <w:ind w:right="201"/>
              <w:jc w:val="right"/>
              <w:rPr>
                <w:sz w:val="22"/>
              </w:rPr>
            </w:pPr>
            <w:r>
              <w:rPr>
                <w:spacing w:val="-4"/>
                <w:sz w:val="22"/>
              </w:rPr>
              <w:t>17.5</w:t>
            </w:r>
          </w:p>
        </w:tc>
        <w:tc>
          <w:tcPr>
            <w:tcW w:w="836" w:type="dxa"/>
          </w:tcPr>
          <w:p>
            <w:pPr>
              <w:pStyle w:val="TableParagraph"/>
              <w:spacing w:before="71"/>
              <w:ind w:left="4"/>
              <w:jc w:val="center"/>
              <w:rPr>
                <w:sz w:val="22"/>
              </w:rPr>
            </w:pPr>
            <w:r>
              <w:rPr>
                <w:spacing w:val="-4"/>
                <w:sz w:val="22"/>
              </w:rPr>
              <w:t>25.0</w:t>
            </w:r>
          </w:p>
        </w:tc>
        <w:tc>
          <w:tcPr>
            <w:tcW w:w="813" w:type="dxa"/>
          </w:tcPr>
          <w:p>
            <w:pPr>
              <w:pStyle w:val="TableParagraph"/>
              <w:spacing w:before="71"/>
              <w:ind w:right="199"/>
              <w:jc w:val="right"/>
              <w:rPr>
                <w:sz w:val="22"/>
              </w:rPr>
            </w:pPr>
            <w:r>
              <w:rPr>
                <w:spacing w:val="-4"/>
                <w:sz w:val="22"/>
              </w:rPr>
              <w:t>17.5</w:t>
            </w:r>
          </w:p>
        </w:tc>
        <w:tc>
          <w:tcPr>
            <w:tcW w:w="840" w:type="dxa"/>
          </w:tcPr>
          <w:p>
            <w:pPr>
              <w:pStyle w:val="TableParagraph"/>
              <w:spacing w:before="71"/>
              <w:ind w:left="31" w:right="11"/>
              <w:jc w:val="center"/>
              <w:rPr>
                <w:sz w:val="22"/>
              </w:rPr>
            </w:pPr>
            <w:r>
              <w:rPr>
                <w:spacing w:val="-4"/>
                <w:sz w:val="22"/>
              </w:rPr>
              <w:t>25.0</w:t>
            </w:r>
          </w:p>
        </w:tc>
      </w:tr>
      <w:tr>
        <w:trPr>
          <w:trHeight w:val="450" w:hRule="atLeast"/>
        </w:trPr>
        <w:tc>
          <w:tcPr>
            <w:tcW w:w="1125" w:type="dxa"/>
          </w:tcPr>
          <w:p>
            <w:pPr>
              <w:pStyle w:val="TableParagraph"/>
              <w:spacing w:before="70"/>
              <w:ind w:left="122"/>
              <w:rPr>
                <w:sz w:val="22"/>
              </w:rPr>
            </w:pPr>
            <w:r>
              <w:rPr>
                <w:sz w:val="22"/>
              </w:rPr>
              <w:t>SP</w:t>
            </w:r>
            <w:r>
              <w:rPr>
                <w:spacing w:val="1"/>
                <w:sz w:val="22"/>
              </w:rPr>
              <w:t> </w:t>
            </w:r>
            <w:r>
              <w:rPr>
                <w:spacing w:val="-5"/>
                <w:sz w:val="22"/>
              </w:rPr>
              <w:t>803</w:t>
            </w:r>
          </w:p>
        </w:tc>
        <w:tc>
          <w:tcPr>
            <w:tcW w:w="822" w:type="dxa"/>
          </w:tcPr>
          <w:p>
            <w:pPr>
              <w:pStyle w:val="TableParagraph"/>
              <w:spacing w:before="70"/>
              <w:ind w:left="76" w:right="76"/>
              <w:jc w:val="center"/>
              <w:rPr>
                <w:sz w:val="22"/>
              </w:rPr>
            </w:pPr>
            <w:r>
              <w:rPr>
                <w:spacing w:val="-4"/>
                <w:sz w:val="22"/>
              </w:rPr>
              <w:t>50.0</w:t>
            </w:r>
          </w:p>
        </w:tc>
        <w:tc>
          <w:tcPr>
            <w:tcW w:w="849" w:type="dxa"/>
          </w:tcPr>
          <w:p>
            <w:pPr>
              <w:pStyle w:val="TableParagraph"/>
              <w:spacing w:before="70"/>
              <w:ind w:left="3" w:right="15"/>
              <w:jc w:val="center"/>
              <w:rPr>
                <w:sz w:val="22"/>
              </w:rPr>
            </w:pPr>
            <w:r>
              <w:rPr>
                <w:spacing w:val="-4"/>
                <w:sz w:val="22"/>
              </w:rPr>
              <w:t>90.0</w:t>
            </w:r>
          </w:p>
        </w:tc>
        <w:tc>
          <w:tcPr>
            <w:tcW w:w="839" w:type="dxa"/>
          </w:tcPr>
          <w:p>
            <w:pPr>
              <w:pStyle w:val="TableParagraph"/>
              <w:spacing w:before="70"/>
              <w:ind w:right="222"/>
              <w:jc w:val="right"/>
              <w:rPr>
                <w:sz w:val="22"/>
              </w:rPr>
            </w:pPr>
            <w:r>
              <w:rPr>
                <w:spacing w:val="-4"/>
                <w:sz w:val="22"/>
              </w:rPr>
              <w:t>50.0</w:t>
            </w:r>
          </w:p>
        </w:tc>
        <w:tc>
          <w:tcPr>
            <w:tcW w:w="880" w:type="dxa"/>
          </w:tcPr>
          <w:p>
            <w:pPr>
              <w:pStyle w:val="TableParagraph"/>
              <w:spacing w:before="70"/>
              <w:ind w:left="19"/>
              <w:jc w:val="center"/>
              <w:rPr>
                <w:sz w:val="22"/>
              </w:rPr>
            </w:pPr>
            <w:r>
              <w:rPr>
                <w:spacing w:val="-4"/>
                <w:sz w:val="22"/>
              </w:rPr>
              <w:t>80.0</w:t>
            </w:r>
          </w:p>
        </w:tc>
        <w:tc>
          <w:tcPr>
            <w:tcW w:w="834" w:type="dxa"/>
          </w:tcPr>
          <w:p>
            <w:pPr>
              <w:pStyle w:val="TableParagraph"/>
              <w:spacing w:before="70"/>
              <w:ind w:right="215"/>
              <w:jc w:val="right"/>
              <w:rPr>
                <w:sz w:val="22"/>
              </w:rPr>
            </w:pPr>
            <w:r>
              <w:rPr>
                <w:spacing w:val="-4"/>
                <w:sz w:val="22"/>
              </w:rPr>
              <w:t>50.0</w:t>
            </w:r>
          </w:p>
        </w:tc>
        <w:tc>
          <w:tcPr>
            <w:tcW w:w="850" w:type="dxa"/>
          </w:tcPr>
          <w:p>
            <w:pPr>
              <w:pStyle w:val="TableParagraph"/>
              <w:spacing w:before="70"/>
              <w:ind w:left="25" w:right="19"/>
              <w:jc w:val="center"/>
              <w:rPr>
                <w:sz w:val="22"/>
              </w:rPr>
            </w:pPr>
            <w:r>
              <w:rPr>
                <w:spacing w:val="-5"/>
                <w:sz w:val="22"/>
              </w:rPr>
              <w:t>100</w:t>
            </w:r>
          </w:p>
        </w:tc>
        <w:tc>
          <w:tcPr>
            <w:tcW w:w="817" w:type="dxa"/>
          </w:tcPr>
          <w:p>
            <w:pPr>
              <w:pStyle w:val="TableParagraph"/>
              <w:spacing w:before="70"/>
              <w:ind w:right="201"/>
              <w:jc w:val="right"/>
              <w:rPr>
                <w:sz w:val="22"/>
              </w:rPr>
            </w:pPr>
            <w:r>
              <w:rPr>
                <w:spacing w:val="-4"/>
                <w:sz w:val="22"/>
              </w:rPr>
              <w:t>40.0</w:t>
            </w:r>
          </w:p>
        </w:tc>
        <w:tc>
          <w:tcPr>
            <w:tcW w:w="836" w:type="dxa"/>
          </w:tcPr>
          <w:p>
            <w:pPr>
              <w:pStyle w:val="TableParagraph"/>
              <w:spacing w:before="70"/>
              <w:ind w:left="4"/>
              <w:jc w:val="center"/>
              <w:rPr>
                <w:sz w:val="22"/>
              </w:rPr>
            </w:pPr>
            <w:r>
              <w:rPr>
                <w:spacing w:val="-4"/>
                <w:sz w:val="22"/>
              </w:rPr>
              <w:t>70.0</w:t>
            </w:r>
          </w:p>
        </w:tc>
        <w:tc>
          <w:tcPr>
            <w:tcW w:w="813" w:type="dxa"/>
          </w:tcPr>
          <w:p>
            <w:pPr>
              <w:pStyle w:val="TableParagraph"/>
              <w:spacing w:before="70"/>
              <w:ind w:right="199"/>
              <w:jc w:val="right"/>
              <w:rPr>
                <w:sz w:val="22"/>
              </w:rPr>
            </w:pPr>
            <w:r>
              <w:rPr>
                <w:spacing w:val="-4"/>
                <w:sz w:val="22"/>
              </w:rPr>
              <w:t>25.0</w:t>
            </w:r>
          </w:p>
        </w:tc>
        <w:tc>
          <w:tcPr>
            <w:tcW w:w="840" w:type="dxa"/>
          </w:tcPr>
          <w:p>
            <w:pPr>
              <w:pStyle w:val="TableParagraph"/>
              <w:spacing w:before="70"/>
              <w:ind w:left="31" w:right="11"/>
              <w:jc w:val="center"/>
              <w:rPr>
                <w:sz w:val="22"/>
              </w:rPr>
            </w:pPr>
            <w:r>
              <w:rPr>
                <w:spacing w:val="-4"/>
                <w:sz w:val="22"/>
              </w:rPr>
              <w:t>50.0</w:t>
            </w:r>
          </w:p>
        </w:tc>
      </w:tr>
      <w:tr>
        <w:trPr>
          <w:trHeight w:val="450" w:hRule="atLeast"/>
        </w:trPr>
        <w:tc>
          <w:tcPr>
            <w:tcW w:w="1125" w:type="dxa"/>
          </w:tcPr>
          <w:p>
            <w:pPr>
              <w:pStyle w:val="TableParagraph"/>
              <w:spacing w:before="71"/>
              <w:ind w:left="122"/>
              <w:rPr>
                <w:sz w:val="22"/>
              </w:rPr>
            </w:pPr>
            <w:r>
              <w:rPr>
                <w:sz w:val="22"/>
              </w:rPr>
              <w:t>SP</w:t>
            </w:r>
            <w:r>
              <w:rPr>
                <w:spacing w:val="1"/>
                <w:sz w:val="22"/>
              </w:rPr>
              <w:t> </w:t>
            </w:r>
            <w:r>
              <w:rPr>
                <w:spacing w:val="-5"/>
                <w:sz w:val="22"/>
              </w:rPr>
              <w:t>903</w:t>
            </w:r>
          </w:p>
        </w:tc>
        <w:tc>
          <w:tcPr>
            <w:tcW w:w="822" w:type="dxa"/>
          </w:tcPr>
          <w:p>
            <w:pPr>
              <w:pStyle w:val="TableParagraph"/>
              <w:spacing w:before="71"/>
              <w:ind w:left="76" w:right="76"/>
              <w:jc w:val="center"/>
              <w:rPr>
                <w:sz w:val="22"/>
              </w:rPr>
            </w:pPr>
            <w:r>
              <w:rPr>
                <w:spacing w:val="-4"/>
                <w:sz w:val="22"/>
              </w:rPr>
              <w:t>35.0</w:t>
            </w:r>
          </w:p>
        </w:tc>
        <w:tc>
          <w:tcPr>
            <w:tcW w:w="849" w:type="dxa"/>
          </w:tcPr>
          <w:p>
            <w:pPr>
              <w:pStyle w:val="TableParagraph"/>
              <w:spacing w:before="71"/>
              <w:ind w:left="3" w:right="15"/>
              <w:jc w:val="center"/>
              <w:rPr>
                <w:sz w:val="22"/>
              </w:rPr>
            </w:pPr>
            <w:r>
              <w:rPr>
                <w:spacing w:val="-4"/>
                <w:sz w:val="22"/>
              </w:rPr>
              <w:t>50.0</w:t>
            </w:r>
          </w:p>
        </w:tc>
        <w:tc>
          <w:tcPr>
            <w:tcW w:w="839" w:type="dxa"/>
          </w:tcPr>
          <w:p>
            <w:pPr>
              <w:pStyle w:val="TableParagraph"/>
              <w:spacing w:before="71"/>
              <w:ind w:right="222"/>
              <w:jc w:val="right"/>
              <w:rPr>
                <w:sz w:val="22"/>
              </w:rPr>
            </w:pPr>
            <w:r>
              <w:rPr>
                <w:spacing w:val="-4"/>
                <w:sz w:val="22"/>
              </w:rPr>
              <w:t>30.0</w:t>
            </w:r>
          </w:p>
        </w:tc>
        <w:tc>
          <w:tcPr>
            <w:tcW w:w="880" w:type="dxa"/>
          </w:tcPr>
          <w:p>
            <w:pPr>
              <w:pStyle w:val="TableParagraph"/>
              <w:spacing w:before="71"/>
              <w:ind w:left="19"/>
              <w:jc w:val="center"/>
              <w:rPr>
                <w:sz w:val="22"/>
              </w:rPr>
            </w:pPr>
            <w:r>
              <w:rPr>
                <w:spacing w:val="-4"/>
                <w:sz w:val="22"/>
              </w:rPr>
              <w:t>50.0</w:t>
            </w:r>
          </w:p>
        </w:tc>
        <w:tc>
          <w:tcPr>
            <w:tcW w:w="834" w:type="dxa"/>
          </w:tcPr>
          <w:p>
            <w:pPr>
              <w:pStyle w:val="TableParagraph"/>
              <w:spacing w:before="71"/>
              <w:ind w:right="215"/>
              <w:jc w:val="right"/>
              <w:rPr>
                <w:sz w:val="22"/>
              </w:rPr>
            </w:pPr>
            <w:r>
              <w:rPr>
                <w:spacing w:val="-4"/>
                <w:sz w:val="22"/>
              </w:rPr>
              <w:t>17.5</w:t>
            </w:r>
          </w:p>
        </w:tc>
        <w:tc>
          <w:tcPr>
            <w:tcW w:w="850" w:type="dxa"/>
          </w:tcPr>
          <w:p>
            <w:pPr>
              <w:pStyle w:val="TableParagraph"/>
              <w:spacing w:before="71"/>
              <w:ind w:left="25" w:right="19"/>
              <w:jc w:val="center"/>
              <w:rPr>
                <w:sz w:val="22"/>
              </w:rPr>
            </w:pPr>
            <w:r>
              <w:rPr>
                <w:spacing w:val="-4"/>
                <w:sz w:val="22"/>
              </w:rPr>
              <w:t>25.0</w:t>
            </w:r>
          </w:p>
        </w:tc>
        <w:tc>
          <w:tcPr>
            <w:tcW w:w="817" w:type="dxa"/>
          </w:tcPr>
          <w:p>
            <w:pPr>
              <w:pStyle w:val="TableParagraph"/>
              <w:spacing w:before="71"/>
              <w:ind w:right="201"/>
              <w:jc w:val="right"/>
              <w:rPr>
                <w:sz w:val="22"/>
              </w:rPr>
            </w:pPr>
            <w:r>
              <w:rPr>
                <w:spacing w:val="-4"/>
                <w:sz w:val="22"/>
              </w:rPr>
              <w:t>17.5</w:t>
            </w:r>
          </w:p>
        </w:tc>
        <w:tc>
          <w:tcPr>
            <w:tcW w:w="836" w:type="dxa"/>
          </w:tcPr>
          <w:p>
            <w:pPr>
              <w:pStyle w:val="TableParagraph"/>
              <w:spacing w:before="71"/>
              <w:ind w:left="4"/>
              <w:jc w:val="center"/>
              <w:rPr>
                <w:sz w:val="22"/>
              </w:rPr>
            </w:pPr>
            <w:r>
              <w:rPr>
                <w:spacing w:val="-4"/>
                <w:sz w:val="22"/>
              </w:rPr>
              <w:t>25.0</w:t>
            </w:r>
          </w:p>
        </w:tc>
        <w:tc>
          <w:tcPr>
            <w:tcW w:w="813" w:type="dxa"/>
          </w:tcPr>
          <w:p>
            <w:pPr>
              <w:pStyle w:val="TableParagraph"/>
              <w:spacing w:before="71"/>
              <w:ind w:right="199"/>
              <w:jc w:val="right"/>
              <w:rPr>
                <w:sz w:val="22"/>
              </w:rPr>
            </w:pPr>
            <w:r>
              <w:rPr>
                <w:spacing w:val="-4"/>
                <w:sz w:val="22"/>
              </w:rPr>
              <w:t>17.5</w:t>
            </w:r>
          </w:p>
        </w:tc>
        <w:tc>
          <w:tcPr>
            <w:tcW w:w="840" w:type="dxa"/>
          </w:tcPr>
          <w:p>
            <w:pPr>
              <w:pStyle w:val="TableParagraph"/>
              <w:spacing w:before="71"/>
              <w:ind w:left="31" w:right="11"/>
              <w:jc w:val="center"/>
              <w:rPr>
                <w:sz w:val="22"/>
              </w:rPr>
            </w:pPr>
            <w:r>
              <w:rPr>
                <w:spacing w:val="-4"/>
                <w:sz w:val="22"/>
              </w:rPr>
              <w:t>25.0</w:t>
            </w:r>
          </w:p>
        </w:tc>
      </w:tr>
      <w:tr>
        <w:trPr>
          <w:trHeight w:val="448" w:hRule="atLeast"/>
        </w:trPr>
        <w:tc>
          <w:tcPr>
            <w:tcW w:w="1125" w:type="dxa"/>
          </w:tcPr>
          <w:p>
            <w:pPr>
              <w:pStyle w:val="TableParagraph"/>
              <w:spacing w:before="70"/>
              <w:ind w:left="122"/>
              <w:rPr>
                <w:sz w:val="22"/>
              </w:rPr>
            </w:pPr>
            <w:r>
              <w:rPr>
                <w:sz w:val="22"/>
              </w:rPr>
              <w:t>TS</w:t>
            </w:r>
            <w:r>
              <w:rPr>
                <w:spacing w:val="-1"/>
                <w:sz w:val="22"/>
              </w:rPr>
              <w:t> </w:t>
            </w:r>
            <w:r>
              <w:rPr>
                <w:spacing w:val="-5"/>
                <w:sz w:val="22"/>
              </w:rPr>
              <w:t>328</w:t>
            </w:r>
          </w:p>
        </w:tc>
        <w:tc>
          <w:tcPr>
            <w:tcW w:w="822" w:type="dxa"/>
          </w:tcPr>
          <w:p>
            <w:pPr>
              <w:pStyle w:val="TableParagraph"/>
              <w:spacing w:before="70"/>
              <w:ind w:left="76" w:right="76"/>
              <w:jc w:val="center"/>
              <w:rPr>
                <w:sz w:val="22"/>
              </w:rPr>
            </w:pPr>
            <w:r>
              <w:rPr>
                <w:spacing w:val="-4"/>
                <w:sz w:val="22"/>
              </w:rPr>
              <w:t>30.0</w:t>
            </w:r>
          </w:p>
        </w:tc>
        <w:tc>
          <w:tcPr>
            <w:tcW w:w="849" w:type="dxa"/>
          </w:tcPr>
          <w:p>
            <w:pPr>
              <w:pStyle w:val="TableParagraph"/>
              <w:spacing w:before="70"/>
              <w:ind w:left="3" w:right="15"/>
              <w:jc w:val="center"/>
              <w:rPr>
                <w:sz w:val="22"/>
              </w:rPr>
            </w:pPr>
            <w:r>
              <w:rPr>
                <w:spacing w:val="-4"/>
                <w:sz w:val="22"/>
              </w:rPr>
              <w:t>50.0</w:t>
            </w:r>
          </w:p>
        </w:tc>
        <w:tc>
          <w:tcPr>
            <w:tcW w:w="839" w:type="dxa"/>
          </w:tcPr>
          <w:p>
            <w:pPr>
              <w:pStyle w:val="TableParagraph"/>
              <w:spacing w:before="70"/>
              <w:ind w:right="222"/>
              <w:jc w:val="right"/>
              <w:rPr>
                <w:sz w:val="22"/>
              </w:rPr>
            </w:pPr>
            <w:r>
              <w:rPr>
                <w:spacing w:val="-4"/>
                <w:sz w:val="22"/>
              </w:rPr>
              <w:t>35.0</w:t>
            </w:r>
          </w:p>
        </w:tc>
        <w:tc>
          <w:tcPr>
            <w:tcW w:w="880" w:type="dxa"/>
          </w:tcPr>
          <w:p>
            <w:pPr>
              <w:pStyle w:val="TableParagraph"/>
              <w:spacing w:before="70"/>
              <w:ind w:left="19"/>
              <w:jc w:val="center"/>
              <w:rPr>
                <w:sz w:val="22"/>
              </w:rPr>
            </w:pPr>
            <w:r>
              <w:rPr>
                <w:spacing w:val="-4"/>
                <w:sz w:val="22"/>
              </w:rPr>
              <w:t>50.0</w:t>
            </w:r>
          </w:p>
        </w:tc>
        <w:tc>
          <w:tcPr>
            <w:tcW w:w="834" w:type="dxa"/>
          </w:tcPr>
          <w:p>
            <w:pPr>
              <w:pStyle w:val="TableParagraph"/>
              <w:spacing w:before="70"/>
              <w:ind w:right="215"/>
              <w:jc w:val="right"/>
              <w:rPr>
                <w:sz w:val="22"/>
              </w:rPr>
            </w:pPr>
            <w:r>
              <w:rPr>
                <w:spacing w:val="-4"/>
                <w:sz w:val="22"/>
              </w:rPr>
              <w:t>17.5</w:t>
            </w:r>
          </w:p>
        </w:tc>
        <w:tc>
          <w:tcPr>
            <w:tcW w:w="850" w:type="dxa"/>
          </w:tcPr>
          <w:p>
            <w:pPr>
              <w:pStyle w:val="TableParagraph"/>
              <w:spacing w:before="70"/>
              <w:ind w:left="25" w:right="19"/>
              <w:jc w:val="center"/>
              <w:rPr>
                <w:sz w:val="22"/>
              </w:rPr>
            </w:pPr>
            <w:r>
              <w:rPr>
                <w:spacing w:val="-4"/>
                <w:sz w:val="22"/>
              </w:rPr>
              <w:t>25.0</w:t>
            </w:r>
          </w:p>
        </w:tc>
        <w:tc>
          <w:tcPr>
            <w:tcW w:w="817" w:type="dxa"/>
          </w:tcPr>
          <w:p>
            <w:pPr>
              <w:pStyle w:val="TableParagraph"/>
              <w:spacing w:before="70"/>
              <w:ind w:right="201"/>
              <w:jc w:val="right"/>
              <w:rPr>
                <w:sz w:val="22"/>
              </w:rPr>
            </w:pPr>
            <w:r>
              <w:rPr>
                <w:spacing w:val="-4"/>
                <w:sz w:val="22"/>
              </w:rPr>
              <w:t>17.5</w:t>
            </w:r>
          </w:p>
        </w:tc>
        <w:tc>
          <w:tcPr>
            <w:tcW w:w="836" w:type="dxa"/>
          </w:tcPr>
          <w:p>
            <w:pPr>
              <w:pStyle w:val="TableParagraph"/>
              <w:spacing w:before="70"/>
              <w:ind w:left="4"/>
              <w:jc w:val="center"/>
              <w:rPr>
                <w:sz w:val="22"/>
              </w:rPr>
            </w:pPr>
            <w:r>
              <w:rPr>
                <w:spacing w:val="-4"/>
                <w:sz w:val="22"/>
              </w:rPr>
              <w:t>25.0</w:t>
            </w:r>
          </w:p>
        </w:tc>
        <w:tc>
          <w:tcPr>
            <w:tcW w:w="813" w:type="dxa"/>
          </w:tcPr>
          <w:p>
            <w:pPr>
              <w:pStyle w:val="TableParagraph"/>
              <w:spacing w:before="70"/>
              <w:ind w:right="199"/>
              <w:jc w:val="right"/>
              <w:rPr>
                <w:sz w:val="22"/>
              </w:rPr>
            </w:pPr>
            <w:r>
              <w:rPr>
                <w:spacing w:val="-4"/>
                <w:sz w:val="22"/>
              </w:rPr>
              <w:t>17.5</w:t>
            </w:r>
          </w:p>
        </w:tc>
        <w:tc>
          <w:tcPr>
            <w:tcW w:w="840" w:type="dxa"/>
          </w:tcPr>
          <w:p>
            <w:pPr>
              <w:pStyle w:val="TableParagraph"/>
              <w:spacing w:before="70"/>
              <w:ind w:left="31" w:right="11"/>
              <w:jc w:val="center"/>
              <w:rPr>
                <w:sz w:val="22"/>
              </w:rPr>
            </w:pPr>
            <w:r>
              <w:rPr>
                <w:spacing w:val="-4"/>
                <w:sz w:val="22"/>
              </w:rPr>
              <w:t>25.0</w:t>
            </w:r>
          </w:p>
        </w:tc>
      </w:tr>
      <w:tr>
        <w:trPr>
          <w:trHeight w:val="524" w:hRule="atLeast"/>
        </w:trPr>
        <w:tc>
          <w:tcPr>
            <w:tcW w:w="1125" w:type="dxa"/>
            <w:tcBorders>
              <w:bottom w:val="single" w:sz="4" w:space="0" w:color="000000"/>
            </w:tcBorders>
          </w:tcPr>
          <w:p>
            <w:pPr>
              <w:pStyle w:val="TableParagraph"/>
              <w:spacing w:before="70"/>
              <w:ind w:left="122"/>
              <w:rPr>
                <w:sz w:val="22"/>
              </w:rPr>
            </w:pPr>
            <w:r>
              <w:rPr>
                <w:sz w:val="22"/>
              </w:rPr>
              <w:t>TS</w:t>
            </w:r>
            <w:r>
              <w:rPr>
                <w:spacing w:val="-1"/>
                <w:sz w:val="22"/>
              </w:rPr>
              <w:t> </w:t>
            </w:r>
            <w:r>
              <w:rPr>
                <w:spacing w:val="-5"/>
                <w:sz w:val="22"/>
              </w:rPr>
              <w:t>901</w:t>
            </w:r>
          </w:p>
        </w:tc>
        <w:tc>
          <w:tcPr>
            <w:tcW w:w="822" w:type="dxa"/>
            <w:tcBorders>
              <w:bottom w:val="single" w:sz="4" w:space="0" w:color="000000"/>
            </w:tcBorders>
          </w:tcPr>
          <w:p>
            <w:pPr>
              <w:pStyle w:val="TableParagraph"/>
              <w:spacing w:before="70"/>
              <w:ind w:left="76" w:right="76"/>
              <w:jc w:val="center"/>
              <w:rPr>
                <w:sz w:val="22"/>
              </w:rPr>
            </w:pPr>
            <w:r>
              <w:rPr>
                <w:spacing w:val="-4"/>
                <w:sz w:val="22"/>
              </w:rPr>
              <w:t>35.0</w:t>
            </w:r>
          </w:p>
        </w:tc>
        <w:tc>
          <w:tcPr>
            <w:tcW w:w="849" w:type="dxa"/>
            <w:tcBorders>
              <w:bottom w:val="single" w:sz="4" w:space="0" w:color="000000"/>
            </w:tcBorders>
          </w:tcPr>
          <w:p>
            <w:pPr>
              <w:pStyle w:val="TableParagraph"/>
              <w:spacing w:before="70"/>
              <w:ind w:left="3" w:right="15"/>
              <w:jc w:val="center"/>
              <w:rPr>
                <w:sz w:val="22"/>
              </w:rPr>
            </w:pPr>
            <w:r>
              <w:rPr>
                <w:spacing w:val="-4"/>
                <w:sz w:val="22"/>
              </w:rPr>
              <w:t>50.0</w:t>
            </w:r>
          </w:p>
        </w:tc>
        <w:tc>
          <w:tcPr>
            <w:tcW w:w="839" w:type="dxa"/>
            <w:tcBorders>
              <w:bottom w:val="single" w:sz="4" w:space="0" w:color="000000"/>
            </w:tcBorders>
          </w:tcPr>
          <w:p>
            <w:pPr>
              <w:pStyle w:val="TableParagraph"/>
              <w:spacing w:before="70"/>
              <w:ind w:right="222"/>
              <w:jc w:val="right"/>
              <w:rPr>
                <w:sz w:val="22"/>
              </w:rPr>
            </w:pPr>
            <w:r>
              <w:rPr>
                <w:spacing w:val="-4"/>
                <w:sz w:val="22"/>
              </w:rPr>
              <w:t>30.0</w:t>
            </w:r>
          </w:p>
        </w:tc>
        <w:tc>
          <w:tcPr>
            <w:tcW w:w="880" w:type="dxa"/>
            <w:tcBorders>
              <w:bottom w:val="single" w:sz="4" w:space="0" w:color="000000"/>
            </w:tcBorders>
          </w:tcPr>
          <w:p>
            <w:pPr>
              <w:pStyle w:val="TableParagraph"/>
              <w:spacing w:before="70"/>
              <w:ind w:left="19"/>
              <w:jc w:val="center"/>
              <w:rPr>
                <w:sz w:val="22"/>
              </w:rPr>
            </w:pPr>
            <w:r>
              <w:rPr>
                <w:spacing w:val="-4"/>
                <w:sz w:val="22"/>
              </w:rPr>
              <w:t>50.0</w:t>
            </w:r>
          </w:p>
        </w:tc>
        <w:tc>
          <w:tcPr>
            <w:tcW w:w="834" w:type="dxa"/>
            <w:tcBorders>
              <w:bottom w:val="single" w:sz="4" w:space="0" w:color="000000"/>
            </w:tcBorders>
          </w:tcPr>
          <w:p>
            <w:pPr>
              <w:pStyle w:val="TableParagraph"/>
              <w:spacing w:before="70"/>
              <w:ind w:right="215"/>
              <w:jc w:val="right"/>
              <w:rPr>
                <w:sz w:val="22"/>
              </w:rPr>
            </w:pPr>
            <w:r>
              <w:rPr>
                <w:spacing w:val="-4"/>
                <w:sz w:val="22"/>
              </w:rPr>
              <w:t>17.5</w:t>
            </w:r>
          </w:p>
        </w:tc>
        <w:tc>
          <w:tcPr>
            <w:tcW w:w="850" w:type="dxa"/>
            <w:tcBorders>
              <w:bottom w:val="single" w:sz="4" w:space="0" w:color="000000"/>
            </w:tcBorders>
          </w:tcPr>
          <w:p>
            <w:pPr>
              <w:pStyle w:val="TableParagraph"/>
              <w:spacing w:before="70"/>
              <w:ind w:left="25" w:right="19"/>
              <w:jc w:val="center"/>
              <w:rPr>
                <w:sz w:val="22"/>
              </w:rPr>
            </w:pPr>
            <w:r>
              <w:rPr>
                <w:spacing w:val="-4"/>
                <w:sz w:val="22"/>
              </w:rPr>
              <w:t>25.0</w:t>
            </w:r>
          </w:p>
        </w:tc>
        <w:tc>
          <w:tcPr>
            <w:tcW w:w="817" w:type="dxa"/>
            <w:tcBorders>
              <w:bottom w:val="single" w:sz="4" w:space="0" w:color="000000"/>
            </w:tcBorders>
          </w:tcPr>
          <w:p>
            <w:pPr>
              <w:pStyle w:val="TableParagraph"/>
              <w:spacing w:before="70"/>
              <w:ind w:right="201"/>
              <w:jc w:val="right"/>
              <w:rPr>
                <w:sz w:val="22"/>
              </w:rPr>
            </w:pPr>
            <w:r>
              <w:rPr>
                <w:spacing w:val="-4"/>
                <w:sz w:val="22"/>
              </w:rPr>
              <w:t>17.5</w:t>
            </w:r>
          </w:p>
        </w:tc>
        <w:tc>
          <w:tcPr>
            <w:tcW w:w="836" w:type="dxa"/>
            <w:tcBorders>
              <w:bottom w:val="single" w:sz="4" w:space="0" w:color="000000"/>
            </w:tcBorders>
          </w:tcPr>
          <w:p>
            <w:pPr>
              <w:pStyle w:val="TableParagraph"/>
              <w:spacing w:before="70"/>
              <w:ind w:left="4"/>
              <w:jc w:val="center"/>
              <w:rPr>
                <w:sz w:val="22"/>
              </w:rPr>
            </w:pPr>
            <w:r>
              <w:rPr>
                <w:spacing w:val="-4"/>
                <w:sz w:val="22"/>
              </w:rPr>
              <w:t>25.0</w:t>
            </w:r>
          </w:p>
        </w:tc>
        <w:tc>
          <w:tcPr>
            <w:tcW w:w="813" w:type="dxa"/>
            <w:tcBorders>
              <w:bottom w:val="single" w:sz="4" w:space="0" w:color="000000"/>
            </w:tcBorders>
          </w:tcPr>
          <w:p>
            <w:pPr>
              <w:pStyle w:val="TableParagraph"/>
              <w:spacing w:before="70"/>
              <w:ind w:right="199"/>
              <w:jc w:val="right"/>
              <w:rPr>
                <w:sz w:val="22"/>
              </w:rPr>
            </w:pPr>
            <w:r>
              <w:rPr>
                <w:spacing w:val="-4"/>
                <w:sz w:val="22"/>
              </w:rPr>
              <w:t>17.5</w:t>
            </w:r>
          </w:p>
        </w:tc>
        <w:tc>
          <w:tcPr>
            <w:tcW w:w="840" w:type="dxa"/>
            <w:tcBorders>
              <w:bottom w:val="single" w:sz="4" w:space="0" w:color="000000"/>
            </w:tcBorders>
          </w:tcPr>
          <w:p>
            <w:pPr>
              <w:pStyle w:val="TableParagraph"/>
              <w:spacing w:before="70"/>
              <w:ind w:left="31" w:right="11"/>
              <w:jc w:val="center"/>
              <w:rPr>
                <w:sz w:val="22"/>
              </w:rPr>
            </w:pPr>
            <w:r>
              <w:rPr>
                <w:spacing w:val="-4"/>
                <w:sz w:val="22"/>
              </w:rPr>
              <w:t>25.0</w:t>
            </w:r>
          </w:p>
        </w:tc>
      </w:tr>
    </w:tbl>
    <w:p>
      <w:pPr>
        <w:pStyle w:val="BodyText"/>
        <w:spacing w:line="360" w:lineRule="auto"/>
        <w:ind w:left="380" w:right="975"/>
      </w:pPr>
      <w:r>
        <w:rPr>
          <w:b/>
        </w:rPr>
        <w:t>Key:</w:t>
      </w:r>
      <w:r>
        <w:rPr>
          <w:b/>
          <w:spacing w:val="-4"/>
        </w:rPr>
        <w:t> </w:t>
      </w:r>
      <w:r>
        <w:rPr/>
        <w:t>MIC=Minimum</w:t>
      </w:r>
      <w:r>
        <w:rPr>
          <w:spacing w:val="-3"/>
        </w:rPr>
        <w:t> </w:t>
      </w:r>
      <w:r>
        <w:rPr/>
        <w:t>Inhibitory</w:t>
      </w:r>
      <w:r>
        <w:rPr>
          <w:spacing w:val="-6"/>
        </w:rPr>
        <w:t> </w:t>
      </w:r>
      <w:r>
        <w:rPr/>
        <w:t>Concentration,</w:t>
      </w:r>
      <w:r>
        <w:rPr>
          <w:spacing w:val="-6"/>
        </w:rPr>
        <w:t> </w:t>
      </w:r>
      <w:r>
        <w:rPr/>
        <w:t>MBC=</w:t>
      </w:r>
      <w:r>
        <w:rPr>
          <w:spacing w:val="-6"/>
        </w:rPr>
        <w:t> </w:t>
      </w:r>
      <w:r>
        <w:rPr/>
        <w:t>Minimum</w:t>
      </w:r>
      <w:r>
        <w:rPr>
          <w:spacing w:val="-3"/>
        </w:rPr>
        <w:t> </w:t>
      </w:r>
      <w:r>
        <w:rPr/>
        <w:t>Bactericidal</w:t>
      </w:r>
      <w:r>
        <w:rPr>
          <w:spacing w:val="-7"/>
        </w:rPr>
        <w:t> </w:t>
      </w:r>
      <w:r>
        <w:rPr/>
        <w:t>Concentration, SP=Sputum, TS=Throat Swab.</w:t>
      </w:r>
    </w:p>
    <w:p>
      <w:pPr>
        <w:spacing w:after="0" w:line="360"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3"/>
      </w:pPr>
    </w:p>
    <w:p>
      <w:pPr>
        <w:spacing w:before="1"/>
        <w:ind w:left="620" w:right="0" w:firstLine="0"/>
        <w:jc w:val="left"/>
        <w:rPr>
          <w:b/>
          <w:i/>
          <w:sz w:val="22"/>
        </w:rPr>
      </w:pPr>
      <w:r>
        <w:rPr>
          <w:b/>
          <w:sz w:val="22"/>
        </w:rPr>
        <w:t>MIC</w:t>
      </w:r>
      <w:r>
        <w:rPr>
          <w:b/>
          <w:spacing w:val="-4"/>
          <w:sz w:val="22"/>
        </w:rPr>
        <w:t> </w:t>
      </w:r>
      <w:r>
        <w:rPr>
          <w:b/>
          <w:sz w:val="22"/>
        </w:rPr>
        <w:t>and</w:t>
      </w:r>
      <w:r>
        <w:rPr>
          <w:b/>
          <w:spacing w:val="-4"/>
          <w:sz w:val="22"/>
        </w:rPr>
        <w:t> </w:t>
      </w:r>
      <w:r>
        <w:rPr>
          <w:b/>
          <w:sz w:val="22"/>
        </w:rPr>
        <w:t>MBC</w:t>
      </w:r>
      <w:r>
        <w:rPr>
          <w:b/>
          <w:spacing w:val="-5"/>
          <w:sz w:val="22"/>
        </w:rPr>
        <w:t> </w:t>
      </w:r>
      <w:r>
        <w:rPr>
          <w:b/>
          <w:sz w:val="22"/>
        </w:rPr>
        <w:t>Test</w:t>
      </w:r>
      <w:r>
        <w:rPr>
          <w:b/>
          <w:spacing w:val="-5"/>
          <w:sz w:val="22"/>
        </w:rPr>
        <w:t> </w:t>
      </w:r>
      <w:r>
        <w:rPr>
          <w:b/>
          <w:sz w:val="22"/>
        </w:rPr>
        <w:t>(µg/ml)</w:t>
      </w:r>
      <w:r>
        <w:rPr>
          <w:b/>
          <w:spacing w:val="-5"/>
          <w:sz w:val="22"/>
        </w:rPr>
        <w:t> </w:t>
      </w:r>
      <w:r>
        <w:rPr>
          <w:b/>
          <w:sz w:val="22"/>
        </w:rPr>
        <w:t>of</w:t>
      </w:r>
      <w:r>
        <w:rPr>
          <w:b/>
          <w:spacing w:val="-4"/>
          <w:sz w:val="22"/>
        </w:rPr>
        <w:t> </w:t>
      </w:r>
      <w:r>
        <w:rPr>
          <w:b/>
          <w:sz w:val="22"/>
        </w:rPr>
        <w:t>Lemon</w:t>
      </w:r>
      <w:r>
        <w:rPr>
          <w:b/>
          <w:spacing w:val="-2"/>
          <w:sz w:val="22"/>
        </w:rPr>
        <w:t> </w:t>
      </w:r>
      <w:r>
        <w:rPr>
          <w:b/>
          <w:sz w:val="22"/>
        </w:rPr>
        <w:t>juice</w:t>
      </w:r>
      <w:r>
        <w:rPr>
          <w:b/>
          <w:spacing w:val="-3"/>
          <w:sz w:val="22"/>
        </w:rPr>
        <w:t> </w:t>
      </w:r>
      <w:r>
        <w:rPr>
          <w:b/>
          <w:sz w:val="22"/>
        </w:rPr>
        <w:t>and</w:t>
      </w:r>
      <w:r>
        <w:rPr>
          <w:b/>
          <w:spacing w:val="-5"/>
          <w:sz w:val="22"/>
        </w:rPr>
        <w:t> </w:t>
      </w:r>
      <w:r>
        <w:rPr>
          <w:b/>
          <w:sz w:val="22"/>
        </w:rPr>
        <w:t>Honey</w:t>
      </w:r>
      <w:r>
        <w:rPr>
          <w:b/>
          <w:spacing w:val="-5"/>
          <w:sz w:val="22"/>
        </w:rPr>
        <w:t> </w:t>
      </w:r>
      <w:r>
        <w:rPr>
          <w:b/>
          <w:sz w:val="22"/>
        </w:rPr>
        <w:t>mixture</w:t>
      </w:r>
      <w:r>
        <w:rPr>
          <w:b/>
          <w:spacing w:val="-4"/>
          <w:sz w:val="22"/>
        </w:rPr>
        <w:t> </w:t>
      </w:r>
      <w:r>
        <w:rPr>
          <w:b/>
          <w:sz w:val="22"/>
        </w:rPr>
        <w:t>against</w:t>
      </w:r>
      <w:r>
        <w:rPr>
          <w:b/>
          <w:spacing w:val="-1"/>
          <w:sz w:val="22"/>
        </w:rPr>
        <w:t> </w:t>
      </w:r>
      <w:r>
        <w:rPr>
          <w:b/>
          <w:i/>
          <w:sz w:val="22"/>
        </w:rPr>
        <w:t>Streptococcus</w:t>
      </w:r>
      <w:r>
        <w:rPr>
          <w:b/>
          <w:i/>
          <w:spacing w:val="-6"/>
          <w:sz w:val="22"/>
        </w:rPr>
        <w:t> </w:t>
      </w:r>
      <w:r>
        <w:rPr>
          <w:b/>
          <w:i/>
          <w:spacing w:val="-2"/>
          <w:sz w:val="22"/>
        </w:rPr>
        <w:t>pyogenes</w:t>
      </w:r>
    </w:p>
    <w:p>
      <w:pPr>
        <w:pStyle w:val="BodyText"/>
        <w:rPr>
          <w:b/>
          <w:i/>
          <w:sz w:val="20"/>
        </w:rPr>
      </w:pPr>
    </w:p>
    <w:p>
      <w:pPr>
        <w:pStyle w:val="BodyText"/>
        <w:spacing w:before="141"/>
        <w:rPr>
          <w:b/>
          <w:i/>
          <w:sz w:val="20"/>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5"/>
        <w:gridCol w:w="822"/>
        <w:gridCol w:w="849"/>
        <w:gridCol w:w="839"/>
        <w:gridCol w:w="880"/>
        <w:gridCol w:w="834"/>
        <w:gridCol w:w="850"/>
        <w:gridCol w:w="817"/>
        <w:gridCol w:w="836"/>
        <w:gridCol w:w="813"/>
        <w:gridCol w:w="840"/>
      </w:tblGrid>
      <w:tr>
        <w:trPr>
          <w:trHeight w:val="665" w:hRule="atLeast"/>
        </w:trPr>
        <w:tc>
          <w:tcPr>
            <w:tcW w:w="1125" w:type="dxa"/>
            <w:tcBorders>
              <w:top w:val="single" w:sz="4" w:space="0" w:color="000000"/>
            </w:tcBorders>
          </w:tcPr>
          <w:p>
            <w:pPr>
              <w:pStyle w:val="TableParagraph"/>
              <w:spacing w:line="259" w:lineRule="auto"/>
              <w:ind w:left="412" w:right="206" w:hanging="176"/>
              <w:rPr>
                <w:b/>
                <w:sz w:val="22"/>
              </w:rPr>
            </w:pPr>
            <w:r>
              <w:rPr>
                <w:b/>
                <w:spacing w:val="-2"/>
                <w:sz w:val="22"/>
              </w:rPr>
              <w:t>Sample </w:t>
            </w:r>
            <w:r>
              <w:rPr>
                <w:b/>
                <w:spacing w:val="-4"/>
                <w:sz w:val="22"/>
              </w:rPr>
              <w:t>No.</w:t>
            </w:r>
          </w:p>
        </w:tc>
        <w:tc>
          <w:tcPr>
            <w:tcW w:w="822" w:type="dxa"/>
            <w:tcBorders>
              <w:top w:val="single" w:sz="4" w:space="0" w:color="000000"/>
            </w:tcBorders>
          </w:tcPr>
          <w:p>
            <w:pPr>
              <w:pStyle w:val="TableParagraph"/>
              <w:spacing w:before="143"/>
              <w:ind w:left="73" w:right="76"/>
              <w:jc w:val="center"/>
              <w:rPr>
                <w:b/>
                <w:sz w:val="22"/>
              </w:rPr>
            </w:pPr>
            <w:r>
              <w:rPr>
                <w:b/>
                <w:spacing w:val="-5"/>
                <w:sz w:val="22"/>
              </w:rPr>
              <w:t>MIC</w:t>
            </w:r>
          </w:p>
        </w:tc>
        <w:tc>
          <w:tcPr>
            <w:tcW w:w="849" w:type="dxa"/>
            <w:tcBorders>
              <w:top w:val="single" w:sz="4" w:space="0" w:color="000000"/>
            </w:tcBorders>
          </w:tcPr>
          <w:p>
            <w:pPr>
              <w:pStyle w:val="TableParagraph"/>
              <w:spacing w:before="143"/>
              <w:ind w:right="15"/>
              <w:jc w:val="center"/>
              <w:rPr>
                <w:b/>
                <w:sz w:val="22"/>
              </w:rPr>
            </w:pPr>
            <w:r>
              <w:rPr>
                <w:b/>
                <w:spacing w:val="-5"/>
                <w:sz w:val="22"/>
              </w:rPr>
              <w:t>MBC</w:t>
            </w:r>
          </w:p>
        </w:tc>
        <w:tc>
          <w:tcPr>
            <w:tcW w:w="839" w:type="dxa"/>
            <w:tcBorders>
              <w:top w:val="single" w:sz="4" w:space="0" w:color="000000"/>
            </w:tcBorders>
          </w:tcPr>
          <w:p>
            <w:pPr>
              <w:pStyle w:val="TableParagraph"/>
              <w:spacing w:before="143"/>
              <w:ind w:right="234"/>
              <w:jc w:val="right"/>
              <w:rPr>
                <w:b/>
                <w:sz w:val="22"/>
              </w:rPr>
            </w:pPr>
            <w:r>
              <w:rPr>
                <w:b/>
                <w:spacing w:val="-5"/>
                <w:sz w:val="22"/>
              </w:rPr>
              <w:t>MIC</w:t>
            </w:r>
          </w:p>
        </w:tc>
        <w:tc>
          <w:tcPr>
            <w:tcW w:w="880" w:type="dxa"/>
            <w:tcBorders>
              <w:top w:val="single" w:sz="4" w:space="0" w:color="000000"/>
            </w:tcBorders>
          </w:tcPr>
          <w:p>
            <w:pPr>
              <w:pStyle w:val="TableParagraph"/>
              <w:spacing w:before="143"/>
              <w:ind w:left="19" w:right="2"/>
              <w:jc w:val="center"/>
              <w:rPr>
                <w:b/>
                <w:sz w:val="22"/>
              </w:rPr>
            </w:pPr>
            <w:r>
              <w:rPr>
                <w:b/>
                <w:spacing w:val="-5"/>
                <w:sz w:val="22"/>
              </w:rPr>
              <w:t>MBC</w:t>
            </w:r>
          </w:p>
        </w:tc>
        <w:tc>
          <w:tcPr>
            <w:tcW w:w="834" w:type="dxa"/>
            <w:tcBorders>
              <w:top w:val="single" w:sz="4" w:space="0" w:color="000000"/>
            </w:tcBorders>
          </w:tcPr>
          <w:p>
            <w:pPr>
              <w:pStyle w:val="TableParagraph"/>
              <w:spacing w:before="143"/>
              <w:ind w:right="230"/>
              <w:jc w:val="right"/>
              <w:rPr>
                <w:b/>
                <w:sz w:val="22"/>
              </w:rPr>
            </w:pPr>
            <w:r>
              <w:rPr>
                <w:b/>
                <w:spacing w:val="-5"/>
                <w:sz w:val="22"/>
              </w:rPr>
              <w:t>MIC</w:t>
            </w:r>
          </w:p>
        </w:tc>
        <w:tc>
          <w:tcPr>
            <w:tcW w:w="850" w:type="dxa"/>
            <w:tcBorders>
              <w:top w:val="single" w:sz="4" w:space="0" w:color="000000"/>
            </w:tcBorders>
          </w:tcPr>
          <w:p>
            <w:pPr>
              <w:pStyle w:val="TableParagraph"/>
              <w:spacing w:before="143"/>
              <w:ind w:left="23" w:right="19"/>
              <w:jc w:val="center"/>
              <w:rPr>
                <w:b/>
                <w:sz w:val="22"/>
              </w:rPr>
            </w:pPr>
            <w:r>
              <w:rPr>
                <w:b/>
                <w:spacing w:val="-5"/>
                <w:sz w:val="22"/>
              </w:rPr>
              <w:t>MBC</w:t>
            </w:r>
          </w:p>
        </w:tc>
        <w:tc>
          <w:tcPr>
            <w:tcW w:w="817" w:type="dxa"/>
            <w:tcBorders>
              <w:top w:val="single" w:sz="4" w:space="0" w:color="000000"/>
            </w:tcBorders>
          </w:tcPr>
          <w:p>
            <w:pPr>
              <w:pStyle w:val="TableParagraph"/>
              <w:spacing w:before="143"/>
              <w:ind w:right="216"/>
              <w:jc w:val="right"/>
              <w:rPr>
                <w:b/>
                <w:sz w:val="22"/>
              </w:rPr>
            </w:pPr>
            <w:r>
              <w:rPr>
                <w:b/>
                <w:spacing w:val="-5"/>
                <w:sz w:val="22"/>
              </w:rPr>
              <w:t>MIC</w:t>
            </w:r>
          </w:p>
        </w:tc>
        <w:tc>
          <w:tcPr>
            <w:tcW w:w="836" w:type="dxa"/>
            <w:tcBorders>
              <w:top w:val="single" w:sz="4" w:space="0" w:color="000000"/>
            </w:tcBorders>
          </w:tcPr>
          <w:p>
            <w:pPr>
              <w:pStyle w:val="TableParagraph"/>
              <w:spacing w:before="143"/>
              <w:ind w:left="4" w:right="2"/>
              <w:jc w:val="center"/>
              <w:rPr>
                <w:b/>
                <w:sz w:val="22"/>
              </w:rPr>
            </w:pPr>
            <w:r>
              <w:rPr>
                <w:b/>
                <w:spacing w:val="-5"/>
                <w:sz w:val="22"/>
              </w:rPr>
              <w:t>MBC</w:t>
            </w:r>
          </w:p>
        </w:tc>
        <w:tc>
          <w:tcPr>
            <w:tcW w:w="813" w:type="dxa"/>
            <w:tcBorders>
              <w:top w:val="single" w:sz="4" w:space="0" w:color="000000"/>
            </w:tcBorders>
          </w:tcPr>
          <w:p>
            <w:pPr>
              <w:pStyle w:val="TableParagraph"/>
              <w:spacing w:before="143"/>
              <w:ind w:right="211"/>
              <w:jc w:val="right"/>
              <w:rPr>
                <w:b/>
                <w:sz w:val="22"/>
              </w:rPr>
            </w:pPr>
            <w:r>
              <w:rPr>
                <w:b/>
                <w:spacing w:val="-5"/>
                <w:sz w:val="22"/>
              </w:rPr>
              <w:t>MIC</w:t>
            </w:r>
          </w:p>
        </w:tc>
        <w:tc>
          <w:tcPr>
            <w:tcW w:w="840" w:type="dxa"/>
            <w:tcBorders>
              <w:top w:val="single" w:sz="4" w:space="0" w:color="000000"/>
            </w:tcBorders>
          </w:tcPr>
          <w:p>
            <w:pPr>
              <w:pStyle w:val="TableParagraph"/>
              <w:spacing w:before="143"/>
              <w:ind w:left="28" w:right="11"/>
              <w:jc w:val="center"/>
              <w:rPr>
                <w:b/>
                <w:sz w:val="22"/>
              </w:rPr>
            </w:pPr>
            <w:r>
              <w:rPr>
                <w:b/>
                <w:spacing w:val="-5"/>
                <w:sz w:val="22"/>
              </w:rPr>
              <w:t>MBC</w:t>
            </w:r>
          </w:p>
        </w:tc>
      </w:tr>
      <w:tr>
        <w:trPr>
          <w:trHeight w:val="524" w:hRule="atLeast"/>
        </w:trPr>
        <w:tc>
          <w:tcPr>
            <w:tcW w:w="1125" w:type="dxa"/>
            <w:tcBorders>
              <w:bottom w:val="single" w:sz="4" w:space="0" w:color="000000"/>
            </w:tcBorders>
          </w:tcPr>
          <w:p>
            <w:pPr>
              <w:pStyle w:val="TableParagraph"/>
              <w:rPr>
                <w:rFonts w:ascii="Times New Roman"/>
                <w:sz w:val="22"/>
              </w:rPr>
            </w:pPr>
          </w:p>
        </w:tc>
        <w:tc>
          <w:tcPr>
            <w:tcW w:w="822" w:type="dxa"/>
            <w:tcBorders>
              <w:bottom w:val="single" w:sz="4" w:space="0" w:color="000000"/>
            </w:tcBorders>
          </w:tcPr>
          <w:p>
            <w:pPr>
              <w:pStyle w:val="TableParagraph"/>
              <w:spacing w:before="70"/>
              <w:ind w:right="76"/>
              <w:jc w:val="center"/>
              <w:rPr>
                <w:b/>
                <w:sz w:val="22"/>
              </w:rPr>
            </w:pPr>
            <w:r>
              <w:rPr>
                <w:b/>
                <w:spacing w:val="-2"/>
                <w:sz w:val="22"/>
              </w:rPr>
              <w:t>10:50</w:t>
            </w:r>
          </w:p>
        </w:tc>
        <w:tc>
          <w:tcPr>
            <w:tcW w:w="849" w:type="dxa"/>
            <w:tcBorders>
              <w:bottom w:val="single" w:sz="4" w:space="0" w:color="000000"/>
            </w:tcBorders>
          </w:tcPr>
          <w:p>
            <w:pPr>
              <w:pStyle w:val="TableParagraph"/>
              <w:rPr>
                <w:rFonts w:ascii="Times New Roman"/>
                <w:sz w:val="22"/>
              </w:rPr>
            </w:pPr>
          </w:p>
        </w:tc>
        <w:tc>
          <w:tcPr>
            <w:tcW w:w="839" w:type="dxa"/>
            <w:tcBorders>
              <w:bottom w:val="single" w:sz="4" w:space="0" w:color="000000"/>
            </w:tcBorders>
          </w:tcPr>
          <w:p>
            <w:pPr>
              <w:pStyle w:val="TableParagraph"/>
              <w:spacing w:before="70"/>
              <w:ind w:right="223"/>
              <w:jc w:val="right"/>
              <w:rPr>
                <w:b/>
                <w:sz w:val="22"/>
              </w:rPr>
            </w:pPr>
            <w:r>
              <w:rPr>
                <w:b/>
                <w:spacing w:val="-2"/>
                <w:sz w:val="22"/>
              </w:rPr>
              <w:t>20:50</w:t>
            </w:r>
          </w:p>
        </w:tc>
        <w:tc>
          <w:tcPr>
            <w:tcW w:w="880" w:type="dxa"/>
            <w:tcBorders>
              <w:bottom w:val="single" w:sz="4" w:space="0" w:color="000000"/>
            </w:tcBorders>
          </w:tcPr>
          <w:p>
            <w:pPr>
              <w:pStyle w:val="TableParagraph"/>
              <w:rPr>
                <w:rFonts w:ascii="Times New Roman"/>
                <w:sz w:val="22"/>
              </w:rPr>
            </w:pPr>
          </w:p>
        </w:tc>
        <w:tc>
          <w:tcPr>
            <w:tcW w:w="834" w:type="dxa"/>
            <w:tcBorders>
              <w:bottom w:val="single" w:sz="4" w:space="0" w:color="000000"/>
            </w:tcBorders>
          </w:tcPr>
          <w:p>
            <w:pPr>
              <w:pStyle w:val="TableParagraph"/>
              <w:spacing w:before="70"/>
              <w:ind w:right="196"/>
              <w:jc w:val="right"/>
              <w:rPr>
                <w:b/>
                <w:sz w:val="22"/>
              </w:rPr>
            </w:pPr>
            <w:r>
              <w:rPr>
                <w:b/>
                <w:spacing w:val="-2"/>
                <w:sz w:val="22"/>
              </w:rPr>
              <w:t>30:50</w:t>
            </w:r>
          </w:p>
        </w:tc>
        <w:tc>
          <w:tcPr>
            <w:tcW w:w="850" w:type="dxa"/>
            <w:tcBorders>
              <w:bottom w:val="single" w:sz="4" w:space="0" w:color="000000"/>
            </w:tcBorders>
          </w:tcPr>
          <w:p>
            <w:pPr>
              <w:pStyle w:val="TableParagraph"/>
              <w:rPr>
                <w:rFonts w:ascii="Times New Roman"/>
                <w:sz w:val="22"/>
              </w:rPr>
            </w:pPr>
          </w:p>
        </w:tc>
        <w:tc>
          <w:tcPr>
            <w:tcW w:w="817" w:type="dxa"/>
            <w:tcBorders>
              <w:bottom w:val="single" w:sz="4" w:space="0" w:color="000000"/>
            </w:tcBorders>
          </w:tcPr>
          <w:p>
            <w:pPr>
              <w:pStyle w:val="TableParagraph"/>
              <w:spacing w:before="70"/>
              <w:ind w:right="183"/>
              <w:jc w:val="right"/>
              <w:rPr>
                <w:b/>
                <w:sz w:val="22"/>
              </w:rPr>
            </w:pPr>
            <w:r>
              <w:rPr>
                <w:b/>
                <w:spacing w:val="-2"/>
                <w:sz w:val="22"/>
              </w:rPr>
              <w:t>40:50</w:t>
            </w:r>
          </w:p>
        </w:tc>
        <w:tc>
          <w:tcPr>
            <w:tcW w:w="836" w:type="dxa"/>
            <w:tcBorders>
              <w:bottom w:val="single" w:sz="4" w:space="0" w:color="000000"/>
            </w:tcBorders>
          </w:tcPr>
          <w:p>
            <w:pPr>
              <w:pStyle w:val="TableParagraph"/>
              <w:rPr>
                <w:rFonts w:ascii="Times New Roman"/>
                <w:sz w:val="22"/>
              </w:rPr>
            </w:pPr>
          </w:p>
        </w:tc>
        <w:tc>
          <w:tcPr>
            <w:tcW w:w="813" w:type="dxa"/>
            <w:tcBorders>
              <w:bottom w:val="single" w:sz="4" w:space="0" w:color="000000"/>
            </w:tcBorders>
          </w:tcPr>
          <w:p>
            <w:pPr>
              <w:pStyle w:val="TableParagraph"/>
              <w:spacing w:before="70"/>
              <w:ind w:right="190"/>
              <w:jc w:val="right"/>
              <w:rPr>
                <w:b/>
                <w:sz w:val="22"/>
              </w:rPr>
            </w:pPr>
            <w:r>
              <w:rPr>
                <w:b/>
                <w:spacing w:val="-2"/>
                <w:sz w:val="22"/>
              </w:rPr>
              <w:t>50:50</w:t>
            </w:r>
          </w:p>
        </w:tc>
        <w:tc>
          <w:tcPr>
            <w:tcW w:w="840" w:type="dxa"/>
            <w:tcBorders>
              <w:bottom w:val="single" w:sz="4" w:space="0" w:color="000000"/>
            </w:tcBorders>
          </w:tcPr>
          <w:p>
            <w:pPr>
              <w:pStyle w:val="TableParagraph"/>
              <w:rPr>
                <w:rFonts w:ascii="Times New Roman"/>
                <w:sz w:val="22"/>
              </w:rPr>
            </w:pPr>
          </w:p>
        </w:tc>
      </w:tr>
      <w:tr>
        <w:trPr>
          <w:trHeight w:val="375" w:hRule="atLeast"/>
        </w:trPr>
        <w:tc>
          <w:tcPr>
            <w:tcW w:w="1125" w:type="dxa"/>
            <w:tcBorders>
              <w:top w:val="single" w:sz="4" w:space="0" w:color="000000"/>
            </w:tcBorders>
          </w:tcPr>
          <w:p>
            <w:pPr>
              <w:pStyle w:val="TableParagraph"/>
              <w:spacing w:line="265" w:lineRule="exact"/>
              <w:ind w:right="276"/>
              <w:jc w:val="center"/>
              <w:rPr>
                <w:sz w:val="22"/>
              </w:rPr>
            </w:pPr>
            <w:r>
              <w:rPr>
                <w:sz w:val="22"/>
              </w:rPr>
              <w:t>SP</w:t>
            </w:r>
            <w:r>
              <w:rPr>
                <w:spacing w:val="1"/>
                <w:sz w:val="22"/>
              </w:rPr>
              <w:t> </w:t>
            </w:r>
            <w:r>
              <w:rPr>
                <w:spacing w:val="-5"/>
                <w:sz w:val="22"/>
              </w:rPr>
              <w:t>265</w:t>
            </w:r>
          </w:p>
        </w:tc>
        <w:tc>
          <w:tcPr>
            <w:tcW w:w="822" w:type="dxa"/>
            <w:tcBorders>
              <w:top w:val="single" w:sz="4" w:space="0" w:color="000000"/>
            </w:tcBorders>
          </w:tcPr>
          <w:p>
            <w:pPr>
              <w:pStyle w:val="TableParagraph"/>
              <w:spacing w:line="265" w:lineRule="exact"/>
              <w:ind w:left="76" w:right="76"/>
              <w:jc w:val="center"/>
              <w:rPr>
                <w:sz w:val="22"/>
              </w:rPr>
            </w:pPr>
            <w:r>
              <w:rPr>
                <w:spacing w:val="-4"/>
                <w:sz w:val="22"/>
              </w:rPr>
              <w:t>30.0</w:t>
            </w:r>
          </w:p>
        </w:tc>
        <w:tc>
          <w:tcPr>
            <w:tcW w:w="849" w:type="dxa"/>
            <w:tcBorders>
              <w:top w:val="single" w:sz="4" w:space="0" w:color="000000"/>
            </w:tcBorders>
          </w:tcPr>
          <w:p>
            <w:pPr>
              <w:pStyle w:val="TableParagraph"/>
              <w:spacing w:line="265" w:lineRule="exact"/>
              <w:ind w:left="3" w:right="15"/>
              <w:jc w:val="center"/>
              <w:rPr>
                <w:sz w:val="22"/>
              </w:rPr>
            </w:pPr>
            <w:r>
              <w:rPr>
                <w:spacing w:val="-4"/>
                <w:sz w:val="22"/>
              </w:rPr>
              <w:t>50.0</w:t>
            </w:r>
          </w:p>
        </w:tc>
        <w:tc>
          <w:tcPr>
            <w:tcW w:w="839" w:type="dxa"/>
            <w:tcBorders>
              <w:top w:val="single" w:sz="4" w:space="0" w:color="000000"/>
            </w:tcBorders>
          </w:tcPr>
          <w:p>
            <w:pPr>
              <w:pStyle w:val="TableParagraph"/>
              <w:spacing w:line="265" w:lineRule="exact"/>
              <w:ind w:right="222"/>
              <w:jc w:val="right"/>
              <w:rPr>
                <w:sz w:val="22"/>
              </w:rPr>
            </w:pPr>
            <w:r>
              <w:rPr>
                <w:spacing w:val="-4"/>
                <w:sz w:val="22"/>
              </w:rPr>
              <w:t>30.0</w:t>
            </w:r>
          </w:p>
        </w:tc>
        <w:tc>
          <w:tcPr>
            <w:tcW w:w="880" w:type="dxa"/>
            <w:tcBorders>
              <w:top w:val="single" w:sz="4" w:space="0" w:color="000000"/>
            </w:tcBorders>
          </w:tcPr>
          <w:p>
            <w:pPr>
              <w:pStyle w:val="TableParagraph"/>
              <w:spacing w:line="265" w:lineRule="exact"/>
              <w:ind w:left="19"/>
              <w:jc w:val="center"/>
              <w:rPr>
                <w:sz w:val="22"/>
              </w:rPr>
            </w:pPr>
            <w:r>
              <w:rPr>
                <w:spacing w:val="-4"/>
                <w:sz w:val="22"/>
              </w:rPr>
              <w:t>50.0</w:t>
            </w:r>
          </w:p>
        </w:tc>
        <w:tc>
          <w:tcPr>
            <w:tcW w:w="834" w:type="dxa"/>
            <w:tcBorders>
              <w:top w:val="single" w:sz="4" w:space="0" w:color="000000"/>
            </w:tcBorders>
          </w:tcPr>
          <w:p>
            <w:pPr>
              <w:pStyle w:val="TableParagraph"/>
              <w:spacing w:line="265" w:lineRule="exact"/>
              <w:ind w:right="215"/>
              <w:jc w:val="right"/>
              <w:rPr>
                <w:sz w:val="22"/>
              </w:rPr>
            </w:pPr>
            <w:r>
              <w:rPr>
                <w:spacing w:val="-4"/>
                <w:sz w:val="22"/>
              </w:rPr>
              <w:t>17.5</w:t>
            </w:r>
          </w:p>
        </w:tc>
        <w:tc>
          <w:tcPr>
            <w:tcW w:w="850" w:type="dxa"/>
            <w:tcBorders>
              <w:top w:val="single" w:sz="4" w:space="0" w:color="000000"/>
            </w:tcBorders>
          </w:tcPr>
          <w:p>
            <w:pPr>
              <w:pStyle w:val="TableParagraph"/>
              <w:spacing w:line="265" w:lineRule="exact"/>
              <w:ind w:left="25" w:right="19"/>
              <w:jc w:val="center"/>
              <w:rPr>
                <w:sz w:val="22"/>
              </w:rPr>
            </w:pPr>
            <w:r>
              <w:rPr>
                <w:spacing w:val="-4"/>
                <w:sz w:val="22"/>
              </w:rPr>
              <w:t>25.0</w:t>
            </w:r>
          </w:p>
        </w:tc>
        <w:tc>
          <w:tcPr>
            <w:tcW w:w="817" w:type="dxa"/>
            <w:tcBorders>
              <w:top w:val="single" w:sz="4" w:space="0" w:color="000000"/>
            </w:tcBorders>
          </w:tcPr>
          <w:p>
            <w:pPr>
              <w:pStyle w:val="TableParagraph"/>
              <w:spacing w:line="265" w:lineRule="exact"/>
              <w:ind w:right="201"/>
              <w:jc w:val="right"/>
              <w:rPr>
                <w:sz w:val="22"/>
              </w:rPr>
            </w:pPr>
            <w:r>
              <w:rPr>
                <w:spacing w:val="-4"/>
                <w:sz w:val="22"/>
              </w:rPr>
              <w:t>17.5</w:t>
            </w:r>
          </w:p>
        </w:tc>
        <w:tc>
          <w:tcPr>
            <w:tcW w:w="836" w:type="dxa"/>
            <w:tcBorders>
              <w:top w:val="single" w:sz="4" w:space="0" w:color="000000"/>
            </w:tcBorders>
          </w:tcPr>
          <w:p>
            <w:pPr>
              <w:pStyle w:val="TableParagraph"/>
              <w:spacing w:line="265" w:lineRule="exact"/>
              <w:ind w:left="4"/>
              <w:jc w:val="center"/>
              <w:rPr>
                <w:sz w:val="22"/>
              </w:rPr>
            </w:pPr>
            <w:r>
              <w:rPr>
                <w:spacing w:val="-4"/>
                <w:sz w:val="22"/>
              </w:rPr>
              <w:t>25.0</w:t>
            </w:r>
          </w:p>
        </w:tc>
        <w:tc>
          <w:tcPr>
            <w:tcW w:w="813" w:type="dxa"/>
            <w:tcBorders>
              <w:top w:val="single" w:sz="4" w:space="0" w:color="000000"/>
            </w:tcBorders>
          </w:tcPr>
          <w:p>
            <w:pPr>
              <w:pStyle w:val="TableParagraph"/>
              <w:spacing w:line="265" w:lineRule="exact"/>
              <w:ind w:right="199"/>
              <w:jc w:val="right"/>
              <w:rPr>
                <w:sz w:val="22"/>
              </w:rPr>
            </w:pPr>
            <w:r>
              <w:rPr>
                <w:spacing w:val="-4"/>
                <w:sz w:val="22"/>
              </w:rPr>
              <w:t>17.5</w:t>
            </w:r>
          </w:p>
        </w:tc>
        <w:tc>
          <w:tcPr>
            <w:tcW w:w="840" w:type="dxa"/>
            <w:tcBorders>
              <w:top w:val="single" w:sz="4" w:space="0" w:color="000000"/>
            </w:tcBorders>
          </w:tcPr>
          <w:p>
            <w:pPr>
              <w:pStyle w:val="TableParagraph"/>
              <w:spacing w:line="265" w:lineRule="exact"/>
              <w:ind w:left="31" w:right="11"/>
              <w:jc w:val="center"/>
              <w:rPr>
                <w:sz w:val="22"/>
              </w:rPr>
            </w:pPr>
            <w:r>
              <w:rPr>
                <w:spacing w:val="-4"/>
                <w:sz w:val="22"/>
              </w:rPr>
              <w:t>25.0</w:t>
            </w:r>
          </w:p>
        </w:tc>
      </w:tr>
      <w:tr>
        <w:trPr>
          <w:trHeight w:val="450" w:hRule="atLeast"/>
        </w:trPr>
        <w:tc>
          <w:tcPr>
            <w:tcW w:w="1125" w:type="dxa"/>
          </w:tcPr>
          <w:p>
            <w:pPr>
              <w:pStyle w:val="TableParagraph"/>
              <w:spacing w:before="70"/>
              <w:ind w:left="110" w:right="276"/>
              <w:jc w:val="center"/>
              <w:rPr>
                <w:sz w:val="22"/>
              </w:rPr>
            </w:pPr>
            <w:r>
              <w:rPr>
                <w:sz w:val="22"/>
              </w:rPr>
              <w:t>SP</w:t>
            </w:r>
            <w:r>
              <w:rPr>
                <w:spacing w:val="1"/>
                <w:sz w:val="22"/>
              </w:rPr>
              <w:t> </w:t>
            </w:r>
            <w:r>
              <w:rPr>
                <w:spacing w:val="-4"/>
                <w:sz w:val="22"/>
              </w:rPr>
              <w:t>1349</w:t>
            </w:r>
          </w:p>
        </w:tc>
        <w:tc>
          <w:tcPr>
            <w:tcW w:w="822" w:type="dxa"/>
          </w:tcPr>
          <w:p>
            <w:pPr>
              <w:pStyle w:val="TableParagraph"/>
              <w:spacing w:before="70"/>
              <w:ind w:left="76" w:right="76"/>
              <w:jc w:val="center"/>
              <w:rPr>
                <w:sz w:val="22"/>
              </w:rPr>
            </w:pPr>
            <w:r>
              <w:rPr>
                <w:spacing w:val="-4"/>
                <w:sz w:val="22"/>
              </w:rPr>
              <w:t>25.0</w:t>
            </w:r>
          </w:p>
        </w:tc>
        <w:tc>
          <w:tcPr>
            <w:tcW w:w="849" w:type="dxa"/>
          </w:tcPr>
          <w:p>
            <w:pPr>
              <w:pStyle w:val="TableParagraph"/>
              <w:spacing w:before="70"/>
              <w:ind w:left="3" w:right="15"/>
              <w:jc w:val="center"/>
              <w:rPr>
                <w:sz w:val="22"/>
              </w:rPr>
            </w:pPr>
            <w:r>
              <w:rPr>
                <w:spacing w:val="-4"/>
                <w:sz w:val="22"/>
              </w:rPr>
              <w:t>50.0</w:t>
            </w:r>
          </w:p>
        </w:tc>
        <w:tc>
          <w:tcPr>
            <w:tcW w:w="839" w:type="dxa"/>
          </w:tcPr>
          <w:p>
            <w:pPr>
              <w:pStyle w:val="TableParagraph"/>
              <w:spacing w:before="70"/>
              <w:ind w:right="222"/>
              <w:jc w:val="right"/>
              <w:rPr>
                <w:sz w:val="22"/>
              </w:rPr>
            </w:pPr>
            <w:r>
              <w:rPr>
                <w:spacing w:val="-4"/>
                <w:sz w:val="22"/>
              </w:rPr>
              <w:t>25.0</w:t>
            </w:r>
          </w:p>
        </w:tc>
        <w:tc>
          <w:tcPr>
            <w:tcW w:w="880" w:type="dxa"/>
          </w:tcPr>
          <w:p>
            <w:pPr>
              <w:pStyle w:val="TableParagraph"/>
              <w:spacing w:before="70"/>
              <w:ind w:left="19"/>
              <w:jc w:val="center"/>
              <w:rPr>
                <w:sz w:val="22"/>
              </w:rPr>
            </w:pPr>
            <w:r>
              <w:rPr>
                <w:spacing w:val="-4"/>
                <w:sz w:val="22"/>
              </w:rPr>
              <w:t>50.0</w:t>
            </w:r>
          </w:p>
        </w:tc>
        <w:tc>
          <w:tcPr>
            <w:tcW w:w="834" w:type="dxa"/>
          </w:tcPr>
          <w:p>
            <w:pPr>
              <w:pStyle w:val="TableParagraph"/>
              <w:spacing w:before="70"/>
              <w:ind w:right="215"/>
              <w:jc w:val="right"/>
              <w:rPr>
                <w:sz w:val="22"/>
              </w:rPr>
            </w:pPr>
            <w:r>
              <w:rPr>
                <w:spacing w:val="-4"/>
                <w:sz w:val="22"/>
              </w:rPr>
              <w:t>35.0</w:t>
            </w:r>
          </w:p>
        </w:tc>
        <w:tc>
          <w:tcPr>
            <w:tcW w:w="850" w:type="dxa"/>
          </w:tcPr>
          <w:p>
            <w:pPr>
              <w:pStyle w:val="TableParagraph"/>
              <w:spacing w:before="70"/>
              <w:ind w:left="25" w:right="19"/>
              <w:jc w:val="center"/>
              <w:rPr>
                <w:sz w:val="22"/>
              </w:rPr>
            </w:pPr>
            <w:r>
              <w:rPr>
                <w:spacing w:val="-4"/>
                <w:sz w:val="22"/>
              </w:rPr>
              <w:t>50.0</w:t>
            </w:r>
          </w:p>
        </w:tc>
        <w:tc>
          <w:tcPr>
            <w:tcW w:w="817" w:type="dxa"/>
          </w:tcPr>
          <w:p>
            <w:pPr>
              <w:pStyle w:val="TableParagraph"/>
              <w:spacing w:before="70"/>
              <w:ind w:right="201"/>
              <w:jc w:val="right"/>
              <w:rPr>
                <w:sz w:val="22"/>
              </w:rPr>
            </w:pPr>
            <w:r>
              <w:rPr>
                <w:spacing w:val="-4"/>
                <w:sz w:val="22"/>
              </w:rPr>
              <w:t>25.0</w:t>
            </w:r>
          </w:p>
        </w:tc>
        <w:tc>
          <w:tcPr>
            <w:tcW w:w="836" w:type="dxa"/>
          </w:tcPr>
          <w:p>
            <w:pPr>
              <w:pStyle w:val="TableParagraph"/>
              <w:spacing w:before="70"/>
              <w:ind w:left="4"/>
              <w:jc w:val="center"/>
              <w:rPr>
                <w:sz w:val="22"/>
              </w:rPr>
            </w:pPr>
            <w:r>
              <w:rPr>
                <w:spacing w:val="-4"/>
                <w:sz w:val="22"/>
              </w:rPr>
              <w:t>40.0</w:t>
            </w:r>
          </w:p>
        </w:tc>
        <w:tc>
          <w:tcPr>
            <w:tcW w:w="813" w:type="dxa"/>
          </w:tcPr>
          <w:p>
            <w:pPr>
              <w:pStyle w:val="TableParagraph"/>
              <w:spacing w:before="70"/>
              <w:ind w:right="199"/>
              <w:jc w:val="right"/>
              <w:rPr>
                <w:sz w:val="22"/>
              </w:rPr>
            </w:pPr>
            <w:r>
              <w:rPr>
                <w:spacing w:val="-4"/>
                <w:sz w:val="22"/>
              </w:rPr>
              <w:t>17.5</w:t>
            </w:r>
          </w:p>
        </w:tc>
        <w:tc>
          <w:tcPr>
            <w:tcW w:w="840" w:type="dxa"/>
          </w:tcPr>
          <w:p>
            <w:pPr>
              <w:pStyle w:val="TableParagraph"/>
              <w:spacing w:before="70"/>
              <w:ind w:left="30" w:right="11"/>
              <w:jc w:val="center"/>
              <w:rPr>
                <w:sz w:val="22"/>
              </w:rPr>
            </w:pPr>
            <w:r>
              <w:rPr>
                <w:spacing w:val="-4"/>
                <w:sz w:val="22"/>
              </w:rPr>
              <w:t>25.0</w:t>
            </w:r>
          </w:p>
        </w:tc>
      </w:tr>
      <w:tr>
        <w:trPr>
          <w:trHeight w:val="450" w:hRule="atLeast"/>
        </w:trPr>
        <w:tc>
          <w:tcPr>
            <w:tcW w:w="1125" w:type="dxa"/>
          </w:tcPr>
          <w:p>
            <w:pPr>
              <w:pStyle w:val="TableParagraph"/>
              <w:spacing w:before="71"/>
              <w:ind w:right="276"/>
              <w:jc w:val="center"/>
              <w:rPr>
                <w:sz w:val="22"/>
              </w:rPr>
            </w:pPr>
            <w:r>
              <w:rPr>
                <w:sz w:val="22"/>
              </w:rPr>
              <w:t>SP</w:t>
            </w:r>
            <w:r>
              <w:rPr>
                <w:spacing w:val="1"/>
                <w:sz w:val="22"/>
              </w:rPr>
              <w:t> </w:t>
            </w:r>
            <w:r>
              <w:rPr>
                <w:spacing w:val="-5"/>
                <w:sz w:val="22"/>
              </w:rPr>
              <w:t>275</w:t>
            </w:r>
          </w:p>
        </w:tc>
        <w:tc>
          <w:tcPr>
            <w:tcW w:w="822" w:type="dxa"/>
          </w:tcPr>
          <w:p>
            <w:pPr>
              <w:pStyle w:val="TableParagraph"/>
              <w:spacing w:before="71"/>
              <w:ind w:left="76" w:right="76"/>
              <w:jc w:val="center"/>
              <w:rPr>
                <w:sz w:val="22"/>
              </w:rPr>
            </w:pPr>
            <w:r>
              <w:rPr>
                <w:spacing w:val="-4"/>
                <w:sz w:val="22"/>
              </w:rPr>
              <w:t>17.5</w:t>
            </w:r>
          </w:p>
        </w:tc>
        <w:tc>
          <w:tcPr>
            <w:tcW w:w="849" w:type="dxa"/>
          </w:tcPr>
          <w:p>
            <w:pPr>
              <w:pStyle w:val="TableParagraph"/>
              <w:spacing w:before="71"/>
              <w:ind w:left="3" w:right="15"/>
              <w:jc w:val="center"/>
              <w:rPr>
                <w:sz w:val="22"/>
              </w:rPr>
            </w:pPr>
            <w:r>
              <w:rPr>
                <w:spacing w:val="-4"/>
                <w:sz w:val="22"/>
              </w:rPr>
              <w:t>25.0</w:t>
            </w:r>
          </w:p>
        </w:tc>
        <w:tc>
          <w:tcPr>
            <w:tcW w:w="839" w:type="dxa"/>
          </w:tcPr>
          <w:p>
            <w:pPr>
              <w:pStyle w:val="TableParagraph"/>
              <w:spacing w:before="71"/>
              <w:ind w:right="222"/>
              <w:jc w:val="right"/>
              <w:rPr>
                <w:sz w:val="22"/>
              </w:rPr>
            </w:pPr>
            <w:r>
              <w:rPr>
                <w:spacing w:val="-4"/>
                <w:sz w:val="22"/>
              </w:rPr>
              <w:t>17.5</w:t>
            </w:r>
          </w:p>
        </w:tc>
        <w:tc>
          <w:tcPr>
            <w:tcW w:w="880" w:type="dxa"/>
          </w:tcPr>
          <w:p>
            <w:pPr>
              <w:pStyle w:val="TableParagraph"/>
              <w:spacing w:before="71"/>
              <w:ind w:left="19"/>
              <w:jc w:val="center"/>
              <w:rPr>
                <w:sz w:val="22"/>
              </w:rPr>
            </w:pPr>
            <w:r>
              <w:rPr>
                <w:spacing w:val="-4"/>
                <w:sz w:val="22"/>
              </w:rPr>
              <w:t>25.0</w:t>
            </w:r>
          </w:p>
        </w:tc>
        <w:tc>
          <w:tcPr>
            <w:tcW w:w="834" w:type="dxa"/>
          </w:tcPr>
          <w:p>
            <w:pPr>
              <w:pStyle w:val="TableParagraph"/>
              <w:spacing w:before="71"/>
              <w:ind w:right="215"/>
              <w:jc w:val="right"/>
              <w:rPr>
                <w:sz w:val="22"/>
              </w:rPr>
            </w:pPr>
            <w:r>
              <w:rPr>
                <w:spacing w:val="-4"/>
                <w:sz w:val="22"/>
              </w:rPr>
              <w:t>17.5</w:t>
            </w:r>
          </w:p>
        </w:tc>
        <w:tc>
          <w:tcPr>
            <w:tcW w:w="850" w:type="dxa"/>
          </w:tcPr>
          <w:p>
            <w:pPr>
              <w:pStyle w:val="TableParagraph"/>
              <w:spacing w:before="71"/>
              <w:ind w:left="25" w:right="19"/>
              <w:jc w:val="center"/>
              <w:rPr>
                <w:sz w:val="22"/>
              </w:rPr>
            </w:pPr>
            <w:r>
              <w:rPr>
                <w:spacing w:val="-4"/>
                <w:sz w:val="22"/>
              </w:rPr>
              <w:t>25.0</w:t>
            </w:r>
          </w:p>
        </w:tc>
        <w:tc>
          <w:tcPr>
            <w:tcW w:w="817" w:type="dxa"/>
          </w:tcPr>
          <w:p>
            <w:pPr>
              <w:pStyle w:val="TableParagraph"/>
              <w:spacing w:before="71"/>
              <w:ind w:right="201"/>
              <w:jc w:val="right"/>
              <w:rPr>
                <w:sz w:val="22"/>
              </w:rPr>
            </w:pPr>
            <w:r>
              <w:rPr>
                <w:spacing w:val="-4"/>
                <w:sz w:val="22"/>
              </w:rPr>
              <w:t>17.5</w:t>
            </w:r>
          </w:p>
        </w:tc>
        <w:tc>
          <w:tcPr>
            <w:tcW w:w="836" w:type="dxa"/>
          </w:tcPr>
          <w:p>
            <w:pPr>
              <w:pStyle w:val="TableParagraph"/>
              <w:spacing w:before="71"/>
              <w:ind w:left="4"/>
              <w:jc w:val="center"/>
              <w:rPr>
                <w:sz w:val="22"/>
              </w:rPr>
            </w:pPr>
            <w:r>
              <w:rPr>
                <w:spacing w:val="-4"/>
                <w:sz w:val="22"/>
              </w:rPr>
              <w:t>25.0</w:t>
            </w:r>
          </w:p>
        </w:tc>
        <w:tc>
          <w:tcPr>
            <w:tcW w:w="813" w:type="dxa"/>
          </w:tcPr>
          <w:p>
            <w:pPr>
              <w:pStyle w:val="TableParagraph"/>
              <w:spacing w:before="71"/>
              <w:ind w:right="199"/>
              <w:jc w:val="right"/>
              <w:rPr>
                <w:sz w:val="22"/>
              </w:rPr>
            </w:pPr>
            <w:r>
              <w:rPr>
                <w:spacing w:val="-4"/>
                <w:sz w:val="22"/>
              </w:rPr>
              <w:t>17.5</w:t>
            </w:r>
          </w:p>
        </w:tc>
        <w:tc>
          <w:tcPr>
            <w:tcW w:w="840" w:type="dxa"/>
          </w:tcPr>
          <w:p>
            <w:pPr>
              <w:pStyle w:val="TableParagraph"/>
              <w:spacing w:before="71"/>
              <w:ind w:left="31" w:right="11"/>
              <w:jc w:val="center"/>
              <w:rPr>
                <w:sz w:val="22"/>
              </w:rPr>
            </w:pPr>
            <w:r>
              <w:rPr>
                <w:spacing w:val="-4"/>
                <w:sz w:val="22"/>
              </w:rPr>
              <w:t>25.0</w:t>
            </w:r>
          </w:p>
        </w:tc>
      </w:tr>
      <w:tr>
        <w:trPr>
          <w:trHeight w:val="450" w:hRule="atLeast"/>
        </w:trPr>
        <w:tc>
          <w:tcPr>
            <w:tcW w:w="1125" w:type="dxa"/>
          </w:tcPr>
          <w:p>
            <w:pPr>
              <w:pStyle w:val="TableParagraph"/>
              <w:spacing w:before="70"/>
              <w:ind w:right="276"/>
              <w:jc w:val="center"/>
              <w:rPr>
                <w:sz w:val="22"/>
              </w:rPr>
            </w:pPr>
            <w:r>
              <w:rPr>
                <w:sz w:val="22"/>
              </w:rPr>
              <w:t>SP</w:t>
            </w:r>
            <w:r>
              <w:rPr>
                <w:spacing w:val="1"/>
                <w:sz w:val="22"/>
              </w:rPr>
              <w:t> </w:t>
            </w:r>
            <w:r>
              <w:rPr>
                <w:spacing w:val="-5"/>
                <w:sz w:val="22"/>
              </w:rPr>
              <w:t>321</w:t>
            </w:r>
          </w:p>
        </w:tc>
        <w:tc>
          <w:tcPr>
            <w:tcW w:w="822" w:type="dxa"/>
          </w:tcPr>
          <w:p>
            <w:pPr>
              <w:pStyle w:val="TableParagraph"/>
              <w:spacing w:before="70"/>
              <w:ind w:left="76" w:right="76"/>
              <w:jc w:val="center"/>
              <w:rPr>
                <w:sz w:val="22"/>
              </w:rPr>
            </w:pPr>
            <w:r>
              <w:rPr>
                <w:spacing w:val="-4"/>
                <w:sz w:val="22"/>
              </w:rPr>
              <w:t>50.0</w:t>
            </w:r>
          </w:p>
        </w:tc>
        <w:tc>
          <w:tcPr>
            <w:tcW w:w="849" w:type="dxa"/>
          </w:tcPr>
          <w:p>
            <w:pPr>
              <w:pStyle w:val="TableParagraph"/>
              <w:spacing w:before="70"/>
              <w:ind w:left="3" w:right="15"/>
              <w:jc w:val="center"/>
              <w:rPr>
                <w:sz w:val="22"/>
              </w:rPr>
            </w:pPr>
            <w:r>
              <w:rPr>
                <w:spacing w:val="-4"/>
                <w:sz w:val="22"/>
              </w:rPr>
              <w:t>70.0</w:t>
            </w:r>
          </w:p>
        </w:tc>
        <w:tc>
          <w:tcPr>
            <w:tcW w:w="839" w:type="dxa"/>
          </w:tcPr>
          <w:p>
            <w:pPr>
              <w:pStyle w:val="TableParagraph"/>
              <w:spacing w:before="70"/>
              <w:ind w:right="222"/>
              <w:jc w:val="right"/>
              <w:rPr>
                <w:sz w:val="22"/>
              </w:rPr>
            </w:pPr>
            <w:r>
              <w:rPr>
                <w:spacing w:val="-4"/>
                <w:sz w:val="22"/>
              </w:rPr>
              <w:t>35.0</w:t>
            </w:r>
          </w:p>
        </w:tc>
        <w:tc>
          <w:tcPr>
            <w:tcW w:w="880" w:type="dxa"/>
          </w:tcPr>
          <w:p>
            <w:pPr>
              <w:pStyle w:val="TableParagraph"/>
              <w:spacing w:before="70"/>
              <w:ind w:left="19"/>
              <w:jc w:val="center"/>
              <w:rPr>
                <w:sz w:val="22"/>
              </w:rPr>
            </w:pPr>
            <w:r>
              <w:rPr>
                <w:spacing w:val="-4"/>
                <w:sz w:val="22"/>
              </w:rPr>
              <w:t>50.0</w:t>
            </w:r>
          </w:p>
        </w:tc>
        <w:tc>
          <w:tcPr>
            <w:tcW w:w="834" w:type="dxa"/>
          </w:tcPr>
          <w:p>
            <w:pPr>
              <w:pStyle w:val="TableParagraph"/>
              <w:spacing w:before="70"/>
              <w:ind w:right="215"/>
              <w:jc w:val="right"/>
              <w:rPr>
                <w:sz w:val="22"/>
              </w:rPr>
            </w:pPr>
            <w:r>
              <w:rPr>
                <w:spacing w:val="-4"/>
                <w:sz w:val="22"/>
              </w:rPr>
              <w:t>30.0</w:t>
            </w:r>
          </w:p>
        </w:tc>
        <w:tc>
          <w:tcPr>
            <w:tcW w:w="850" w:type="dxa"/>
          </w:tcPr>
          <w:p>
            <w:pPr>
              <w:pStyle w:val="TableParagraph"/>
              <w:spacing w:before="70"/>
              <w:ind w:left="25" w:right="19"/>
              <w:jc w:val="center"/>
              <w:rPr>
                <w:sz w:val="22"/>
              </w:rPr>
            </w:pPr>
            <w:r>
              <w:rPr>
                <w:spacing w:val="-4"/>
                <w:sz w:val="22"/>
              </w:rPr>
              <w:t>45.0</w:t>
            </w:r>
          </w:p>
        </w:tc>
        <w:tc>
          <w:tcPr>
            <w:tcW w:w="817" w:type="dxa"/>
          </w:tcPr>
          <w:p>
            <w:pPr>
              <w:pStyle w:val="TableParagraph"/>
              <w:spacing w:before="70"/>
              <w:ind w:right="201"/>
              <w:jc w:val="right"/>
              <w:rPr>
                <w:sz w:val="22"/>
              </w:rPr>
            </w:pPr>
            <w:r>
              <w:rPr>
                <w:spacing w:val="-4"/>
                <w:sz w:val="22"/>
              </w:rPr>
              <w:t>25.0</w:t>
            </w:r>
          </w:p>
        </w:tc>
        <w:tc>
          <w:tcPr>
            <w:tcW w:w="836" w:type="dxa"/>
          </w:tcPr>
          <w:p>
            <w:pPr>
              <w:pStyle w:val="TableParagraph"/>
              <w:spacing w:before="70"/>
              <w:ind w:left="4"/>
              <w:jc w:val="center"/>
              <w:rPr>
                <w:sz w:val="22"/>
              </w:rPr>
            </w:pPr>
            <w:r>
              <w:rPr>
                <w:spacing w:val="-4"/>
                <w:sz w:val="22"/>
              </w:rPr>
              <w:t>40.0</w:t>
            </w:r>
          </w:p>
        </w:tc>
        <w:tc>
          <w:tcPr>
            <w:tcW w:w="813" w:type="dxa"/>
          </w:tcPr>
          <w:p>
            <w:pPr>
              <w:pStyle w:val="TableParagraph"/>
              <w:spacing w:before="70"/>
              <w:ind w:right="199"/>
              <w:jc w:val="right"/>
              <w:rPr>
                <w:sz w:val="22"/>
              </w:rPr>
            </w:pPr>
            <w:r>
              <w:rPr>
                <w:spacing w:val="-4"/>
                <w:sz w:val="22"/>
              </w:rPr>
              <w:t>25.0</w:t>
            </w:r>
          </w:p>
        </w:tc>
        <w:tc>
          <w:tcPr>
            <w:tcW w:w="840" w:type="dxa"/>
          </w:tcPr>
          <w:p>
            <w:pPr>
              <w:pStyle w:val="TableParagraph"/>
              <w:spacing w:before="70"/>
              <w:ind w:left="31" w:right="11"/>
              <w:jc w:val="center"/>
              <w:rPr>
                <w:sz w:val="22"/>
              </w:rPr>
            </w:pPr>
            <w:r>
              <w:rPr>
                <w:spacing w:val="-4"/>
                <w:sz w:val="22"/>
              </w:rPr>
              <w:t>40.0</w:t>
            </w:r>
          </w:p>
        </w:tc>
      </w:tr>
      <w:tr>
        <w:trPr>
          <w:trHeight w:val="450" w:hRule="atLeast"/>
        </w:trPr>
        <w:tc>
          <w:tcPr>
            <w:tcW w:w="1125" w:type="dxa"/>
          </w:tcPr>
          <w:p>
            <w:pPr>
              <w:pStyle w:val="TableParagraph"/>
              <w:spacing w:before="71"/>
              <w:ind w:right="276"/>
              <w:jc w:val="center"/>
              <w:rPr>
                <w:sz w:val="22"/>
              </w:rPr>
            </w:pPr>
            <w:r>
              <w:rPr>
                <w:sz w:val="22"/>
              </w:rPr>
              <w:t>SP</w:t>
            </w:r>
            <w:r>
              <w:rPr>
                <w:spacing w:val="1"/>
                <w:sz w:val="22"/>
              </w:rPr>
              <w:t> </w:t>
            </w:r>
            <w:r>
              <w:rPr>
                <w:spacing w:val="-5"/>
                <w:sz w:val="22"/>
              </w:rPr>
              <w:t>266</w:t>
            </w:r>
          </w:p>
        </w:tc>
        <w:tc>
          <w:tcPr>
            <w:tcW w:w="822" w:type="dxa"/>
          </w:tcPr>
          <w:p>
            <w:pPr>
              <w:pStyle w:val="TableParagraph"/>
              <w:spacing w:before="71"/>
              <w:ind w:left="76" w:right="76"/>
              <w:jc w:val="center"/>
              <w:rPr>
                <w:sz w:val="22"/>
              </w:rPr>
            </w:pPr>
            <w:r>
              <w:rPr>
                <w:spacing w:val="-4"/>
                <w:sz w:val="22"/>
              </w:rPr>
              <w:t>50.0</w:t>
            </w:r>
          </w:p>
        </w:tc>
        <w:tc>
          <w:tcPr>
            <w:tcW w:w="849" w:type="dxa"/>
          </w:tcPr>
          <w:p>
            <w:pPr>
              <w:pStyle w:val="TableParagraph"/>
              <w:spacing w:before="71"/>
              <w:ind w:left="3" w:right="15"/>
              <w:jc w:val="center"/>
              <w:rPr>
                <w:sz w:val="22"/>
              </w:rPr>
            </w:pPr>
            <w:r>
              <w:rPr>
                <w:spacing w:val="-4"/>
                <w:sz w:val="22"/>
              </w:rPr>
              <w:t>80.0</w:t>
            </w:r>
          </w:p>
        </w:tc>
        <w:tc>
          <w:tcPr>
            <w:tcW w:w="839" w:type="dxa"/>
          </w:tcPr>
          <w:p>
            <w:pPr>
              <w:pStyle w:val="TableParagraph"/>
              <w:spacing w:before="71"/>
              <w:ind w:right="222"/>
              <w:jc w:val="right"/>
              <w:rPr>
                <w:sz w:val="22"/>
              </w:rPr>
            </w:pPr>
            <w:r>
              <w:rPr>
                <w:spacing w:val="-4"/>
                <w:sz w:val="22"/>
              </w:rPr>
              <w:t>35.0</w:t>
            </w:r>
          </w:p>
        </w:tc>
        <w:tc>
          <w:tcPr>
            <w:tcW w:w="880" w:type="dxa"/>
          </w:tcPr>
          <w:p>
            <w:pPr>
              <w:pStyle w:val="TableParagraph"/>
              <w:spacing w:before="71"/>
              <w:ind w:left="19"/>
              <w:jc w:val="center"/>
              <w:rPr>
                <w:sz w:val="22"/>
              </w:rPr>
            </w:pPr>
            <w:r>
              <w:rPr>
                <w:spacing w:val="-4"/>
                <w:sz w:val="22"/>
              </w:rPr>
              <w:t>50.0</w:t>
            </w:r>
          </w:p>
        </w:tc>
        <w:tc>
          <w:tcPr>
            <w:tcW w:w="834" w:type="dxa"/>
          </w:tcPr>
          <w:p>
            <w:pPr>
              <w:pStyle w:val="TableParagraph"/>
              <w:spacing w:before="71"/>
              <w:ind w:right="215"/>
              <w:jc w:val="right"/>
              <w:rPr>
                <w:sz w:val="22"/>
              </w:rPr>
            </w:pPr>
            <w:r>
              <w:rPr>
                <w:spacing w:val="-4"/>
                <w:sz w:val="22"/>
              </w:rPr>
              <w:t>30.0</w:t>
            </w:r>
          </w:p>
        </w:tc>
        <w:tc>
          <w:tcPr>
            <w:tcW w:w="850" w:type="dxa"/>
          </w:tcPr>
          <w:p>
            <w:pPr>
              <w:pStyle w:val="TableParagraph"/>
              <w:spacing w:before="71"/>
              <w:ind w:left="25" w:right="19"/>
              <w:jc w:val="center"/>
              <w:rPr>
                <w:sz w:val="22"/>
              </w:rPr>
            </w:pPr>
            <w:r>
              <w:rPr>
                <w:spacing w:val="-4"/>
                <w:sz w:val="22"/>
              </w:rPr>
              <w:t>45.0</w:t>
            </w:r>
          </w:p>
        </w:tc>
        <w:tc>
          <w:tcPr>
            <w:tcW w:w="817" w:type="dxa"/>
          </w:tcPr>
          <w:p>
            <w:pPr>
              <w:pStyle w:val="TableParagraph"/>
              <w:spacing w:before="71"/>
              <w:ind w:right="201"/>
              <w:jc w:val="right"/>
              <w:rPr>
                <w:sz w:val="22"/>
              </w:rPr>
            </w:pPr>
            <w:r>
              <w:rPr>
                <w:spacing w:val="-4"/>
                <w:sz w:val="22"/>
              </w:rPr>
              <w:t>25.0</w:t>
            </w:r>
          </w:p>
        </w:tc>
        <w:tc>
          <w:tcPr>
            <w:tcW w:w="836" w:type="dxa"/>
          </w:tcPr>
          <w:p>
            <w:pPr>
              <w:pStyle w:val="TableParagraph"/>
              <w:spacing w:before="71"/>
              <w:ind w:left="4"/>
              <w:jc w:val="center"/>
              <w:rPr>
                <w:sz w:val="22"/>
              </w:rPr>
            </w:pPr>
            <w:r>
              <w:rPr>
                <w:spacing w:val="-4"/>
                <w:sz w:val="22"/>
              </w:rPr>
              <w:t>45.0</w:t>
            </w:r>
          </w:p>
        </w:tc>
        <w:tc>
          <w:tcPr>
            <w:tcW w:w="813" w:type="dxa"/>
          </w:tcPr>
          <w:p>
            <w:pPr>
              <w:pStyle w:val="TableParagraph"/>
              <w:spacing w:before="71"/>
              <w:ind w:right="199"/>
              <w:jc w:val="right"/>
              <w:rPr>
                <w:sz w:val="22"/>
              </w:rPr>
            </w:pPr>
            <w:r>
              <w:rPr>
                <w:spacing w:val="-4"/>
                <w:sz w:val="22"/>
              </w:rPr>
              <w:t>17.5</w:t>
            </w:r>
          </w:p>
        </w:tc>
        <w:tc>
          <w:tcPr>
            <w:tcW w:w="840" w:type="dxa"/>
          </w:tcPr>
          <w:p>
            <w:pPr>
              <w:pStyle w:val="TableParagraph"/>
              <w:spacing w:before="71"/>
              <w:ind w:left="31" w:right="11"/>
              <w:jc w:val="center"/>
              <w:rPr>
                <w:sz w:val="22"/>
              </w:rPr>
            </w:pPr>
            <w:r>
              <w:rPr>
                <w:spacing w:val="-4"/>
                <w:sz w:val="22"/>
              </w:rPr>
              <w:t>25.0</w:t>
            </w:r>
          </w:p>
        </w:tc>
      </w:tr>
      <w:tr>
        <w:trPr>
          <w:trHeight w:val="523" w:hRule="atLeast"/>
        </w:trPr>
        <w:tc>
          <w:tcPr>
            <w:tcW w:w="1125" w:type="dxa"/>
            <w:tcBorders>
              <w:bottom w:val="single" w:sz="8" w:space="0" w:color="000000"/>
            </w:tcBorders>
          </w:tcPr>
          <w:p>
            <w:pPr>
              <w:pStyle w:val="TableParagraph"/>
              <w:spacing w:before="70"/>
              <w:ind w:right="276"/>
              <w:jc w:val="center"/>
              <w:rPr>
                <w:sz w:val="22"/>
              </w:rPr>
            </w:pPr>
            <w:r>
              <w:rPr>
                <w:sz w:val="22"/>
              </w:rPr>
              <w:t>SP</w:t>
            </w:r>
            <w:r>
              <w:rPr>
                <w:spacing w:val="1"/>
                <w:sz w:val="22"/>
              </w:rPr>
              <w:t> </w:t>
            </w:r>
            <w:r>
              <w:rPr>
                <w:spacing w:val="-5"/>
                <w:sz w:val="22"/>
              </w:rPr>
              <w:t>269</w:t>
            </w:r>
          </w:p>
        </w:tc>
        <w:tc>
          <w:tcPr>
            <w:tcW w:w="822" w:type="dxa"/>
            <w:tcBorders>
              <w:bottom w:val="single" w:sz="8" w:space="0" w:color="000000"/>
            </w:tcBorders>
          </w:tcPr>
          <w:p>
            <w:pPr>
              <w:pStyle w:val="TableParagraph"/>
              <w:spacing w:before="70"/>
              <w:ind w:left="76" w:right="76"/>
              <w:jc w:val="center"/>
              <w:rPr>
                <w:sz w:val="22"/>
              </w:rPr>
            </w:pPr>
            <w:r>
              <w:rPr>
                <w:spacing w:val="-4"/>
                <w:sz w:val="22"/>
              </w:rPr>
              <w:t>25.0</w:t>
            </w:r>
          </w:p>
        </w:tc>
        <w:tc>
          <w:tcPr>
            <w:tcW w:w="849" w:type="dxa"/>
            <w:tcBorders>
              <w:bottom w:val="single" w:sz="8" w:space="0" w:color="000000"/>
            </w:tcBorders>
          </w:tcPr>
          <w:p>
            <w:pPr>
              <w:pStyle w:val="TableParagraph"/>
              <w:spacing w:before="70"/>
              <w:ind w:left="3" w:right="15"/>
              <w:jc w:val="center"/>
              <w:rPr>
                <w:sz w:val="22"/>
              </w:rPr>
            </w:pPr>
            <w:r>
              <w:rPr>
                <w:spacing w:val="-4"/>
                <w:sz w:val="22"/>
              </w:rPr>
              <w:t>40.0</w:t>
            </w:r>
          </w:p>
        </w:tc>
        <w:tc>
          <w:tcPr>
            <w:tcW w:w="839" w:type="dxa"/>
            <w:tcBorders>
              <w:bottom w:val="single" w:sz="8" w:space="0" w:color="000000"/>
            </w:tcBorders>
          </w:tcPr>
          <w:p>
            <w:pPr>
              <w:pStyle w:val="TableParagraph"/>
              <w:spacing w:before="70"/>
              <w:ind w:right="222"/>
              <w:jc w:val="right"/>
              <w:rPr>
                <w:sz w:val="22"/>
              </w:rPr>
            </w:pPr>
            <w:r>
              <w:rPr>
                <w:spacing w:val="-4"/>
                <w:sz w:val="22"/>
              </w:rPr>
              <w:t>25.0</w:t>
            </w:r>
          </w:p>
        </w:tc>
        <w:tc>
          <w:tcPr>
            <w:tcW w:w="880" w:type="dxa"/>
            <w:tcBorders>
              <w:bottom w:val="single" w:sz="8" w:space="0" w:color="000000"/>
            </w:tcBorders>
          </w:tcPr>
          <w:p>
            <w:pPr>
              <w:pStyle w:val="TableParagraph"/>
              <w:spacing w:before="70"/>
              <w:ind w:left="19"/>
              <w:jc w:val="center"/>
              <w:rPr>
                <w:sz w:val="22"/>
              </w:rPr>
            </w:pPr>
            <w:r>
              <w:rPr>
                <w:spacing w:val="-4"/>
                <w:sz w:val="22"/>
              </w:rPr>
              <w:t>40.0</w:t>
            </w:r>
          </w:p>
        </w:tc>
        <w:tc>
          <w:tcPr>
            <w:tcW w:w="834" w:type="dxa"/>
            <w:tcBorders>
              <w:bottom w:val="single" w:sz="8" w:space="0" w:color="000000"/>
            </w:tcBorders>
          </w:tcPr>
          <w:p>
            <w:pPr>
              <w:pStyle w:val="TableParagraph"/>
              <w:spacing w:before="70"/>
              <w:ind w:right="215"/>
              <w:jc w:val="right"/>
              <w:rPr>
                <w:sz w:val="22"/>
              </w:rPr>
            </w:pPr>
            <w:r>
              <w:rPr>
                <w:spacing w:val="-4"/>
                <w:sz w:val="22"/>
              </w:rPr>
              <w:t>25.0</w:t>
            </w:r>
          </w:p>
        </w:tc>
        <w:tc>
          <w:tcPr>
            <w:tcW w:w="850" w:type="dxa"/>
            <w:tcBorders>
              <w:bottom w:val="single" w:sz="8" w:space="0" w:color="000000"/>
            </w:tcBorders>
          </w:tcPr>
          <w:p>
            <w:pPr>
              <w:pStyle w:val="TableParagraph"/>
              <w:spacing w:before="70"/>
              <w:ind w:left="25" w:right="19"/>
              <w:jc w:val="center"/>
              <w:rPr>
                <w:sz w:val="22"/>
              </w:rPr>
            </w:pPr>
            <w:r>
              <w:rPr>
                <w:spacing w:val="-4"/>
                <w:sz w:val="22"/>
              </w:rPr>
              <w:t>40.0</w:t>
            </w:r>
          </w:p>
        </w:tc>
        <w:tc>
          <w:tcPr>
            <w:tcW w:w="817" w:type="dxa"/>
            <w:tcBorders>
              <w:bottom w:val="single" w:sz="8" w:space="0" w:color="000000"/>
            </w:tcBorders>
          </w:tcPr>
          <w:p>
            <w:pPr>
              <w:pStyle w:val="TableParagraph"/>
              <w:spacing w:before="70"/>
              <w:ind w:right="201"/>
              <w:jc w:val="right"/>
              <w:rPr>
                <w:sz w:val="22"/>
              </w:rPr>
            </w:pPr>
            <w:r>
              <w:rPr>
                <w:spacing w:val="-4"/>
                <w:sz w:val="22"/>
              </w:rPr>
              <w:t>25.0</w:t>
            </w:r>
          </w:p>
        </w:tc>
        <w:tc>
          <w:tcPr>
            <w:tcW w:w="836" w:type="dxa"/>
            <w:tcBorders>
              <w:bottom w:val="single" w:sz="8" w:space="0" w:color="000000"/>
            </w:tcBorders>
          </w:tcPr>
          <w:p>
            <w:pPr>
              <w:pStyle w:val="TableParagraph"/>
              <w:spacing w:before="70"/>
              <w:ind w:left="4"/>
              <w:jc w:val="center"/>
              <w:rPr>
                <w:sz w:val="22"/>
              </w:rPr>
            </w:pPr>
            <w:r>
              <w:rPr>
                <w:spacing w:val="-4"/>
                <w:sz w:val="22"/>
              </w:rPr>
              <w:t>40.0</w:t>
            </w:r>
          </w:p>
        </w:tc>
        <w:tc>
          <w:tcPr>
            <w:tcW w:w="813" w:type="dxa"/>
            <w:tcBorders>
              <w:bottom w:val="single" w:sz="8" w:space="0" w:color="000000"/>
            </w:tcBorders>
          </w:tcPr>
          <w:p>
            <w:pPr>
              <w:pStyle w:val="TableParagraph"/>
              <w:spacing w:before="70"/>
              <w:ind w:right="199"/>
              <w:jc w:val="right"/>
              <w:rPr>
                <w:sz w:val="22"/>
              </w:rPr>
            </w:pPr>
            <w:r>
              <w:rPr>
                <w:spacing w:val="-4"/>
                <w:sz w:val="22"/>
              </w:rPr>
              <w:t>17.5</w:t>
            </w:r>
          </w:p>
        </w:tc>
        <w:tc>
          <w:tcPr>
            <w:tcW w:w="840" w:type="dxa"/>
            <w:tcBorders>
              <w:bottom w:val="single" w:sz="8" w:space="0" w:color="000000"/>
            </w:tcBorders>
          </w:tcPr>
          <w:p>
            <w:pPr>
              <w:pStyle w:val="TableParagraph"/>
              <w:spacing w:before="70"/>
              <w:ind w:left="31" w:right="11"/>
              <w:jc w:val="center"/>
              <w:rPr>
                <w:sz w:val="22"/>
              </w:rPr>
            </w:pPr>
            <w:r>
              <w:rPr>
                <w:spacing w:val="-4"/>
                <w:sz w:val="22"/>
              </w:rPr>
              <w:t>25.0</w:t>
            </w:r>
          </w:p>
        </w:tc>
      </w:tr>
    </w:tbl>
    <w:p>
      <w:pPr>
        <w:pStyle w:val="BodyText"/>
        <w:spacing w:line="360" w:lineRule="auto" w:before="4"/>
        <w:ind w:left="380" w:right="975"/>
      </w:pPr>
      <w:r>
        <w:rPr>
          <w:b/>
        </w:rPr>
        <w:t>Key:</w:t>
      </w:r>
      <w:r>
        <w:rPr>
          <w:b/>
          <w:spacing w:val="-4"/>
        </w:rPr>
        <w:t> </w:t>
      </w:r>
      <w:r>
        <w:rPr/>
        <w:t>MIC=Minimum</w:t>
      </w:r>
      <w:r>
        <w:rPr>
          <w:spacing w:val="-3"/>
        </w:rPr>
        <w:t> </w:t>
      </w:r>
      <w:r>
        <w:rPr/>
        <w:t>Inhibitory</w:t>
      </w:r>
      <w:r>
        <w:rPr>
          <w:spacing w:val="-6"/>
        </w:rPr>
        <w:t> </w:t>
      </w:r>
      <w:r>
        <w:rPr/>
        <w:t>Concentration,</w:t>
      </w:r>
      <w:r>
        <w:rPr>
          <w:spacing w:val="-6"/>
        </w:rPr>
        <w:t> </w:t>
      </w:r>
      <w:r>
        <w:rPr/>
        <w:t>MBC=</w:t>
      </w:r>
      <w:r>
        <w:rPr>
          <w:spacing w:val="-7"/>
        </w:rPr>
        <w:t> </w:t>
      </w:r>
      <w:r>
        <w:rPr/>
        <w:t>Minimum</w:t>
      </w:r>
      <w:r>
        <w:rPr>
          <w:spacing w:val="-3"/>
        </w:rPr>
        <w:t> </w:t>
      </w:r>
      <w:r>
        <w:rPr/>
        <w:t>Bactericidal</w:t>
      </w:r>
      <w:r>
        <w:rPr>
          <w:spacing w:val="-7"/>
        </w:rPr>
        <w:t> </w:t>
      </w:r>
      <w:r>
        <w:rPr/>
        <w:t>Concentration, </w:t>
      </w:r>
      <w:r>
        <w:rPr>
          <w:spacing w:val="-2"/>
        </w:rPr>
        <w:t>SP=Sputum.</w:t>
      </w:r>
    </w:p>
    <w:p>
      <w:pPr>
        <w:spacing w:after="0" w:line="360"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1"/>
      </w:pPr>
    </w:p>
    <w:p>
      <w:pPr>
        <w:spacing w:before="0"/>
        <w:ind w:left="380" w:right="0" w:firstLine="0"/>
        <w:jc w:val="left"/>
        <w:rPr>
          <w:b/>
          <w:i/>
          <w:sz w:val="22"/>
        </w:rPr>
      </w:pPr>
      <w:r>
        <w:rPr>
          <w:b/>
          <w:sz w:val="22"/>
        </w:rPr>
        <w:t>MIC</w:t>
      </w:r>
      <w:r>
        <w:rPr>
          <w:b/>
          <w:spacing w:val="-6"/>
          <w:sz w:val="22"/>
        </w:rPr>
        <w:t> </w:t>
      </w:r>
      <w:r>
        <w:rPr>
          <w:b/>
          <w:sz w:val="22"/>
        </w:rPr>
        <w:t>and</w:t>
      </w:r>
      <w:r>
        <w:rPr>
          <w:b/>
          <w:spacing w:val="-5"/>
          <w:sz w:val="22"/>
        </w:rPr>
        <w:t> </w:t>
      </w:r>
      <w:r>
        <w:rPr>
          <w:b/>
          <w:sz w:val="22"/>
        </w:rPr>
        <w:t>MBC</w:t>
      </w:r>
      <w:r>
        <w:rPr>
          <w:b/>
          <w:spacing w:val="-7"/>
          <w:sz w:val="22"/>
        </w:rPr>
        <w:t> </w:t>
      </w:r>
      <w:r>
        <w:rPr>
          <w:b/>
          <w:sz w:val="22"/>
        </w:rPr>
        <w:t>Test</w:t>
      </w:r>
      <w:r>
        <w:rPr>
          <w:b/>
          <w:spacing w:val="-6"/>
          <w:sz w:val="22"/>
        </w:rPr>
        <w:t> </w:t>
      </w:r>
      <w:r>
        <w:rPr>
          <w:b/>
          <w:sz w:val="22"/>
        </w:rPr>
        <w:t>(µg/ml)</w:t>
      </w:r>
      <w:r>
        <w:rPr>
          <w:b/>
          <w:spacing w:val="-6"/>
          <w:sz w:val="22"/>
        </w:rPr>
        <w:t> </w:t>
      </w:r>
      <w:r>
        <w:rPr>
          <w:b/>
          <w:sz w:val="22"/>
        </w:rPr>
        <w:t>of</w:t>
      </w:r>
      <w:r>
        <w:rPr>
          <w:b/>
          <w:spacing w:val="-5"/>
          <w:sz w:val="22"/>
        </w:rPr>
        <w:t> </w:t>
      </w:r>
      <w:r>
        <w:rPr>
          <w:b/>
          <w:sz w:val="22"/>
        </w:rPr>
        <w:t>Standard</w:t>
      </w:r>
      <w:r>
        <w:rPr>
          <w:b/>
          <w:spacing w:val="-5"/>
          <w:sz w:val="22"/>
        </w:rPr>
        <w:t> </w:t>
      </w:r>
      <w:r>
        <w:rPr>
          <w:b/>
          <w:sz w:val="22"/>
        </w:rPr>
        <w:t>Antibiotics</w:t>
      </w:r>
      <w:r>
        <w:rPr>
          <w:b/>
          <w:spacing w:val="-6"/>
          <w:sz w:val="22"/>
        </w:rPr>
        <w:t> </w:t>
      </w:r>
      <w:r>
        <w:rPr>
          <w:b/>
          <w:sz w:val="22"/>
        </w:rPr>
        <w:t>against</w:t>
      </w:r>
      <w:r>
        <w:rPr>
          <w:b/>
          <w:spacing w:val="-1"/>
          <w:sz w:val="22"/>
        </w:rPr>
        <w:t> </w:t>
      </w:r>
      <w:r>
        <w:rPr>
          <w:b/>
          <w:i/>
          <w:sz w:val="22"/>
        </w:rPr>
        <w:t>Klebsiella</w:t>
      </w:r>
      <w:r>
        <w:rPr>
          <w:b/>
          <w:i/>
          <w:spacing w:val="-5"/>
          <w:sz w:val="22"/>
        </w:rPr>
        <w:t> </w:t>
      </w:r>
      <w:r>
        <w:rPr>
          <w:b/>
          <w:i/>
          <w:spacing w:val="-2"/>
          <w:sz w:val="22"/>
        </w:rPr>
        <w:t>pneumoniae</w:t>
      </w:r>
    </w:p>
    <w:p>
      <w:pPr>
        <w:spacing w:after="0"/>
        <w:jc w:val="left"/>
        <w:rPr>
          <w:sz w:val="22"/>
        </w:rPr>
        <w:sectPr>
          <w:pgSz w:w="11910" w:h="16840"/>
          <w:pgMar w:header="0" w:footer="1055" w:top="1920" w:bottom="1240" w:left="1060" w:right="460"/>
        </w:sect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2"/>
        <w:gridCol w:w="759"/>
        <w:gridCol w:w="751"/>
        <w:gridCol w:w="734"/>
        <w:gridCol w:w="735"/>
        <w:gridCol w:w="691"/>
        <w:gridCol w:w="649"/>
        <w:gridCol w:w="625"/>
        <w:gridCol w:w="655"/>
        <w:gridCol w:w="647"/>
        <w:gridCol w:w="648"/>
      </w:tblGrid>
      <w:tr>
        <w:trPr>
          <w:trHeight w:val="666" w:hRule="atLeast"/>
        </w:trPr>
        <w:tc>
          <w:tcPr>
            <w:tcW w:w="1032" w:type="dxa"/>
            <w:tcBorders>
              <w:top w:val="single" w:sz="4" w:space="0" w:color="000000"/>
            </w:tcBorders>
          </w:tcPr>
          <w:p>
            <w:pPr>
              <w:pStyle w:val="TableParagraph"/>
              <w:spacing w:line="259" w:lineRule="auto"/>
              <w:ind w:left="383" w:right="144" w:hanging="178"/>
              <w:rPr>
                <w:b/>
                <w:sz w:val="22"/>
              </w:rPr>
            </w:pPr>
            <w:r>
              <w:rPr>
                <w:b/>
                <w:spacing w:val="-2"/>
                <w:sz w:val="22"/>
              </w:rPr>
              <w:t>Sample </w:t>
            </w:r>
            <w:r>
              <w:rPr>
                <w:b/>
                <w:spacing w:val="-4"/>
                <w:sz w:val="22"/>
              </w:rPr>
              <w:t>No.</w:t>
            </w:r>
          </w:p>
        </w:tc>
        <w:tc>
          <w:tcPr>
            <w:tcW w:w="759" w:type="dxa"/>
            <w:tcBorders>
              <w:top w:val="single" w:sz="4" w:space="0" w:color="000000"/>
            </w:tcBorders>
          </w:tcPr>
          <w:p>
            <w:pPr>
              <w:pStyle w:val="TableParagraph"/>
              <w:spacing w:before="143"/>
              <w:ind w:left="151"/>
              <w:rPr>
                <w:b/>
                <w:sz w:val="22"/>
              </w:rPr>
            </w:pPr>
            <w:r>
              <w:rPr>
                <w:b/>
                <w:spacing w:val="-5"/>
                <w:sz w:val="22"/>
              </w:rPr>
              <w:t>MIC</w:t>
            </w:r>
          </w:p>
        </w:tc>
        <w:tc>
          <w:tcPr>
            <w:tcW w:w="751" w:type="dxa"/>
            <w:tcBorders>
              <w:top w:val="single" w:sz="4" w:space="0" w:color="000000"/>
            </w:tcBorders>
          </w:tcPr>
          <w:p>
            <w:pPr>
              <w:pStyle w:val="TableParagraph"/>
              <w:spacing w:before="143"/>
              <w:ind w:left="73" w:right="101"/>
              <w:jc w:val="center"/>
              <w:rPr>
                <w:b/>
                <w:sz w:val="22"/>
              </w:rPr>
            </w:pPr>
            <w:r>
              <w:rPr>
                <w:b/>
                <w:spacing w:val="-5"/>
                <w:sz w:val="22"/>
              </w:rPr>
              <w:t>MBC</w:t>
            </w:r>
          </w:p>
        </w:tc>
        <w:tc>
          <w:tcPr>
            <w:tcW w:w="734" w:type="dxa"/>
            <w:tcBorders>
              <w:top w:val="single" w:sz="4" w:space="0" w:color="000000"/>
            </w:tcBorders>
          </w:tcPr>
          <w:p>
            <w:pPr>
              <w:pStyle w:val="TableParagraph"/>
              <w:spacing w:before="143"/>
              <w:ind w:right="219"/>
              <w:jc w:val="right"/>
              <w:rPr>
                <w:b/>
                <w:sz w:val="22"/>
              </w:rPr>
            </w:pPr>
            <w:r>
              <w:rPr>
                <w:b/>
                <w:spacing w:val="-5"/>
                <w:sz w:val="22"/>
              </w:rPr>
              <w:t>MIC</w:t>
            </w:r>
          </w:p>
        </w:tc>
        <w:tc>
          <w:tcPr>
            <w:tcW w:w="735" w:type="dxa"/>
            <w:tcBorders>
              <w:top w:val="single" w:sz="4" w:space="0" w:color="000000"/>
            </w:tcBorders>
          </w:tcPr>
          <w:p>
            <w:pPr>
              <w:pStyle w:val="TableParagraph"/>
              <w:spacing w:before="143"/>
              <w:ind w:left="66" w:right="86"/>
              <w:jc w:val="center"/>
              <w:rPr>
                <w:b/>
                <w:sz w:val="22"/>
              </w:rPr>
            </w:pPr>
            <w:r>
              <w:rPr>
                <w:b/>
                <w:spacing w:val="-5"/>
                <w:sz w:val="22"/>
              </w:rPr>
              <w:t>MBC</w:t>
            </w:r>
          </w:p>
        </w:tc>
        <w:tc>
          <w:tcPr>
            <w:tcW w:w="691" w:type="dxa"/>
            <w:tcBorders>
              <w:top w:val="single" w:sz="4" w:space="0" w:color="000000"/>
            </w:tcBorders>
          </w:tcPr>
          <w:p>
            <w:pPr>
              <w:pStyle w:val="TableParagraph"/>
              <w:spacing w:before="143"/>
              <w:ind w:left="38" w:right="75"/>
              <w:jc w:val="center"/>
              <w:rPr>
                <w:b/>
                <w:sz w:val="22"/>
              </w:rPr>
            </w:pPr>
            <w:r>
              <w:rPr>
                <w:b/>
                <w:spacing w:val="-5"/>
                <w:sz w:val="22"/>
              </w:rPr>
              <w:t>MIC</w:t>
            </w:r>
          </w:p>
        </w:tc>
        <w:tc>
          <w:tcPr>
            <w:tcW w:w="649" w:type="dxa"/>
            <w:tcBorders>
              <w:top w:val="single" w:sz="4" w:space="0" w:color="000000"/>
            </w:tcBorders>
          </w:tcPr>
          <w:p>
            <w:pPr>
              <w:pStyle w:val="TableParagraph"/>
              <w:spacing w:before="143"/>
              <w:ind w:left="6"/>
              <w:jc w:val="center"/>
              <w:rPr>
                <w:b/>
                <w:sz w:val="22"/>
              </w:rPr>
            </w:pPr>
            <w:r>
              <w:rPr>
                <w:b/>
                <w:spacing w:val="-5"/>
                <w:sz w:val="22"/>
              </w:rPr>
              <w:t>MBC</w:t>
            </w:r>
          </w:p>
        </w:tc>
        <w:tc>
          <w:tcPr>
            <w:tcW w:w="625" w:type="dxa"/>
            <w:tcBorders>
              <w:top w:val="single" w:sz="4" w:space="0" w:color="000000"/>
            </w:tcBorders>
          </w:tcPr>
          <w:p>
            <w:pPr>
              <w:pStyle w:val="TableParagraph"/>
              <w:spacing w:before="143"/>
              <w:ind w:left="37" w:right="71"/>
              <w:jc w:val="center"/>
              <w:rPr>
                <w:b/>
                <w:sz w:val="22"/>
              </w:rPr>
            </w:pPr>
            <w:r>
              <w:rPr>
                <w:b/>
                <w:spacing w:val="-5"/>
                <w:sz w:val="22"/>
              </w:rPr>
              <w:t>MIC</w:t>
            </w:r>
          </w:p>
        </w:tc>
        <w:tc>
          <w:tcPr>
            <w:tcW w:w="655" w:type="dxa"/>
            <w:tcBorders>
              <w:top w:val="single" w:sz="4" w:space="0" w:color="000000"/>
            </w:tcBorders>
          </w:tcPr>
          <w:p>
            <w:pPr>
              <w:pStyle w:val="TableParagraph"/>
              <w:spacing w:before="143"/>
              <w:ind w:left="10"/>
              <w:jc w:val="center"/>
              <w:rPr>
                <w:b/>
                <w:sz w:val="22"/>
              </w:rPr>
            </w:pPr>
            <w:r>
              <w:rPr>
                <w:b/>
                <w:spacing w:val="-5"/>
                <w:sz w:val="22"/>
              </w:rPr>
              <w:t>MBC</w:t>
            </w:r>
          </w:p>
        </w:tc>
        <w:tc>
          <w:tcPr>
            <w:tcW w:w="647" w:type="dxa"/>
            <w:tcBorders>
              <w:top w:val="single" w:sz="4" w:space="0" w:color="000000"/>
            </w:tcBorders>
          </w:tcPr>
          <w:p>
            <w:pPr>
              <w:pStyle w:val="TableParagraph"/>
              <w:spacing w:before="143"/>
              <w:ind w:left="9" w:right="60"/>
              <w:jc w:val="center"/>
              <w:rPr>
                <w:b/>
                <w:sz w:val="22"/>
              </w:rPr>
            </w:pPr>
            <w:r>
              <w:rPr>
                <w:b/>
                <w:spacing w:val="-5"/>
                <w:sz w:val="22"/>
              </w:rPr>
              <w:t>MIC</w:t>
            </w:r>
          </w:p>
        </w:tc>
        <w:tc>
          <w:tcPr>
            <w:tcW w:w="648" w:type="dxa"/>
            <w:tcBorders>
              <w:top w:val="single" w:sz="4" w:space="0" w:color="000000"/>
            </w:tcBorders>
          </w:tcPr>
          <w:p>
            <w:pPr>
              <w:pStyle w:val="TableParagraph"/>
              <w:spacing w:before="143"/>
              <w:ind w:left="6"/>
              <w:jc w:val="center"/>
              <w:rPr>
                <w:b/>
                <w:sz w:val="22"/>
              </w:rPr>
            </w:pPr>
            <w:r>
              <w:rPr>
                <w:b/>
                <w:spacing w:val="-5"/>
                <w:sz w:val="22"/>
              </w:rPr>
              <w:t>MBC</w:t>
            </w:r>
          </w:p>
        </w:tc>
      </w:tr>
      <w:tr>
        <w:trPr>
          <w:trHeight w:val="524" w:hRule="atLeast"/>
        </w:trPr>
        <w:tc>
          <w:tcPr>
            <w:tcW w:w="1032" w:type="dxa"/>
            <w:tcBorders>
              <w:bottom w:val="single" w:sz="4" w:space="0" w:color="000000"/>
            </w:tcBorders>
          </w:tcPr>
          <w:p>
            <w:pPr>
              <w:pStyle w:val="TableParagraph"/>
              <w:rPr>
                <w:rFonts w:ascii="Times New Roman"/>
                <w:sz w:val="22"/>
              </w:rPr>
            </w:pPr>
          </w:p>
        </w:tc>
        <w:tc>
          <w:tcPr>
            <w:tcW w:w="759" w:type="dxa"/>
            <w:tcBorders>
              <w:bottom w:val="single" w:sz="4" w:space="0" w:color="000000"/>
            </w:tcBorders>
          </w:tcPr>
          <w:p>
            <w:pPr>
              <w:pStyle w:val="TableParagraph"/>
              <w:spacing w:before="70"/>
              <w:ind w:left="151"/>
              <w:rPr>
                <w:b/>
                <w:sz w:val="22"/>
              </w:rPr>
            </w:pPr>
            <w:r>
              <w:rPr>
                <w:b/>
                <w:spacing w:val="-5"/>
                <w:sz w:val="22"/>
              </w:rPr>
              <w:t>CN</w:t>
            </w:r>
          </w:p>
        </w:tc>
        <w:tc>
          <w:tcPr>
            <w:tcW w:w="751" w:type="dxa"/>
            <w:tcBorders>
              <w:bottom w:val="single" w:sz="4" w:space="0" w:color="000000"/>
            </w:tcBorders>
          </w:tcPr>
          <w:p>
            <w:pPr>
              <w:pStyle w:val="TableParagraph"/>
              <w:rPr>
                <w:rFonts w:ascii="Times New Roman"/>
                <w:sz w:val="22"/>
              </w:rPr>
            </w:pPr>
          </w:p>
        </w:tc>
        <w:tc>
          <w:tcPr>
            <w:tcW w:w="734" w:type="dxa"/>
            <w:tcBorders>
              <w:bottom w:val="single" w:sz="4" w:space="0" w:color="000000"/>
            </w:tcBorders>
          </w:tcPr>
          <w:p>
            <w:pPr>
              <w:pStyle w:val="TableParagraph"/>
              <w:spacing w:before="70"/>
              <w:ind w:right="196"/>
              <w:jc w:val="right"/>
              <w:rPr>
                <w:b/>
                <w:sz w:val="22"/>
              </w:rPr>
            </w:pPr>
            <w:r>
              <w:rPr>
                <w:b/>
                <w:spacing w:val="-5"/>
                <w:sz w:val="22"/>
              </w:rPr>
              <w:t>CRO</w:t>
            </w:r>
          </w:p>
        </w:tc>
        <w:tc>
          <w:tcPr>
            <w:tcW w:w="735" w:type="dxa"/>
            <w:tcBorders>
              <w:bottom w:val="single" w:sz="4" w:space="0" w:color="000000"/>
            </w:tcBorders>
          </w:tcPr>
          <w:p>
            <w:pPr>
              <w:pStyle w:val="TableParagraph"/>
              <w:rPr>
                <w:rFonts w:ascii="Times New Roman"/>
                <w:sz w:val="22"/>
              </w:rPr>
            </w:pPr>
          </w:p>
        </w:tc>
        <w:tc>
          <w:tcPr>
            <w:tcW w:w="691" w:type="dxa"/>
            <w:tcBorders>
              <w:bottom w:val="single" w:sz="4" w:space="0" w:color="000000"/>
            </w:tcBorders>
          </w:tcPr>
          <w:p>
            <w:pPr>
              <w:pStyle w:val="TableParagraph"/>
              <w:spacing w:before="70"/>
              <w:ind w:left="72" w:right="37"/>
              <w:jc w:val="center"/>
              <w:rPr>
                <w:b/>
                <w:sz w:val="22"/>
              </w:rPr>
            </w:pPr>
            <w:r>
              <w:rPr>
                <w:b/>
                <w:spacing w:val="-5"/>
                <w:sz w:val="22"/>
              </w:rPr>
              <w:t>AMC</w:t>
            </w:r>
          </w:p>
        </w:tc>
        <w:tc>
          <w:tcPr>
            <w:tcW w:w="649" w:type="dxa"/>
            <w:tcBorders>
              <w:bottom w:val="single" w:sz="4" w:space="0" w:color="000000"/>
            </w:tcBorders>
          </w:tcPr>
          <w:p>
            <w:pPr>
              <w:pStyle w:val="TableParagraph"/>
              <w:rPr>
                <w:rFonts w:ascii="Times New Roman"/>
                <w:sz w:val="22"/>
              </w:rPr>
            </w:pPr>
          </w:p>
        </w:tc>
        <w:tc>
          <w:tcPr>
            <w:tcW w:w="625" w:type="dxa"/>
            <w:tcBorders>
              <w:bottom w:val="single" w:sz="4" w:space="0" w:color="000000"/>
            </w:tcBorders>
          </w:tcPr>
          <w:p>
            <w:pPr>
              <w:pStyle w:val="TableParagraph"/>
              <w:spacing w:before="70"/>
              <w:ind w:left="11" w:right="82"/>
              <w:jc w:val="center"/>
              <w:rPr>
                <w:b/>
                <w:sz w:val="22"/>
              </w:rPr>
            </w:pPr>
            <w:r>
              <w:rPr>
                <w:b/>
                <w:spacing w:val="-5"/>
                <w:sz w:val="22"/>
              </w:rPr>
              <w:t>LEV</w:t>
            </w:r>
          </w:p>
        </w:tc>
        <w:tc>
          <w:tcPr>
            <w:tcW w:w="655" w:type="dxa"/>
            <w:tcBorders>
              <w:bottom w:val="single" w:sz="4" w:space="0" w:color="000000"/>
            </w:tcBorders>
          </w:tcPr>
          <w:p>
            <w:pPr>
              <w:pStyle w:val="TableParagraph"/>
              <w:rPr>
                <w:rFonts w:ascii="Times New Roman"/>
                <w:sz w:val="22"/>
              </w:rPr>
            </w:pPr>
          </w:p>
        </w:tc>
        <w:tc>
          <w:tcPr>
            <w:tcW w:w="647" w:type="dxa"/>
            <w:tcBorders>
              <w:bottom w:val="single" w:sz="4" w:space="0" w:color="000000"/>
            </w:tcBorders>
          </w:tcPr>
          <w:p>
            <w:pPr>
              <w:pStyle w:val="TableParagraph"/>
              <w:spacing w:before="70"/>
              <w:ind w:left="60" w:right="51"/>
              <w:jc w:val="center"/>
              <w:rPr>
                <w:b/>
                <w:sz w:val="22"/>
              </w:rPr>
            </w:pPr>
            <w:r>
              <w:rPr>
                <w:b/>
                <w:spacing w:val="-5"/>
                <w:sz w:val="22"/>
              </w:rPr>
              <w:t>AZM</w:t>
            </w:r>
          </w:p>
        </w:tc>
        <w:tc>
          <w:tcPr>
            <w:tcW w:w="648" w:type="dxa"/>
            <w:tcBorders>
              <w:bottom w:val="single" w:sz="4" w:space="0" w:color="000000"/>
            </w:tcBorders>
          </w:tcPr>
          <w:p>
            <w:pPr>
              <w:pStyle w:val="TableParagraph"/>
              <w:rPr>
                <w:rFonts w:ascii="Times New Roman"/>
                <w:sz w:val="22"/>
              </w:rPr>
            </w:pPr>
          </w:p>
        </w:tc>
      </w:tr>
      <w:tr>
        <w:trPr>
          <w:trHeight w:val="375" w:hRule="atLeast"/>
        </w:trPr>
        <w:tc>
          <w:tcPr>
            <w:tcW w:w="1032" w:type="dxa"/>
            <w:tcBorders>
              <w:top w:val="single" w:sz="4" w:space="0" w:color="000000"/>
            </w:tcBorders>
          </w:tcPr>
          <w:p>
            <w:pPr>
              <w:pStyle w:val="TableParagraph"/>
              <w:spacing w:line="265" w:lineRule="exact"/>
              <w:ind w:right="191"/>
              <w:jc w:val="center"/>
              <w:rPr>
                <w:sz w:val="22"/>
              </w:rPr>
            </w:pPr>
            <w:r>
              <w:rPr>
                <w:sz w:val="22"/>
              </w:rPr>
              <w:t>ES</w:t>
            </w:r>
            <w:r>
              <w:rPr>
                <w:spacing w:val="-1"/>
                <w:sz w:val="22"/>
              </w:rPr>
              <w:t> </w:t>
            </w:r>
            <w:r>
              <w:rPr>
                <w:spacing w:val="-5"/>
                <w:sz w:val="22"/>
              </w:rPr>
              <w:t>848</w:t>
            </w:r>
          </w:p>
        </w:tc>
        <w:tc>
          <w:tcPr>
            <w:tcW w:w="759" w:type="dxa"/>
            <w:tcBorders>
              <w:top w:val="single" w:sz="4" w:space="0" w:color="000000"/>
            </w:tcBorders>
          </w:tcPr>
          <w:p>
            <w:pPr>
              <w:pStyle w:val="TableParagraph"/>
              <w:spacing w:line="265" w:lineRule="exact"/>
              <w:ind w:right="170"/>
              <w:jc w:val="right"/>
              <w:rPr>
                <w:sz w:val="22"/>
              </w:rPr>
            </w:pPr>
            <w:r>
              <w:rPr>
                <w:spacing w:val="-5"/>
                <w:sz w:val="22"/>
              </w:rPr>
              <w:t>100</w:t>
            </w:r>
          </w:p>
        </w:tc>
        <w:tc>
          <w:tcPr>
            <w:tcW w:w="751" w:type="dxa"/>
            <w:tcBorders>
              <w:top w:val="single" w:sz="4" w:space="0" w:color="000000"/>
            </w:tcBorders>
          </w:tcPr>
          <w:p>
            <w:pPr>
              <w:pStyle w:val="TableParagraph"/>
              <w:spacing w:line="265" w:lineRule="exact"/>
              <w:ind w:left="99" w:right="28"/>
              <w:jc w:val="center"/>
              <w:rPr>
                <w:sz w:val="22"/>
              </w:rPr>
            </w:pPr>
            <w:r>
              <w:rPr>
                <w:spacing w:val="-5"/>
                <w:sz w:val="22"/>
              </w:rPr>
              <w:t>NB</w:t>
            </w:r>
          </w:p>
        </w:tc>
        <w:tc>
          <w:tcPr>
            <w:tcW w:w="734" w:type="dxa"/>
            <w:tcBorders>
              <w:top w:val="single" w:sz="4" w:space="0" w:color="000000"/>
            </w:tcBorders>
          </w:tcPr>
          <w:p>
            <w:pPr>
              <w:pStyle w:val="TableParagraph"/>
              <w:spacing w:line="265" w:lineRule="exact"/>
              <w:ind w:right="134"/>
              <w:jc w:val="right"/>
              <w:rPr>
                <w:sz w:val="22"/>
              </w:rPr>
            </w:pPr>
            <w:r>
              <w:rPr>
                <w:spacing w:val="-4"/>
                <w:sz w:val="22"/>
              </w:rPr>
              <w:t>15.6</w:t>
            </w:r>
          </w:p>
        </w:tc>
        <w:tc>
          <w:tcPr>
            <w:tcW w:w="735" w:type="dxa"/>
            <w:tcBorders>
              <w:top w:val="single" w:sz="4" w:space="0" w:color="000000"/>
            </w:tcBorders>
          </w:tcPr>
          <w:p>
            <w:pPr>
              <w:pStyle w:val="TableParagraph"/>
              <w:spacing w:line="265" w:lineRule="exact"/>
              <w:ind w:left="86" w:right="20"/>
              <w:jc w:val="center"/>
              <w:rPr>
                <w:sz w:val="22"/>
              </w:rPr>
            </w:pPr>
            <w:r>
              <w:rPr>
                <w:spacing w:val="-4"/>
                <w:sz w:val="22"/>
              </w:rPr>
              <w:t>31.3</w:t>
            </w:r>
          </w:p>
        </w:tc>
        <w:tc>
          <w:tcPr>
            <w:tcW w:w="691" w:type="dxa"/>
            <w:tcBorders>
              <w:top w:val="single" w:sz="4" w:space="0" w:color="000000"/>
            </w:tcBorders>
          </w:tcPr>
          <w:p>
            <w:pPr>
              <w:pStyle w:val="TableParagraph"/>
              <w:spacing w:line="265" w:lineRule="exact"/>
              <w:ind w:left="74" w:right="37"/>
              <w:jc w:val="center"/>
              <w:rPr>
                <w:sz w:val="22"/>
              </w:rPr>
            </w:pPr>
            <w:r>
              <w:rPr>
                <w:spacing w:val="-4"/>
                <w:sz w:val="22"/>
              </w:rPr>
              <w:t>3.91</w:t>
            </w:r>
          </w:p>
        </w:tc>
        <w:tc>
          <w:tcPr>
            <w:tcW w:w="649" w:type="dxa"/>
            <w:tcBorders>
              <w:top w:val="single" w:sz="4" w:space="0" w:color="000000"/>
            </w:tcBorders>
          </w:tcPr>
          <w:p>
            <w:pPr>
              <w:pStyle w:val="TableParagraph"/>
              <w:spacing w:line="265" w:lineRule="exact"/>
              <w:ind w:left="6" w:right="3"/>
              <w:jc w:val="center"/>
              <w:rPr>
                <w:sz w:val="22"/>
              </w:rPr>
            </w:pPr>
            <w:r>
              <w:rPr>
                <w:spacing w:val="-5"/>
                <w:sz w:val="22"/>
              </w:rPr>
              <w:t>125</w:t>
            </w:r>
          </w:p>
        </w:tc>
        <w:tc>
          <w:tcPr>
            <w:tcW w:w="625" w:type="dxa"/>
            <w:tcBorders>
              <w:top w:val="single" w:sz="4" w:space="0" w:color="000000"/>
            </w:tcBorders>
          </w:tcPr>
          <w:p>
            <w:pPr>
              <w:pStyle w:val="TableParagraph"/>
              <w:spacing w:line="265" w:lineRule="exact"/>
              <w:ind w:left="82" w:right="71"/>
              <w:jc w:val="center"/>
              <w:rPr>
                <w:sz w:val="22"/>
              </w:rPr>
            </w:pPr>
            <w:r>
              <w:rPr>
                <w:spacing w:val="-4"/>
                <w:sz w:val="22"/>
              </w:rPr>
              <w:t>15.6</w:t>
            </w:r>
          </w:p>
        </w:tc>
        <w:tc>
          <w:tcPr>
            <w:tcW w:w="655" w:type="dxa"/>
            <w:tcBorders>
              <w:top w:val="single" w:sz="4" w:space="0" w:color="000000"/>
            </w:tcBorders>
          </w:tcPr>
          <w:p>
            <w:pPr>
              <w:pStyle w:val="TableParagraph"/>
              <w:spacing w:line="265" w:lineRule="exact"/>
              <w:ind w:left="10" w:right="2"/>
              <w:jc w:val="center"/>
              <w:rPr>
                <w:sz w:val="22"/>
              </w:rPr>
            </w:pPr>
            <w:r>
              <w:rPr>
                <w:spacing w:val="-5"/>
                <w:sz w:val="22"/>
              </w:rPr>
              <w:t>125</w:t>
            </w:r>
          </w:p>
        </w:tc>
        <w:tc>
          <w:tcPr>
            <w:tcW w:w="647" w:type="dxa"/>
            <w:tcBorders>
              <w:top w:val="single" w:sz="4" w:space="0" w:color="000000"/>
            </w:tcBorders>
          </w:tcPr>
          <w:p>
            <w:pPr>
              <w:pStyle w:val="TableParagraph"/>
              <w:spacing w:line="265" w:lineRule="exact"/>
              <w:ind w:left="59" w:right="51"/>
              <w:jc w:val="center"/>
              <w:rPr>
                <w:sz w:val="22"/>
              </w:rPr>
            </w:pPr>
            <w:r>
              <w:rPr>
                <w:spacing w:val="-5"/>
                <w:sz w:val="22"/>
              </w:rPr>
              <w:t>NI</w:t>
            </w:r>
          </w:p>
        </w:tc>
        <w:tc>
          <w:tcPr>
            <w:tcW w:w="648" w:type="dxa"/>
            <w:tcBorders>
              <w:top w:val="single" w:sz="4" w:space="0" w:color="000000"/>
            </w:tcBorders>
          </w:tcPr>
          <w:p>
            <w:pPr>
              <w:pStyle w:val="TableParagraph"/>
              <w:spacing w:line="265" w:lineRule="exact"/>
              <w:ind w:left="6" w:right="4"/>
              <w:jc w:val="center"/>
              <w:rPr>
                <w:sz w:val="22"/>
              </w:rPr>
            </w:pPr>
            <w:r>
              <w:rPr>
                <w:spacing w:val="-5"/>
                <w:sz w:val="22"/>
              </w:rPr>
              <w:t>NB</w:t>
            </w:r>
          </w:p>
        </w:tc>
      </w:tr>
      <w:tr>
        <w:trPr>
          <w:trHeight w:val="450" w:hRule="atLeast"/>
        </w:trPr>
        <w:tc>
          <w:tcPr>
            <w:tcW w:w="1032" w:type="dxa"/>
          </w:tcPr>
          <w:p>
            <w:pPr>
              <w:pStyle w:val="TableParagraph"/>
              <w:spacing w:before="70"/>
              <w:ind w:left="110" w:right="183"/>
              <w:jc w:val="center"/>
              <w:rPr>
                <w:sz w:val="22"/>
              </w:rPr>
            </w:pPr>
            <w:r>
              <w:rPr>
                <w:sz w:val="22"/>
              </w:rPr>
              <w:t>SP</w:t>
            </w:r>
            <w:r>
              <w:rPr>
                <w:spacing w:val="1"/>
                <w:sz w:val="22"/>
              </w:rPr>
              <w:t> </w:t>
            </w:r>
            <w:r>
              <w:rPr>
                <w:spacing w:val="-4"/>
                <w:sz w:val="22"/>
              </w:rPr>
              <w:t>1348</w:t>
            </w:r>
          </w:p>
        </w:tc>
        <w:tc>
          <w:tcPr>
            <w:tcW w:w="759" w:type="dxa"/>
          </w:tcPr>
          <w:p>
            <w:pPr>
              <w:pStyle w:val="TableParagraph"/>
              <w:spacing w:before="70"/>
              <w:ind w:right="170"/>
              <w:jc w:val="right"/>
              <w:rPr>
                <w:sz w:val="22"/>
              </w:rPr>
            </w:pPr>
            <w:r>
              <w:rPr>
                <w:spacing w:val="-5"/>
                <w:sz w:val="22"/>
              </w:rPr>
              <w:t>100</w:t>
            </w:r>
          </w:p>
        </w:tc>
        <w:tc>
          <w:tcPr>
            <w:tcW w:w="751" w:type="dxa"/>
          </w:tcPr>
          <w:p>
            <w:pPr>
              <w:pStyle w:val="TableParagraph"/>
              <w:spacing w:before="70"/>
              <w:ind w:left="99" w:right="28"/>
              <w:jc w:val="center"/>
              <w:rPr>
                <w:sz w:val="22"/>
              </w:rPr>
            </w:pPr>
            <w:r>
              <w:rPr>
                <w:spacing w:val="-5"/>
                <w:sz w:val="22"/>
              </w:rPr>
              <w:t>NB</w:t>
            </w:r>
          </w:p>
        </w:tc>
        <w:tc>
          <w:tcPr>
            <w:tcW w:w="734" w:type="dxa"/>
          </w:tcPr>
          <w:p>
            <w:pPr>
              <w:pStyle w:val="TableParagraph"/>
              <w:spacing w:before="70"/>
              <w:ind w:right="135"/>
              <w:jc w:val="right"/>
              <w:rPr>
                <w:sz w:val="22"/>
              </w:rPr>
            </w:pPr>
            <w:r>
              <w:rPr>
                <w:spacing w:val="-4"/>
                <w:sz w:val="22"/>
              </w:rPr>
              <w:t>1.95</w:t>
            </w:r>
          </w:p>
        </w:tc>
        <w:tc>
          <w:tcPr>
            <w:tcW w:w="735" w:type="dxa"/>
          </w:tcPr>
          <w:p>
            <w:pPr>
              <w:pStyle w:val="TableParagraph"/>
              <w:spacing w:before="70"/>
              <w:ind w:left="86" w:right="20"/>
              <w:jc w:val="center"/>
              <w:rPr>
                <w:sz w:val="22"/>
              </w:rPr>
            </w:pPr>
            <w:r>
              <w:rPr>
                <w:spacing w:val="-4"/>
                <w:sz w:val="22"/>
              </w:rPr>
              <w:t>3.91</w:t>
            </w:r>
          </w:p>
        </w:tc>
        <w:tc>
          <w:tcPr>
            <w:tcW w:w="691" w:type="dxa"/>
          </w:tcPr>
          <w:p>
            <w:pPr>
              <w:pStyle w:val="TableParagraph"/>
              <w:spacing w:before="70"/>
              <w:ind w:left="70" w:right="37"/>
              <w:jc w:val="center"/>
              <w:rPr>
                <w:sz w:val="22"/>
              </w:rPr>
            </w:pPr>
            <w:r>
              <w:rPr>
                <w:spacing w:val="-5"/>
                <w:sz w:val="22"/>
              </w:rPr>
              <w:t>NI</w:t>
            </w:r>
          </w:p>
        </w:tc>
        <w:tc>
          <w:tcPr>
            <w:tcW w:w="649" w:type="dxa"/>
          </w:tcPr>
          <w:p>
            <w:pPr>
              <w:pStyle w:val="TableParagraph"/>
              <w:spacing w:before="70"/>
              <w:ind w:left="6" w:right="5"/>
              <w:jc w:val="center"/>
              <w:rPr>
                <w:sz w:val="22"/>
              </w:rPr>
            </w:pPr>
            <w:r>
              <w:rPr>
                <w:spacing w:val="-5"/>
                <w:sz w:val="22"/>
              </w:rPr>
              <w:t>NB</w:t>
            </w:r>
          </w:p>
        </w:tc>
        <w:tc>
          <w:tcPr>
            <w:tcW w:w="625" w:type="dxa"/>
          </w:tcPr>
          <w:p>
            <w:pPr>
              <w:pStyle w:val="TableParagraph"/>
              <w:spacing w:before="70"/>
              <w:ind w:left="82" w:right="71"/>
              <w:jc w:val="center"/>
              <w:rPr>
                <w:sz w:val="22"/>
              </w:rPr>
            </w:pPr>
            <w:r>
              <w:rPr>
                <w:spacing w:val="-4"/>
                <w:sz w:val="22"/>
              </w:rPr>
              <w:t>7.81</w:t>
            </w:r>
          </w:p>
        </w:tc>
        <w:tc>
          <w:tcPr>
            <w:tcW w:w="655" w:type="dxa"/>
          </w:tcPr>
          <w:p>
            <w:pPr>
              <w:pStyle w:val="TableParagraph"/>
              <w:spacing w:before="70"/>
              <w:ind w:left="10" w:right="2"/>
              <w:jc w:val="center"/>
              <w:rPr>
                <w:sz w:val="22"/>
              </w:rPr>
            </w:pPr>
            <w:r>
              <w:rPr>
                <w:spacing w:val="-5"/>
                <w:sz w:val="22"/>
              </w:rPr>
              <w:t>125</w:t>
            </w:r>
          </w:p>
        </w:tc>
        <w:tc>
          <w:tcPr>
            <w:tcW w:w="647" w:type="dxa"/>
          </w:tcPr>
          <w:p>
            <w:pPr>
              <w:pStyle w:val="TableParagraph"/>
              <w:spacing w:before="70"/>
              <w:ind w:left="59" w:right="51"/>
              <w:jc w:val="center"/>
              <w:rPr>
                <w:sz w:val="22"/>
              </w:rPr>
            </w:pPr>
            <w:r>
              <w:rPr>
                <w:spacing w:val="-5"/>
                <w:sz w:val="22"/>
              </w:rPr>
              <w:t>NI</w:t>
            </w:r>
          </w:p>
        </w:tc>
        <w:tc>
          <w:tcPr>
            <w:tcW w:w="648" w:type="dxa"/>
          </w:tcPr>
          <w:p>
            <w:pPr>
              <w:pStyle w:val="TableParagraph"/>
              <w:spacing w:before="70"/>
              <w:ind w:left="6" w:right="4"/>
              <w:jc w:val="center"/>
              <w:rPr>
                <w:sz w:val="22"/>
              </w:rPr>
            </w:pPr>
            <w:r>
              <w:rPr>
                <w:spacing w:val="-5"/>
                <w:sz w:val="22"/>
              </w:rPr>
              <w:t>NB</w:t>
            </w:r>
          </w:p>
        </w:tc>
      </w:tr>
      <w:tr>
        <w:trPr>
          <w:trHeight w:val="450" w:hRule="atLeast"/>
        </w:trPr>
        <w:tc>
          <w:tcPr>
            <w:tcW w:w="1032" w:type="dxa"/>
          </w:tcPr>
          <w:p>
            <w:pPr>
              <w:pStyle w:val="TableParagraph"/>
              <w:spacing w:before="71"/>
              <w:ind w:left="110" w:right="183"/>
              <w:jc w:val="center"/>
              <w:rPr>
                <w:sz w:val="22"/>
              </w:rPr>
            </w:pPr>
            <w:r>
              <w:rPr>
                <w:sz w:val="22"/>
              </w:rPr>
              <w:t>SP</w:t>
            </w:r>
            <w:r>
              <w:rPr>
                <w:spacing w:val="1"/>
                <w:sz w:val="22"/>
              </w:rPr>
              <w:t> </w:t>
            </w:r>
            <w:r>
              <w:rPr>
                <w:spacing w:val="-4"/>
                <w:sz w:val="22"/>
              </w:rPr>
              <w:t>1386</w:t>
            </w:r>
          </w:p>
        </w:tc>
        <w:tc>
          <w:tcPr>
            <w:tcW w:w="759" w:type="dxa"/>
          </w:tcPr>
          <w:p>
            <w:pPr>
              <w:pStyle w:val="TableParagraph"/>
              <w:spacing w:before="71"/>
              <w:ind w:right="141"/>
              <w:jc w:val="right"/>
              <w:rPr>
                <w:sz w:val="22"/>
              </w:rPr>
            </w:pPr>
            <w:r>
              <w:rPr>
                <w:spacing w:val="-4"/>
                <w:sz w:val="22"/>
              </w:rPr>
              <w:t>3.13</w:t>
            </w:r>
          </w:p>
        </w:tc>
        <w:tc>
          <w:tcPr>
            <w:tcW w:w="751" w:type="dxa"/>
          </w:tcPr>
          <w:p>
            <w:pPr>
              <w:pStyle w:val="TableParagraph"/>
              <w:spacing w:before="71"/>
              <w:ind w:left="101" w:right="28"/>
              <w:jc w:val="center"/>
              <w:rPr>
                <w:sz w:val="22"/>
              </w:rPr>
            </w:pPr>
            <w:r>
              <w:rPr>
                <w:spacing w:val="-4"/>
                <w:sz w:val="22"/>
              </w:rPr>
              <w:t>50.0</w:t>
            </w:r>
          </w:p>
        </w:tc>
        <w:tc>
          <w:tcPr>
            <w:tcW w:w="734" w:type="dxa"/>
          </w:tcPr>
          <w:p>
            <w:pPr>
              <w:pStyle w:val="TableParagraph"/>
              <w:spacing w:before="71"/>
              <w:ind w:right="134"/>
              <w:jc w:val="right"/>
              <w:rPr>
                <w:sz w:val="22"/>
              </w:rPr>
            </w:pPr>
            <w:r>
              <w:rPr>
                <w:spacing w:val="-4"/>
                <w:sz w:val="22"/>
              </w:rPr>
              <w:t>15.6</w:t>
            </w:r>
          </w:p>
        </w:tc>
        <w:tc>
          <w:tcPr>
            <w:tcW w:w="735" w:type="dxa"/>
          </w:tcPr>
          <w:p>
            <w:pPr>
              <w:pStyle w:val="TableParagraph"/>
              <w:spacing w:before="71"/>
              <w:ind w:left="86" w:right="20"/>
              <w:jc w:val="center"/>
              <w:rPr>
                <w:sz w:val="22"/>
              </w:rPr>
            </w:pPr>
            <w:r>
              <w:rPr>
                <w:spacing w:val="-4"/>
                <w:sz w:val="22"/>
              </w:rPr>
              <w:t>62.5</w:t>
            </w:r>
          </w:p>
        </w:tc>
        <w:tc>
          <w:tcPr>
            <w:tcW w:w="691" w:type="dxa"/>
          </w:tcPr>
          <w:p>
            <w:pPr>
              <w:pStyle w:val="TableParagraph"/>
              <w:spacing w:before="71"/>
              <w:ind w:left="70" w:right="37"/>
              <w:jc w:val="center"/>
              <w:rPr>
                <w:sz w:val="22"/>
              </w:rPr>
            </w:pPr>
            <w:r>
              <w:rPr>
                <w:spacing w:val="-5"/>
                <w:sz w:val="22"/>
              </w:rPr>
              <w:t>NI</w:t>
            </w:r>
          </w:p>
        </w:tc>
        <w:tc>
          <w:tcPr>
            <w:tcW w:w="649" w:type="dxa"/>
          </w:tcPr>
          <w:p>
            <w:pPr>
              <w:pStyle w:val="TableParagraph"/>
              <w:spacing w:before="71"/>
              <w:ind w:left="6" w:right="5"/>
              <w:jc w:val="center"/>
              <w:rPr>
                <w:sz w:val="22"/>
              </w:rPr>
            </w:pPr>
            <w:r>
              <w:rPr>
                <w:spacing w:val="-5"/>
                <w:sz w:val="22"/>
              </w:rPr>
              <w:t>NB</w:t>
            </w:r>
          </w:p>
        </w:tc>
        <w:tc>
          <w:tcPr>
            <w:tcW w:w="625" w:type="dxa"/>
          </w:tcPr>
          <w:p>
            <w:pPr>
              <w:pStyle w:val="TableParagraph"/>
              <w:spacing w:before="71"/>
              <w:ind w:left="82" w:right="71"/>
              <w:jc w:val="center"/>
              <w:rPr>
                <w:sz w:val="22"/>
              </w:rPr>
            </w:pPr>
            <w:r>
              <w:rPr>
                <w:spacing w:val="-4"/>
                <w:sz w:val="22"/>
              </w:rPr>
              <w:t>0.98</w:t>
            </w:r>
          </w:p>
        </w:tc>
        <w:tc>
          <w:tcPr>
            <w:tcW w:w="655" w:type="dxa"/>
          </w:tcPr>
          <w:p>
            <w:pPr>
              <w:pStyle w:val="TableParagraph"/>
              <w:spacing w:before="71"/>
              <w:ind w:left="10" w:right="3"/>
              <w:jc w:val="center"/>
              <w:rPr>
                <w:sz w:val="22"/>
              </w:rPr>
            </w:pPr>
            <w:r>
              <w:rPr>
                <w:spacing w:val="-4"/>
                <w:sz w:val="22"/>
              </w:rPr>
              <w:t>7.81</w:t>
            </w:r>
          </w:p>
        </w:tc>
        <w:tc>
          <w:tcPr>
            <w:tcW w:w="647" w:type="dxa"/>
          </w:tcPr>
          <w:p>
            <w:pPr>
              <w:pStyle w:val="TableParagraph"/>
              <w:spacing w:before="71"/>
              <w:ind w:left="59" w:right="51"/>
              <w:jc w:val="center"/>
              <w:rPr>
                <w:sz w:val="22"/>
              </w:rPr>
            </w:pPr>
            <w:r>
              <w:rPr>
                <w:spacing w:val="-5"/>
                <w:sz w:val="22"/>
              </w:rPr>
              <w:t>NI</w:t>
            </w:r>
          </w:p>
        </w:tc>
        <w:tc>
          <w:tcPr>
            <w:tcW w:w="648" w:type="dxa"/>
          </w:tcPr>
          <w:p>
            <w:pPr>
              <w:pStyle w:val="TableParagraph"/>
              <w:spacing w:before="71"/>
              <w:ind w:left="6" w:right="4"/>
              <w:jc w:val="center"/>
              <w:rPr>
                <w:sz w:val="22"/>
              </w:rPr>
            </w:pPr>
            <w:r>
              <w:rPr>
                <w:spacing w:val="-5"/>
                <w:sz w:val="22"/>
              </w:rPr>
              <w:t>NB</w:t>
            </w:r>
          </w:p>
        </w:tc>
      </w:tr>
      <w:tr>
        <w:trPr>
          <w:trHeight w:val="450" w:hRule="atLeast"/>
        </w:trPr>
        <w:tc>
          <w:tcPr>
            <w:tcW w:w="1032" w:type="dxa"/>
          </w:tcPr>
          <w:p>
            <w:pPr>
              <w:pStyle w:val="TableParagraph"/>
              <w:spacing w:before="70"/>
              <w:ind w:left="110" w:right="183"/>
              <w:jc w:val="center"/>
              <w:rPr>
                <w:sz w:val="22"/>
              </w:rPr>
            </w:pPr>
            <w:r>
              <w:rPr>
                <w:sz w:val="22"/>
              </w:rPr>
              <w:t>SP</w:t>
            </w:r>
            <w:r>
              <w:rPr>
                <w:spacing w:val="1"/>
                <w:sz w:val="22"/>
              </w:rPr>
              <w:t> </w:t>
            </w:r>
            <w:r>
              <w:rPr>
                <w:spacing w:val="-4"/>
                <w:sz w:val="22"/>
              </w:rPr>
              <w:t>1715</w:t>
            </w:r>
          </w:p>
        </w:tc>
        <w:tc>
          <w:tcPr>
            <w:tcW w:w="759" w:type="dxa"/>
          </w:tcPr>
          <w:p>
            <w:pPr>
              <w:pStyle w:val="TableParagraph"/>
              <w:spacing w:before="70"/>
              <w:ind w:right="141"/>
              <w:jc w:val="right"/>
              <w:rPr>
                <w:sz w:val="22"/>
              </w:rPr>
            </w:pPr>
            <w:r>
              <w:rPr>
                <w:spacing w:val="-4"/>
                <w:sz w:val="22"/>
              </w:rPr>
              <w:t>1.56</w:t>
            </w:r>
          </w:p>
        </w:tc>
        <w:tc>
          <w:tcPr>
            <w:tcW w:w="751" w:type="dxa"/>
          </w:tcPr>
          <w:p>
            <w:pPr>
              <w:pStyle w:val="TableParagraph"/>
              <w:spacing w:before="70"/>
              <w:ind w:left="101" w:right="28"/>
              <w:jc w:val="center"/>
              <w:rPr>
                <w:sz w:val="22"/>
              </w:rPr>
            </w:pPr>
            <w:r>
              <w:rPr>
                <w:spacing w:val="-4"/>
                <w:sz w:val="22"/>
              </w:rPr>
              <w:t>3.13</w:t>
            </w:r>
          </w:p>
        </w:tc>
        <w:tc>
          <w:tcPr>
            <w:tcW w:w="734" w:type="dxa"/>
          </w:tcPr>
          <w:p>
            <w:pPr>
              <w:pStyle w:val="TableParagraph"/>
              <w:spacing w:before="70"/>
              <w:ind w:right="134"/>
              <w:jc w:val="right"/>
              <w:rPr>
                <w:sz w:val="22"/>
              </w:rPr>
            </w:pPr>
            <w:r>
              <w:rPr>
                <w:spacing w:val="-4"/>
                <w:sz w:val="22"/>
              </w:rPr>
              <w:t>15.6</w:t>
            </w:r>
          </w:p>
        </w:tc>
        <w:tc>
          <w:tcPr>
            <w:tcW w:w="735" w:type="dxa"/>
          </w:tcPr>
          <w:p>
            <w:pPr>
              <w:pStyle w:val="TableParagraph"/>
              <w:spacing w:before="70"/>
              <w:ind w:left="86" w:right="20"/>
              <w:jc w:val="center"/>
              <w:rPr>
                <w:sz w:val="22"/>
              </w:rPr>
            </w:pPr>
            <w:r>
              <w:rPr>
                <w:spacing w:val="-4"/>
                <w:sz w:val="22"/>
              </w:rPr>
              <w:t>31.3</w:t>
            </w:r>
          </w:p>
        </w:tc>
        <w:tc>
          <w:tcPr>
            <w:tcW w:w="691" w:type="dxa"/>
          </w:tcPr>
          <w:p>
            <w:pPr>
              <w:pStyle w:val="TableParagraph"/>
              <w:spacing w:before="70"/>
              <w:ind w:left="75" w:right="37"/>
              <w:jc w:val="center"/>
              <w:rPr>
                <w:sz w:val="22"/>
              </w:rPr>
            </w:pPr>
            <w:r>
              <w:rPr>
                <w:spacing w:val="-4"/>
                <w:sz w:val="22"/>
              </w:rPr>
              <w:t>15.6</w:t>
            </w:r>
          </w:p>
        </w:tc>
        <w:tc>
          <w:tcPr>
            <w:tcW w:w="649" w:type="dxa"/>
          </w:tcPr>
          <w:p>
            <w:pPr>
              <w:pStyle w:val="TableParagraph"/>
              <w:spacing w:before="70"/>
              <w:ind w:left="6" w:right="2"/>
              <w:jc w:val="center"/>
              <w:rPr>
                <w:sz w:val="22"/>
              </w:rPr>
            </w:pPr>
            <w:r>
              <w:rPr>
                <w:spacing w:val="-4"/>
                <w:sz w:val="22"/>
              </w:rPr>
              <w:t>62.5</w:t>
            </w:r>
          </w:p>
        </w:tc>
        <w:tc>
          <w:tcPr>
            <w:tcW w:w="625" w:type="dxa"/>
          </w:tcPr>
          <w:p>
            <w:pPr>
              <w:pStyle w:val="TableParagraph"/>
              <w:spacing w:before="70"/>
              <w:ind w:left="82" w:right="71"/>
              <w:jc w:val="center"/>
              <w:rPr>
                <w:sz w:val="22"/>
              </w:rPr>
            </w:pPr>
            <w:r>
              <w:rPr>
                <w:spacing w:val="-4"/>
                <w:sz w:val="22"/>
              </w:rPr>
              <w:t>0.98</w:t>
            </w:r>
          </w:p>
        </w:tc>
        <w:tc>
          <w:tcPr>
            <w:tcW w:w="655" w:type="dxa"/>
          </w:tcPr>
          <w:p>
            <w:pPr>
              <w:pStyle w:val="TableParagraph"/>
              <w:spacing w:before="70"/>
              <w:ind w:left="10" w:right="2"/>
              <w:jc w:val="center"/>
              <w:rPr>
                <w:sz w:val="22"/>
              </w:rPr>
            </w:pPr>
            <w:r>
              <w:rPr>
                <w:spacing w:val="-4"/>
                <w:sz w:val="22"/>
              </w:rPr>
              <w:t>15.6</w:t>
            </w:r>
          </w:p>
        </w:tc>
        <w:tc>
          <w:tcPr>
            <w:tcW w:w="647" w:type="dxa"/>
          </w:tcPr>
          <w:p>
            <w:pPr>
              <w:pStyle w:val="TableParagraph"/>
              <w:spacing w:before="70"/>
              <w:ind w:left="58" w:right="51"/>
              <w:jc w:val="center"/>
              <w:rPr>
                <w:sz w:val="22"/>
              </w:rPr>
            </w:pPr>
            <w:r>
              <w:rPr>
                <w:spacing w:val="-4"/>
                <w:sz w:val="22"/>
              </w:rPr>
              <w:t>3.13</w:t>
            </w:r>
          </w:p>
        </w:tc>
        <w:tc>
          <w:tcPr>
            <w:tcW w:w="648" w:type="dxa"/>
          </w:tcPr>
          <w:p>
            <w:pPr>
              <w:pStyle w:val="TableParagraph"/>
              <w:spacing w:before="70"/>
              <w:ind w:left="6" w:right="2"/>
              <w:jc w:val="center"/>
              <w:rPr>
                <w:sz w:val="22"/>
              </w:rPr>
            </w:pPr>
            <w:r>
              <w:rPr>
                <w:spacing w:val="-4"/>
                <w:sz w:val="22"/>
              </w:rPr>
              <w:t>50.0</w:t>
            </w:r>
          </w:p>
        </w:tc>
      </w:tr>
      <w:tr>
        <w:trPr>
          <w:trHeight w:val="450" w:hRule="atLeast"/>
        </w:trPr>
        <w:tc>
          <w:tcPr>
            <w:tcW w:w="1032" w:type="dxa"/>
          </w:tcPr>
          <w:p>
            <w:pPr>
              <w:pStyle w:val="TableParagraph"/>
              <w:spacing w:before="71"/>
              <w:ind w:right="183"/>
              <w:jc w:val="center"/>
              <w:rPr>
                <w:sz w:val="22"/>
              </w:rPr>
            </w:pPr>
            <w:r>
              <w:rPr>
                <w:sz w:val="22"/>
              </w:rPr>
              <w:t>SP</w:t>
            </w:r>
            <w:r>
              <w:rPr>
                <w:spacing w:val="1"/>
                <w:sz w:val="22"/>
              </w:rPr>
              <w:t> </w:t>
            </w:r>
            <w:r>
              <w:rPr>
                <w:spacing w:val="-5"/>
                <w:sz w:val="22"/>
              </w:rPr>
              <w:t>224</w:t>
            </w:r>
          </w:p>
        </w:tc>
        <w:tc>
          <w:tcPr>
            <w:tcW w:w="759" w:type="dxa"/>
          </w:tcPr>
          <w:p>
            <w:pPr>
              <w:pStyle w:val="TableParagraph"/>
              <w:spacing w:before="71"/>
              <w:ind w:right="140"/>
              <w:jc w:val="right"/>
              <w:rPr>
                <w:sz w:val="22"/>
              </w:rPr>
            </w:pPr>
            <w:r>
              <w:rPr>
                <w:spacing w:val="-4"/>
                <w:sz w:val="22"/>
              </w:rPr>
              <w:t>25.0</w:t>
            </w:r>
          </w:p>
        </w:tc>
        <w:tc>
          <w:tcPr>
            <w:tcW w:w="751" w:type="dxa"/>
          </w:tcPr>
          <w:p>
            <w:pPr>
              <w:pStyle w:val="TableParagraph"/>
              <w:spacing w:before="71"/>
              <w:ind w:left="101" w:right="28"/>
              <w:jc w:val="center"/>
              <w:rPr>
                <w:sz w:val="22"/>
              </w:rPr>
            </w:pPr>
            <w:r>
              <w:rPr>
                <w:spacing w:val="-4"/>
                <w:sz w:val="22"/>
              </w:rPr>
              <w:t>50.0</w:t>
            </w:r>
          </w:p>
        </w:tc>
        <w:tc>
          <w:tcPr>
            <w:tcW w:w="734" w:type="dxa"/>
          </w:tcPr>
          <w:p>
            <w:pPr>
              <w:pStyle w:val="TableParagraph"/>
              <w:spacing w:before="71"/>
              <w:ind w:right="134"/>
              <w:jc w:val="right"/>
              <w:rPr>
                <w:sz w:val="22"/>
              </w:rPr>
            </w:pPr>
            <w:r>
              <w:rPr>
                <w:spacing w:val="-4"/>
                <w:sz w:val="22"/>
              </w:rPr>
              <w:t>15.6</w:t>
            </w:r>
          </w:p>
        </w:tc>
        <w:tc>
          <w:tcPr>
            <w:tcW w:w="735" w:type="dxa"/>
          </w:tcPr>
          <w:p>
            <w:pPr>
              <w:pStyle w:val="TableParagraph"/>
              <w:spacing w:before="71"/>
              <w:ind w:left="86" w:right="20"/>
              <w:jc w:val="center"/>
              <w:rPr>
                <w:sz w:val="22"/>
              </w:rPr>
            </w:pPr>
            <w:r>
              <w:rPr>
                <w:spacing w:val="-4"/>
                <w:sz w:val="22"/>
              </w:rPr>
              <w:t>62.5</w:t>
            </w:r>
          </w:p>
        </w:tc>
        <w:tc>
          <w:tcPr>
            <w:tcW w:w="691" w:type="dxa"/>
          </w:tcPr>
          <w:p>
            <w:pPr>
              <w:pStyle w:val="TableParagraph"/>
              <w:spacing w:before="71"/>
              <w:ind w:left="74" w:right="37"/>
              <w:jc w:val="center"/>
              <w:rPr>
                <w:sz w:val="22"/>
              </w:rPr>
            </w:pPr>
            <w:r>
              <w:rPr>
                <w:spacing w:val="-4"/>
                <w:sz w:val="22"/>
              </w:rPr>
              <w:t>3.91</w:t>
            </w:r>
          </w:p>
        </w:tc>
        <w:tc>
          <w:tcPr>
            <w:tcW w:w="649" w:type="dxa"/>
          </w:tcPr>
          <w:p>
            <w:pPr>
              <w:pStyle w:val="TableParagraph"/>
              <w:spacing w:before="71"/>
              <w:ind w:left="6" w:right="3"/>
              <w:jc w:val="center"/>
              <w:rPr>
                <w:sz w:val="22"/>
              </w:rPr>
            </w:pPr>
            <w:r>
              <w:rPr>
                <w:spacing w:val="-5"/>
                <w:sz w:val="22"/>
              </w:rPr>
              <w:t>125</w:t>
            </w:r>
          </w:p>
        </w:tc>
        <w:tc>
          <w:tcPr>
            <w:tcW w:w="625" w:type="dxa"/>
          </w:tcPr>
          <w:p>
            <w:pPr>
              <w:pStyle w:val="TableParagraph"/>
              <w:spacing w:before="71"/>
              <w:ind w:left="82" w:right="71"/>
              <w:jc w:val="center"/>
              <w:rPr>
                <w:sz w:val="22"/>
              </w:rPr>
            </w:pPr>
            <w:r>
              <w:rPr>
                <w:spacing w:val="-4"/>
                <w:sz w:val="22"/>
              </w:rPr>
              <w:t>3.91</w:t>
            </w:r>
          </w:p>
        </w:tc>
        <w:tc>
          <w:tcPr>
            <w:tcW w:w="655" w:type="dxa"/>
          </w:tcPr>
          <w:p>
            <w:pPr>
              <w:pStyle w:val="TableParagraph"/>
              <w:spacing w:before="71"/>
              <w:ind w:left="10" w:right="3"/>
              <w:jc w:val="center"/>
              <w:rPr>
                <w:sz w:val="22"/>
              </w:rPr>
            </w:pPr>
            <w:r>
              <w:rPr>
                <w:spacing w:val="-4"/>
                <w:sz w:val="22"/>
              </w:rPr>
              <w:t>7.81</w:t>
            </w:r>
          </w:p>
        </w:tc>
        <w:tc>
          <w:tcPr>
            <w:tcW w:w="647" w:type="dxa"/>
          </w:tcPr>
          <w:p>
            <w:pPr>
              <w:pStyle w:val="TableParagraph"/>
              <w:spacing w:before="71"/>
              <w:ind w:left="59" w:right="51"/>
              <w:jc w:val="center"/>
              <w:rPr>
                <w:sz w:val="22"/>
              </w:rPr>
            </w:pPr>
            <w:r>
              <w:rPr>
                <w:spacing w:val="-5"/>
                <w:sz w:val="22"/>
              </w:rPr>
              <w:t>NI</w:t>
            </w:r>
          </w:p>
        </w:tc>
        <w:tc>
          <w:tcPr>
            <w:tcW w:w="648" w:type="dxa"/>
          </w:tcPr>
          <w:p>
            <w:pPr>
              <w:pStyle w:val="TableParagraph"/>
              <w:spacing w:before="71"/>
              <w:ind w:left="6" w:right="4"/>
              <w:jc w:val="center"/>
              <w:rPr>
                <w:sz w:val="22"/>
              </w:rPr>
            </w:pPr>
            <w:r>
              <w:rPr>
                <w:spacing w:val="-5"/>
                <w:sz w:val="22"/>
              </w:rPr>
              <w:t>NB</w:t>
            </w:r>
          </w:p>
        </w:tc>
      </w:tr>
      <w:tr>
        <w:trPr>
          <w:trHeight w:val="449" w:hRule="atLeast"/>
        </w:trPr>
        <w:tc>
          <w:tcPr>
            <w:tcW w:w="1032" w:type="dxa"/>
          </w:tcPr>
          <w:p>
            <w:pPr>
              <w:pStyle w:val="TableParagraph"/>
              <w:spacing w:before="70"/>
              <w:ind w:right="183"/>
              <w:jc w:val="center"/>
              <w:rPr>
                <w:sz w:val="22"/>
              </w:rPr>
            </w:pPr>
            <w:r>
              <w:rPr>
                <w:sz w:val="22"/>
              </w:rPr>
              <w:t>SP</w:t>
            </w:r>
            <w:r>
              <w:rPr>
                <w:spacing w:val="1"/>
                <w:sz w:val="22"/>
              </w:rPr>
              <w:t> </w:t>
            </w:r>
            <w:r>
              <w:rPr>
                <w:spacing w:val="-5"/>
                <w:sz w:val="22"/>
              </w:rPr>
              <w:t>229</w:t>
            </w:r>
          </w:p>
        </w:tc>
        <w:tc>
          <w:tcPr>
            <w:tcW w:w="759" w:type="dxa"/>
          </w:tcPr>
          <w:p>
            <w:pPr>
              <w:pStyle w:val="TableParagraph"/>
              <w:spacing w:before="70"/>
              <w:ind w:right="141"/>
              <w:jc w:val="right"/>
              <w:rPr>
                <w:sz w:val="22"/>
              </w:rPr>
            </w:pPr>
            <w:r>
              <w:rPr>
                <w:spacing w:val="-4"/>
                <w:sz w:val="22"/>
              </w:rPr>
              <w:t>6.25</w:t>
            </w:r>
          </w:p>
        </w:tc>
        <w:tc>
          <w:tcPr>
            <w:tcW w:w="751" w:type="dxa"/>
          </w:tcPr>
          <w:p>
            <w:pPr>
              <w:pStyle w:val="TableParagraph"/>
              <w:spacing w:before="70"/>
              <w:ind w:left="101" w:right="28"/>
              <w:jc w:val="center"/>
              <w:rPr>
                <w:sz w:val="22"/>
              </w:rPr>
            </w:pPr>
            <w:r>
              <w:rPr>
                <w:spacing w:val="-4"/>
                <w:sz w:val="22"/>
              </w:rPr>
              <w:t>50.0</w:t>
            </w:r>
          </w:p>
        </w:tc>
        <w:tc>
          <w:tcPr>
            <w:tcW w:w="734" w:type="dxa"/>
          </w:tcPr>
          <w:p>
            <w:pPr>
              <w:pStyle w:val="TableParagraph"/>
              <w:spacing w:before="70"/>
              <w:ind w:right="135"/>
              <w:jc w:val="right"/>
              <w:rPr>
                <w:sz w:val="22"/>
              </w:rPr>
            </w:pPr>
            <w:r>
              <w:rPr>
                <w:spacing w:val="-4"/>
                <w:sz w:val="22"/>
              </w:rPr>
              <w:t>3.91</w:t>
            </w:r>
          </w:p>
        </w:tc>
        <w:tc>
          <w:tcPr>
            <w:tcW w:w="735" w:type="dxa"/>
          </w:tcPr>
          <w:p>
            <w:pPr>
              <w:pStyle w:val="TableParagraph"/>
              <w:spacing w:before="70"/>
              <w:ind w:left="86" w:right="20"/>
              <w:jc w:val="center"/>
              <w:rPr>
                <w:sz w:val="22"/>
              </w:rPr>
            </w:pPr>
            <w:r>
              <w:rPr>
                <w:spacing w:val="-4"/>
                <w:sz w:val="22"/>
              </w:rPr>
              <w:t>15.6</w:t>
            </w:r>
          </w:p>
        </w:tc>
        <w:tc>
          <w:tcPr>
            <w:tcW w:w="691" w:type="dxa"/>
          </w:tcPr>
          <w:p>
            <w:pPr>
              <w:pStyle w:val="TableParagraph"/>
              <w:spacing w:before="70"/>
              <w:ind w:left="70" w:right="37"/>
              <w:jc w:val="center"/>
              <w:rPr>
                <w:sz w:val="22"/>
              </w:rPr>
            </w:pPr>
            <w:r>
              <w:rPr>
                <w:spacing w:val="-5"/>
                <w:sz w:val="22"/>
              </w:rPr>
              <w:t>NI</w:t>
            </w:r>
          </w:p>
        </w:tc>
        <w:tc>
          <w:tcPr>
            <w:tcW w:w="649" w:type="dxa"/>
          </w:tcPr>
          <w:p>
            <w:pPr>
              <w:pStyle w:val="TableParagraph"/>
              <w:spacing w:before="70"/>
              <w:ind w:left="6" w:right="5"/>
              <w:jc w:val="center"/>
              <w:rPr>
                <w:sz w:val="22"/>
              </w:rPr>
            </w:pPr>
            <w:r>
              <w:rPr>
                <w:spacing w:val="-5"/>
                <w:sz w:val="22"/>
              </w:rPr>
              <w:t>NB</w:t>
            </w:r>
          </w:p>
        </w:tc>
        <w:tc>
          <w:tcPr>
            <w:tcW w:w="625" w:type="dxa"/>
          </w:tcPr>
          <w:p>
            <w:pPr>
              <w:pStyle w:val="TableParagraph"/>
              <w:spacing w:before="70"/>
              <w:ind w:left="82" w:right="71"/>
              <w:jc w:val="center"/>
              <w:rPr>
                <w:sz w:val="22"/>
              </w:rPr>
            </w:pPr>
            <w:r>
              <w:rPr>
                <w:spacing w:val="-4"/>
                <w:sz w:val="22"/>
              </w:rPr>
              <w:t>3.91</w:t>
            </w:r>
          </w:p>
        </w:tc>
        <w:tc>
          <w:tcPr>
            <w:tcW w:w="655" w:type="dxa"/>
          </w:tcPr>
          <w:p>
            <w:pPr>
              <w:pStyle w:val="TableParagraph"/>
              <w:spacing w:before="70"/>
              <w:ind w:left="10" w:right="2"/>
              <w:jc w:val="center"/>
              <w:rPr>
                <w:sz w:val="22"/>
              </w:rPr>
            </w:pPr>
            <w:r>
              <w:rPr>
                <w:spacing w:val="-4"/>
                <w:sz w:val="22"/>
              </w:rPr>
              <w:t>31.3</w:t>
            </w:r>
          </w:p>
        </w:tc>
        <w:tc>
          <w:tcPr>
            <w:tcW w:w="647" w:type="dxa"/>
          </w:tcPr>
          <w:p>
            <w:pPr>
              <w:pStyle w:val="TableParagraph"/>
              <w:spacing w:before="70"/>
              <w:ind w:left="59" w:right="51"/>
              <w:jc w:val="center"/>
              <w:rPr>
                <w:sz w:val="22"/>
              </w:rPr>
            </w:pPr>
            <w:r>
              <w:rPr>
                <w:spacing w:val="-5"/>
                <w:sz w:val="22"/>
              </w:rPr>
              <w:t>NI</w:t>
            </w:r>
          </w:p>
        </w:tc>
        <w:tc>
          <w:tcPr>
            <w:tcW w:w="648" w:type="dxa"/>
          </w:tcPr>
          <w:p>
            <w:pPr>
              <w:pStyle w:val="TableParagraph"/>
              <w:spacing w:before="70"/>
              <w:ind w:left="6" w:right="4"/>
              <w:jc w:val="center"/>
              <w:rPr>
                <w:sz w:val="22"/>
              </w:rPr>
            </w:pPr>
            <w:r>
              <w:rPr>
                <w:spacing w:val="-5"/>
                <w:sz w:val="22"/>
              </w:rPr>
              <w:t>NB</w:t>
            </w:r>
          </w:p>
        </w:tc>
      </w:tr>
      <w:tr>
        <w:trPr>
          <w:trHeight w:val="450" w:hRule="atLeast"/>
        </w:trPr>
        <w:tc>
          <w:tcPr>
            <w:tcW w:w="1032" w:type="dxa"/>
          </w:tcPr>
          <w:p>
            <w:pPr>
              <w:pStyle w:val="TableParagraph"/>
              <w:spacing w:before="70"/>
              <w:ind w:right="183"/>
              <w:jc w:val="center"/>
              <w:rPr>
                <w:sz w:val="22"/>
              </w:rPr>
            </w:pPr>
            <w:r>
              <w:rPr>
                <w:sz w:val="22"/>
              </w:rPr>
              <w:t>SP</w:t>
            </w:r>
            <w:r>
              <w:rPr>
                <w:spacing w:val="1"/>
                <w:sz w:val="22"/>
              </w:rPr>
              <w:t> </w:t>
            </w:r>
            <w:r>
              <w:rPr>
                <w:spacing w:val="-5"/>
                <w:sz w:val="22"/>
              </w:rPr>
              <w:t>270</w:t>
            </w:r>
          </w:p>
        </w:tc>
        <w:tc>
          <w:tcPr>
            <w:tcW w:w="759" w:type="dxa"/>
          </w:tcPr>
          <w:p>
            <w:pPr>
              <w:pStyle w:val="TableParagraph"/>
              <w:spacing w:before="70"/>
              <w:ind w:right="141"/>
              <w:jc w:val="right"/>
              <w:rPr>
                <w:sz w:val="22"/>
              </w:rPr>
            </w:pPr>
            <w:r>
              <w:rPr>
                <w:spacing w:val="-4"/>
                <w:sz w:val="22"/>
              </w:rPr>
              <w:t>1.56</w:t>
            </w:r>
          </w:p>
        </w:tc>
        <w:tc>
          <w:tcPr>
            <w:tcW w:w="751" w:type="dxa"/>
          </w:tcPr>
          <w:p>
            <w:pPr>
              <w:pStyle w:val="TableParagraph"/>
              <w:spacing w:before="70"/>
              <w:ind w:left="101" w:right="28"/>
              <w:jc w:val="center"/>
              <w:rPr>
                <w:sz w:val="22"/>
              </w:rPr>
            </w:pPr>
            <w:r>
              <w:rPr>
                <w:spacing w:val="-4"/>
                <w:sz w:val="22"/>
              </w:rPr>
              <w:t>12.5</w:t>
            </w:r>
          </w:p>
        </w:tc>
        <w:tc>
          <w:tcPr>
            <w:tcW w:w="734" w:type="dxa"/>
          </w:tcPr>
          <w:p>
            <w:pPr>
              <w:pStyle w:val="TableParagraph"/>
              <w:spacing w:before="70"/>
              <w:ind w:right="134"/>
              <w:jc w:val="right"/>
              <w:rPr>
                <w:sz w:val="22"/>
              </w:rPr>
            </w:pPr>
            <w:r>
              <w:rPr>
                <w:spacing w:val="-4"/>
                <w:sz w:val="22"/>
              </w:rPr>
              <w:t>15.6</w:t>
            </w:r>
          </w:p>
        </w:tc>
        <w:tc>
          <w:tcPr>
            <w:tcW w:w="735" w:type="dxa"/>
          </w:tcPr>
          <w:p>
            <w:pPr>
              <w:pStyle w:val="TableParagraph"/>
              <w:spacing w:before="70"/>
              <w:ind w:left="86" w:right="20"/>
              <w:jc w:val="center"/>
              <w:rPr>
                <w:sz w:val="22"/>
              </w:rPr>
            </w:pPr>
            <w:r>
              <w:rPr>
                <w:spacing w:val="-4"/>
                <w:sz w:val="22"/>
              </w:rPr>
              <w:t>62.5</w:t>
            </w:r>
          </w:p>
        </w:tc>
        <w:tc>
          <w:tcPr>
            <w:tcW w:w="691" w:type="dxa"/>
          </w:tcPr>
          <w:p>
            <w:pPr>
              <w:pStyle w:val="TableParagraph"/>
              <w:spacing w:before="70"/>
              <w:ind w:left="74" w:right="37"/>
              <w:jc w:val="center"/>
              <w:rPr>
                <w:sz w:val="22"/>
              </w:rPr>
            </w:pPr>
            <w:r>
              <w:rPr>
                <w:spacing w:val="-4"/>
                <w:sz w:val="22"/>
              </w:rPr>
              <w:t>3.91</w:t>
            </w:r>
          </w:p>
        </w:tc>
        <w:tc>
          <w:tcPr>
            <w:tcW w:w="649" w:type="dxa"/>
          </w:tcPr>
          <w:p>
            <w:pPr>
              <w:pStyle w:val="TableParagraph"/>
              <w:spacing w:before="70"/>
              <w:ind w:left="6" w:right="2"/>
              <w:jc w:val="center"/>
              <w:rPr>
                <w:sz w:val="22"/>
              </w:rPr>
            </w:pPr>
            <w:r>
              <w:rPr>
                <w:spacing w:val="-4"/>
                <w:sz w:val="22"/>
              </w:rPr>
              <w:t>15.6</w:t>
            </w:r>
          </w:p>
        </w:tc>
        <w:tc>
          <w:tcPr>
            <w:tcW w:w="625" w:type="dxa"/>
          </w:tcPr>
          <w:p>
            <w:pPr>
              <w:pStyle w:val="TableParagraph"/>
              <w:spacing w:before="70"/>
              <w:ind w:left="82" w:right="71"/>
              <w:jc w:val="center"/>
              <w:rPr>
                <w:sz w:val="22"/>
              </w:rPr>
            </w:pPr>
            <w:r>
              <w:rPr>
                <w:spacing w:val="-4"/>
                <w:sz w:val="22"/>
              </w:rPr>
              <w:t>0.98</w:t>
            </w:r>
          </w:p>
        </w:tc>
        <w:tc>
          <w:tcPr>
            <w:tcW w:w="655" w:type="dxa"/>
          </w:tcPr>
          <w:p>
            <w:pPr>
              <w:pStyle w:val="TableParagraph"/>
              <w:spacing w:before="70"/>
              <w:ind w:left="10" w:right="3"/>
              <w:jc w:val="center"/>
              <w:rPr>
                <w:sz w:val="22"/>
              </w:rPr>
            </w:pPr>
            <w:r>
              <w:rPr>
                <w:spacing w:val="-4"/>
                <w:sz w:val="22"/>
              </w:rPr>
              <w:t>3.91</w:t>
            </w:r>
          </w:p>
        </w:tc>
        <w:tc>
          <w:tcPr>
            <w:tcW w:w="647" w:type="dxa"/>
          </w:tcPr>
          <w:p>
            <w:pPr>
              <w:pStyle w:val="TableParagraph"/>
              <w:spacing w:before="70"/>
              <w:ind w:left="59" w:right="51"/>
              <w:jc w:val="center"/>
              <w:rPr>
                <w:sz w:val="22"/>
              </w:rPr>
            </w:pPr>
            <w:r>
              <w:rPr>
                <w:spacing w:val="-5"/>
                <w:sz w:val="22"/>
              </w:rPr>
              <w:t>NI</w:t>
            </w:r>
          </w:p>
        </w:tc>
        <w:tc>
          <w:tcPr>
            <w:tcW w:w="648" w:type="dxa"/>
          </w:tcPr>
          <w:p>
            <w:pPr>
              <w:pStyle w:val="TableParagraph"/>
              <w:spacing w:before="70"/>
              <w:ind w:left="6" w:right="4"/>
              <w:jc w:val="center"/>
              <w:rPr>
                <w:sz w:val="22"/>
              </w:rPr>
            </w:pPr>
            <w:r>
              <w:rPr>
                <w:spacing w:val="-5"/>
                <w:sz w:val="22"/>
              </w:rPr>
              <w:t>NB</w:t>
            </w:r>
          </w:p>
        </w:tc>
      </w:tr>
      <w:tr>
        <w:trPr>
          <w:trHeight w:val="450" w:hRule="atLeast"/>
        </w:trPr>
        <w:tc>
          <w:tcPr>
            <w:tcW w:w="1032" w:type="dxa"/>
          </w:tcPr>
          <w:p>
            <w:pPr>
              <w:pStyle w:val="TableParagraph"/>
              <w:spacing w:before="71"/>
              <w:ind w:right="183"/>
              <w:jc w:val="center"/>
              <w:rPr>
                <w:sz w:val="22"/>
              </w:rPr>
            </w:pPr>
            <w:r>
              <w:rPr>
                <w:sz w:val="22"/>
              </w:rPr>
              <w:t>SP</w:t>
            </w:r>
            <w:r>
              <w:rPr>
                <w:spacing w:val="1"/>
                <w:sz w:val="22"/>
              </w:rPr>
              <w:t> </w:t>
            </w:r>
            <w:r>
              <w:rPr>
                <w:spacing w:val="-5"/>
                <w:sz w:val="22"/>
              </w:rPr>
              <w:t>340</w:t>
            </w:r>
          </w:p>
        </w:tc>
        <w:tc>
          <w:tcPr>
            <w:tcW w:w="759" w:type="dxa"/>
          </w:tcPr>
          <w:p>
            <w:pPr>
              <w:pStyle w:val="TableParagraph"/>
              <w:spacing w:before="71"/>
              <w:ind w:right="141"/>
              <w:jc w:val="right"/>
              <w:rPr>
                <w:sz w:val="22"/>
              </w:rPr>
            </w:pPr>
            <w:r>
              <w:rPr>
                <w:spacing w:val="-4"/>
                <w:sz w:val="22"/>
              </w:rPr>
              <w:t>1.56</w:t>
            </w:r>
          </w:p>
        </w:tc>
        <w:tc>
          <w:tcPr>
            <w:tcW w:w="751" w:type="dxa"/>
          </w:tcPr>
          <w:p>
            <w:pPr>
              <w:pStyle w:val="TableParagraph"/>
              <w:spacing w:before="71"/>
              <w:ind w:left="101" w:right="28"/>
              <w:jc w:val="center"/>
              <w:rPr>
                <w:sz w:val="22"/>
              </w:rPr>
            </w:pPr>
            <w:r>
              <w:rPr>
                <w:spacing w:val="-4"/>
                <w:sz w:val="22"/>
              </w:rPr>
              <w:t>25.0</w:t>
            </w:r>
          </w:p>
        </w:tc>
        <w:tc>
          <w:tcPr>
            <w:tcW w:w="734" w:type="dxa"/>
          </w:tcPr>
          <w:p>
            <w:pPr>
              <w:pStyle w:val="TableParagraph"/>
              <w:spacing w:before="71"/>
              <w:ind w:right="134"/>
              <w:jc w:val="right"/>
              <w:rPr>
                <w:sz w:val="22"/>
              </w:rPr>
            </w:pPr>
            <w:r>
              <w:rPr>
                <w:spacing w:val="-4"/>
                <w:sz w:val="22"/>
              </w:rPr>
              <w:t>15.6</w:t>
            </w:r>
          </w:p>
        </w:tc>
        <w:tc>
          <w:tcPr>
            <w:tcW w:w="735" w:type="dxa"/>
          </w:tcPr>
          <w:p>
            <w:pPr>
              <w:pStyle w:val="TableParagraph"/>
              <w:spacing w:before="71"/>
              <w:ind w:left="86" w:right="20"/>
              <w:jc w:val="center"/>
              <w:rPr>
                <w:sz w:val="22"/>
              </w:rPr>
            </w:pPr>
            <w:r>
              <w:rPr>
                <w:spacing w:val="-4"/>
                <w:sz w:val="22"/>
              </w:rPr>
              <w:t>31.3</w:t>
            </w:r>
          </w:p>
        </w:tc>
        <w:tc>
          <w:tcPr>
            <w:tcW w:w="691" w:type="dxa"/>
          </w:tcPr>
          <w:p>
            <w:pPr>
              <w:pStyle w:val="TableParagraph"/>
              <w:spacing w:before="71"/>
              <w:ind w:left="74" w:right="37"/>
              <w:jc w:val="center"/>
              <w:rPr>
                <w:sz w:val="22"/>
              </w:rPr>
            </w:pPr>
            <w:r>
              <w:rPr>
                <w:spacing w:val="-4"/>
                <w:sz w:val="22"/>
              </w:rPr>
              <w:t>3.91</w:t>
            </w:r>
          </w:p>
        </w:tc>
        <w:tc>
          <w:tcPr>
            <w:tcW w:w="649" w:type="dxa"/>
          </w:tcPr>
          <w:p>
            <w:pPr>
              <w:pStyle w:val="TableParagraph"/>
              <w:spacing w:before="71"/>
              <w:ind w:left="6" w:right="2"/>
              <w:jc w:val="center"/>
              <w:rPr>
                <w:sz w:val="22"/>
              </w:rPr>
            </w:pPr>
            <w:r>
              <w:rPr>
                <w:spacing w:val="-4"/>
                <w:sz w:val="22"/>
              </w:rPr>
              <w:t>62.5</w:t>
            </w:r>
          </w:p>
        </w:tc>
        <w:tc>
          <w:tcPr>
            <w:tcW w:w="625" w:type="dxa"/>
          </w:tcPr>
          <w:p>
            <w:pPr>
              <w:pStyle w:val="TableParagraph"/>
              <w:spacing w:before="71"/>
              <w:ind w:left="82" w:right="71"/>
              <w:jc w:val="center"/>
              <w:rPr>
                <w:sz w:val="22"/>
              </w:rPr>
            </w:pPr>
            <w:r>
              <w:rPr>
                <w:spacing w:val="-4"/>
                <w:sz w:val="22"/>
              </w:rPr>
              <w:t>7.81</w:t>
            </w:r>
          </w:p>
        </w:tc>
        <w:tc>
          <w:tcPr>
            <w:tcW w:w="655" w:type="dxa"/>
          </w:tcPr>
          <w:p>
            <w:pPr>
              <w:pStyle w:val="TableParagraph"/>
              <w:spacing w:before="71"/>
              <w:ind w:left="10" w:right="2"/>
              <w:jc w:val="center"/>
              <w:rPr>
                <w:sz w:val="22"/>
              </w:rPr>
            </w:pPr>
            <w:r>
              <w:rPr>
                <w:spacing w:val="-4"/>
                <w:sz w:val="22"/>
              </w:rPr>
              <w:t>62.5</w:t>
            </w:r>
          </w:p>
        </w:tc>
        <w:tc>
          <w:tcPr>
            <w:tcW w:w="647" w:type="dxa"/>
          </w:tcPr>
          <w:p>
            <w:pPr>
              <w:pStyle w:val="TableParagraph"/>
              <w:spacing w:before="71"/>
              <w:ind w:left="59" w:right="51"/>
              <w:jc w:val="center"/>
              <w:rPr>
                <w:sz w:val="22"/>
              </w:rPr>
            </w:pPr>
            <w:r>
              <w:rPr>
                <w:spacing w:val="-5"/>
                <w:sz w:val="22"/>
              </w:rPr>
              <w:t>NI</w:t>
            </w:r>
          </w:p>
        </w:tc>
        <w:tc>
          <w:tcPr>
            <w:tcW w:w="648" w:type="dxa"/>
          </w:tcPr>
          <w:p>
            <w:pPr>
              <w:pStyle w:val="TableParagraph"/>
              <w:spacing w:before="71"/>
              <w:ind w:left="6" w:right="4"/>
              <w:jc w:val="center"/>
              <w:rPr>
                <w:sz w:val="22"/>
              </w:rPr>
            </w:pPr>
            <w:r>
              <w:rPr>
                <w:spacing w:val="-5"/>
                <w:sz w:val="22"/>
              </w:rPr>
              <w:t>NB</w:t>
            </w:r>
          </w:p>
        </w:tc>
      </w:tr>
      <w:tr>
        <w:trPr>
          <w:trHeight w:val="450" w:hRule="atLeast"/>
        </w:trPr>
        <w:tc>
          <w:tcPr>
            <w:tcW w:w="1032" w:type="dxa"/>
          </w:tcPr>
          <w:p>
            <w:pPr>
              <w:pStyle w:val="TableParagraph"/>
              <w:spacing w:before="70"/>
              <w:ind w:right="183"/>
              <w:jc w:val="center"/>
              <w:rPr>
                <w:sz w:val="22"/>
              </w:rPr>
            </w:pPr>
            <w:r>
              <w:rPr>
                <w:sz w:val="22"/>
              </w:rPr>
              <w:t>SP</w:t>
            </w:r>
            <w:r>
              <w:rPr>
                <w:spacing w:val="1"/>
                <w:sz w:val="22"/>
              </w:rPr>
              <w:t> </w:t>
            </w:r>
            <w:r>
              <w:rPr>
                <w:spacing w:val="-5"/>
                <w:sz w:val="22"/>
              </w:rPr>
              <w:t>867</w:t>
            </w:r>
          </w:p>
        </w:tc>
        <w:tc>
          <w:tcPr>
            <w:tcW w:w="759" w:type="dxa"/>
          </w:tcPr>
          <w:p>
            <w:pPr>
              <w:pStyle w:val="TableParagraph"/>
              <w:spacing w:before="70"/>
              <w:ind w:right="141"/>
              <w:jc w:val="right"/>
              <w:rPr>
                <w:sz w:val="22"/>
              </w:rPr>
            </w:pPr>
            <w:r>
              <w:rPr>
                <w:spacing w:val="-4"/>
                <w:sz w:val="22"/>
              </w:rPr>
              <w:t>1.56</w:t>
            </w:r>
          </w:p>
        </w:tc>
        <w:tc>
          <w:tcPr>
            <w:tcW w:w="751" w:type="dxa"/>
          </w:tcPr>
          <w:p>
            <w:pPr>
              <w:pStyle w:val="TableParagraph"/>
              <w:spacing w:before="70"/>
              <w:ind w:left="101" w:right="28"/>
              <w:jc w:val="center"/>
              <w:rPr>
                <w:sz w:val="22"/>
              </w:rPr>
            </w:pPr>
            <w:r>
              <w:rPr>
                <w:spacing w:val="-4"/>
                <w:sz w:val="22"/>
              </w:rPr>
              <w:t>6.25</w:t>
            </w:r>
          </w:p>
        </w:tc>
        <w:tc>
          <w:tcPr>
            <w:tcW w:w="734" w:type="dxa"/>
          </w:tcPr>
          <w:p>
            <w:pPr>
              <w:pStyle w:val="TableParagraph"/>
              <w:spacing w:before="70"/>
              <w:ind w:right="134"/>
              <w:jc w:val="right"/>
              <w:rPr>
                <w:sz w:val="22"/>
              </w:rPr>
            </w:pPr>
            <w:r>
              <w:rPr>
                <w:spacing w:val="-4"/>
                <w:sz w:val="22"/>
              </w:rPr>
              <w:t>15.6</w:t>
            </w:r>
          </w:p>
        </w:tc>
        <w:tc>
          <w:tcPr>
            <w:tcW w:w="735" w:type="dxa"/>
          </w:tcPr>
          <w:p>
            <w:pPr>
              <w:pStyle w:val="TableParagraph"/>
              <w:spacing w:before="70"/>
              <w:ind w:left="86" w:right="20"/>
              <w:jc w:val="center"/>
              <w:rPr>
                <w:sz w:val="22"/>
              </w:rPr>
            </w:pPr>
            <w:r>
              <w:rPr>
                <w:spacing w:val="-4"/>
                <w:sz w:val="22"/>
              </w:rPr>
              <w:t>62.5</w:t>
            </w:r>
          </w:p>
        </w:tc>
        <w:tc>
          <w:tcPr>
            <w:tcW w:w="691" w:type="dxa"/>
          </w:tcPr>
          <w:p>
            <w:pPr>
              <w:pStyle w:val="TableParagraph"/>
              <w:spacing w:before="70"/>
              <w:ind w:left="70" w:right="37"/>
              <w:jc w:val="center"/>
              <w:rPr>
                <w:sz w:val="22"/>
              </w:rPr>
            </w:pPr>
            <w:r>
              <w:rPr>
                <w:spacing w:val="-5"/>
                <w:sz w:val="22"/>
              </w:rPr>
              <w:t>NI</w:t>
            </w:r>
          </w:p>
        </w:tc>
        <w:tc>
          <w:tcPr>
            <w:tcW w:w="649" w:type="dxa"/>
          </w:tcPr>
          <w:p>
            <w:pPr>
              <w:pStyle w:val="TableParagraph"/>
              <w:spacing w:before="70"/>
              <w:ind w:left="6" w:right="5"/>
              <w:jc w:val="center"/>
              <w:rPr>
                <w:sz w:val="22"/>
              </w:rPr>
            </w:pPr>
            <w:r>
              <w:rPr>
                <w:spacing w:val="-5"/>
                <w:sz w:val="22"/>
              </w:rPr>
              <w:t>NB</w:t>
            </w:r>
          </w:p>
        </w:tc>
        <w:tc>
          <w:tcPr>
            <w:tcW w:w="625" w:type="dxa"/>
          </w:tcPr>
          <w:p>
            <w:pPr>
              <w:pStyle w:val="TableParagraph"/>
              <w:spacing w:before="70"/>
              <w:ind w:left="82" w:right="71"/>
              <w:jc w:val="center"/>
              <w:rPr>
                <w:sz w:val="22"/>
              </w:rPr>
            </w:pPr>
            <w:r>
              <w:rPr>
                <w:spacing w:val="-4"/>
                <w:sz w:val="22"/>
              </w:rPr>
              <w:t>0.98</w:t>
            </w:r>
          </w:p>
        </w:tc>
        <w:tc>
          <w:tcPr>
            <w:tcW w:w="655" w:type="dxa"/>
          </w:tcPr>
          <w:p>
            <w:pPr>
              <w:pStyle w:val="TableParagraph"/>
              <w:spacing w:before="70"/>
              <w:ind w:left="10" w:right="2"/>
              <w:jc w:val="center"/>
              <w:rPr>
                <w:sz w:val="22"/>
              </w:rPr>
            </w:pPr>
            <w:r>
              <w:rPr>
                <w:spacing w:val="-4"/>
                <w:sz w:val="22"/>
              </w:rPr>
              <w:t>15.6</w:t>
            </w:r>
          </w:p>
        </w:tc>
        <w:tc>
          <w:tcPr>
            <w:tcW w:w="647" w:type="dxa"/>
          </w:tcPr>
          <w:p>
            <w:pPr>
              <w:pStyle w:val="TableParagraph"/>
              <w:spacing w:before="70"/>
              <w:ind w:left="59" w:right="51"/>
              <w:jc w:val="center"/>
              <w:rPr>
                <w:sz w:val="22"/>
              </w:rPr>
            </w:pPr>
            <w:r>
              <w:rPr>
                <w:spacing w:val="-5"/>
                <w:sz w:val="22"/>
              </w:rPr>
              <w:t>NI</w:t>
            </w:r>
          </w:p>
        </w:tc>
        <w:tc>
          <w:tcPr>
            <w:tcW w:w="648" w:type="dxa"/>
          </w:tcPr>
          <w:p>
            <w:pPr>
              <w:pStyle w:val="TableParagraph"/>
              <w:spacing w:before="70"/>
              <w:ind w:left="6" w:right="4"/>
              <w:jc w:val="center"/>
              <w:rPr>
                <w:sz w:val="22"/>
              </w:rPr>
            </w:pPr>
            <w:r>
              <w:rPr>
                <w:spacing w:val="-5"/>
                <w:sz w:val="22"/>
              </w:rPr>
              <w:t>NB</w:t>
            </w:r>
          </w:p>
        </w:tc>
      </w:tr>
      <w:tr>
        <w:trPr>
          <w:trHeight w:val="450" w:hRule="atLeast"/>
        </w:trPr>
        <w:tc>
          <w:tcPr>
            <w:tcW w:w="1032" w:type="dxa"/>
          </w:tcPr>
          <w:p>
            <w:pPr>
              <w:pStyle w:val="TableParagraph"/>
              <w:spacing w:before="71"/>
              <w:ind w:right="183"/>
              <w:jc w:val="center"/>
              <w:rPr>
                <w:sz w:val="22"/>
              </w:rPr>
            </w:pPr>
            <w:r>
              <w:rPr>
                <w:sz w:val="22"/>
              </w:rPr>
              <w:t>SP</w:t>
            </w:r>
            <w:r>
              <w:rPr>
                <w:spacing w:val="1"/>
                <w:sz w:val="22"/>
              </w:rPr>
              <w:t> </w:t>
            </w:r>
            <w:r>
              <w:rPr>
                <w:spacing w:val="-5"/>
                <w:sz w:val="22"/>
              </w:rPr>
              <w:t>870</w:t>
            </w:r>
          </w:p>
        </w:tc>
        <w:tc>
          <w:tcPr>
            <w:tcW w:w="759" w:type="dxa"/>
          </w:tcPr>
          <w:p>
            <w:pPr>
              <w:pStyle w:val="TableParagraph"/>
              <w:spacing w:before="71"/>
              <w:ind w:right="170"/>
              <w:jc w:val="right"/>
              <w:rPr>
                <w:sz w:val="22"/>
              </w:rPr>
            </w:pPr>
            <w:r>
              <w:rPr>
                <w:spacing w:val="-5"/>
                <w:sz w:val="22"/>
              </w:rPr>
              <w:t>100</w:t>
            </w:r>
          </w:p>
        </w:tc>
        <w:tc>
          <w:tcPr>
            <w:tcW w:w="751" w:type="dxa"/>
          </w:tcPr>
          <w:p>
            <w:pPr>
              <w:pStyle w:val="TableParagraph"/>
              <w:spacing w:before="71"/>
              <w:ind w:left="99" w:right="28"/>
              <w:jc w:val="center"/>
              <w:rPr>
                <w:sz w:val="22"/>
              </w:rPr>
            </w:pPr>
            <w:r>
              <w:rPr>
                <w:spacing w:val="-5"/>
                <w:sz w:val="22"/>
              </w:rPr>
              <w:t>NB</w:t>
            </w:r>
          </w:p>
        </w:tc>
        <w:tc>
          <w:tcPr>
            <w:tcW w:w="734" w:type="dxa"/>
          </w:tcPr>
          <w:p>
            <w:pPr>
              <w:pStyle w:val="TableParagraph"/>
              <w:spacing w:before="71"/>
              <w:ind w:right="135"/>
              <w:jc w:val="right"/>
              <w:rPr>
                <w:sz w:val="22"/>
              </w:rPr>
            </w:pPr>
            <w:r>
              <w:rPr>
                <w:spacing w:val="-4"/>
                <w:sz w:val="22"/>
              </w:rPr>
              <w:t>1.95</w:t>
            </w:r>
          </w:p>
        </w:tc>
        <w:tc>
          <w:tcPr>
            <w:tcW w:w="735" w:type="dxa"/>
          </w:tcPr>
          <w:p>
            <w:pPr>
              <w:pStyle w:val="TableParagraph"/>
              <w:spacing w:before="71"/>
              <w:ind w:left="86" w:right="20"/>
              <w:jc w:val="center"/>
              <w:rPr>
                <w:sz w:val="22"/>
              </w:rPr>
            </w:pPr>
            <w:r>
              <w:rPr>
                <w:spacing w:val="-4"/>
                <w:sz w:val="22"/>
              </w:rPr>
              <w:t>3.91</w:t>
            </w:r>
          </w:p>
        </w:tc>
        <w:tc>
          <w:tcPr>
            <w:tcW w:w="691" w:type="dxa"/>
          </w:tcPr>
          <w:p>
            <w:pPr>
              <w:pStyle w:val="TableParagraph"/>
              <w:spacing w:before="71"/>
              <w:ind w:left="75" w:right="37"/>
              <w:jc w:val="center"/>
              <w:rPr>
                <w:sz w:val="22"/>
              </w:rPr>
            </w:pPr>
            <w:r>
              <w:rPr>
                <w:spacing w:val="-4"/>
                <w:sz w:val="22"/>
              </w:rPr>
              <w:t>15.6</w:t>
            </w:r>
          </w:p>
        </w:tc>
        <w:tc>
          <w:tcPr>
            <w:tcW w:w="649" w:type="dxa"/>
          </w:tcPr>
          <w:p>
            <w:pPr>
              <w:pStyle w:val="TableParagraph"/>
              <w:spacing w:before="71"/>
              <w:ind w:left="6" w:right="3"/>
              <w:jc w:val="center"/>
              <w:rPr>
                <w:sz w:val="22"/>
              </w:rPr>
            </w:pPr>
            <w:r>
              <w:rPr>
                <w:spacing w:val="-5"/>
                <w:sz w:val="22"/>
              </w:rPr>
              <w:t>125</w:t>
            </w:r>
          </w:p>
        </w:tc>
        <w:tc>
          <w:tcPr>
            <w:tcW w:w="625" w:type="dxa"/>
          </w:tcPr>
          <w:p>
            <w:pPr>
              <w:pStyle w:val="TableParagraph"/>
              <w:spacing w:before="71"/>
              <w:ind w:left="82" w:right="71"/>
              <w:jc w:val="center"/>
              <w:rPr>
                <w:sz w:val="22"/>
              </w:rPr>
            </w:pPr>
            <w:r>
              <w:rPr>
                <w:spacing w:val="-4"/>
                <w:sz w:val="22"/>
              </w:rPr>
              <w:t>0.98</w:t>
            </w:r>
          </w:p>
        </w:tc>
        <w:tc>
          <w:tcPr>
            <w:tcW w:w="655" w:type="dxa"/>
          </w:tcPr>
          <w:p>
            <w:pPr>
              <w:pStyle w:val="TableParagraph"/>
              <w:spacing w:before="71"/>
              <w:ind w:left="10" w:right="2"/>
              <w:jc w:val="center"/>
              <w:rPr>
                <w:sz w:val="22"/>
              </w:rPr>
            </w:pPr>
            <w:r>
              <w:rPr>
                <w:spacing w:val="-4"/>
                <w:sz w:val="22"/>
              </w:rPr>
              <w:t>31.3</w:t>
            </w:r>
          </w:p>
        </w:tc>
        <w:tc>
          <w:tcPr>
            <w:tcW w:w="647" w:type="dxa"/>
          </w:tcPr>
          <w:p>
            <w:pPr>
              <w:pStyle w:val="TableParagraph"/>
              <w:spacing w:before="71"/>
              <w:ind w:left="59" w:right="51"/>
              <w:jc w:val="center"/>
              <w:rPr>
                <w:sz w:val="22"/>
              </w:rPr>
            </w:pPr>
            <w:r>
              <w:rPr>
                <w:spacing w:val="-5"/>
                <w:sz w:val="22"/>
              </w:rPr>
              <w:t>NI</w:t>
            </w:r>
          </w:p>
        </w:tc>
        <w:tc>
          <w:tcPr>
            <w:tcW w:w="648" w:type="dxa"/>
          </w:tcPr>
          <w:p>
            <w:pPr>
              <w:pStyle w:val="TableParagraph"/>
              <w:spacing w:before="71"/>
              <w:ind w:left="6" w:right="4"/>
              <w:jc w:val="center"/>
              <w:rPr>
                <w:sz w:val="22"/>
              </w:rPr>
            </w:pPr>
            <w:r>
              <w:rPr>
                <w:spacing w:val="-5"/>
                <w:sz w:val="22"/>
              </w:rPr>
              <w:t>NB</w:t>
            </w:r>
          </w:p>
        </w:tc>
      </w:tr>
      <w:tr>
        <w:trPr>
          <w:trHeight w:val="450" w:hRule="atLeast"/>
        </w:trPr>
        <w:tc>
          <w:tcPr>
            <w:tcW w:w="1032" w:type="dxa"/>
          </w:tcPr>
          <w:p>
            <w:pPr>
              <w:pStyle w:val="TableParagraph"/>
              <w:spacing w:before="70"/>
              <w:ind w:right="183"/>
              <w:jc w:val="center"/>
              <w:rPr>
                <w:sz w:val="22"/>
              </w:rPr>
            </w:pPr>
            <w:r>
              <w:rPr>
                <w:sz w:val="22"/>
              </w:rPr>
              <w:t>SP</w:t>
            </w:r>
            <w:r>
              <w:rPr>
                <w:spacing w:val="1"/>
                <w:sz w:val="22"/>
              </w:rPr>
              <w:t> </w:t>
            </w:r>
            <w:r>
              <w:rPr>
                <w:spacing w:val="-5"/>
                <w:sz w:val="22"/>
              </w:rPr>
              <w:t>871</w:t>
            </w:r>
          </w:p>
        </w:tc>
        <w:tc>
          <w:tcPr>
            <w:tcW w:w="759" w:type="dxa"/>
          </w:tcPr>
          <w:p>
            <w:pPr>
              <w:pStyle w:val="TableParagraph"/>
              <w:spacing w:before="70"/>
              <w:ind w:right="170"/>
              <w:jc w:val="right"/>
              <w:rPr>
                <w:sz w:val="22"/>
              </w:rPr>
            </w:pPr>
            <w:r>
              <w:rPr>
                <w:spacing w:val="-5"/>
                <w:sz w:val="22"/>
              </w:rPr>
              <w:t>100</w:t>
            </w:r>
          </w:p>
        </w:tc>
        <w:tc>
          <w:tcPr>
            <w:tcW w:w="751" w:type="dxa"/>
          </w:tcPr>
          <w:p>
            <w:pPr>
              <w:pStyle w:val="TableParagraph"/>
              <w:spacing w:before="70"/>
              <w:ind w:left="99" w:right="28"/>
              <w:jc w:val="center"/>
              <w:rPr>
                <w:sz w:val="22"/>
              </w:rPr>
            </w:pPr>
            <w:r>
              <w:rPr>
                <w:spacing w:val="-5"/>
                <w:sz w:val="22"/>
              </w:rPr>
              <w:t>NB</w:t>
            </w:r>
          </w:p>
        </w:tc>
        <w:tc>
          <w:tcPr>
            <w:tcW w:w="734" w:type="dxa"/>
          </w:tcPr>
          <w:p>
            <w:pPr>
              <w:pStyle w:val="TableParagraph"/>
              <w:spacing w:before="70"/>
              <w:ind w:right="134"/>
              <w:jc w:val="right"/>
              <w:rPr>
                <w:sz w:val="22"/>
              </w:rPr>
            </w:pPr>
            <w:r>
              <w:rPr>
                <w:spacing w:val="-4"/>
                <w:sz w:val="22"/>
              </w:rPr>
              <w:t>15.6</w:t>
            </w:r>
          </w:p>
        </w:tc>
        <w:tc>
          <w:tcPr>
            <w:tcW w:w="735" w:type="dxa"/>
          </w:tcPr>
          <w:p>
            <w:pPr>
              <w:pStyle w:val="TableParagraph"/>
              <w:spacing w:before="70"/>
              <w:ind w:left="86" w:right="20"/>
              <w:jc w:val="center"/>
              <w:rPr>
                <w:sz w:val="22"/>
              </w:rPr>
            </w:pPr>
            <w:r>
              <w:rPr>
                <w:spacing w:val="-4"/>
                <w:sz w:val="22"/>
              </w:rPr>
              <w:t>62.5</w:t>
            </w:r>
          </w:p>
        </w:tc>
        <w:tc>
          <w:tcPr>
            <w:tcW w:w="691" w:type="dxa"/>
          </w:tcPr>
          <w:p>
            <w:pPr>
              <w:pStyle w:val="TableParagraph"/>
              <w:spacing w:before="70"/>
              <w:ind w:left="70" w:right="37"/>
              <w:jc w:val="center"/>
              <w:rPr>
                <w:sz w:val="22"/>
              </w:rPr>
            </w:pPr>
            <w:r>
              <w:rPr>
                <w:spacing w:val="-5"/>
                <w:sz w:val="22"/>
              </w:rPr>
              <w:t>NI</w:t>
            </w:r>
          </w:p>
        </w:tc>
        <w:tc>
          <w:tcPr>
            <w:tcW w:w="649" w:type="dxa"/>
          </w:tcPr>
          <w:p>
            <w:pPr>
              <w:pStyle w:val="TableParagraph"/>
              <w:spacing w:before="70"/>
              <w:ind w:left="6" w:right="5"/>
              <w:jc w:val="center"/>
              <w:rPr>
                <w:sz w:val="22"/>
              </w:rPr>
            </w:pPr>
            <w:r>
              <w:rPr>
                <w:spacing w:val="-5"/>
                <w:sz w:val="22"/>
              </w:rPr>
              <w:t>NB</w:t>
            </w:r>
          </w:p>
        </w:tc>
        <w:tc>
          <w:tcPr>
            <w:tcW w:w="625" w:type="dxa"/>
          </w:tcPr>
          <w:p>
            <w:pPr>
              <w:pStyle w:val="TableParagraph"/>
              <w:spacing w:before="70"/>
              <w:ind w:left="82" w:right="71"/>
              <w:jc w:val="center"/>
              <w:rPr>
                <w:sz w:val="22"/>
              </w:rPr>
            </w:pPr>
            <w:r>
              <w:rPr>
                <w:spacing w:val="-4"/>
                <w:sz w:val="22"/>
              </w:rPr>
              <w:t>7.81</w:t>
            </w:r>
          </w:p>
        </w:tc>
        <w:tc>
          <w:tcPr>
            <w:tcW w:w="655" w:type="dxa"/>
          </w:tcPr>
          <w:p>
            <w:pPr>
              <w:pStyle w:val="TableParagraph"/>
              <w:spacing w:before="70"/>
              <w:ind w:left="10" w:right="2"/>
              <w:jc w:val="center"/>
              <w:rPr>
                <w:sz w:val="22"/>
              </w:rPr>
            </w:pPr>
            <w:r>
              <w:rPr>
                <w:spacing w:val="-4"/>
                <w:sz w:val="22"/>
              </w:rPr>
              <w:t>31.3</w:t>
            </w:r>
          </w:p>
        </w:tc>
        <w:tc>
          <w:tcPr>
            <w:tcW w:w="647" w:type="dxa"/>
          </w:tcPr>
          <w:p>
            <w:pPr>
              <w:pStyle w:val="TableParagraph"/>
              <w:spacing w:before="70"/>
              <w:ind w:left="59" w:right="51"/>
              <w:jc w:val="center"/>
              <w:rPr>
                <w:sz w:val="22"/>
              </w:rPr>
            </w:pPr>
            <w:r>
              <w:rPr>
                <w:spacing w:val="-5"/>
                <w:sz w:val="22"/>
              </w:rPr>
              <w:t>NI</w:t>
            </w:r>
          </w:p>
        </w:tc>
        <w:tc>
          <w:tcPr>
            <w:tcW w:w="648" w:type="dxa"/>
          </w:tcPr>
          <w:p>
            <w:pPr>
              <w:pStyle w:val="TableParagraph"/>
              <w:spacing w:before="70"/>
              <w:ind w:left="6" w:right="4"/>
              <w:jc w:val="center"/>
              <w:rPr>
                <w:sz w:val="22"/>
              </w:rPr>
            </w:pPr>
            <w:r>
              <w:rPr>
                <w:spacing w:val="-5"/>
                <w:sz w:val="22"/>
              </w:rPr>
              <w:t>NB</w:t>
            </w:r>
          </w:p>
        </w:tc>
      </w:tr>
      <w:tr>
        <w:trPr>
          <w:trHeight w:val="450" w:hRule="atLeast"/>
        </w:trPr>
        <w:tc>
          <w:tcPr>
            <w:tcW w:w="1032" w:type="dxa"/>
          </w:tcPr>
          <w:p>
            <w:pPr>
              <w:pStyle w:val="TableParagraph"/>
              <w:spacing w:before="71"/>
              <w:ind w:right="183"/>
              <w:jc w:val="center"/>
              <w:rPr>
                <w:sz w:val="22"/>
              </w:rPr>
            </w:pPr>
            <w:r>
              <w:rPr>
                <w:sz w:val="22"/>
              </w:rPr>
              <w:t>SP</w:t>
            </w:r>
            <w:r>
              <w:rPr>
                <w:spacing w:val="1"/>
                <w:sz w:val="22"/>
              </w:rPr>
              <w:t> </w:t>
            </w:r>
            <w:r>
              <w:rPr>
                <w:spacing w:val="-5"/>
                <w:sz w:val="22"/>
              </w:rPr>
              <w:t>892</w:t>
            </w:r>
          </w:p>
        </w:tc>
        <w:tc>
          <w:tcPr>
            <w:tcW w:w="759" w:type="dxa"/>
          </w:tcPr>
          <w:p>
            <w:pPr>
              <w:pStyle w:val="TableParagraph"/>
              <w:spacing w:before="71"/>
              <w:ind w:right="170"/>
              <w:jc w:val="right"/>
              <w:rPr>
                <w:sz w:val="22"/>
              </w:rPr>
            </w:pPr>
            <w:r>
              <w:rPr>
                <w:spacing w:val="-5"/>
                <w:sz w:val="22"/>
              </w:rPr>
              <w:t>100</w:t>
            </w:r>
          </w:p>
        </w:tc>
        <w:tc>
          <w:tcPr>
            <w:tcW w:w="751" w:type="dxa"/>
          </w:tcPr>
          <w:p>
            <w:pPr>
              <w:pStyle w:val="TableParagraph"/>
              <w:spacing w:before="71"/>
              <w:ind w:left="99" w:right="28"/>
              <w:jc w:val="center"/>
              <w:rPr>
                <w:sz w:val="22"/>
              </w:rPr>
            </w:pPr>
            <w:r>
              <w:rPr>
                <w:spacing w:val="-5"/>
                <w:sz w:val="22"/>
              </w:rPr>
              <w:t>NB</w:t>
            </w:r>
          </w:p>
        </w:tc>
        <w:tc>
          <w:tcPr>
            <w:tcW w:w="734" w:type="dxa"/>
          </w:tcPr>
          <w:p>
            <w:pPr>
              <w:pStyle w:val="TableParagraph"/>
              <w:spacing w:before="71"/>
              <w:ind w:right="134"/>
              <w:jc w:val="right"/>
              <w:rPr>
                <w:sz w:val="22"/>
              </w:rPr>
            </w:pPr>
            <w:r>
              <w:rPr>
                <w:spacing w:val="-4"/>
                <w:sz w:val="22"/>
              </w:rPr>
              <w:t>15.6</w:t>
            </w:r>
          </w:p>
        </w:tc>
        <w:tc>
          <w:tcPr>
            <w:tcW w:w="735" w:type="dxa"/>
          </w:tcPr>
          <w:p>
            <w:pPr>
              <w:pStyle w:val="TableParagraph"/>
              <w:spacing w:before="71"/>
              <w:ind w:left="86" w:right="20"/>
              <w:jc w:val="center"/>
              <w:rPr>
                <w:sz w:val="22"/>
              </w:rPr>
            </w:pPr>
            <w:r>
              <w:rPr>
                <w:spacing w:val="-4"/>
                <w:sz w:val="22"/>
              </w:rPr>
              <w:t>31.3</w:t>
            </w:r>
          </w:p>
        </w:tc>
        <w:tc>
          <w:tcPr>
            <w:tcW w:w="691" w:type="dxa"/>
          </w:tcPr>
          <w:p>
            <w:pPr>
              <w:pStyle w:val="TableParagraph"/>
              <w:spacing w:before="71"/>
              <w:ind w:left="75" w:right="37"/>
              <w:jc w:val="center"/>
              <w:rPr>
                <w:sz w:val="22"/>
              </w:rPr>
            </w:pPr>
            <w:r>
              <w:rPr>
                <w:spacing w:val="-5"/>
                <w:sz w:val="22"/>
              </w:rPr>
              <w:t>125</w:t>
            </w:r>
          </w:p>
        </w:tc>
        <w:tc>
          <w:tcPr>
            <w:tcW w:w="649" w:type="dxa"/>
          </w:tcPr>
          <w:p>
            <w:pPr>
              <w:pStyle w:val="TableParagraph"/>
              <w:spacing w:before="71"/>
              <w:ind w:left="6" w:right="5"/>
              <w:jc w:val="center"/>
              <w:rPr>
                <w:sz w:val="22"/>
              </w:rPr>
            </w:pPr>
            <w:r>
              <w:rPr>
                <w:spacing w:val="-5"/>
                <w:sz w:val="22"/>
              </w:rPr>
              <w:t>NB</w:t>
            </w:r>
          </w:p>
        </w:tc>
        <w:tc>
          <w:tcPr>
            <w:tcW w:w="625" w:type="dxa"/>
          </w:tcPr>
          <w:p>
            <w:pPr>
              <w:pStyle w:val="TableParagraph"/>
              <w:spacing w:before="71"/>
              <w:ind w:left="82" w:right="71"/>
              <w:jc w:val="center"/>
              <w:rPr>
                <w:sz w:val="22"/>
              </w:rPr>
            </w:pPr>
            <w:r>
              <w:rPr>
                <w:spacing w:val="-4"/>
                <w:sz w:val="22"/>
              </w:rPr>
              <w:t>0.98</w:t>
            </w:r>
          </w:p>
        </w:tc>
        <w:tc>
          <w:tcPr>
            <w:tcW w:w="655" w:type="dxa"/>
          </w:tcPr>
          <w:p>
            <w:pPr>
              <w:pStyle w:val="TableParagraph"/>
              <w:spacing w:before="71"/>
              <w:ind w:left="10" w:right="2"/>
              <w:jc w:val="center"/>
              <w:rPr>
                <w:sz w:val="22"/>
              </w:rPr>
            </w:pPr>
            <w:r>
              <w:rPr>
                <w:spacing w:val="-4"/>
                <w:sz w:val="22"/>
              </w:rPr>
              <w:t>31.3</w:t>
            </w:r>
          </w:p>
        </w:tc>
        <w:tc>
          <w:tcPr>
            <w:tcW w:w="647" w:type="dxa"/>
          </w:tcPr>
          <w:p>
            <w:pPr>
              <w:pStyle w:val="TableParagraph"/>
              <w:spacing w:before="71"/>
              <w:ind w:left="59" w:right="51"/>
              <w:jc w:val="center"/>
              <w:rPr>
                <w:sz w:val="22"/>
              </w:rPr>
            </w:pPr>
            <w:r>
              <w:rPr>
                <w:spacing w:val="-5"/>
                <w:sz w:val="22"/>
              </w:rPr>
              <w:t>NI</w:t>
            </w:r>
          </w:p>
        </w:tc>
        <w:tc>
          <w:tcPr>
            <w:tcW w:w="648" w:type="dxa"/>
          </w:tcPr>
          <w:p>
            <w:pPr>
              <w:pStyle w:val="TableParagraph"/>
              <w:spacing w:before="71"/>
              <w:ind w:left="6" w:right="4"/>
              <w:jc w:val="center"/>
              <w:rPr>
                <w:sz w:val="22"/>
              </w:rPr>
            </w:pPr>
            <w:r>
              <w:rPr>
                <w:spacing w:val="-5"/>
                <w:sz w:val="22"/>
              </w:rPr>
              <w:t>NB</w:t>
            </w:r>
          </w:p>
        </w:tc>
      </w:tr>
      <w:tr>
        <w:trPr>
          <w:trHeight w:val="448" w:hRule="atLeast"/>
        </w:trPr>
        <w:tc>
          <w:tcPr>
            <w:tcW w:w="1032" w:type="dxa"/>
          </w:tcPr>
          <w:p>
            <w:pPr>
              <w:pStyle w:val="TableParagraph"/>
              <w:spacing w:before="70"/>
              <w:ind w:right="183"/>
              <w:jc w:val="center"/>
              <w:rPr>
                <w:sz w:val="22"/>
              </w:rPr>
            </w:pPr>
            <w:r>
              <w:rPr>
                <w:sz w:val="22"/>
              </w:rPr>
              <w:t>SP</w:t>
            </w:r>
            <w:r>
              <w:rPr>
                <w:spacing w:val="1"/>
                <w:sz w:val="22"/>
              </w:rPr>
              <w:t> </w:t>
            </w:r>
            <w:r>
              <w:rPr>
                <w:spacing w:val="-5"/>
                <w:sz w:val="22"/>
              </w:rPr>
              <w:t>894</w:t>
            </w:r>
          </w:p>
        </w:tc>
        <w:tc>
          <w:tcPr>
            <w:tcW w:w="759" w:type="dxa"/>
          </w:tcPr>
          <w:p>
            <w:pPr>
              <w:pStyle w:val="TableParagraph"/>
              <w:spacing w:before="70"/>
              <w:ind w:right="140"/>
              <w:jc w:val="right"/>
              <w:rPr>
                <w:sz w:val="22"/>
              </w:rPr>
            </w:pPr>
            <w:r>
              <w:rPr>
                <w:spacing w:val="-4"/>
                <w:sz w:val="22"/>
              </w:rPr>
              <w:t>25.0</w:t>
            </w:r>
          </w:p>
        </w:tc>
        <w:tc>
          <w:tcPr>
            <w:tcW w:w="751" w:type="dxa"/>
          </w:tcPr>
          <w:p>
            <w:pPr>
              <w:pStyle w:val="TableParagraph"/>
              <w:spacing w:before="70"/>
              <w:ind w:left="101" w:right="28"/>
              <w:jc w:val="center"/>
              <w:rPr>
                <w:sz w:val="22"/>
              </w:rPr>
            </w:pPr>
            <w:r>
              <w:rPr>
                <w:spacing w:val="-5"/>
                <w:sz w:val="22"/>
              </w:rPr>
              <w:t>100</w:t>
            </w:r>
          </w:p>
        </w:tc>
        <w:tc>
          <w:tcPr>
            <w:tcW w:w="734" w:type="dxa"/>
          </w:tcPr>
          <w:p>
            <w:pPr>
              <w:pStyle w:val="TableParagraph"/>
              <w:spacing w:before="70"/>
              <w:ind w:right="134"/>
              <w:jc w:val="right"/>
              <w:rPr>
                <w:sz w:val="22"/>
              </w:rPr>
            </w:pPr>
            <w:r>
              <w:rPr>
                <w:spacing w:val="-4"/>
                <w:sz w:val="22"/>
              </w:rPr>
              <w:t>15.6</w:t>
            </w:r>
          </w:p>
        </w:tc>
        <w:tc>
          <w:tcPr>
            <w:tcW w:w="735" w:type="dxa"/>
          </w:tcPr>
          <w:p>
            <w:pPr>
              <w:pStyle w:val="TableParagraph"/>
              <w:spacing w:before="70"/>
              <w:ind w:left="86" w:right="20"/>
              <w:jc w:val="center"/>
              <w:rPr>
                <w:sz w:val="22"/>
              </w:rPr>
            </w:pPr>
            <w:r>
              <w:rPr>
                <w:spacing w:val="-4"/>
                <w:sz w:val="22"/>
              </w:rPr>
              <w:t>62.5</w:t>
            </w:r>
          </w:p>
        </w:tc>
        <w:tc>
          <w:tcPr>
            <w:tcW w:w="691" w:type="dxa"/>
          </w:tcPr>
          <w:p>
            <w:pPr>
              <w:pStyle w:val="TableParagraph"/>
              <w:spacing w:before="70"/>
              <w:ind w:left="70" w:right="37"/>
              <w:jc w:val="center"/>
              <w:rPr>
                <w:sz w:val="22"/>
              </w:rPr>
            </w:pPr>
            <w:r>
              <w:rPr>
                <w:spacing w:val="-5"/>
                <w:sz w:val="22"/>
              </w:rPr>
              <w:t>NI</w:t>
            </w:r>
          </w:p>
        </w:tc>
        <w:tc>
          <w:tcPr>
            <w:tcW w:w="649" w:type="dxa"/>
          </w:tcPr>
          <w:p>
            <w:pPr>
              <w:pStyle w:val="TableParagraph"/>
              <w:spacing w:before="70"/>
              <w:ind w:left="6" w:right="5"/>
              <w:jc w:val="center"/>
              <w:rPr>
                <w:sz w:val="22"/>
              </w:rPr>
            </w:pPr>
            <w:r>
              <w:rPr>
                <w:spacing w:val="-5"/>
                <w:sz w:val="22"/>
              </w:rPr>
              <w:t>NB</w:t>
            </w:r>
          </w:p>
        </w:tc>
        <w:tc>
          <w:tcPr>
            <w:tcW w:w="625" w:type="dxa"/>
          </w:tcPr>
          <w:p>
            <w:pPr>
              <w:pStyle w:val="TableParagraph"/>
              <w:spacing w:before="70"/>
              <w:ind w:left="77" w:right="71"/>
              <w:jc w:val="center"/>
              <w:rPr>
                <w:sz w:val="22"/>
              </w:rPr>
            </w:pPr>
            <w:r>
              <w:rPr>
                <w:spacing w:val="-5"/>
                <w:sz w:val="22"/>
              </w:rPr>
              <w:t>NI</w:t>
            </w:r>
          </w:p>
        </w:tc>
        <w:tc>
          <w:tcPr>
            <w:tcW w:w="655" w:type="dxa"/>
          </w:tcPr>
          <w:p>
            <w:pPr>
              <w:pStyle w:val="TableParagraph"/>
              <w:spacing w:before="70"/>
              <w:ind w:left="10" w:right="5"/>
              <w:jc w:val="center"/>
              <w:rPr>
                <w:sz w:val="22"/>
              </w:rPr>
            </w:pPr>
            <w:r>
              <w:rPr>
                <w:spacing w:val="-5"/>
                <w:sz w:val="22"/>
              </w:rPr>
              <w:t>NB</w:t>
            </w:r>
          </w:p>
        </w:tc>
        <w:tc>
          <w:tcPr>
            <w:tcW w:w="647" w:type="dxa"/>
          </w:tcPr>
          <w:p>
            <w:pPr>
              <w:pStyle w:val="TableParagraph"/>
              <w:spacing w:before="70"/>
              <w:ind w:left="59" w:right="51"/>
              <w:jc w:val="center"/>
              <w:rPr>
                <w:sz w:val="22"/>
              </w:rPr>
            </w:pPr>
            <w:r>
              <w:rPr>
                <w:spacing w:val="-5"/>
                <w:sz w:val="22"/>
              </w:rPr>
              <w:t>NI</w:t>
            </w:r>
          </w:p>
        </w:tc>
        <w:tc>
          <w:tcPr>
            <w:tcW w:w="648" w:type="dxa"/>
          </w:tcPr>
          <w:p>
            <w:pPr>
              <w:pStyle w:val="TableParagraph"/>
              <w:spacing w:before="70"/>
              <w:ind w:left="6" w:right="4"/>
              <w:jc w:val="center"/>
              <w:rPr>
                <w:sz w:val="22"/>
              </w:rPr>
            </w:pPr>
            <w:r>
              <w:rPr>
                <w:spacing w:val="-5"/>
                <w:sz w:val="22"/>
              </w:rPr>
              <w:t>NB</w:t>
            </w:r>
          </w:p>
        </w:tc>
      </w:tr>
      <w:tr>
        <w:trPr>
          <w:trHeight w:val="450" w:hRule="atLeast"/>
        </w:trPr>
        <w:tc>
          <w:tcPr>
            <w:tcW w:w="1032" w:type="dxa"/>
          </w:tcPr>
          <w:p>
            <w:pPr>
              <w:pStyle w:val="TableParagraph"/>
              <w:spacing w:before="70"/>
              <w:ind w:left="103" w:right="183"/>
              <w:jc w:val="center"/>
              <w:rPr>
                <w:sz w:val="22"/>
              </w:rPr>
            </w:pPr>
            <w:r>
              <w:rPr>
                <w:sz w:val="22"/>
              </w:rPr>
              <w:t>TS</w:t>
            </w:r>
            <w:r>
              <w:rPr>
                <w:spacing w:val="-1"/>
                <w:sz w:val="22"/>
              </w:rPr>
              <w:t> </w:t>
            </w:r>
            <w:r>
              <w:rPr>
                <w:spacing w:val="-4"/>
                <w:sz w:val="22"/>
              </w:rPr>
              <w:t>1234</w:t>
            </w:r>
          </w:p>
        </w:tc>
        <w:tc>
          <w:tcPr>
            <w:tcW w:w="759" w:type="dxa"/>
          </w:tcPr>
          <w:p>
            <w:pPr>
              <w:pStyle w:val="TableParagraph"/>
              <w:spacing w:before="70"/>
              <w:ind w:right="170"/>
              <w:jc w:val="right"/>
              <w:rPr>
                <w:sz w:val="22"/>
              </w:rPr>
            </w:pPr>
            <w:r>
              <w:rPr>
                <w:spacing w:val="-5"/>
                <w:sz w:val="22"/>
              </w:rPr>
              <w:t>100</w:t>
            </w:r>
          </w:p>
        </w:tc>
        <w:tc>
          <w:tcPr>
            <w:tcW w:w="751" w:type="dxa"/>
          </w:tcPr>
          <w:p>
            <w:pPr>
              <w:pStyle w:val="TableParagraph"/>
              <w:spacing w:before="70"/>
              <w:ind w:left="99" w:right="28"/>
              <w:jc w:val="center"/>
              <w:rPr>
                <w:sz w:val="22"/>
              </w:rPr>
            </w:pPr>
            <w:r>
              <w:rPr>
                <w:spacing w:val="-5"/>
                <w:sz w:val="22"/>
              </w:rPr>
              <w:t>NB</w:t>
            </w:r>
          </w:p>
        </w:tc>
        <w:tc>
          <w:tcPr>
            <w:tcW w:w="734" w:type="dxa"/>
          </w:tcPr>
          <w:p>
            <w:pPr>
              <w:pStyle w:val="TableParagraph"/>
              <w:spacing w:before="70"/>
              <w:ind w:right="135"/>
              <w:jc w:val="right"/>
              <w:rPr>
                <w:sz w:val="22"/>
              </w:rPr>
            </w:pPr>
            <w:r>
              <w:rPr>
                <w:spacing w:val="-4"/>
                <w:sz w:val="22"/>
              </w:rPr>
              <w:t>7.81</w:t>
            </w:r>
          </w:p>
        </w:tc>
        <w:tc>
          <w:tcPr>
            <w:tcW w:w="735" w:type="dxa"/>
          </w:tcPr>
          <w:p>
            <w:pPr>
              <w:pStyle w:val="TableParagraph"/>
              <w:spacing w:before="70"/>
              <w:ind w:left="86" w:right="20"/>
              <w:jc w:val="center"/>
              <w:rPr>
                <w:sz w:val="22"/>
              </w:rPr>
            </w:pPr>
            <w:r>
              <w:rPr>
                <w:spacing w:val="-4"/>
                <w:sz w:val="22"/>
              </w:rPr>
              <w:t>31.3</w:t>
            </w:r>
          </w:p>
        </w:tc>
        <w:tc>
          <w:tcPr>
            <w:tcW w:w="691" w:type="dxa"/>
          </w:tcPr>
          <w:p>
            <w:pPr>
              <w:pStyle w:val="TableParagraph"/>
              <w:spacing w:before="70"/>
              <w:ind w:left="70" w:right="37"/>
              <w:jc w:val="center"/>
              <w:rPr>
                <w:sz w:val="22"/>
              </w:rPr>
            </w:pPr>
            <w:r>
              <w:rPr>
                <w:spacing w:val="-5"/>
                <w:sz w:val="22"/>
              </w:rPr>
              <w:t>NI</w:t>
            </w:r>
          </w:p>
        </w:tc>
        <w:tc>
          <w:tcPr>
            <w:tcW w:w="649" w:type="dxa"/>
          </w:tcPr>
          <w:p>
            <w:pPr>
              <w:pStyle w:val="TableParagraph"/>
              <w:spacing w:before="70"/>
              <w:ind w:left="6" w:right="5"/>
              <w:jc w:val="center"/>
              <w:rPr>
                <w:sz w:val="22"/>
              </w:rPr>
            </w:pPr>
            <w:r>
              <w:rPr>
                <w:spacing w:val="-5"/>
                <w:sz w:val="22"/>
              </w:rPr>
              <w:t>NB</w:t>
            </w:r>
          </w:p>
        </w:tc>
        <w:tc>
          <w:tcPr>
            <w:tcW w:w="625" w:type="dxa"/>
          </w:tcPr>
          <w:p>
            <w:pPr>
              <w:pStyle w:val="TableParagraph"/>
              <w:spacing w:before="70"/>
              <w:ind w:left="82" w:right="71"/>
              <w:jc w:val="center"/>
              <w:rPr>
                <w:sz w:val="22"/>
              </w:rPr>
            </w:pPr>
            <w:r>
              <w:rPr>
                <w:spacing w:val="-4"/>
                <w:sz w:val="22"/>
              </w:rPr>
              <w:t>15.6</w:t>
            </w:r>
          </w:p>
        </w:tc>
        <w:tc>
          <w:tcPr>
            <w:tcW w:w="655" w:type="dxa"/>
          </w:tcPr>
          <w:p>
            <w:pPr>
              <w:pStyle w:val="TableParagraph"/>
              <w:spacing w:before="70"/>
              <w:ind w:left="10" w:right="2"/>
              <w:jc w:val="center"/>
              <w:rPr>
                <w:sz w:val="22"/>
              </w:rPr>
            </w:pPr>
            <w:r>
              <w:rPr>
                <w:spacing w:val="-5"/>
                <w:sz w:val="22"/>
              </w:rPr>
              <w:t>125</w:t>
            </w:r>
          </w:p>
        </w:tc>
        <w:tc>
          <w:tcPr>
            <w:tcW w:w="647" w:type="dxa"/>
          </w:tcPr>
          <w:p>
            <w:pPr>
              <w:pStyle w:val="TableParagraph"/>
              <w:spacing w:before="70"/>
              <w:ind w:left="59" w:right="51"/>
              <w:jc w:val="center"/>
              <w:rPr>
                <w:sz w:val="22"/>
              </w:rPr>
            </w:pPr>
            <w:r>
              <w:rPr>
                <w:spacing w:val="-5"/>
                <w:sz w:val="22"/>
              </w:rPr>
              <w:t>NI</w:t>
            </w:r>
          </w:p>
        </w:tc>
        <w:tc>
          <w:tcPr>
            <w:tcW w:w="648" w:type="dxa"/>
          </w:tcPr>
          <w:p>
            <w:pPr>
              <w:pStyle w:val="TableParagraph"/>
              <w:spacing w:before="70"/>
              <w:ind w:left="6" w:right="4"/>
              <w:jc w:val="center"/>
              <w:rPr>
                <w:sz w:val="22"/>
              </w:rPr>
            </w:pPr>
            <w:r>
              <w:rPr>
                <w:spacing w:val="-5"/>
                <w:sz w:val="22"/>
              </w:rPr>
              <w:t>NB</w:t>
            </w:r>
          </w:p>
        </w:tc>
      </w:tr>
      <w:tr>
        <w:trPr>
          <w:trHeight w:val="523" w:hRule="atLeast"/>
        </w:trPr>
        <w:tc>
          <w:tcPr>
            <w:tcW w:w="1032" w:type="dxa"/>
            <w:tcBorders>
              <w:bottom w:val="single" w:sz="4" w:space="0" w:color="000000"/>
            </w:tcBorders>
          </w:tcPr>
          <w:p>
            <w:pPr>
              <w:pStyle w:val="TableParagraph"/>
              <w:spacing w:before="71"/>
              <w:ind w:right="191"/>
              <w:jc w:val="center"/>
              <w:rPr>
                <w:sz w:val="22"/>
              </w:rPr>
            </w:pPr>
            <w:r>
              <w:rPr>
                <w:sz w:val="22"/>
              </w:rPr>
              <w:t>TS</w:t>
            </w:r>
            <w:r>
              <w:rPr>
                <w:spacing w:val="-1"/>
                <w:sz w:val="22"/>
              </w:rPr>
              <w:t> </w:t>
            </w:r>
            <w:r>
              <w:rPr>
                <w:spacing w:val="-5"/>
                <w:sz w:val="22"/>
              </w:rPr>
              <w:t>320</w:t>
            </w:r>
          </w:p>
        </w:tc>
        <w:tc>
          <w:tcPr>
            <w:tcW w:w="759" w:type="dxa"/>
            <w:tcBorders>
              <w:bottom w:val="single" w:sz="4" w:space="0" w:color="000000"/>
            </w:tcBorders>
          </w:tcPr>
          <w:p>
            <w:pPr>
              <w:pStyle w:val="TableParagraph"/>
              <w:spacing w:before="71"/>
              <w:ind w:right="141"/>
              <w:jc w:val="right"/>
              <w:rPr>
                <w:sz w:val="22"/>
              </w:rPr>
            </w:pPr>
            <w:r>
              <w:rPr>
                <w:spacing w:val="-4"/>
                <w:sz w:val="22"/>
              </w:rPr>
              <w:t>1.56</w:t>
            </w:r>
          </w:p>
        </w:tc>
        <w:tc>
          <w:tcPr>
            <w:tcW w:w="751" w:type="dxa"/>
            <w:tcBorders>
              <w:bottom w:val="single" w:sz="4" w:space="0" w:color="000000"/>
            </w:tcBorders>
          </w:tcPr>
          <w:p>
            <w:pPr>
              <w:pStyle w:val="TableParagraph"/>
              <w:spacing w:before="71"/>
              <w:ind w:left="101" w:right="28"/>
              <w:jc w:val="center"/>
              <w:rPr>
                <w:sz w:val="22"/>
              </w:rPr>
            </w:pPr>
            <w:r>
              <w:rPr>
                <w:spacing w:val="-4"/>
                <w:sz w:val="22"/>
              </w:rPr>
              <w:t>12.5</w:t>
            </w:r>
          </w:p>
        </w:tc>
        <w:tc>
          <w:tcPr>
            <w:tcW w:w="734" w:type="dxa"/>
            <w:tcBorders>
              <w:bottom w:val="single" w:sz="4" w:space="0" w:color="000000"/>
            </w:tcBorders>
          </w:tcPr>
          <w:p>
            <w:pPr>
              <w:pStyle w:val="TableParagraph"/>
              <w:spacing w:before="71"/>
              <w:ind w:right="164"/>
              <w:jc w:val="right"/>
              <w:rPr>
                <w:sz w:val="22"/>
              </w:rPr>
            </w:pPr>
            <w:r>
              <w:rPr>
                <w:spacing w:val="-5"/>
                <w:sz w:val="22"/>
              </w:rPr>
              <w:t>125</w:t>
            </w:r>
          </w:p>
        </w:tc>
        <w:tc>
          <w:tcPr>
            <w:tcW w:w="735" w:type="dxa"/>
            <w:tcBorders>
              <w:bottom w:val="single" w:sz="4" w:space="0" w:color="000000"/>
            </w:tcBorders>
          </w:tcPr>
          <w:p>
            <w:pPr>
              <w:pStyle w:val="TableParagraph"/>
              <w:spacing w:before="71"/>
              <w:ind w:left="84" w:right="20"/>
              <w:jc w:val="center"/>
              <w:rPr>
                <w:sz w:val="22"/>
              </w:rPr>
            </w:pPr>
            <w:r>
              <w:rPr>
                <w:spacing w:val="-5"/>
                <w:sz w:val="22"/>
              </w:rPr>
              <w:t>NB</w:t>
            </w:r>
          </w:p>
        </w:tc>
        <w:tc>
          <w:tcPr>
            <w:tcW w:w="691" w:type="dxa"/>
            <w:tcBorders>
              <w:bottom w:val="single" w:sz="4" w:space="0" w:color="000000"/>
            </w:tcBorders>
          </w:tcPr>
          <w:p>
            <w:pPr>
              <w:pStyle w:val="TableParagraph"/>
              <w:spacing w:before="71"/>
              <w:ind w:left="70" w:right="37"/>
              <w:jc w:val="center"/>
              <w:rPr>
                <w:sz w:val="22"/>
              </w:rPr>
            </w:pPr>
            <w:r>
              <w:rPr>
                <w:spacing w:val="-5"/>
                <w:sz w:val="22"/>
              </w:rPr>
              <w:t>NI</w:t>
            </w:r>
          </w:p>
        </w:tc>
        <w:tc>
          <w:tcPr>
            <w:tcW w:w="649" w:type="dxa"/>
            <w:tcBorders>
              <w:bottom w:val="single" w:sz="4" w:space="0" w:color="000000"/>
            </w:tcBorders>
          </w:tcPr>
          <w:p>
            <w:pPr>
              <w:pStyle w:val="TableParagraph"/>
              <w:spacing w:before="71"/>
              <w:ind w:left="6" w:right="5"/>
              <w:jc w:val="center"/>
              <w:rPr>
                <w:sz w:val="22"/>
              </w:rPr>
            </w:pPr>
            <w:r>
              <w:rPr>
                <w:spacing w:val="-5"/>
                <w:sz w:val="22"/>
              </w:rPr>
              <w:t>NB</w:t>
            </w:r>
          </w:p>
        </w:tc>
        <w:tc>
          <w:tcPr>
            <w:tcW w:w="625" w:type="dxa"/>
            <w:tcBorders>
              <w:bottom w:val="single" w:sz="4" w:space="0" w:color="000000"/>
            </w:tcBorders>
          </w:tcPr>
          <w:p>
            <w:pPr>
              <w:pStyle w:val="TableParagraph"/>
              <w:spacing w:before="71"/>
              <w:ind w:left="82" w:right="71"/>
              <w:jc w:val="center"/>
              <w:rPr>
                <w:sz w:val="22"/>
              </w:rPr>
            </w:pPr>
            <w:r>
              <w:rPr>
                <w:spacing w:val="-4"/>
                <w:sz w:val="22"/>
              </w:rPr>
              <w:t>7.81</w:t>
            </w:r>
          </w:p>
        </w:tc>
        <w:tc>
          <w:tcPr>
            <w:tcW w:w="655" w:type="dxa"/>
            <w:tcBorders>
              <w:bottom w:val="single" w:sz="4" w:space="0" w:color="000000"/>
            </w:tcBorders>
          </w:tcPr>
          <w:p>
            <w:pPr>
              <w:pStyle w:val="TableParagraph"/>
              <w:spacing w:before="71"/>
              <w:ind w:left="10" w:right="2"/>
              <w:jc w:val="center"/>
              <w:rPr>
                <w:sz w:val="22"/>
              </w:rPr>
            </w:pPr>
            <w:r>
              <w:rPr>
                <w:spacing w:val="-4"/>
                <w:sz w:val="22"/>
              </w:rPr>
              <w:t>62.5</w:t>
            </w:r>
          </w:p>
        </w:tc>
        <w:tc>
          <w:tcPr>
            <w:tcW w:w="647" w:type="dxa"/>
            <w:tcBorders>
              <w:bottom w:val="single" w:sz="4" w:space="0" w:color="000000"/>
            </w:tcBorders>
          </w:tcPr>
          <w:p>
            <w:pPr>
              <w:pStyle w:val="TableParagraph"/>
              <w:spacing w:before="71"/>
              <w:ind w:left="59" w:right="51"/>
              <w:jc w:val="center"/>
              <w:rPr>
                <w:sz w:val="22"/>
              </w:rPr>
            </w:pPr>
            <w:r>
              <w:rPr>
                <w:spacing w:val="-5"/>
                <w:sz w:val="22"/>
              </w:rPr>
              <w:t>NI</w:t>
            </w:r>
          </w:p>
        </w:tc>
        <w:tc>
          <w:tcPr>
            <w:tcW w:w="648" w:type="dxa"/>
            <w:tcBorders>
              <w:bottom w:val="single" w:sz="4" w:space="0" w:color="000000"/>
            </w:tcBorders>
          </w:tcPr>
          <w:p>
            <w:pPr>
              <w:pStyle w:val="TableParagraph"/>
              <w:spacing w:before="71"/>
              <w:ind w:left="6" w:right="4"/>
              <w:jc w:val="center"/>
              <w:rPr>
                <w:sz w:val="22"/>
              </w:rPr>
            </w:pPr>
            <w:r>
              <w:rPr>
                <w:spacing w:val="-5"/>
                <w:sz w:val="22"/>
              </w:rPr>
              <w:t>NB</w:t>
            </w:r>
          </w:p>
        </w:tc>
      </w:tr>
    </w:tbl>
    <w:p>
      <w:pPr>
        <w:pStyle w:val="BodyText"/>
        <w:spacing w:line="259" w:lineRule="auto" w:before="20"/>
        <w:ind w:left="380" w:right="976"/>
        <w:jc w:val="both"/>
      </w:pPr>
      <w:r>
        <w:rPr>
          <w:b/>
        </w:rPr>
        <w:t>Key: </w:t>
      </w:r>
      <w:r>
        <w:rPr/>
        <w:t>CN=Gentamicin, CRO=Ceftriaxone, AMC=Amoxicillin-Clavulanic acid, LEV=Levofloxacin, AZM=Azithromycin, MIC=Minimum Inhibitory Concentration, MBC=Minimum Bactericidal Concentration, NI=No Inhibition and NB=Not Bactericidal</w:t>
      </w:r>
    </w:p>
    <w:p>
      <w:pPr>
        <w:spacing w:after="0" w:line="259" w:lineRule="auto"/>
        <w:jc w:val="both"/>
        <w:sectPr>
          <w:pgSz w:w="11910" w:h="16840"/>
          <w:pgMar w:header="0" w:footer="1055" w:top="140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7"/>
      </w:pPr>
    </w:p>
    <w:p>
      <w:pPr>
        <w:spacing w:before="0"/>
        <w:ind w:left="380" w:right="0" w:firstLine="0"/>
        <w:jc w:val="left"/>
        <w:rPr>
          <w:b/>
          <w:i/>
          <w:sz w:val="22"/>
        </w:rPr>
      </w:pPr>
      <w:r>
        <w:rPr>
          <w:b/>
          <w:sz w:val="22"/>
        </w:rPr>
        <w:t>MIC</w:t>
      </w:r>
      <w:r>
        <w:rPr>
          <w:b/>
          <w:spacing w:val="-6"/>
          <w:sz w:val="22"/>
        </w:rPr>
        <w:t> </w:t>
      </w:r>
      <w:r>
        <w:rPr>
          <w:b/>
          <w:sz w:val="22"/>
        </w:rPr>
        <w:t>and</w:t>
      </w:r>
      <w:r>
        <w:rPr>
          <w:b/>
          <w:spacing w:val="-5"/>
          <w:sz w:val="22"/>
        </w:rPr>
        <w:t> </w:t>
      </w:r>
      <w:r>
        <w:rPr>
          <w:b/>
          <w:sz w:val="22"/>
        </w:rPr>
        <w:t>MBC</w:t>
      </w:r>
      <w:r>
        <w:rPr>
          <w:b/>
          <w:spacing w:val="-7"/>
          <w:sz w:val="22"/>
        </w:rPr>
        <w:t> </w:t>
      </w:r>
      <w:r>
        <w:rPr>
          <w:b/>
          <w:sz w:val="22"/>
        </w:rPr>
        <w:t>Test</w:t>
      </w:r>
      <w:r>
        <w:rPr>
          <w:b/>
          <w:spacing w:val="-6"/>
          <w:sz w:val="22"/>
        </w:rPr>
        <w:t> </w:t>
      </w:r>
      <w:r>
        <w:rPr>
          <w:b/>
          <w:sz w:val="22"/>
        </w:rPr>
        <w:t>(µg/ml)</w:t>
      </w:r>
      <w:r>
        <w:rPr>
          <w:b/>
          <w:spacing w:val="-6"/>
          <w:sz w:val="22"/>
        </w:rPr>
        <w:t> </w:t>
      </w:r>
      <w:r>
        <w:rPr>
          <w:b/>
          <w:sz w:val="22"/>
        </w:rPr>
        <w:t>of</w:t>
      </w:r>
      <w:r>
        <w:rPr>
          <w:b/>
          <w:spacing w:val="-5"/>
          <w:sz w:val="22"/>
        </w:rPr>
        <w:t> </w:t>
      </w:r>
      <w:r>
        <w:rPr>
          <w:b/>
          <w:sz w:val="22"/>
        </w:rPr>
        <w:t>Standard</w:t>
      </w:r>
      <w:r>
        <w:rPr>
          <w:b/>
          <w:spacing w:val="-5"/>
          <w:sz w:val="22"/>
        </w:rPr>
        <w:t> </w:t>
      </w:r>
      <w:r>
        <w:rPr>
          <w:b/>
          <w:sz w:val="22"/>
        </w:rPr>
        <w:t>Antibiotics</w:t>
      </w:r>
      <w:r>
        <w:rPr>
          <w:b/>
          <w:spacing w:val="-6"/>
          <w:sz w:val="22"/>
        </w:rPr>
        <w:t> </w:t>
      </w:r>
      <w:r>
        <w:rPr>
          <w:b/>
          <w:sz w:val="22"/>
        </w:rPr>
        <w:t>against</w:t>
      </w:r>
      <w:r>
        <w:rPr>
          <w:b/>
          <w:spacing w:val="-1"/>
          <w:sz w:val="22"/>
        </w:rPr>
        <w:t> </w:t>
      </w:r>
      <w:r>
        <w:rPr>
          <w:b/>
          <w:i/>
          <w:sz w:val="22"/>
        </w:rPr>
        <w:t>Staphylococcus</w:t>
      </w:r>
      <w:r>
        <w:rPr>
          <w:b/>
          <w:i/>
          <w:spacing w:val="-4"/>
          <w:sz w:val="22"/>
        </w:rPr>
        <w:t> </w:t>
      </w:r>
      <w:r>
        <w:rPr>
          <w:b/>
          <w:i/>
          <w:spacing w:val="-2"/>
          <w:sz w:val="22"/>
        </w:rPr>
        <w:t>aureus</w:t>
      </w:r>
    </w:p>
    <w:p>
      <w:pPr>
        <w:pStyle w:val="BodyText"/>
        <w:rPr>
          <w:b/>
          <w:i/>
          <w:sz w:val="20"/>
        </w:rPr>
      </w:pPr>
    </w:p>
    <w:p>
      <w:pPr>
        <w:pStyle w:val="BodyText"/>
        <w:spacing w:before="146"/>
        <w:rPr>
          <w:b/>
          <w:i/>
          <w:sz w:val="20"/>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1"/>
        <w:gridCol w:w="762"/>
        <w:gridCol w:w="771"/>
        <w:gridCol w:w="768"/>
        <w:gridCol w:w="793"/>
        <w:gridCol w:w="785"/>
        <w:gridCol w:w="791"/>
        <w:gridCol w:w="737"/>
        <w:gridCol w:w="784"/>
        <w:gridCol w:w="774"/>
        <w:gridCol w:w="832"/>
      </w:tblGrid>
      <w:tr>
        <w:trPr>
          <w:trHeight w:val="665" w:hRule="atLeast"/>
        </w:trPr>
        <w:tc>
          <w:tcPr>
            <w:tcW w:w="1111" w:type="dxa"/>
            <w:tcBorders>
              <w:top w:val="single" w:sz="4" w:space="0" w:color="000000"/>
            </w:tcBorders>
          </w:tcPr>
          <w:p>
            <w:pPr>
              <w:pStyle w:val="TableParagraph"/>
              <w:spacing w:line="259" w:lineRule="auto"/>
              <w:ind w:left="436" w:right="170" w:hanging="178"/>
              <w:rPr>
                <w:b/>
                <w:sz w:val="22"/>
              </w:rPr>
            </w:pPr>
            <w:r>
              <w:rPr>
                <w:b/>
                <w:spacing w:val="-2"/>
                <w:sz w:val="22"/>
              </w:rPr>
              <w:t>Sample </w:t>
            </w:r>
            <w:r>
              <w:rPr>
                <w:b/>
                <w:spacing w:val="-4"/>
                <w:sz w:val="22"/>
              </w:rPr>
              <w:t>No.</w:t>
            </w:r>
          </w:p>
        </w:tc>
        <w:tc>
          <w:tcPr>
            <w:tcW w:w="762" w:type="dxa"/>
            <w:tcBorders>
              <w:top w:val="single" w:sz="4" w:space="0" w:color="000000"/>
            </w:tcBorders>
          </w:tcPr>
          <w:p>
            <w:pPr>
              <w:pStyle w:val="TableParagraph"/>
              <w:spacing w:before="143"/>
              <w:ind w:left="177"/>
              <w:rPr>
                <w:b/>
                <w:sz w:val="22"/>
              </w:rPr>
            </w:pPr>
            <w:r>
              <w:rPr>
                <w:b/>
                <w:spacing w:val="-5"/>
                <w:sz w:val="22"/>
              </w:rPr>
              <w:t>MIC</w:t>
            </w:r>
          </w:p>
        </w:tc>
        <w:tc>
          <w:tcPr>
            <w:tcW w:w="771" w:type="dxa"/>
            <w:tcBorders>
              <w:top w:val="single" w:sz="4" w:space="0" w:color="000000"/>
            </w:tcBorders>
          </w:tcPr>
          <w:p>
            <w:pPr>
              <w:pStyle w:val="TableParagraph"/>
              <w:spacing w:before="143"/>
              <w:ind w:right="199"/>
              <w:jc w:val="right"/>
              <w:rPr>
                <w:b/>
                <w:sz w:val="22"/>
              </w:rPr>
            </w:pPr>
            <w:r>
              <w:rPr>
                <w:b/>
                <w:spacing w:val="-5"/>
                <w:sz w:val="22"/>
              </w:rPr>
              <w:t>MBC</w:t>
            </w:r>
          </w:p>
        </w:tc>
        <w:tc>
          <w:tcPr>
            <w:tcW w:w="768" w:type="dxa"/>
            <w:tcBorders>
              <w:top w:val="single" w:sz="4" w:space="0" w:color="000000"/>
            </w:tcBorders>
          </w:tcPr>
          <w:p>
            <w:pPr>
              <w:pStyle w:val="TableParagraph"/>
              <w:spacing w:before="143"/>
              <w:ind w:left="152"/>
              <w:rPr>
                <w:b/>
                <w:sz w:val="22"/>
              </w:rPr>
            </w:pPr>
            <w:r>
              <w:rPr>
                <w:b/>
                <w:spacing w:val="-5"/>
                <w:sz w:val="22"/>
              </w:rPr>
              <w:t>MIC</w:t>
            </w:r>
          </w:p>
        </w:tc>
        <w:tc>
          <w:tcPr>
            <w:tcW w:w="793" w:type="dxa"/>
            <w:tcBorders>
              <w:top w:val="single" w:sz="4" w:space="0" w:color="000000"/>
            </w:tcBorders>
          </w:tcPr>
          <w:p>
            <w:pPr>
              <w:pStyle w:val="TableParagraph"/>
              <w:spacing w:before="143"/>
              <w:ind w:right="66"/>
              <w:jc w:val="center"/>
              <w:rPr>
                <w:b/>
                <w:sz w:val="22"/>
              </w:rPr>
            </w:pPr>
            <w:r>
              <w:rPr>
                <w:b/>
                <w:spacing w:val="-5"/>
                <w:sz w:val="22"/>
              </w:rPr>
              <w:t>MBC</w:t>
            </w:r>
          </w:p>
        </w:tc>
        <w:tc>
          <w:tcPr>
            <w:tcW w:w="785" w:type="dxa"/>
            <w:tcBorders>
              <w:top w:val="single" w:sz="4" w:space="0" w:color="000000"/>
            </w:tcBorders>
          </w:tcPr>
          <w:p>
            <w:pPr>
              <w:pStyle w:val="TableParagraph"/>
              <w:spacing w:before="143"/>
              <w:ind w:left="139"/>
              <w:rPr>
                <w:b/>
                <w:sz w:val="22"/>
              </w:rPr>
            </w:pPr>
            <w:r>
              <w:rPr>
                <w:b/>
                <w:spacing w:val="-5"/>
                <w:sz w:val="22"/>
              </w:rPr>
              <w:t>MIC</w:t>
            </w:r>
          </w:p>
        </w:tc>
        <w:tc>
          <w:tcPr>
            <w:tcW w:w="791" w:type="dxa"/>
            <w:tcBorders>
              <w:top w:val="single" w:sz="4" w:space="0" w:color="000000"/>
            </w:tcBorders>
          </w:tcPr>
          <w:p>
            <w:pPr>
              <w:pStyle w:val="TableParagraph"/>
              <w:spacing w:before="143"/>
              <w:ind w:left="92" w:right="134"/>
              <w:jc w:val="center"/>
              <w:rPr>
                <w:b/>
                <w:sz w:val="22"/>
              </w:rPr>
            </w:pPr>
            <w:r>
              <w:rPr>
                <w:b/>
                <w:spacing w:val="-5"/>
                <w:sz w:val="22"/>
              </w:rPr>
              <w:t>MBC</w:t>
            </w:r>
          </w:p>
        </w:tc>
        <w:tc>
          <w:tcPr>
            <w:tcW w:w="737" w:type="dxa"/>
            <w:tcBorders>
              <w:top w:val="single" w:sz="4" w:space="0" w:color="000000"/>
            </w:tcBorders>
          </w:tcPr>
          <w:p>
            <w:pPr>
              <w:pStyle w:val="TableParagraph"/>
              <w:spacing w:before="143"/>
              <w:ind w:left="152"/>
              <w:rPr>
                <w:b/>
                <w:sz w:val="22"/>
              </w:rPr>
            </w:pPr>
            <w:r>
              <w:rPr>
                <w:b/>
                <w:spacing w:val="-5"/>
                <w:sz w:val="22"/>
              </w:rPr>
              <w:t>MIC</w:t>
            </w:r>
          </w:p>
        </w:tc>
        <w:tc>
          <w:tcPr>
            <w:tcW w:w="784" w:type="dxa"/>
            <w:tcBorders>
              <w:top w:val="single" w:sz="4" w:space="0" w:color="000000"/>
            </w:tcBorders>
          </w:tcPr>
          <w:p>
            <w:pPr>
              <w:pStyle w:val="TableParagraph"/>
              <w:spacing w:before="143"/>
              <w:ind w:left="136"/>
              <w:rPr>
                <w:b/>
                <w:sz w:val="22"/>
              </w:rPr>
            </w:pPr>
            <w:r>
              <w:rPr>
                <w:b/>
                <w:spacing w:val="-5"/>
                <w:sz w:val="22"/>
              </w:rPr>
              <w:t>MBC</w:t>
            </w:r>
          </w:p>
        </w:tc>
        <w:tc>
          <w:tcPr>
            <w:tcW w:w="774" w:type="dxa"/>
            <w:tcBorders>
              <w:top w:val="single" w:sz="4" w:space="0" w:color="000000"/>
            </w:tcBorders>
          </w:tcPr>
          <w:p>
            <w:pPr>
              <w:pStyle w:val="TableParagraph"/>
              <w:spacing w:before="143"/>
              <w:ind w:left="139"/>
              <w:rPr>
                <w:b/>
                <w:sz w:val="22"/>
              </w:rPr>
            </w:pPr>
            <w:r>
              <w:rPr>
                <w:b/>
                <w:spacing w:val="-5"/>
                <w:sz w:val="22"/>
              </w:rPr>
              <w:t>MIC</w:t>
            </w:r>
          </w:p>
        </w:tc>
        <w:tc>
          <w:tcPr>
            <w:tcW w:w="832" w:type="dxa"/>
            <w:tcBorders>
              <w:top w:val="single" w:sz="4" w:space="0" w:color="000000"/>
            </w:tcBorders>
          </w:tcPr>
          <w:p>
            <w:pPr>
              <w:pStyle w:val="TableParagraph"/>
              <w:spacing w:before="143"/>
              <w:ind w:left="43" w:right="134"/>
              <w:jc w:val="center"/>
              <w:rPr>
                <w:b/>
                <w:sz w:val="22"/>
              </w:rPr>
            </w:pPr>
            <w:r>
              <w:rPr>
                <w:b/>
                <w:spacing w:val="-5"/>
                <w:sz w:val="22"/>
              </w:rPr>
              <w:t>MBC</w:t>
            </w:r>
          </w:p>
        </w:tc>
      </w:tr>
      <w:tr>
        <w:trPr>
          <w:trHeight w:val="524" w:hRule="atLeast"/>
        </w:trPr>
        <w:tc>
          <w:tcPr>
            <w:tcW w:w="1111" w:type="dxa"/>
            <w:tcBorders>
              <w:bottom w:val="single" w:sz="4" w:space="0" w:color="000000"/>
            </w:tcBorders>
          </w:tcPr>
          <w:p>
            <w:pPr>
              <w:pStyle w:val="TableParagraph"/>
              <w:rPr>
                <w:rFonts w:ascii="Times New Roman"/>
                <w:sz w:val="22"/>
              </w:rPr>
            </w:pPr>
          </w:p>
        </w:tc>
        <w:tc>
          <w:tcPr>
            <w:tcW w:w="762" w:type="dxa"/>
            <w:tcBorders>
              <w:bottom w:val="single" w:sz="4" w:space="0" w:color="000000"/>
            </w:tcBorders>
          </w:tcPr>
          <w:p>
            <w:pPr>
              <w:pStyle w:val="TableParagraph"/>
              <w:spacing w:before="70"/>
              <w:ind w:left="177"/>
              <w:rPr>
                <w:b/>
                <w:sz w:val="22"/>
              </w:rPr>
            </w:pPr>
            <w:r>
              <w:rPr>
                <w:b/>
                <w:spacing w:val="-5"/>
                <w:sz w:val="22"/>
              </w:rPr>
              <w:t>CN</w:t>
            </w:r>
          </w:p>
        </w:tc>
        <w:tc>
          <w:tcPr>
            <w:tcW w:w="771" w:type="dxa"/>
            <w:tcBorders>
              <w:bottom w:val="single" w:sz="4" w:space="0" w:color="000000"/>
            </w:tcBorders>
          </w:tcPr>
          <w:p>
            <w:pPr>
              <w:pStyle w:val="TableParagraph"/>
              <w:rPr>
                <w:rFonts w:ascii="Times New Roman"/>
                <w:sz w:val="22"/>
              </w:rPr>
            </w:pPr>
          </w:p>
        </w:tc>
        <w:tc>
          <w:tcPr>
            <w:tcW w:w="768" w:type="dxa"/>
            <w:tcBorders>
              <w:bottom w:val="single" w:sz="4" w:space="0" w:color="000000"/>
            </w:tcBorders>
          </w:tcPr>
          <w:p>
            <w:pPr>
              <w:pStyle w:val="TableParagraph"/>
              <w:spacing w:before="70"/>
              <w:ind w:left="152"/>
              <w:rPr>
                <w:b/>
                <w:sz w:val="22"/>
              </w:rPr>
            </w:pPr>
            <w:r>
              <w:rPr>
                <w:b/>
                <w:spacing w:val="-5"/>
                <w:sz w:val="22"/>
              </w:rPr>
              <w:t>CRO</w:t>
            </w:r>
          </w:p>
        </w:tc>
        <w:tc>
          <w:tcPr>
            <w:tcW w:w="793" w:type="dxa"/>
            <w:tcBorders>
              <w:bottom w:val="single" w:sz="4" w:space="0" w:color="000000"/>
            </w:tcBorders>
          </w:tcPr>
          <w:p>
            <w:pPr>
              <w:pStyle w:val="TableParagraph"/>
              <w:rPr>
                <w:rFonts w:ascii="Times New Roman"/>
                <w:sz w:val="22"/>
              </w:rPr>
            </w:pPr>
          </w:p>
        </w:tc>
        <w:tc>
          <w:tcPr>
            <w:tcW w:w="785" w:type="dxa"/>
            <w:tcBorders>
              <w:bottom w:val="single" w:sz="4" w:space="0" w:color="000000"/>
            </w:tcBorders>
          </w:tcPr>
          <w:p>
            <w:pPr>
              <w:pStyle w:val="TableParagraph"/>
              <w:spacing w:before="70"/>
              <w:ind w:left="139"/>
              <w:rPr>
                <w:b/>
                <w:sz w:val="22"/>
              </w:rPr>
            </w:pPr>
            <w:r>
              <w:rPr>
                <w:b/>
                <w:spacing w:val="-5"/>
                <w:sz w:val="22"/>
              </w:rPr>
              <w:t>AMC</w:t>
            </w:r>
          </w:p>
        </w:tc>
        <w:tc>
          <w:tcPr>
            <w:tcW w:w="791" w:type="dxa"/>
            <w:tcBorders>
              <w:bottom w:val="single" w:sz="4" w:space="0" w:color="000000"/>
            </w:tcBorders>
          </w:tcPr>
          <w:p>
            <w:pPr>
              <w:pStyle w:val="TableParagraph"/>
              <w:rPr>
                <w:rFonts w:ascii="Times New Roman"/>
                <w:sz w:val="22"/>
              </w:rPr>
            </w:pPr>
          </w:p>
        </w:tc>
        <w:tc>
          <w:tcPr>
            <w:tcW w:w="737" w:type="dxa"/>
            <w:tcBorders>
              <w:bottom w:val="single" w:sz="4" w:space="0" w:color="000000"/>
            </w:tcBorders>
          </w:tcPr>
          <w:p>
            <w:pPr>
              <w:pStyle w:val="TableParagraph"/>
              <w:spacing w:before="70"/>
              <w:ind w:left="152"/>
              <w:rPr>
                <w:b/>
                <w:sz w:val="22"/>
              </w:rPr>
            </w:pPr>
            <w:r>
              <w:rPr>
                <w:b/>
                <w:spacing w:val="-5"/>
                <w:sz w:val="22"/>
              </w:rPr>
              <w:t>LEV</w:t>
            </w:r>
          </w:p>
        </w:tc>
        <w:tc>
          <w:tcPr>
            <w:tcW w:w="784" w:type="dxa"/>
            <w:tcBorders>
              <w:bottom w:val="single" w:sz="4" w:space="0" w:color="000000"/>
            </w:tcBorders>
          </w:tcPr>
          <w:p>
            <w:pPr>
              <w:pStyle w:val="TableParagraph"/>
              <w:rPr>
                <w:rFonts w:ascii="Times New Roman"/>
                <w:sz w:val="22"/>
              </w:rPr>
            </w:pPr>
          </w:p>
        </w:tc>
        <w:tc>
          <w:tcPr>
            <w:tcW w:w="774" w:type="dxa"/>
            <w:tcBorders>
              <w:bottom w:val="single" w:sz="4" w:space="0" w:color="000000"/>
            </w:tcBorders>
          </w:tcPr>
          <w:p>
            <w:pPr>
              <w:pStyle w:val="TableParagraph"/>
              <w:spacing w:before="70"/>
              <w:ind w:left="139"/>
              <w:rPr>
                <w:b/>
                <w:sz w:val="22"/>
              </w:rPr>
            </w:pPr>
            <w:r>
              <w:rPr>
                <w:b/>
                <w:spacing w:val="-5"/>
                <w:sz w:val="22"/>
              </w:rPr>
              <w:t>AZM</w:t>
            </w:r>
          </w:p>
        </w:tc>
        <w:tc>
          <w:tcPr>
            <w:tcW w:w="832" w:type="dxa"/>
            <w:tcBorders>
              <w:bottom w:val="single" w:sz="4" w:space="0" w:color="000000"/>
            </w:tcBorders>
          </w:tcPr>
          <w:p>
            <w:pPr>
              <w:pStyle w:val="TableParagraph"/>
              <w:rPr>
                <w:rFonts w:ascii="Times New Roman"/>
                <w:sz w:val="22"/>
              </w:rPr>
            </w:pPr>
          </w:p>
        </w:tc>
      </w:tr>
      <w:tr>
        <w:trPr>
          <w:trHeight w:val="375" w:hRule="atLeast"/>
        </w:trPr>
        <w:tc>
          <w:tcPr>
            <w:tcW w:w="1111" w:type="dxa"/>
            <w:tcBorders>
              <w:top w:val="single" w:sz="4" w:space="0" w:color="000000"/>
            </w:tcBorders>
          </w:tcPr>
          <w:p>
            <w:pPr>
              <w:pStyle w:val="TableParagraph"/>
              <w:spacing w:line="265" w:lineRule="exact"/>
              <w:ind w:left="26" w:right="262"/>
              <w:jc w:val="center"/>
              <w:rPr>
                <w:sz w:val="22"/>
              </w:rPr>
            </w:pPr>
            <w:r>
              <w:rPr>
                <w:sz w:val="22"/>
              </w:rPr>
              <w:t>NS</w:t>
            </w:r>
            <w:r>
              <w:rPr>
                <w:spacing w:val="-1"/>
                <w:sz w:val="22"/>
              </w:rPr>
              <w:t> </w:t>
            </w:r>
            <w:r>
              <w:rPr>
                <w:spacing w:val="-5"/>
                <w:sz w:val="22"/>
              </w:rPr>
              <w:t>256</w:t>
            </w:r>
          </w:p>
        </w:tc>
        <w:tc>
          <w:tcPr>
            <w:tcW w:w="762" w:type="dxa"/>
            <w:tcBorders>
              <w:top w:val="single" w:sz="4" w:space="0" w:color="000000"/>
            </w:tcBorders>
          </w:tcPr>
          <w:p>
            <w:pPr>
              <w:pStyle w:val="TableParagraph"/>
              <w:spacing w:line="265" w:lineRule="exact"/>
              <w:ind w:left="232"/>
              <w:rPr>
                <w:sz w:val="22"/>
              </w:rPr>
            </w:pPr>
            <w:r>
              <w:rPr>
                <w:spacing w:val="-4"/>
                <w:sz w:val="22"/>
              </w:rPr>
              <w:t>1.56</w:t>
            </w:r>
          </w:p>
        </w:tc>
        <w:tc>
          <w:tcPr>
            <w:tcW w:w="771" w:type="dxa"/>
            <w:tcBorders>
              <w:top w:val="single" w:sz="4" w:space="0" w:color="000000"/>
            </w:tcBorders>
          </w:tcPr>
          <w:p>
            <w:pPr>
              <w:pStyle w:val="TableParagraph"/>
              <w:spacing w:line="265" w:lineRule="exact"/>
              <w:ind w:right="151"/>
              <w:jc w:val="right"/>
              <w:rPr>
                <w:sz w:val="22"/>
              </w:rPr>
            </w:pPr>
            <w:r>
              <w:rPr>
                <w:spacing w:val="-4"/>
                <w:sz w:val="22"/>
              </w:rPr>
              <w:t>3.13</w:t>
            </w:r>
          </w:p>
        </w:tc>
        <w:tc>
          <w:tcPr>
            <w:tcW w:w="768" w:type="dxa"/>
            <w:tcBorders>
              <w:top w:val="single" w:sz="4" w:space="0" w:color="000000"/>
            </w:tcBorders>
          </w:tcPr>
          <w:p>
            <w:pPr>
              <w:pStyle w:val="TableParagraph"/>
              <w:spacing w:line="265" w:lineRule="exact"/>
              <w:ind w:right="143"/>
              <w:jc w:val="right"/>
              <w:rPr>
                <w:sz w:val="22"/>
              </w:rPr>
            </w:pPr>
            <w:r>
              <w:rPr>
                <w:spacing w:val="-4"/>
                <w:sz w:val="22"/>
              </w:rPr>
              <w:t>15.6</w:t>
            </w:r>
          </w:p>
        </w:tc>
        <w:tc>
          <w:tcPr>
            <w:tcW w:w="793" w:type="dxa"/>
            <w:tcBorders>
              <w:top w:val="single" w:sz="4" w:space="0" w:color="000000"/>
            </w:tcBorders>
          </w:tcPr>
          <w:p>
            <w:pPr>
              <w:pStyle w:val="TableParagraph"/>
              <w:spacing w:line="265" w:lineRule="exact"/>
              <w:ind w:left="134" w:right="66"/>
              <w:jc w:val="center"/>
              <w:rPr>
                <w:sz w:val="22"/>
              </w:rPr>
            </w:pPr>
            <w:r>
              <w:rPr>
                <w:spacing w:val="-4"/>
                <w:sz w:val="22"/>
              </w:rPr>
              <w:t>62.5</w:t>
            </w:r>
          </w:p>
        </w:tc>
        <w:tc>
          <w:tcPr>
            <w:tcW w:w="785" w:type="dxa"/>
            <w:tcBorders>
              <w:top w:val="single" w:sz="4" w:space="0" w:color="000000"/>
            </w:tcBorders>
          </w:tcPr>
          <w:p>
            <w:pPr>
              <w:pStyle w:val="TableParagraph"/>
              <w:spacing w:line="265" w:lineRule="exact"/>
              <w:ind w:right="154"/>
              <w:jc w:val="right"/>
              <w:rPr>
                <w:sz w:val="22"/>
              </w:rPr>
            </w:pPr>
            <w:r>
              <w:rPr>
                <w:spacing w:val="-4"/>
                <w:sz w:val="22"/>
              </w:rPr>
              <w:t>62.5</w:t>
            </w:r>
          </w:p>
        </w:tc>
        <w:tc>
          <w:tcPr>
            <w:tcW w:w="791" w:type="dxa"/>
            <w:tcBorders>
              <w:top w:val="single" w:sz="4" w:space="0" w:color="000000"/>
            </w:tcBorders>
          </w:tcPr>
          <w:p>
            <w:pPr>
              <w:pStyle w:val="TableParagraph"/>
              <w:spacing w:line="265" w:lineRule="exact"/>
              <w:ind w:left="134" w:right="42"/>
              <w:jc w:val="center"/>
              <w:rPr>
                <w:sz w:val="22"/>
              </w:rPr>
            </w:pPr>
            <w:r>
              <w:rPr>
                <w:spacing w:val="-5"/>
                <w:sz w:val="22"/>
              </w:rPr>
              <w:t>125</w:t>
            </w:r>
          </w:p>
        </w:tc>
        <w:tc>
          <w:tcPr>
            <w:tcW w:w="737" w:type="dxa"/>
            <w:tcBorders>
              <w:top w:val="single" w:sz="4" w:space="0" w:color="000000"/>
            </w:tcBorders>
          </w:tcPr>
          <w:p>
            <w:pPr>
              <w:pStyle w:val="TableParagraph"/>
              <w:spacing w:line="265" w:lineRule="exact"/>
              <w:ind w:left="207"/>
              <w:rPr>
                <w:sz w:val="22"/>
              </w:rPr>
            </w:pPr>
            <w:r>
              <w:rPr>
                <w:spacing w:val="-4"/>
                <w:sz w:val="22"/>
              </w:rPr>
              <w:t>0.98</w:t>
            </w:r>
          </w:p>
        </w:tc>
        <w:tc>
          <w:tcPr>
            <w:tcW w:w="784" w:type="dxa"/>
            <w:tcBorders>
              <w:top w:val="single" w:sz="4" w:space="0" w:color="000000"/>
            </w:tcBorders>
          </w:tcPr>
          <w:p>
            <w:pPr>
              <w:pStyle w:val="TableParagraph"/>
              <w:spacing w:line="265" w:lineRule="exact"/>
              <w:ind w:left="225"/>
              <w:rPr>
                <w:sz w:val="22"/>
              </w:rPr>
            </w:pPr>
            <w:r>
              <w:rPr>
                <w:spacing w:val="-4"/>
                <w:sz w:val="22"/>
              </w:rPr>
              <w:t>31.3</w:t>
            </w:r>
          </w:p>
        </w:tc>
        <w:tc>
          <w:tcPr>
            <w:tcW w:w="774" w:type="dxa"/>
            <w:tcBorders>
              <w:top w:val="single" w:sz="4" w:space="0" w:color="000000"/>
            </w:tcBorders>
          </w:tcPr>
          <w:p>
            <w:pPr>
              <w:pStyle w:val="TableParagraph"/>
              <w:spacing w:line="265" w:lineRule="exact"/>
              <w:ind w:right="151"/>
              <w:jc w:val="right"/>
              <w:rPr>
                <w:sz w:val="22"/>
              </w:rPr>
            </w:pPr>
            <w:r>
              <w:rPr>
                <w:spacing w:val="-4"/>
                <w:sz w:val="22"/>
              </w:rPr>
              <w:t>0.78</w:t>
            </w:r>
          </w:p>
        </w:tc>
        <w:tc>
          <w:tcPr>
            <w:tcW w:w="832" w:type="dxa"/>
            <w:tcBorders>
              <w:top w:val="single" w:sz="4" w:space="0" w:color="000000"/>
            </w:tcBorders>
          </w:tcPr>
          <w:p>
            <w:pPr>
              <w:pStyle w:val="TableParagraph"/>
              <w:spacing w:line="265" w:lineRule="exact"/>
              <w:ind w:left="134" w:right="91"/>
              <w:jc w:val="center"/>
              <w:rPr>
                <w:sz w:val="22"/>
              </w:rPr>
            </w:pPr>
            <w:r>
              <w:rPr>
                <w:spacing w:val="-4"/>
                <w:sz w:val="22"/>
              </w:rPr>
              <w:t>50.0</w:t>
            </w:r>
          </w:p>
        </w:tc>
      </w:tr>
      <w:tr>
        <w:trPr>
          <w:trHeight w:val="450" w:hRule="atLeast"/>
        </w:trPr>
        <w:tc>
          <w:tcPr>
            <w:tcW w:w="1111" w:type="dxa"/>
          </w:tcPr>
          <w:p>
            <w:pPr>
              <w:pStyle w:val="TableParagraph"/>
              <w:spacing w:before="70"/>
              <w:ind w:left="26" w:right="262"/>
              <w:jc w:val="center"/>
              <w:rPr>
                <w:sz w:val="22"/>
              </w:rPr>
            </w:pPr>
            <w:r>
              <w:rPr>
                <w:sz w:val="22"/>
              </w:rPr>
              <w:t>NS</w:t>
            </w:r>
            <w:r>
              <w:rPr>
                <w:spacing w:val="-1"/>
                <w:sz w:val="22"/>
              </w:rPr>
              <w:t> </w:t>
            </w:r>
            <w:r>
              <w:rPr>
                <w:spacing w:val="-5"/>
                <w:sz w:val="22"/>
              </w:rPr>
              <w:t>893</w:t>
            </w:r>
          </w:p>
        </w:tc>
        <w:tc>
          <w:tcPr>
            <w:tcW w:w="762" w:type="dxa"/>
          </w:tcPr>
          <w:p>
            <w:pPr>
              <w:pStyle w:val="TableParagraph"/>
              <w:spacing w:before="70"/>
              <w:ind w:left="261"/>
              <w:rPr>
                <w:sz w:val="22"/>
              </w:rPr>
            </w:pPr>
            <w:r>
              <w:rPr>
                <w:spacing w:val="-5"/>
                <w:sz w:val="22"/>
              </w:rPr>
              <w:t>100</w:t>
            </w:r>
          </w:p>
        </w:tc>
        <w:tc>
          <w:tcPr>
            <w:tcW w:w="771" w:type="dxa"/>
          </w:tcPr>
          <w:p>
            <w:pPr>
              <w:pStyle w:val="TableParagraph"/>
              <w:spacing w:before="70"/>
              <w:ind w:right="218"/>
              <w:jc w:val="right"/>
              <w:rPr>
                <w:sz w:val="22"/>
              </w:rPr>
            </w:pPr>
            <w:r>
              <w:rPr>
                <w:spacing w:val="-5"/>
                <w:sz w:val="22"/>
              </w:rPr>
              <w:t>NB</w:t>
            </w:r>
          </w:p>
        </w:tc>
        <w:tc>
          <w:tcPr>
            <w:tcW w:w="768" w:type="dxa"/>
          </w:tcPr>
          <w:p>
            <w:pPr>
              <w:pStyle w:val="TableParagraph"/>
              <w:spacing w:before="70"/>
              <w:ind w:right="143"/>
              <w:jc w:val="right"/>
              <w:rPr>
                <w:sz w:val="22"/>
              </w:rPr>
            </w:pPr>
            <w:r>
              <w:rPr>
                <w:spacing w:val="-4"/>
                <w:sz w:val="22"/>
              </w:rPr>
              <w:t>62.5</w:t>
            </w:r>
          </w:p>
        </w:tc>
        <w:tc>
          <w:tcPr>
            <w:tcW w:w="793" w:type="dxa"/>
          </w:tcPr>
          <w:p>
            <w:pPr>
              <w:pStyle w:val="TableParagraph"/>
              <w:spacing w:before="70"/>
              <w:ind w:left="133" w:right="66"/>
              <w:jc w:val="center"/>
              <w:rPr>
                <w:sz w:val="22"/>
              </w:rPr>
            </w:pPr>
            <w:r>
              <w:rPr>
                <w:spacing w:val="-4"/>
                <w:sz w:val="22"/>
              </w:rPr>
              <w:t>&gt;125</w:t>
            </w:r>
          </w:p>
        </w:tc>
        <w:tc>
          <w:tcPr>
            <w:tcW w:w="785" w:type="dxa"/>
          </w:tcPr>
          <w:p>
            <w:pPr>
              <w:pStyle w:val="TableParagraph"/>
              <w:spacing w:before="70"/>
              <w:ind w:right="252"/>
              <w:jc w:val="right"/>
              <w:rPr>
                <w:sz w:val="22"/>
              </w:rPr>
            </w:pPr>
            <w:r>
              <w:rPr>
                <w:spacing w:val="-5"/>
                <w:sz w:val="22"/>
              </w:rPr>
              <w:t>NI</w:t>
            </w:r>
          </w:p>
        </w:tc>
        <w:tc>
          <w:tcPr>
            <w:tcW w:w="791" w:type="dxa"/>
          </w:tcPr>
          <w:p>
            <w:pPr>
              <w:pStyle w:val="TableParagraph"/>
              <w:spacing w:before="70"/>
              <w:ind w:left="131" w:right="42"/>
              <w:jc w:val="center"/>
              <w:rPr>
                <w:sz w:val="22"/>
              </w:rPr>
            </w:pPr>
            <w:r>
              <w:rPr>
                <w:spacing w:val="-5"/>
                <w:sz w:val="22"/>
              </w:rPr>
              <w:t>NB</w:t>
            </w:r>
          </w:p>
        </w:tc>
        <w:tc>
          <w:tcPr>
            <w:tcW w:w="737" w:type="dxa"/>
          </w:tcPr>
          <w:p>
            <w:pPr>
              <w:pStyle w:val="TableParagraph"/>
              <w:spacing w:before="70"/>
              <w:ind w:left="207"/>
              <w:rPr>
                <w:sz w:val="22"/>
              </w:rPr>
            </w:pPr>
            <w:r>
              <w:rPr>
                <w:spacing w:val="-4"/>
                <w:sz w:val="22"/>
              </w:rPr>
              <w:t>0.98</w:t>
            </w:r>
          </w:p>
        </w:tc>
        <w:tc>
          <w:tcPr>
            <w:tcW w:w="784" w:type="dxa"/>
          </w:tcPr>
          <w:p>
            <w:pPr>
              <w:pStyle w:val="TableParagraph"/>
              <w:spacing w:before="70"/>
              <w:ind w:left="225"/>
              <w:rPr>
                <w:sz w:val="22"/>
              </w:rPr>
            </w:pPr>
            <w:r>
              <w:rPr>
                <w:spacing w:val="-4"/>
                <w:sz w:val="22"/>
              </w:rPr>
              <w:t>3.91</w:t>
            </w:r>
          </w:p>
        </w:tc>
        <w:tc>
          <w:tcPr>
            <w:tcW w:w="774" w:type="dxa"/>
          </w:tcPr>
          <w:p>
            <w:pPr>
              <w:pStyle w:val="TableParagraph"/>
              <w:spacing w:before="70"/>
              <w:ind w:right="150"/>
              <w:jc w:val="right"/>
              <w:rPr>
                <w:sz w:val="22"/>
              </w:rPr>
            </w:pPr>
            <w:r>
              <w:rPr>
                <w:spacing w:val="-4"/>
                <w:sz w:val="22"/>
              </w:rPr>
              <w:t>25.0</w:t>
            </w:r>
          </w:p>
        </w:tc>
        <w:tc>
          <w:tcPr>
            <w:tcW w:w="832" w:type="dxa"/>
          </w:tcPr>
          <w:p>
            <w:pPr>
              <w:pStyle w:val="TableParagraph"/>
              <w:spacing w:before="70"/>
              <w:ind w:left="134" w:right="91"/>
              <w:jc w:val="center"/>
              <w:rPr>
                <w:sz w:val="22"/>
              </w:rPr>
            </w:pPr>
            <w:r>
              <w:rPr>
                <w:spacing w:val="-5"/>
                <w:sz w:val="22"/>
              </w:rPr>
              <w:t>&gt;50</w:t>
            </w:r>
          </w:p>
        </w:tc>
      </w:tr>
      <w:tr>
        <w:trPr>
          <w:trHeight w:val="450" w:hRule="atLeast"/>
        </w:trPr>
        <w:tc>
          <w:tcPr>
            <w:tcW w:w="1111" w:type="dxa"/>
          </w:tcPr>
          <w:p>
            <w:pPr>
              <w:pStyle w:val="TableParagraph"/>
              <w:spacing w:before="71"/>
              <w:ind w:left="110" w:right="262"/>
              <w:jc w:val="center"/>
              <w:rPr>
                <w:sz w:val="22"/>
              </w:rPr>
            </w:pPr>
            <w:r>
              <w:rPr>
                <w:sz w:val="22"/>
              </w:rPr>
              <w:t>SP</w:t>
            </w:r>
            <w:r>
              <w:rPr>
                <w:spacing w:val="1"/>
                <w:sz w:val="22"/>
              </w:rPr>
              <w:t> </w:t>
            </w:r>
            <w:r>
              <w:rPr>
                <w:spacing w:val="-4"/>
                <w:sz w:val="22"/>
              </w:rPr>
              <w:t>1096</w:t>
            </w:r>
          </w:p>
        </w:tc>
        <w:tc>
          <w:tcPr>
            <w:tcW w:w="762" w:type="dxa"/>
          </w:tcPr>
          <w:p>
            <w:pPr>
              <w:pStyle w:val="TableParagraph"/>
              <w:spacing w:before="71"/>
              <w:ind w:left="232"/>
              <w:rPr>
                <w:sz w:val="22"/>
              </w:rPr>
            </w:pPr>
            <w:r>
              <w:rPr>
                <w:spacing w:val="-4"/>
                <w:sz w:val="22"/>
              </w:rPr>
              <w:t>25.0</w:t>
            </w:r>
          </w:p>
        </w:tc>
        <w:tc>
          <w:tcPr>
            <w:tcW w:w="771" w:type="dxa"/>
          </w:tcPr>
          <w:p>
            <w:pPr>
              <w:pStyle w:val="TableParagraph"/>
              <w:spacing w:before="71"/>
              <w:ind w:right="180"/>
              <w:jc w:val="right"/>
              <w:rPr>
                <w:sz w:val="22"/>
              </w:rPr>
            </w:pPr>
            <w:r>
              <w:rPr>
                <w:spacing w:val="-5"/>
                <w:sz w:val="22"/>
              </w:rPr>
              <w:t>100</w:t>
            </w:r>
          </w:p>
        </w:tc>
        <w:tc>
          <w:tcPr>
            <w:tcW w:w="768" w:type="dxa"/>
          </w:tcPr>
          <w:p>
            <w:pPr>
              <w:pStyle w:val="TableParagraph"/>
              <w:spacing w:before="71"/>
              <w:ind w:left="325"/>
              <w:rPr>
                <w:sz w:val="22"/>
              </w:rPr>
            </w:pPr>
            <w:r>
              <w:rPr>
                <w:spacing w:val="-5"/>
                <w:sz w:val="22"/>
              </w:rPr>
              <w:t>NI</w:t>
            </w:r>
          </w:p>
        </w:tc>
        <w:tc>
          <w:tcPr>
            <w:tcW w:w="793" w:type="dxa"/>
          </w:tcPr>
          <w:p>
            <w:pPr>
              <w:pStyle w:val="TableParagraph"/>
              <w:spacing w:before="71"/>
              <w:ind w:left="131" w:right="66"/>
              <w:jc w:val="center"/>
              <w:rPr>
                <w:sz w:val="22"/>
              </w:rPr>
            </w:pPr>
            <w:r>
              <w:rPr>
                <w:spacing w:val="-5"/>
                <w:sz w:val="22"/>
              </w:rPr>
              <w:t>NB</w:t>
            </w:r>
          </w:p>
        </w:tc>
        <w:tc>
          <w:tcPr>
            <w:tcW w:w="785" w:type="dxa"/>
          </w:tcPr>
          <w:p>
            <w:pPr>
              <w:pStyle w:val="TableParagraph"/>
              <w:spacing w:before="71"/>
              <w:ind w:right="252"/>
              <w:jc w:val="right"/>
              <w:rPr>
                <w:sz w:val="22"/>
              </w:rPr>
            </w:pPr>
            <w:r>
              <w:rPr>
                <w:spacing w:val="-5"/>
                <w:sz w:val="22"/>
              </w:rPr>
              <w:t>NI</w:t>
            </w:r>
          </w:p>
        </w:tc>
        <w:tc>
          <w:tcPr>
            <w:tcW w:w="791" w:type="dxa"/>
          </w:tcPr>
          <w:p>
            <w:pPr>
              <w:pStyle w:val="TableParagraph"/>
              <w:spacing w:before="71"/>
              <w:ind w:left="131" w:right="42"/>
              <w:jc w:val="center"/>
              <w:rPr>
                <w:sz w:val="22"/>
              </w:rPr>
            </w:pPr>
            <w:r>
              <w:rPr>
                <w:spacing w:val="-5"/>
                <w:sz w:val="22"/>
              </w:rPr>
              <w:t>NB</w:t>
            </w:r>
          </w:p>
        </w:tc>
        <w:tc>
          <w:tcPr>
            <w:tcW w:w="737" w:type="dxa"/>
          </w:tcPr>
          <w:p>
            <w:pPr>
              <w:pStyle w:val="TableParagraph"/>
              <w:spacing w:before="71"/>
              <w:ind w:left="207"/>
              <w:rPr>
                <w:sz w:val="22"/>
              </w:rPr>
            </w:pPr>
            <w:r>
              <w:rPr>
                <w:spacing w:val="-4"/>
                <w:sz w:val="22"/>
              </w:rPr>
              <w:t>31.3</w:t>
            </w:r>
          </w:p>
        </w:tc>
        <w:tc>
          <w:tcPr>
            <w:tcW w:w="784" w:type="dxa"/>
          </w:tcPr>
          <w:p>
            <w:pPr>
              <w:pStyle w:val="TableParagraph"/>
              <w:spacing w:before="71"/>
              <w:ind w:left="253"/>
              <w:rPr>
                <w:sz w:val="22"/>
              </w:rPr>
            </w:pPr>
            <w:r>
              <w:rPr>
                <w:spacing w:val="-5"/>
                <w:sz w:val="22"/>
              </w:rPr>
              <w:t>125</w:t>
            </w:r>
          </w:p>
        </w:tc>
        <w:tc>
          <w:tcPr>
            <w:tcW w:w="774" w:type="dxa"/>
          </w:tcPr>
          <w:p>
            <w:pPr>
              <w:pStyle w:val="TableParagraph"/>
              <w:spacing w:before="71"/>
              <w:ind w:left="326"/>
              <w:rPr>
                <w:sz w:val="22"/>
              </w:rPr>
            </w:pPr>
            <w:r>
              <w:rPr>
                <w:spacing w:val="-5"/>
                <w:sz w:val="22"/>
              </w:rPr>
              <w:t>NI</w:t>
            </w:r>
          </w:p>
        </w:tc>
        <w:tc>
          <w:tcPr>
            <w:tcW w:w="832" w:type="dxa"/>
          </w:tcPr>
          <w:p>
            <w:pPr>
              <w:pStyle w:val="TableParagraph"/>
              <w:spacing w:before="71"/>
              <w:ind w:left="132" w:right="91"/>
              <w:jc w:val="center"/>
              <w:rPr>
                <w:sz w:val="22"/>
              </w:rPr>
            </w:pPr>
            <w:r>
              <w:rPr>
                <w:spacing w:val="-5"/>
                <w:sz w:val="22"/>
              </w:rPr>
              <w:t>NB</w:t>
            </w:r>
          </w:p>
        </w:tc>
      </w:tr>
      <w:tr>
        <w:trPr>
          <w:trHeight w:val="450" w:hRule="atLeast"/>
        </w:trPr>
        <w:tc>
          <w:tcPr>
            <w:tcW w:w="1111" w:type="dxa"/>
          </w:tcPr>
          <w:p>
            <w:pPr>
              <w:pStyle w:val="TableParagraph"/>
              <w:spacing w:before="70"/>
              <w:ind w:left="110" w:right="262"/>
              <w:jc w:val="center"/>
              <w:rPr>
                <w:sz w:val="22"/>
              </w:rPr>
            </w:pPr>
            <w:r>
              <w:rPr>
                <w:sz w:val="22"/>
              </w:rPr>
              <w:t>SP</w:t>
            </w:r>
            <w:r>
              <w:rPr>
                <w:spacing w:val="1"/>
                <w:sz w:val="22"/>
              </w:rPr>
              <w:t> </w:t>
            </w:r>
            <w:r>
              <w:rPr>
                <w:spacing w:val="-4"/>
                <w:sz w:val="22"/>
              </w:rPr>
              <w:t>1308</w:t>
            </w:r>
          </w:p>
        </w:tc>
        <w:tc>
          <w:tcPr>
            <w:tcW w:w="762" w:type="dxa"/>
          </w:tcPr>
          <w:p>
            <w:pPr>
              <w:pStyle w:val="TableParagraph"/>
              <w:spacing w:before="70"/>
              <w:ind w:left="331"/>
              <w:rPr>
                <w:sz w:val="22"/>
              </w:rPr>
            </w:pPr>
            <w:r>
              <w:rPr>
                <w:spacing w:val="-5"/>
                <w:sz w:val="22"/>
              </w:rPr>
              <w:t>NI</w:t>
            </w:r>
          </w:p>
        </w:tc>
        <w:tc>
          <w:tcPr>
            <w:tcW w:w="771" w:type="dxa"/>
          </w:tcPr>
          <w:p>
            <w:pPr>
              <w:pStyle w:val="TableParagraph"/>
              <w:spacing w:before="70"/>
              <w:ind w:right="218"/>
              <w:jc w:val="right"/>
              <w:rPr>
                <w:sz w:val="22"/>
              </w:rPr>
            </w:pPr>
            <w:r>
              <w:rPr>
                <w:spacing w:val="-5"/>
                <w:sz w:val="22"/>
              </w:rPr>
              <w:t>NB</w:t>
            </w:r>
          </w:p>
        </w:tc>
        <w:tc>
          <w:tcPr>
            <w:tcW w:w="768" w:type="dxa"/>
          </w:tcPr>
          <w:p>
            <w:pPr>
              <w:pStyle w:val="TableParagraph"/>
              <w:spacing w:before="70"/>
              <w:ind w:right="144"/>
              <w:jc w:val="right"/>
              <w:rPr>
                <w:sz w:val="22"/>
              </w:rPr>
            </w:pPr>
            <w:r>
              <w:rPr>
                <w:spacing w:val="-4"/>
                <w:sz w:val="22"/>
              </w:rPr>
              <w:t>1.95</w:t>
            </w:r>
          </w:p>
        </w:tc>
        <w:tc>
          <w:tcPr>
            <w:tcW w:w="793" w:type="dxa"/>
          </w:tcPr>
          <w:p>
            <w:pPr>
              <w:pStyle w:val="TableParagraph"/>
              <w:spacing w:before="70"/>
              <w:ind w:left="133" w:right="66"/>
              <w:jc w:val="center"/>
              <w:rPr>
                <w:sz w:val="22"/>
              </w:rPr>
            </w:pPr>
            <w:r>
              <w:rPr>
                <w:spacing w:val="-4"/>
                <w:sz w:val="22"/>
              </w:rPr>
              <w:t>7.81</w:t>
            </w:r>
          </w:p>
        </w:tc>
        <w:tc>
          <w:tcPr>
            <w:tcW w:w="785" w:type="dxa"/>
          </w:tcPr>
          <w:p>
            <w:pPr>
              <w:pStyle w:val="TableParagraph"/>
              <w:spacing w:before="70"/>
              <w:ind w:right="154"/>
              <w:jc w:val="right"/>
              <w:rPr>
                <w:sz w:val="22"/>
              </w:rPr>
            </w:pPr>
            <w:r>
              <w:rPr>
                <w:spacing w:val="-4"/>
                <w:sz w:val="22"/>
              </w:rPr>
              <w:t>31.5</w:t>
            </w:r>
          </w:p>
        </w:tc>
        <w:tc>
          <w:tcPr>
            <w:tcW w:w="791" w:type="dxa"/>
          </w:tcPr>
          <w:p>
            <w:pPr>
              <w:pStyle w:val="TableParagraph"/>
              <w:spacing w:before="70"/>
              <w:ind w:left="134" w:right="42"/>
              <w:jc w:val="center"/>
              <w:rPr>
                <w:sz w:val="22"/>
              </w:rPr>
            </w:pPr>
            <w:r>
              <w:rPr>
                <w:spacing w:val="-5"/>
                <w:sz w:val="22"/>
              </w:rPr>
              <w:t>125</w:t>
            </w:r>
          </w:p>
        </w:tc>
        <w:tc>
          <w:tcPr>
            <w:tcW w:w="737" w:type="dxa"/>
          </w:tcPr>
          <w:p>
            <w:pPr>
              <w:pStyle w:val="TableParagraph"/>
              <w:spacing w:before="70"/>
              <w:ind w:left="207"/>
              <w:rPr>
                <w:sz w:val="22"/>
              </w:rPr>
            </w:pPr>
            <w:r>
              <w:rPr>
                <w:spacing w:val="-4"/>
                <w:sz w:val="22"/>
              </w:rPr>
              <w:t>0.98</w:t>
            </w:r>
          </w:p>
        </w:tc>
        <w:tc>
          <w:tcPr>
            <w:tcW w:w="784" w:type="dxa"/>
          </w:tcPr>
          <w:p>
            <w:pPr>
              <w:pStyle w:val="TableParagraph"/>
              <w:spacing w:before="70"/>
              <w:ind w:left="225"/>
              <w:rPr>
                <w:sz w:val="22"/>
              </w:rPr>
            </w:pPr>
            <w:r>
              <w:rPr>
                <w:spacing w:val="-4"/>
                <w:sz w:val="22"/>
              </w:rPr>
              <w:t>62.5</w:t>
            </w:r>
          </w:p>
        </w:tc>
        <w:tc>
          <w:tcPr>
            <w:tcW w:w="774" w:type="dxa"/>
          </w:tcPr>
          <w:p>
            <w:pPr>
              <w:pStyle w:val="TableParagraph"/>
              <w:spacing w:before="70"/>
              <w:ind w:left="326"/>
              <w:rPr>
                <w:sz w:val="22"/>
              </w:rPr>
            </w:pPr>
            <w:r>
              <w:rPr>
                <w:spacing w:val="-5"/>
                <w:sz w:val="22"/>
              </w:rPr>
              <w:t>NI</w:t>
            </w:r>
          </w:p>
        </w:tc>
        <w:tc>
          <w:tcPr>
            <w:tcW w:w="832" w:type="dxa"/>
          </w:tcPr>
          <w:p>
            <w:pPr>
              <w:pStyle w:val="TableParagraph"/>
              <w:spacing w:before="70"/>
              <w:ind w:left="132" w:right="91"/>
              <w:jc w:val="center"/>
              <w:rPr>
                <w:sz w:val="22"/>
              </w:rPr>
            </w:pPr>
            <w:r>
              <w:rPr>
                <w:spacing w:val="-5"/>
                <w:sz w:val="22"/>
              </w:rPr>
              <w:t>NB</w:t>
            </w:r>
          </w:p>
        </w:tc>
      </w:tr>
      <w:tr>
        <w:trPr>
          <w:trHeight w:val="450" w:hRule="atLeast"/>
        </w:trPr>
        <w:tc>
          <w:tcPr>
            <w:tcW w:w="1111" w:type="dxa"/>
          </w:tcPr>
          <w:p>
            <w:pPr>
              <w:pStyle w:val="TableParagraph"/>
              <w:spacing w:before="71"/>
              <w:ind w:left="110" w:right="262"/>
              <w:jc w:val="center"/>
              <w:rPr>
                <w:sz w:val="22"/>
              </w:rPr>
            </w:pPr>
            <w:r>
              <w:rPr>
                <w:sz w:val="22"/>
              </w:rPr>
              <w:t>SP</w:t>
            </w:r>
            <w:r>
              <w:rPr>
                <w:spacing w:val="1"/>
                <w:sz w:val="22"/>
              </w:rPr>
              <w:t> </w:t>
            </w:r>
            <w:r>
              <w:rPr>
                <w:spacing w:val="-4"/>
                <w:sz w:val="22"/>
              </w:rPr>
              <w:t>1347</w:t>
            </w:r>
          </w:p>
        </w:tc>
        <w:tc>
          <w:tcPr>
            <w:tcW w:w="762" w:type="dxa"/>
          </w:tcPr>
          <w:p>
            <w:pPr>
              <w:pStyle w:val="TableParagraph"/>
              <w:spacing w:before="71"/>
              <w:ind w:left="261"/>
              <w:rPr>
                <w:sz w:val="22"/>
              </w:rPr>
            </w:pPr>
            <w:r>
              <w:rPr>
                <w:spacing w:val="-5"/>
                <w:sz w:val="22"/>
              </w:rPr>
              <w:t>100</w:t>
            </w:r>
          </w:p>
        </w:tc>
        <w:tc>
          <w:tcPr>
            <w:tcW w:w="771" w:type="dxa"/>
          </w:tcPr>
          <w:p>
            <w:pPr>
              <w:pStyle w:val="TableParagraph"/>
              <w:spacing w:before="71"/>
              <w:ind w:right="218"/>
              <w:jc w:val="right"/>
              <w:rPr>
                <w:sz w:val="22"/>
              </w:rPr>
            </w:pPr>
            <w:r>
              <w:rPr>
                <w:spacing w:val="-5"/>
                <w:sz w:val="22"/>
              </w:rPr>
              <w:t>NB</w:t>
            </w:r>
          </w:p>
        </w:tc>
        <w:tc>
          <w:tcPr>
            <w:tcW w:w="768" w:type="dxa"/>
          </w:tcPr>
          <w:p>
            <w:pPr>
              <w:pStyle w:val="TableParagraph"/>
              <w:spacing w:before="71"/>
              <w:ind w:right="144"/>
              <w:jc w:val="right"/>
              <w:rPr>
                <w:sz w:val="22"/>
              </w:rPr>
            </w:pPr>
            <w:r>
              <w:rPr>
                <w:spacing w:val="-4"/>
                <w:sz w:val="22"/>
              </w:rPr>
              <w:t>1.95</w:t>
            </w:r>
          </w:p>
        </w:tc>
        <w:tc>
          <w:tcPr>
            <w:tcW w:w="793" w:type="dxa"/>
          </w:tcPr>
          <w:p>
            <w:pPr>
              <w:pStyle w:val="TableParagraph"/>
              <w:spacing w:before="71"/>
              <w:ind w:left="133" w:right="66"/>
              <w:jc w:val="center"/>
              <w:rPr>
                <w:sz w:val="22"/>
              </w:rPr>
            </w:pPr>
            <w:r>
              <w:rPr>
                <w:spacing w:val="-4"/>
                <w:sz w:val="22"/>
              </w:rPr>
              <w:t>3.91</w:t>
            </w:r>
          </w:p>
        </w:tc>
        <w:tc>
          <w:tcPr>
            <w:tcW w:w="785" w:type="dxa"/>
          </w:tcPr>
          <w:p>
            <w:pPr>
              <w:pStyle w:val="TableParagraph"/>
              <w:spacing w:before="71"/>
              <w:ind w:right="183"/>
              <w:jc w:val="right"/>
              <w:rPr>
                <w:sz w:val="22"/>
              </w:rPr>
            </w:pPr>
            <w:r>
              <w:rPr>
                <w:spacing w:val="-5"/>
                <w:sz w:val="22"/>
              </w:rPr>
              <w:t>125</w:t>
            </w:r>
          </w:p>
        </w:tc>
        <w:tc>
          <w:tcPr>
            <w:tcW w:w="791" w:type="dxa"/>
          </w:tcPr>
          <w:p>
            <w:pPr>
              <w:pStyle w:val="TableParagraph"/>
              <w:spacing w:before="71"/>
              <w:ind w:left="131" w:right="42"/>
              <w:jc w:val="center"/>
              <w:rPr>
                <w:sz w:val="22"/>
              </w:rPr>
            </w:pPr>
            <w:r>
              <w:rPr>
                <w:spacing w:val="-5"/>
                <w:sz w:val="22"/>
              </w:rPr>
              <w:t>NB</w:t>
            </w:r>
          </w:p>
        </w:tc>
        <w:tc>
          <w:tcPr>
            <w:tcW w:w="737" w:type="dxa"/>
          </w:tcPr>
          <w:p>
            <w:pPr>
              <w:pStyle w:val="TableParagraph"/>
              <w:spacing w:before="71"/>
              <w:ind w:left="207"/>
              <w:rPr>
                <w:sz w:val="22"/>
              </w:rPr>
            </w:pPr>
            <w:r>
              <w:rPr>
                <w:spacing w:val="-4"/>
                <w:sz w:val="22"/>
              </w:rPr>
              <w:t>0.98</w:t>
            </w:r>
          </w:p>
        </w:tc>
        <w:tc>
          <w:tcPr>
            <w:tcW w:w="784" w:type="dxa"/>
          </w:tcPr>
          <w:p>
            <w:pPr>
              <w:pStyle w:val="TableParagraph"/>
              <w:spacing w:before="71"/>
              <w:ind w:left="225"/>
              <w:rPr>
                <w:sz w:val="22"/>
              </w:rPr>
            </w:pPr>
            <w:r>
              <w:rPr>
                <w:spacing w:val="-4"/>
                <w:sz w:val="22"/>
              </w:rPr>
              <w:t>3.91</w:t>
            </w:r>
          </w:p>
        </w:tc>
        <w:tc>
          <w:tcPr>
            <w:tcW w:w="774" w:type="dxa"/>
          </w:tcPr>
          <w:p>
            <w:pPr>
              <w:pStyle w:val="TableParagraph"/>
              <w:spacing w:before="71"/>
              <w:ind w:right="151"/>
              <w:jc w:val="right"/>
              <w:rPr>
                <w:sz w:val="22"/>
              </w:rPr>
            </w:pPr>
            <w:r>
              <w:rPr>
                <w:spacing w:val="-4"/>
                <w:sz w:val="22"/>
              </w:rPr>
              <w:t>0.78</w:t>
            </w:r>
          </w:p>
        </w:tc>
        <w:tc>
          <w:tcPr>
            <w:tcW w:w="832" w:type="dxa"/>
          </w:tcPr>
          <w:p>
            <w:pPr>
              <w:pStyle w:val="TableParagraph"/>
              <w:spacing w:before="71"/>
              <w:ind w:left="134" w:right="91"/>
              <w:jc w:val="center"/>
              <w:rPr>
                <w:sz w:val="22"/>
              </w:rPr>
            </w:pPr>
            <w:r>
              <w:rPr>
                <w:spacing w:val="-4"/>
                <w:sz w:val="22"/>
              </w:rPr>
              <w:t>25.0</w:t>
            </w:r>
          </w:p>
        </w:tc>
      </w:tr>
      <w:tr>
        <w:trPr>
          <w:trHeight w:val="450" w:hRule="atLeast"/>
        </w:trPr>
        <w:tc>
          <w:tcPr>
            <w:tcW w:w="1111" w:type="dxa"/>
          </w:tcPr>
          <w:p>
            <w:pPr>
              <w:pStyle w:val="TableParagraph"/>
              <w:spacing w:before="70"/>
              <w:ind w:left="110" w:right="262"/>
              <w:jc w:val="center"/>
              <w:rPr>
                <w:sz w:val="22"/>
              </w:rPr>
            </w:pPr>
            <w:r>
              <w:rPr>
                <w:sz w:val="22"/>
              </w:rPr>
              <w:t>SP</w:t>
            </w:r>
            <w:r>
              <w:rPr>
                <w:spacing w:val="1"/>
                <w:sz w:val="22"/>
              </w:rPr>
              <w:t> </w:t>
            </w:r>
            <w:r>
              <w:rPr>
                <w:spacing w:val="-4"/>
                <w:sz w:val="22"/>
              </w:rPr>
              <w:t>1382</w:t>
            </w:r>
          </w:p>
        </w:tc>
        <w:tc>
          <w:tcPr>
            <w:tcW w:w="762" w:type="dxa"/>
          </w:tcPr>
          <w:p>
            <w:pPr>
              <w:pStyle w:val="TableParagraph"/>
              <w:spacing w:before="70"/>
              <w:ind w:left="232"/>
              <w:rPr>
                <w:sz w:val="22"/>
              </w:rPr>
            </w:pPr>
            <w:r>
              <w:rPr>
                <w:spacing w:val="-4"/>
                <w:sz w:val="22"/>
              </w:rPr>
              <w:t>1.56</w:t>
            </w:r>
          </w:p>
        </w:tc>
        <w:tc>
          <w:tcPr>
            <w:tcW w:w="771" w:type="dxa"/>
          </w:tcPr>
          <w:p>
            <w:pPr>
              <w:pStyle w:val="TableParagraph"/>
              <w:spacing w:before="70"/>
              <w:ind w:right="151"/>
              <w:jc w:val="right"/>
              <w:rPr>
                <w:sz w:val="22"/>
              </w:rPr>
            </w:pPr>
            <w:r>
              <w:rPr>
                <w:spacing w:val="-4"/>
                <w:sz w:val="22"/>
              </w:rPr>
              <w:t>3.13</w:t>
            </w:r>
          </w:p>
        </w:tc>
        <w:tc>
          <w:tcPr>
            <w:tcW w:w="768" w:type="dxa"/>
          </w:tcPr>
          <w:p>
            <w:pPr>
              <w:pStyle w:val="TableParagraph"/>
              <w:spacing w:before="70"/>
              <w:ind w:right="143"/>
              <w:jc w:val="right"/>
              <w:rPr>
                <w:sz w:val="22"/>
              </w:rPr>
            </w:pPr>
            <w:r>
              <w:rPr>
                <w:spacing w:val="-4"/>
                <w:sz w:val="22"/>
              </w:rPr>
              <w:t>15.6</w:t>
            </w:r>
          </w:p>
        </w:tc>
        <w:tc>
          <w:tcPr>
            <w:tcW w:w="793" w:type="dxa"/>
          </w:tcPr>
          <w:p>
            <w:pPr>
              <w:pStyle w:val="TableParagraph"/>
              <w:spacing w:before="70"/>
              <w:ind w:left="134" w:right="66"/>
              <w:jc w:val="center"/>
              <w:rPr>
                <w:sz w:val="22"/>
              </w:rPr>
            </w:pPr>
            <w:r>
              <w:rPr>
                <w:spacing w:val="-4"/>
                <w:sz w:val="22"/>
              </w:rPr>
              <w:t>62.5</w:t>
            </w:r>
          </w:p>
        </w:tc>
        <w:tc>
          <w:tcPr>
            <w:tcW w:w="785" w:type="dxa"/>
          </w:tcPr>
          <w:p>
            <w:pPr>
              <w:pStyle w:val="TableParagraph"/>
              <w:spacing w:before="70"/>
              <w:ind w:right="154"/>
              <w:jc w:val="right"/>
              <w:rPr>
                <w:sz w:val="22"/>
              </w:rPr>
            </w:pPr>
            <w:r>
              <w:rPr>
                <w:spacing w:val="-4"/>
                <w:sz w:val="22"/>
              </w:rPr>
              <w:t>7.81</w:t>
            </w:r>
          </w:p>
        </w:tc>
        <w:tc>
          <w:tcPr>
            <w:tcW w:w="791" w:type="dxa"/>
          </w:tcPr>
          <w:p>
            <w:pPr>
              <w:pStyle w:val="TableParagraph"/>
              <w:spacing w:before="70"/>
              <w:ind w:left="134" w:right="42"/>
              <w:jc w:val="center"/>
              <w:rPr>
                <w:sz w:val="22"/>
              </w:rPr>
            </w:pPr>
            <w:r>
              <w:rPr>
                <w:spacing w:val="-4"/>
                <w:sz w:val="22"/>
              </w:rPr>
              <w:t>31.3</w:t>
            </w:r>
          </w:p>
        </w:tc>
        <w:tc>
          <w:tcPr>
            <w:tcW w:w="737" w:type="dxa"/>
          </w:tcPr>
          <w:p>
            <w:pPr>
              <w:pStyle w:val="TableParagraph"/>
              <w:spacing w:before="70"/>
              <w:ind w:left="207"/>
              <w:rPr>
                <w:sz w:val="22"/>
              </w:rPr>
            </w:pPr>
            <w:r>
              <w:rPr>
                <w:spacing w:val="-4"/>
                <w:sz w:val="22"/>
              </w:rPr>
              <w:t>0.98</w:t>
            </w:r>
          </w:p>
        </w:tc>
        <w:tc>
          <w:tcPr>
            <w:tcW w:w="784" w:type="dxa"/>
          </w:tcPr>
          <w:p>
            <w:pPr>
              <w:pStyle w:val="TableParagraph"/>
              <w:spacing w:before="70"/>
              <w:ind w:left="225"/>
              <w:rPr>
                <w:sz w:val="22"/>
              </w:rPr>
            </w:pPr>
            <w:r>
              <w:rPr>
                <w:spacing w:val="-4"/>
                <w:sz w:val="22"/>
              </w:rPr>
              <w:t>3.91</w:t>
            </w:r>
          </w:p>
        </w:tc>
        <w:tc>
          <w:tcPr>
            <w:tcW w:w="774" w:type="dxa"/>
          </w:tcPr>
          <w:p>
            <w:pPr>
              <w:pStyle w:val="TableParagraph"/>
              <w:spacing w:before="70"/>
              <w:ind w:right="150"/>
              <w:jc w:val="right"/>
              <w:rPr>
                <w:sz w:val="22"/>
              </w:rPr>
            </w:pPr>
            <w:r>
              <w:rPr>
                <w:spacing w:val="-4"/>
                <w:sz w:val="22"/>
              </w:rPr>
              <w:t>25.0</w:t>
            </w:r>
          </w:p>
        </w:tc>
        <w:tc>
          <w:tcPr>
            <w:tcW w:w="832" w:type="dxa"/>
          </w:tcPr>
          <w:p>
            <w:pPr>
              <w:pStyle w:val="TableParagraph"/>
              <w:spacing w:before="70"/>
              <w:ind w:left="134" w:right="91"/>
              <w:jc w:val="center"/>
              <w:rPr>
                <w:sz w:val="22"/>
              </w:rPr>
            </w:pPr>
            <w:r>
              <w:rPr>
                <w:spacing w:val="-5"/>
                <w:sz w:val="22"/>
              </w:rPr>
              <w:t>&gt;50</w:t>
            </w:r>
          </w:p>
        </w:tc>
      </w:tr>
      <w:tr>
        <w:trPr>
          <w:trHeight w:val="450" w:hRule="atLeast"/>
        </w:trPr>
        <w:tc>
          <w:tcPr>
            <w:tcW w:w="1111" w:type="dxa"/>
          </w:tcPr>
          <w:p>
            <w:pPr>
              <w:pStyle w:val="TableParagraph"/>
              <w:spacing w:before="71"/>
              <w:ind w:right="262"/>
              <w:jc w:val="center"/>
              <w:rPr>
                <w:sz w:val="22"/>
              </w:rPr>
            </w:pPr>
            <w:r>
              <w:rPr>
                <w:sz w:val="22"/>
              </w:rPr>
              <w:t>SP</w:t>
            </w:r>
            <w:r>
              <w:rPr>
                <w:spacing w:val="1"/>
                <w:sz w:val="22"/>
              </w:rPr>
              <w:t> </w:t>
            </w:r>
            <w:r>
              <w:rPr>
                <w:spacing w:val="-5"/>
                <w:sz w:val="22"/>
              </w:rPr>
              <w:t>260</w:t>
            </w:r>
          </w:p>
        </w:tc>
        <w:tc>
          <w:tcPr>
            <w:tcW w:w="762" w:type="dxa"/>
          </w:tcPr>
          <w:p>
            <w:pPr>
              <w:pStyle w:val="TableParagraph"/>
              <w:spacing w:before="71"/>
              <w:ind w:left="232"/>
              <w:rPr>
                <w:sz w:val="22"/>
              </w:rPr>
            </w:pPr>
            <w:r>
              <w:rPr>
                <w:spacing w:val="-4"/>
                <w:sz w:val="22"/>
              </w:rPr>
              <w:t>1.56</w:t>
            </w:r>
          </w:p>
        </w:tc>
        <w:tc>
          <w:tcPr>
            <w:tcW w:w="771" w:type="dxa"/>
          </w:tcPr>
          <w:p>
            <w:pPr>
              <w:pStyle w:val="TableParagraph"/>
              <w:spacing w:before="71"/>
              <w:ind w:right="150"/>
              <w:jc w:val="right"/>
              <w:rPr>
                <w:sz w:val="22"/>
              </w:rPr>
            </w:pPr>
            <w:r>
              <w:rPr>
                <w:spacing w:val="-4"/>
                <w:sz w:val="22"/>
              </w:rPr>
              <w:t>25.0</w:t>
            </w:r>
          </w:p>
        </w:tc>
        <w:tc>
          <w:tcPr>
            <w:tcW w:w="768" w:type="dxa"/>
          </w:tcPr>
          <w:p>
            <w:pPr>
              <w:pStyle w:val="TableParagraph"/>
              <w:spacing w:before="71"/>
              <w:ind w:right="144"/>
              <w:jc w:val="right"/>
              <w:rPr>
                <w:sz w:val="22"/>
              </w:rPr>
            </w:pPr>
            <w:r>
              <w:rPr>
                <w:spacing w:val="-4"/>
                <w:sz w:val="22"/>
              </w:rPr>
              <w:t>7.81</w:t>
            </w:r>
          </w:p>
        </w:tc>
        <w:tc>
          <w:tcPr>
            <w:tcW w:w="793" w:type="dxa"/>
          </w:tcPr>
          <w:p>
            <w:pPr>
              <w:pStyle w:val="TableParagraph"/>
              <w:spacing w:before="71"/>
              <w:ind w:left="134" w:right="66"/>
              <w:jc w:val="center"/>
              <w:rPr>
                <w:sz w:val="22"/>
              </w:rPr>
            </w:pPr>
            <w:r>
              <w:rPr>
                <w:spacing w:val="-4"/>
                <w:sz w:val="22"/>
              </w:rPr>
              <w:t>15.6</w:t>
            </w:r>
          </w:p>
        </w:tc>
        <w:tc>
          <w:tcPr>
            <w:tcW w:w="785" w:type="dxa"/>
          </w:tcPr>
          <w:p>
            <w:pPr>
              <w:pStyle w:val="TableParagraph"/>
              <w:spacing w:before="71"/>
              <w:ind w:right="252"/>
              <w:jc w:val="right"/>
              <w:rPr>
                <w:sz w:val="22"/>
              </w:rPr>
            </w:pPr>
            <w:r>
              <w:rPr>
                <w:spacing w:val="-5"/>
                <w:sz w:val="22"/>
              </w:rPr>
              <w:t>NI</w:t>
            </w:r>
          </w:p>
        </w:tc>
        <w:tc>
          <w:tcPr>
            <w:tcW w:w="791" w:type="dxa"/>
          </w:tcPr>
          <w:p>
            <w:pPr>
              <w:pStyle w:val="TableParagraph"/>
              <w:spacing w:before="71"/>
              <w:ind w:left="131" w:right="42"/>
              <w:jc w:val="center"/>
              <w:rPr>
                <w:sz w:val="22"/>
              </w:rPr>
            </w:pPr>
            <w:r>
              <w:rPr>
                <w:spacing w:val="-5"/>
                <w:sz w:val="22"/>
              </w:rPr>
              <w:t>NB</w:t>
            </w:r>
          </w:p>
        </w:tc>
        <w:tc>
          <w:tcPr>
            <w:tcW w:w="737" w:type="dxa"/>
          </w:tcPr>
          <w:p>
            <w:pPr>
              <w:pStyle w:val="TableParagraph"/>
              <w:spacing w:before="71"/>
              <w:ind w:left="207"/>
              <w:rPr>
                <w:sz w:val="22"/>
              </w:rPr>
            </w:pPr>
            <w:r>
              <w:rPr>
                <w:spacing w:val="-4"/>
                <w:sz w:val="22"/>
              </w:rPr>
              <w:t>0.98</w:t>
            </w:r>
          </w:p>
        </w:tc>
        <w:tc>
          <w:tcPr>
            <w:tcW w:w="784" w:type="dxa"/>
          </w:tcPr>
          <w:p>
            <w:pPr>
              <w:pStyle w:val="TableParagraph"/>
              <w:spacing w:before="71"/>
              <w:ind w:left="225"/>
              <w:rPr>
                <w:sz w:val="22"/>
              </w:rPr>
            </w:pPr>
            <w:r>
              <w:rPr>
                <w:spacing w:val="-4"/>
                <w:sz w:val="22"/>
              </w:rPr>
              <w:t>7.81</w:t>
            </w:r>
          </w:p>
        </w:tc>
        <w:tc>
          <w:tcPr>
            <w:tcW w:w="774" w:type="dxa"/>
          </w:tcPr>
          <w:p>
            <w:pPr>
              <w:pStyle w:val="TableParagraph"/>
              <w:spacing w:before="71"/>
              <w:ind w:right="151"/>
              <w:jc w:val="right"/>
              <w:rPr>
                <w:sz w:val="22"/>
              </w:rPr>
            </w:pPr>
            <w:r>
              <w:rPr>
                <w:spacing w:val="-4"/>
                <w:sz w:val="22"/>
              </w:rPr>
              <w:t>1.56</w:t>
            </w:r>
          </w:p>
        </w:tc>
        <w:tc>
          <w:tcPr>
            <w:tcW w:w="832" w:type="dxa"/>
          </w:tcPr>
          <w:p>
            <w:pPr>
              <w:pStyle w:val="TableParagraph"/>
              <w:spacing w:before="71"/>
              <w:ind w:left="134" w:right="91"/>
              <w:jc w:val="center"/>
              <w:rPr>
                <w:sz w:val="22"/>
              </w:rPr>
            </w:pPr>
            <w:r>
              <w:rPr>
                <w:spacing w:val="-4"/>
                <w:sz w:val="22"/>
              </w:rPr>
              <w:t>50.0</w:t>
            </w:r>
          </w:p>
        </w:tc>
      </w:tr>
      <w:tr>
        <w:trPr>
          <w:trHeight w:val="449" w:hRule="atLeast"/>
        </w:trPr>
        <w:tc>
          <w:tcPr>
            <w:tcW w:w="1111" w:type="dxa"/>
          </w:tcPr>
          <w:p>
            <w:pPr>
              <w:pStyle w:val="TableParagraph"/>
              <w:spacing w:before="70"/>
              <w:ind w:right="262"/>
              <w:jc w:val="center"/>
              <w:rPr>
                <w:sz w:val="22"/>
              </w:rPr>
            </w:pPr>
            <w:r>
              <w:rPr>
                <w:sz w:val="22"/>
              </w:rPr>
              <w:t>SP</w:t>
            </w:r>
            <w:r>
              <w:rPr>
                <w:spacing w:val="1"/>
                <w:sz w:val="22"/>
              </w:rPr>
              <w:t> </w:t>
            </w:r>
            <w:r>
              <w:rPr>
                <w:spacing w:val="-5"/>
                <w:sz w:val="22"/>
              </w:rPr>
              <w:t>277</w:t>
            </w:r>
          </w:p>
        </w:tc>
        <w:tc>
          <w:tcPr>
            <w:tcW w:w="762" w:type="dxa"/>
          </w:tcPr>
          <w:p>
            <w:pPr>
              <w:pStyle w:val="TableParagraph"/>
              <w:spacing w:before="70"/>
              <w:ind w:left="232"/>
              <w:rPr>
                <w:sz w:val="22"/>
              </w:rPr>
            </w:pPr>
            <w:r>
              <w:rPr>
                <w:spacing w:val="-4"/>
                <w:sz w:val="22"/>
              </w:rPr>
              <w:t>1.56</w:t>
            </w:r>
          </w:p>
        </w:tc>
        <w:tc>
          <w:tcPr>
            <w:tcW w:w="771" w:type="dxa"/>
          </w:tcPr>
          <w:p>
            <w:pPr>
              <w:pStyle w:val="TableParagraph"/>
              <w:spacing w:before="70"/>
              <w:ind w:right="151"/>
              <w:jc w:val="right"/>
              <w:rPr>
                <w:sz w:val="22"/>
              </w:rPr>
            </w:pPr>
            <w:r>
              <w:rPr>
                <w:spacing w:val="-4"/>
                <w:sz w:val="22"/>
              </w:rPr>
              <w:t>6.25</w:t>
            </w:r>
          </w:p>
        </w:tc>
        <w:tc>
          <w:tcPr>
            <w:tcW w:w="768" w:type="dxa"/>
          </w:tcPr>
          <w:p>
            <w:pPr>
              <w:pStyle w:val="TableParagraph"/>
              <w:spacing w:before="70"/>
              <w:ind w:right="144"/>
              <w:jc w:val="right"/>
              <w:rPr>
                <w:sz w:val="22"/>
              </w:rPr>
            </w:pPr>
            <w:r>
              <w:rPr>
                <w:spacing w:val="-4"/>
                <w:sz w:val="22"/>
              </w:rPr>
              <w:t>1.95</w:t>
            </w:r>
          </w:p>
        </w:tc>
        <w:tc>
          <w:tcPr>
            <w:tcW w:w="793" w:type="dxa"/>
          </w:tcPr>
          <w:p>
            <w:pPr>
              <w:pStyle w:val="TableParagraph"/>
              <w:spacing w:before="70"/>
              <w:ind w:left="133" w:right="66"/>
              <w:jc w:val="center"/>
              <w:rPr>
                <w:sz w:val="22"/>
              </w:rPr>
            </w:pPr>
            <w:r>
              <w:rPr>
                <w:spacing w:val="-4"/>
                <w:sz w:val="22"/>
              </w:rPr>
              <w:t>3.91</w:t>
            </w:r>
          </w:p>
        </w:tc>
        <w:tc>
          <w:tcPr>
            <w:tcW w:w="785" w:type="dxa"/>
          </w:tcPr>
          <w:p>
            <w:pPr>
              <w:pStyle w:val="TableParagraph"/>
              <w:spacing w:before="70"/>
              <w:ind w:right="183"/>
              <w:jc w:val="right"/>
              <w:rPr>
                <w:sz w:val="22"/>
              </w:rPr>
            </w:pPr>
            <w:r>
              <w:rPr>
                <w:spacing w:val="-5"/>
                <w:sz w:val="22"/>
              </w:rPr>
              <w:t>125</w:t>
            </w:r>
          </w:p>
        </w:tc>
        <w:tc>
          <w:tcPr>
            <w:tcW w:w="791" w:type="dxa"/>
          </w:tcPr>
          <w:p>
            <w:pPr>
              <w:pStyle w:val="TableParagraph"/>
              <w:spacing w:before="70"/>
              <w:ind w:left="131" w:right="42"/>
              <w:jc w:val="center"/>
              <w:rPr>
                <w:sz w:val="22"/>
              </w:rPr>
            </w:pPr>
            <w:r>
              <w:rPr>
                <w:spacing w:val="-5"/>
                <w:sz w:val="22"/>
              </w:rPr>
              <w:t>NB</w:t>
            </w:r>
          </w:p>
        </w:tc>
        <w:tc>
          <w:tcPr>
            <w:tcW w:w="737" w:type="dxa"/>
          </w:tcPr>
          <w:p>
            <w:pPr>
              <w:pStyle w:val="TableParagraph"/>
              <w:spacing w:before="70"/>
              <w:ind w:left="207"/>
              <w:rPr>
                <w:sz w:val="22"/>
              </w:rPr>
            </w:pPr>
            <w:r>
              <w:rPr>
                <w:spacing w:val="-4"/>
                <w:sz w:val="22"/>
              </w:rPr>
              <w:t>0.98</w:t>
            </w:r>
          </w:p>
        </w:tc>
        <w:tc>
          <w:tcPr>
            <w:tcW w:w="784" w:type="dxa"/>
          </w:tcPr>
          <w:p>
            <w:pPr>
              <w:pStyle w:val="TableParagraph"/>
              <w:spacing w:before="70"/>
              <w:ind w:left="225"/>
              <w:rPr>
                <w:sz w:val="22"/>
              </w:rPr>
            </w:pPr>
            <w:r>
              <w:rPr>
                <w:spacing w:val="-4"/>
                <w:sz w:val="22"/>
              </w:rPr>
              <w:t>3.91</w:t>
            </w:r>
          </w:p>
        </w:tc>
        <w:tc>
          <w:tcPr>
            <w:tcW w:w="774" w:type="dxa"/>
          </w:tcPr>
          <w:p>
            <w:pPr>
              <w:pStyle w:val="TableParagraph"/>
              <w:spacing w:before="70"/>
              <w:ind w:left="326"/>
              <w:rPr>
                <w:sz w:val="22"/>
              </w:rPr>
            </w:pPr>
            <w:r>
              <w:rPr>
                <w:spacing w:val="-5"/>
                <w:sz w:val="22"/>
              </w:rPr>
              <w:t>NI</w:t>
            </w:r>
          </w:p>
        </w:tc>
        <w:tc>
          <w:tcPr>
            <w:tcW w:w="832" w:type="dxa"/>
          </w:tcPr>
          <w:p>
            <w:pPr>
              <w:pStyle w:val="TableParagraph"/>
              <w:spacing w:before="70"/>
              <w:ind w:left="132" w:right="91"/>
              <w:jc w:val="center"/>
              <w:rPr>
                <w:sz w:val="22"/>
              </w:rPr>
            </w:pPr>
            <w:r>
              <w:rPr>
                <w:spacing w:val="-5"/>
                <w:sz w:val="22"/>
              </w:rPr>
              <w:t>NB</w:t>
            </w:r>
          </w:p>
        </w:tc>
      </w:tr>
      <w:tr>
        <w:trPr>
          <w:trHeight w:val="450" w:hRule="atLeast"/>
        </w:trPr>
        <w:tc>
          <w:tcPr>
            <w:tcW w:w="1111" w:type="dxa"/>
          </w:tcPr>
          <w:p>
            <w:pPr>
              <w:pStyle w:val="TableParagraph"/>
              <w:spacing w:before="70"/>
              <w:ind w:right="262"/>
              <w:jc w:val="center"/>
              <w:rPr>
                <w:sz w:val="22"/>
              </w:rPr>
            </w:pPr>
            <w:r>
              <w:rPr>
                <w:sz w:val="22"/>
              </w:rPr>
              <w:t>SP</w:t>
            </w:r>
            <w:r>
              <w:rPr>
                <w:spacing w:val="1"/>
                <w:sz w:val="22"/>
              </w:rPr>
              <w:t> </w:t>
            </w:r>
            <w:r>
              <w:rPr>
                <w:spacing w:val="-5"/>
                <w:sz w:val="22"/>
              </w:rPr>
              <w:t>278</w:t>
            </w:r>
          </w:p>
        </w:tc>
        <w:tc>
          <w:tcPr>
            <w:tcW w:w="762" w:type="dxa"/>
          </w:tcPr>
          <w:p>
            <w:pPr>
              <w:pStyle w:val="TableParagraph"/>
              <w:spacing w:before="70"/>
              <w:ind w:left="232"/>
              <w:rPr>
                <w:sz w:val="22"/>
              </w:rPr>
            </w:pPr>
            <w:r>
              <w:rPr>
                <w:spacing w:val="-4"/>
                <w:sz w:val="22"/>
              </w:rPr>
              <w:t>1.56</w:t>
            </w:r>
          </w:p>
        </w:tc>
        <w:tc>
          <w:tcPr>
            <w:tcW w:w="771" w:type="dxa"/>
          </w:tcPr>
          <w:p>
            <w:pPr>
              <w:pStyle w:val="TableParagraph"/>
              <w:spacing w:before="70"/>
              <w:ind w:right="151"/>
              <w:jc w:val="right"/>
              <w:rPr>
                <w:sz w:val="22"/>
              </w:rPr>
            </w:pPr>
            <w:r>
              <w:rPr>
                <w:spacing w:val="-4"/>
                <w:sz w:val="22"/>
              </w:rPr>
              <w:t>3.13</w:t>
            </w:r>
          </w:p>
        </w:tc>
        <w:tc>
          <w:tcPr>
            <w:tcW w:w="768" w:type="dxa"/>
          </w:tcPr>
          <w:p>
            <w:pPr>
              <w:pStyle w:val="TableParagraph"/>
              <w:spacing w:before="70"/>
              <w:ind w:right="144"/>
              <w:jc w:val="right"/>
              <w:rPr>
                <w:sz w:val="22"/>
              </w:rPr>
            </w:pPr>
            <w:r>
              <w:rPr>
                <w:spacing w:val="-4"/>
                <w:sz w:val="22"/>
              </w:rPr>
              <w:t>3.91</w:t>
            </w:r>
          </w:p>
        </w:tc>
        <w:tc>
          <w:tcPr>
            <w:tcW w:w="793" w:type="dxa"/>
          </w:tcPr>
          <w:p>
            <w:pPr>
              <w:pStyle w:val="TableParagraph"/>
              <w:spacing w:before="70"/>
              <w:ind w:left="134" w:right="66"/>
              <w:jc w:val="center"/>
              <w:rPr>
                <w:sz w:val="22"/>
              </w:rPr>
            </w:pPr>
            <w:r>
              <w:rPr>
                <w:spacing w:val="-4"/>
                <w:sz w:val="22"/>
              </w:rPr>
              <w:t>15.6</w:t>
            </w:r>
          </w:p>
        </w:tc>
        <w:tc>
          <w:tcPr>
            <w:tcW w:w="785" w:type="dxa"/>
          </w:tcPr>
          <w:p>
            <w:pPr>
              <w:pStyle w:val="TableParagraph"/>
              <w:spacing w:before="70"/>
              <w:ind w:right="154"/>
              <w:jc w:val="right"/>
              <w:rPr>
                <w:sz w:val="22"/>
              </w:rPr>
            </w:pPr>
            <w:r>
              <w:rPr>
                <w:spacing w:val="-4"/>
                <w:sz w:val="22"/>
              </w:rPr>
              <w:t>3.91</w:t>
            </w:r>
          </w:p>
        </w:tc>
        <w:tc>
          <w:tcPr>
            <w:tcW w:w="791" w:type="dxa"/>
          </w:tcPr>
          <w:p>
            <w:pPr>
              <w:pStyle w:val="TableParagraph"/>
              <w:spacing w:before="70"/>
              <w:ind w:left="134" w:right="42"/>
              <w:jc w:val="center"/>
              <w:rPr>
                <w:sz w:val="22"/>
              </w:rPr>
            </w:pPr>
            <w:r>
              <w:rPr>
                <w:spacing w:val="-4"/>
                <w:sz w:val="22"/>
              </w:rPr>
              <w:t>62.5</w:t>
            </w:r>
          </w:p>
        </w:tc>
        <w:tc>
          <w:tcPr>
            <w:tcW w:w="737" w:type="dxa"/>
          </w:tcPr>
          <w:p>
            <w:pPr>
              <w:pStyle w:val="TableParagraph"/>
              <w:spacing w:before="70"/>
              <w:ind w:left="207"/>
              <w:rPr>
                <w:sz w:val="22"/>
              </w:rPr>
            </w:pPr>
            <w:r>
              <w:rPr>
                <w:spacing w:val="-4"/>
                <w:sz w:val="22"/>
              </w:rPr>
              <w:t>0.98</w:t>
            </w:r>
          </w:p>
        </w:tc>
        <w:tc>
          <w:tcPr>
            <w:tcW w:w="784" w:type="dxa"/>
          </w:tcPr>
          <w:p>
            <w:pPr>
              <w:pStyle w:val="TableParagraph"/>
              <w:spacing w:before="70"/>
              <w:ind w:left="225"/>
              <w:rPr>
                <w:sz w:val="22"/>
              </w:rPr>
            </w:pPr>
            <w:r>
              <w:rPr>
                <w:spacing w:val="-4"/>
                <w:sz w:val="22"/>
              </w:rPr>
              <w:t>3.91</w:t>
            </w:r>
          </w:p>
        </w:tc>
        <w:tc>
          <w:tcPr>
            <w:tcW w:w="774" w:type="dxa"/>
          </w:tcPr>
          <w:p>
            <w:pPr>
              <w:pStyle w:val="TableParagraph"/>
              <w:spacing w:before="70"/>
              <w:ind w:right="151"/>
              <w:jc w:val="right"/>
              <w:rPr>
                <w:sz w:val="22"/>
              </w:rPr>
            </w:pPr>
            <w:r>
              <w:rPr>
                <w:spacing w:val="-4"/>
                <w:sz w:val="22"/>
              </w:rPr>
              <w:t>0.78</w:t>
            </w:r>
          </w:p>
        </w:tc>
        <w:tc>
          <w:tcPr>
            <w:tcW w:w="832" w:type="dxa"/>
          </w:tcPr>
          <w:p>
            <w:pPr>
              <w:pStyle w:val="TableParagraph"/>
              <w:spacing w:before="70"/>
              <w:ind w:left="134" w:right="91"/>
              <w:jc w:val="center"/>
              <w:rPr>
                <w:sz w:val="22"/>
              </w:rPr>
            </w:pPr>
            <w:r>
              <w:rPr>
                <w:spacing w:val="-4"/>
                <w:sz w:val="22"/>
              </w:rPr>
              <w:t>6.25</w:t>
            </w:r>
          </w:p>
        </w:tc>
      </w:tr>
      <w:tr>
        <w:trPr>
          <w:trHeight w:val="450" w:hRule="atLeast"/>
        </w:trPr>
        <w:tc>
          <w:tcPr>
            <w:tcW w:w="1111" w:type="dxa"/>
          </w:tcPr>
          <w:p>
            <w:pPr>
              <w:pStyle w:val="TableParagraph"/>
              <w:spacing w:before="71"/>
              <w:ind w:right="262"/>
              <w:jc w:val="center"/>
              <w:rPr>
                <w:sz w:val="22"/>
              </w:rPr>
            </w:pPr>
            <w:r>
              <w:rPr>
                <w:sz w:val="22"/>
              </w:rPr>
              <w:t>SP</w:t>
            </w:r>
            <w:r>
              <w:rPr>
                <w:spacing w:val="1"/>
                <w:sz w:val="22"/>
              </w:rPr>
              <w:t> </w:t>
            </w:r>
            <w:r>
              <w:rPr>
                <w:spacing w:val="-5"/>
                <w:sz w:val="22"/>
              </w:rPr>
              <w:t>307</w:t>
            </w:r>
          </w:p>
        </w:tc>
        <w:tc>
          <w:tcPr>
            <w:tcW w:w="762" w:type="dxa"/>
          </w:tcPr>
          <w:p>
            <w:pPr>
              <w:pStyle w:val="TableParagraph"/>
              <w:spacing w:before="71"/>
              <w:ind w:left="232"/>
              <w:rPr>
                <w:sz w:val="22"/>
              </w:rPr>
            </w:pPr>
            <w:r>
              <w:rPr>
                <w:spacing w:val="-4"/>
                <w:sz w:val="22"/>
              </w:rPr>
              <w:t>1.56</w:t>
            </w:r>
          </w:p>
        </w:tc>
        <w:tc>
          <w:tcPr>
            <w:tcW w:w="771" w:type="dxa"/>
          </w:tcPr>
          <w:p>
            <w:pPr>
              <w:pStyle w:val="TableParagraph"/>
              <w:spacing w:before="71"/>
              <w:ind w:right="151"/>
              <w:jc w:val="right"/>
              <w:rPr>
                <w:sz w:val="22"/>
              </w:rPr>
            </w:pPr>
            <w:r>
              <w:rPr>
                <w:spacing w:val="-4"/>
                <w:sz w:val="22"/>
              </w:rPr>
              <w:t>6.25</w:t>
            </w:r>
          </w:p>
        </w:tc>
        <w:tc>
          <w:tcPr>
            <w:tcW w:w="768" w:type="dxa"/>
          </w:tcPr>
          <w:p>
            <w:pPr>
              <w:pStyle w:val="TableParagraph"/>
              <w:spacing w:before="71"/>
              <w:ind w:right="144"/>
              <w:jc w:val="right"/>
              <w:rPr>
                <w:sz w:val="22"/>
              </w:rPr>
            </w:pPr>
            <w:r>
              <w:rPr>
                <w:spacing w:val="-4"/>
                <w:sz w:val="22"/>
              </w:rPr>
              <w:t>3.91</w:t>
            </w:r>
          </w:p>
        </w:tc>
        <w:tc>
          <w:tcPr>
            <w:tcW w:w="793" w:type="dxa"/>
          </w:tcPr>
          <w:p>
            <w:pPr>
              <w:pStyle w:val="TableParagraph"/>
              <w:spacing w:before="71"/>
              <w:ind w:left="134" w:right="66"/>
              <w:jc w:val="center"/>
              <w:rPr>
                <w:sz w:val="22"/>
              </w:rPr>
            </w:pPr>
            <w:r>
              <w:rPr>
                <w:spacing w:val="-4"/>
                <w:sz w:val="22"/>
              </w:rPr>
              <w:t>31.3</w:t>
            </w:r>
          </w:p>
        </w:tc>
        <w:tc>
          <w:tcPr>
            <w:tcW w:w="785" w:type="dxa"/>
          </w:tcPr>
          <w:p>
            <w:pPr>
              <w:pStyle w:val="TableParagraph"/>
              <w:spacing w:before="71"/>
              <w:ind w:right="154"/>
              <w:jc w:val="right"/>
              <w:rPr>
                <w:sz w:val="22"/>
              </w:rPr>
            </w:pPr>
            <w:r>
              <w:rPr>
                <w:spacing w:val="-4"/>
                <w:sz w:val="22"/>
              </w:rPr>
              <w:t>62.5</w:t>
            </w:r>
          </w:p>
        </w:tc>
        <w:tc>
          <w:tcPr>
            <w:tcW w:w="791" w:type="dxa"/>
          </w:tcPr>
          <w:p>
            <w:pPr>
              <w:pStyle w:val="TableParagraph"/>
              <w:spacing w:before="71"/>
              <w:ind w:left="134" w:right="42"/>
              <w:jc w:val="center"/>
              <w:rPr>
                <w:sz w:val="22"/>
              </w:rPr>
            </w:pPr>
            <w:r>
              <w:rPr>
                <w:spacing w:val="-5"/>
                <w:sz w:val="22"/>
              </w:rPr>
              <w:t>125</w:t>
            </w:r>
          </w:p>
        </w:tc>
        <w:tc>
          <w:tcPr>
            <w:tcW w:w="737" w:type="dxa"/>
          </w:tcPr>
          <w:p>
            <w:pPr>
              <w:pStyle w:val="TableParagraph"/>
              <w:spacing w:before="71"/>
              <w:ind w:left="207"/>
              <w:rPr>
                <w:sz w:val="22"/>
              </w:rPr>
            </w:pPr>
            <w:r>
              <w:rPr>
                <w:spacing w:val="-4"/>
                <w:sz w:val="22"/>
              </w:rPr>
              <w:t>0.98</w:t>
            </w:r>
          </w:p>
        </w:tc>
        <w:tc>
          <w:tcPr>
            <w:tcW w:w="784" w:type="dxa"/>
          </w:tcPr>
          <w:p>
            <w:pPr>
              <w:pStyle w:val="TableParagraph"/>
              <w:spacing w:before="71"/>
              <w:ind w:left="225"/>
              <w:rPr>
                <w:sz w:val="22"/>
              </w:rPr>
            </w:pPr>
            <w:r>
              <w:rPr>
                <w:spacing w:val="-4"/>
                <w:sz w:val="22"/>
              </w:rPr>
              <w:t>7.81</w:t>
            </w:r>
          </w:p>
        </w:tc>
        <w:tc>
          <w:tcPr>
            <w:tcW w:w="774" w:type="dxa"/>
          </w:tcPr>
          <w:p>
            <w:pPr>
              <w:pStyle w:val="TableParagraph"/>
              <w:spacing w:before="71"/>
              <w:ind w:right="151"/>
              <w:jc w:val="right"/>
              <w:rPr>
                <w:sz w:val="22"/>
              </w:rPr>
            </w:pPr>
            <w:r>
              <w:rPr>
                <w:spacing w:val="-4"/>
                <w:sz w:val="22"/>
              </w:rPr>
              <w:t>0.78</w:t>
            </w:r>
          </w:p>
        </w:tc>
        <w:tc>
          <w:tcPr>
            <w:tcW w:w="832" w:type="dxa"/>
          </w:tcPr>
          <w:p>
            <w:pPr>
              <w:pStyle w:val="TableParagraph"/>
              <w:spacing w:before="71"/>
              <w:ind w:left="134" w:right="91"/>
              <w:jc w:val="center"/>
              <w:rPr>
                <w:sz w:val="22"/>
              </w:rPr>
            </w:pPr>
            <w:r>
              <w:rPr>
                <w:spacing w:val="-4"/>
                <w:sz w:val="22"/>
              </w:rPr>
              <w:t>6.25</w:t>
            </w:r>
          </w:p>
        </w:tc>
      </w:tr>
      <w:tr>
        <w:trPr>
          <w:trHeight w:val="450" w:hRule="atLeast"/>
        </w:trPr>
        <w:tc>
          <w:tcPr>
            <w:tcW w:w="1111" w:type="dxa"/>
          </w:tcPr>
          <w:p>
            <w:pPr>
              <w:pStyle w:val="TableParagraph"/>
              <w:spacing w:before="70"/>
              <w:ind w:right="262"/>
              <w:jc w:val="center"/>
              <w:rPr>
                <w:sz w:val="22"/>
              </w:rPr>
            </w:pPr>
            <w:r>
              <w:rPr>
                <w:sz w:val="22"/>
              </w:rPr>
              <w:t>SP</w:t>
            </w:r>
            <w:r>
              <w:rPr>
                <w:spacing w:val="1"/>
                <w:sz w:val="22"/>
              </w:rPr>
              <w:t> </w:t>
            </w:r>
            <w:r>
              <w:rPr>
                <w:spacing w:val="-5"/>
                <w:sz w:val="22"/>
              </w:rPr>
              <w:t>334</w:t>
            </w:r>
          </w:p>
        </w:tc>
        <w:tc>
          <w:tcPr>
            <w:tcW w:w="762" w:type="dxa"/>
          </w:tcPr>
          <w:p>
            <w:pPr>
              <w:pStyle w:val="TableParagraph"/>
              <w:spacing w:before="70"/>
              <w:ind w:left="232"/>
              <w:rPr>
                <w:sz w:val="22"/>
              </w:rPr>
            </w:pPr>
            <w:r>
              <w:rPr>
                <w:spacing w:val="-4"/>
                <w:sz w:val="22"/>
              </w:rPr>
              <w:t>1.56</w:t>
            </w:r>
          </w:p>
        </w:tc>
        <w:tc>
          <w:tcPr>
            <w:tcW w:w="771" w:type="dxa"/>
          </w:tcPr>
          <w:p>
            <w:pPr>
              <w:pStyle w:val="TableParagraph"/>
              <w:spacing w:before="70"/>
              <w:ind w:right="151"/>
              <w:jc w:val="right"/>
              <w:rPr>
                <w:sz w:val="22"/>
              </w:rPr>
            </w:pPr>
            <w:r>
              <w:rPr>
                <w:spacing w:val="-4"/>
                <w:sz w:val="22"/>
              </w:rPr>
              <w:t>3.13</w:t>
            </w:r>
          </w:p>
        </w:tc>
        <w:tc>
          <w:tcPr>
            <w:tcW w:w="768" w:type="dxa"/>
          </w:tcPr>
          <w:p>
            <w:pPr>
              <w:pStyle w:val="TableParagraph"/>
              <w:spacing w:before="70"/>
              <w:ind w:right="144"/>
              <w:jc w:val="right"/>
              <w:rPr>
                <w:sz w:val="22"/>
              </w:rPr>
            </w:pPr>
            <w:r>
              <w:rPr>
                <w:spacing w:val="-4"/>
                <w:sz w:val="22"/>
              </w:rPr>
              <w:t>7.81</w:t>
            </w:r>
          </w:p>
        </w:tc>
        <w:tc>
          <w:tcPr>
            <w:tcW w:w="793" w:type="dxa"/>
          </w:tcPr>
          <w:p>
            <w:pPr>
              <w:pStyle w:val="TableParagraph"/>
              <w:spacing w:before="70"/>
              <w:ind w:left="134" w:right="66"/>
              <w:jc w:val="center"/>
              <w:rPr>
                <w:sz w:val="22"/>
              </w:rPr>
            </w:pPr>
            <w:r>
              <w:rPr>
                <w:spacing w:val="-4"/>
                <w:sz w:val="22"/>
              </w:rPr>
              <w:t>15.6</w:t>
            </w:r>
          </w:p>
        </w:tc>
        <w:tc>
          <w:tcPr>
            <w:tcW w:w="785" w:type="dxa"/>
          </w:tcPr>
          <w:p>
            <w:pPr>
              <w:pStyle w:val="TableParagraph"/>
              <w:spacing w:before="70"/>
              <w:ind w:right="154"/>
              <w:jc w:val="right"/>
              <w:rPr>
                <w:sz w:val="22"/>
              </w:rPr>
            </w:pPr>
            <w:r>
              <w:rPr>
                <w:spacing w:val="-4"/>
                <w:sz w:val="22"/>
              </w:rPr>
              <w:t>3.91</w:t>
            </w:r>
          </w:p>
        </w:tc>
        <w:tc>
          <w:tcPr>
            <w:tcW w:w="791" w:type="dxa"/>
          </w:tcPr>
          <w:p>
            <w:pPr>
              <w:pStyle w:val="TableParagraph"/>
              <w:spacing w:before="70"/>
              <w:ind w:left="134" w:right="42"/>
              <w:jc w:val="center"/>
              <w:rPr>
                <w:sz w:val="22"/>
              </w:rPr>
            </w:pPr>
            <w:r>
              <w:rPr>
                <w:spacing w:val="-4"/>
                <w:sz w:val="22"/>
              </w:rPr>
              <w:t>15.6</w:t>
            </w:r>
          </w:p>
        </w:tc>
        <w:tc>
          <w:tcPr>
            <w:tcW w:w="737" w:type="dxa"/>
          </w:tcPr>
          <w:p>
            <w:pPr>
              <w:pStyle w:val="TableParagraph"/>
              <w:spacing w:before="70"/>
              <w:ind w:left="207"/>
              <w:rPr>
                <w:sz w:val="22"/>
              </w:rPr>
            </w:pPr>
            <w:r>
              <w:rPr>
                <w:spacing w:val="-4"/>
                <w:sz w:val="22"/>
              </w:rPr>
              <w:t>0.98</w:t>
            </w:r>
          </w:p>
        </w:tc>
        <w:tc>
          <w:tcPr>
            <w:tcW w:w="784" w:type="dxa"/>
          </w:tcPr>
          <w:p>
            <w:pPr>
              <w:pStyle w:val="TableParagraph"/>
              <w:spacing w:before="70"/>
              <w:ind w:left="225"/>
              <w:rPr>
                <w:sz w:val="22"/>
              </w:rPr>
            </w:pPr>
            <w:r>
              <w:rPr>
                <w:spacing w:val="-4"/>
                <w:sz w:val="22"/>
              </w:rPr>
              <w:t>3.91</w:t>
            </w:r>
          </w:p>
        </w:tc>
        <w:tc>
          <w:tcPr>
            <w:tcW w:w="774" w:type="dxa"/>
          </w:tcPr>
          <w:p>
            <w:pPr>
              <w:pStyle w:val="TableParagraph"/>
              <w:spacing w:before="70"/>
              <w:ind w:right="151"/>
              <w:jc w:val="right"/>
              <w:rPr>
                <w:sz w:val="22"/>
              </w:rPr>
            </w:pPr>
            <w:r>
              <w:rPr>
                <w:spacing w:val="-4"/>
                <w:sz w:val="22"/>
              </w:rPr>
              <w:t>0.78</w:t>
            </w:r>
          </w:p>
        </w:tc>
        <w:tc>
          <w:tcPr>
            <w:tcW w:w="832" w:type="dxa"/>
          </w:tcPr>
          <w:p>
            <w:pPr>
              <w:pStyle w:val="TableParagraph"/>
              <w:spacing w:before="70"/>
              <w:ind w:left="134" w:right="91"/>
              <w:jc w:val="center"/>
              <w:rPr>
                <w:sz w:val="22"/>
              </w:rPr>
            </w:pPr>
            <w:r>
              <w:rPr>
                <w:spacing w:val="-4"/>
                <w:sz w:val="22"/>
              </w:rPr>
              <w:t>12.5</w:t>
            </w:r>
          </w:p>
        </w:tc>
      </w:tr>
      <w:tr>
        <w:trPr>
          <w:trHeight w:val="450" w:hRule="atLeast"/>
        </w:trPr>
        <w:tc>
          <w:tcPr>
            <w:tcW w:w="1111" w:type="dxa"/>
          </w:tcPr>
          <w:p>
            <w:pPr>
              <w:pStyle w:val="TableParagraph"/>
              <w:spacing w:before="71"/>
              <w:ind w:left="103" w:right="262"/>
              <w:jc w:val="center"/>
              <w:rPr>
                <w:sz w:val="22"/>
              </w:rPr>
            </w:pPr>
            <w:r>
              <w:rPr>
                <w:sz w:val="22"/>
              </w:rPr>
              <w:t>TS</w:t>
            </w:r>
            <w:r>
              <w:rPr>
                <w:spacing w:val="-1"/>
                <w:sz w:val="22"/>
              </w:rPr>
              <w:t> </w:t>
            </w:r>
            <w:r>
              <w:rPr>
                <w:spacing w:val="-4"/>
                <w:sz w:val="22"/>
              </w:rPr>
              <w:t>1097</w:t>
            </w:r>
          </w:p>
        </w:tc>
        <w:tc>
          <w:tcPr>
            <w:tcW w:w="762" w:type="dxa"/>
          </w:tcPr>
          <w:p>
            <w:pPr>
              <w:pStyle w:val="TableParagraph"/>
              <w:spacing w:before="71"/>
              <w:ind w:left="232"/>
              <w:rPr>
                <w:sz w:val="22"/>
              </w:rPr>
            </w:pPr>
            <w:r>
              <w:rPr>
                <w:spacing w:val="-4"/>
                <w:sz w:val="22"/>
              </w:rPr>
              <w:t>1.56</w:t>
            </w:r>
          </w:p>
        </w:tc>
        <w:tc>
          <w:tcPr>
            <w:tcW w:w="771" w:type="dxa"/>
          </w:tcPr>
          <w:p>
            <w:pPr>
              <w:pStyle w:val="TableParagraph"/>
              <w:spacing w:before="71"/>
              <w:ind w:right="151"/>
              <w:jc w:val="right"/>
              <w:rPr>
                <w:sz w:val="22"/>
              </w:rPr>
            </w:pPr>
            <w:r>
              <w:rPr>
                <w:spacing w:val="-4"/>
                <w:sz w:val="22"/>
              </w:rPr>
              <w:t>3.13</w:t>
            </w:r>
          </w:p>
        </w:tc>
        <w:tc>
          <w:tcPr>
            <w:tcW w:w="768" w:type="dxa"/>
          </w:tcPr>
          <w:p>
            <w:pPr>
              <w:pStyle w:val="TableParagraph"/>
              <w:spacing w:before="71"/>
              <w:ind w:right="143"/>
              <w:jc w:val="right"/>
              <w:rPr>
                <w:sz w:val="22"/>
              </w:rPr>
            </w:pPr>
            <w:r>
              <w:rPr>
                <w:spacing w:val="-4"/>
                <w:sz w:val="22"/>
              </w:rPr>
              <w:t>15.6</w:t>
            </w:r>
          </w:p>
        </w:tc>
        <w:tc>
          <w:tcPr>
            <w:tcW w:w="793" w:type="dxa"/>
          </w:tcPr>
          <w:p>
            <w:pPr>
              <w:pStyle w:val="TableParagraph"/>
              <w:spacing w:before="71"/>
              <w:ind w:left="134" w:right="66"/>
              <w:jc w:val="center"/>
              <w:rPr>
                <w:sz w:val="22"/>
              </w:rPr>
            </w:pPr>
            <w:r>
              <w:rPr>
                <w:spacing w:val="-4"/>
                <w:sz w:val="22"/>
              </w:rPr>
              <w:t>62.5</w:t>
            </w:r>
          </w:p>
        </w:tc>
        <w:tc>
          <w:tcPr>
            <w:tcW w:w="785" w:type="dxa"/>
          </w:tcPr>
          <w:p>
            <w:pPr>
              <w:pStyle w:val="TableParagraph"/>
              <w:spacing w:before="71"/>
              <w:ind w:right="154"/>
              <w:jc w:val="right"/>
              <w:rPr>
                <w:sz w:val="22"/>
              </w:rPr>
            </w:pPr>
            <w:r>
              <w:rPr>
                <w:spacing w:val="-4"/>
                <w:sz w:val="22"/>
              </w:rPr>
              <w:t>15.6</w:t>
            </w:r>
          </w:p>
        </w:tc>
        <w:tc>
          <w:tcPr>
            <w:tcW w:w="791" w:type="dxa"/>
          </w:tcPr>
          <w:p>
            <w:pPr>
              <w:pStyle w:val="TableParagraph"/>
              <w:spacing w:before="71"/>
              <w:ind w:left="134" w:right="42"/>
              <w:jc w:val="center"/>
              <w:rPr>
                <w:sz w:val="22"/>
              </w:rPr>
            </w:pPr>
            <w:r>
              <w:rPr>
                <w:spacing w:val="-5"/>
                <w:sz w:val="22"/>
              </w:rPr>
              <w:t>125</w:t>
            </w:r>
          </w:p>
        </w:tc>
        <w:tc>
          <w:tcPr>
            <w:tcW w:w="737" w:type="dxa"/>
          </w:tcPr>
          <w:p>
            <w:pPr>
              <w:pStyle w:val="TableParagraph"/>
              <w:spacing w:before="71"/>
              <w:ind w:left="207"/>
              <w:rPr>
                <w:sz w:val="22"/>
              </w:rPr>
            </w:pPr>
            <w:r>
              <w:rPr>
                <w:spacing w:val="-4"/>
                <w:sz w:val="22"/>
              </w:rPr>
              <w:t>0.98</w:t>
            </w:r>
          </w:p>
        </w:tc>
        <w:tc>
          <w:tcPr>
            <w:tcW w:w="784" w:type="dxa"/>
          </w:tcPr>
          <w:p>
            <w:pPr>
              <w:pStyle w:val="TableParagraph"/>
              <w:spacing w:before="71"/>
              <w:ind w:left="225"/>
              <w:rPr>
                <w:sz w:val="22"/>
              </w:rPr>
            </w:pPr>
            <w:r>
              <w:rPr>
                <w:spacing w:val="-4"/>
                <w:sz w:val="22"/>
              </w:rPr>
              <w:t>62.5</w:t>
            </w:r>
          </w:p>
        </w:tc>
        <w:tc>
          <w:tcPr>
            <w:tcW w:w="774" w:type="dxa"/>
          </w:tcPr>
          <w:p>
            <w:pPr>
              <w:pStyle w:val="TableParagraph"/>
              <w:spacing w:before="71"/>
              <w:ind w:right="150"/>
              <w:jc w:val="right"/>
              <w:rPr>
                <w:sz w:val="22"/>
              </w:rPr>
            </w:pPr>
            <w:r>
              <w:rPr>
                <w:spacing w:val="-4"/>
                <w:sz w:val="22"/>
              </w:rPr>
              <w:t>12.5</w:t>
            </w:r>
          </w:p>
        </w:tc>
        <w:tc>
          <w:tcPr>
            <w:tcW w:w="832" w:type="dxa"/>
          </w:tcPr>
          <w:p>
            <w:pPr>
              <w:pStyle w:val="TableParagraph"/>
              <w:spacing w:before="71"/>
              <w:ind w:left="134" w:right="91"/>
              <w:jc w:val="center"/>
              <w:rPr>
                <w:sz w:val="22"/>
              </w:rPr>
            </w:pPr>
            <w:r>
              <w:rPr>
                <w:spacing w:val="-5"/>
                <w:sz w:val="22"/>
              </w:rPr>
              <w:t>&gt;50</w:t>
            </w:r>
          </w:p>
        </w:tc>
      </w:tr>
      <w:tr>
        <w:trPr>
          <w:trHeight w:val="450" w:hRule="atLeast"/>
        </w:trPr>
        <w:tc>
          <w:tcPr>
            <w:tcW w:w="1111" w:type="dxa"/>
          </w:tcPr>
          <w:p>
            <w:pPr>
              <w:pStyle w:val="TableParagraph"/>
              <w:spacing w:before="70"/>
              <w:ind w:right="270"/>
              <w:jc w:val="center"/>
              <w:rPr>
                <w:sz w:val="22"/>
              </w:rPr>
            </w:pPr>
            <w:r>
              <w:rPr>
                <w:sz w:val="22"/>
              </w:rPr>
              <w:t>TS</w:t>
            </w:r>
            <w:r>
              <w:rPr>
                <w:spacing w:val="-1"/>
                <w:sz w:val="22"/>
              </w:rPr>
              <w:t> </w:t>
            </w:r>
            <w:r>
              <w:rPr>
                <w:spacing w:val="-5"/>
                <w:sz w:val="22"/>
              </w:rPr>
              <w:t>227</w:t>
            </w:r>
          </w:p>
        </w:tc>
        <w:tc>
          <w:tcPr>
            <w:tcW w:w="762" w:type="dxa"/>
          </w:tcPr>
          <w:p>
            <w:pPr>
              <w:pStyle w:val="TableParagraph"/>
              <w:spacing w:before="70"/>
              <w:ind w:left="232"/>
              <w:rPr>
                <w:sz w:val="22"/>
              </w:rPr>
            </w:pPr>
            <w:r>
              <w:rPr>
                <w:spacing w:val="-4"/>
                <w:sz w:val="22"/>
              </w:rPr>
              <w:t>1.56</w:t>
            </w:r>
          </w:p>
        </w:tc>
        <w:tc>
          <w:tcPr>
            <w:tcW w:w="771" w:type="dxa"/>
          </w:tcPr>
          <w:p>
            <w:pPr>
              <w:pStyle w:val="TableParagraph"/>
              <w:spacing w:before="70"/>
              <w:ind w:right="151"/>
              <w:jc w:val="right"/>
              <w:rPr>
                <w:sz w:val="22"/>
              </w:rPr>
            </w:pPr>
            <w:r>
              <w:rPr>
                <w:spacing w:val="-4"/>
                <w:sz w:val="22"/>
              </w:rPr>
              <w:t>3.13</w:t>
            </w:r>
          </w:p>
        </w:tc>
        <w:tc>
          <w:tcPr>
            <w:tcW w:w="768" w:type="dxa"/>
          </w:tcPr>
          <w:p>
            <w:pPr>
              <w:pStyle w:val="TableParagraph"/>
              <w:spacing w:before="70"/>
              <w:ind w:right="144"/>
              <w:jc w:val="right"/>
              <w:rPr>
                <w:sz w:val="22"/>
              </w:rPr>
            </w:pPr>
            <w:r>
              <w:rPr>
                <w:spacing w:val="-4"/>
                <w:sz w:val="22"/>
              </w:rPr>
              <w:t>3.91</w:t>
            </w:r>
          </w:p>
        </w:tc>
        <w:tc>
          <w:tcPr>
            <w:tcW w:w="793" w:type="dxa"/>
          </w:tcPr>
          <w:p>
            <w:pPr>
              <w:pStyle w:val="TableParagraph"/>
              <w:spacing w:before="70"/>
              <w:ind w:left="133" w:right="66"/>
              <w:jc w:val="center"/>
              <w:rPr>
                <w:sz w:val="22"/>
              </w:rPr>
            </w:pPr>
            <w:r>
              <w:rPr>
                <w:spacing w:val="-4"/>
                <w:sz w:val="22"/>
              </w:rPr>
              <w:t>7.81</w:t>
            </w:r>
          </w:p>
        </w:tc>
        <w:tc>
          <w:tcPr>
            <w:tcW w:w="785" w:type="dxa"/>
          </w:tcPr>
          <w:p>
            <w:pPr>
              <w:pStyle w:val="TableParagraph"/>
              <w:spacing w:before="70"/>
              <w:ind w:right="154"/>
              <w:jc w:val="right"/>
              <w:rPr>
                <w:sz w:val="22"/>
              </w:rPr>
            </w:pPr>
            <w:r>
              <w:rPr>
                <w:spacing w:val="-4"/>
                <w:sz w:val="22"/>
              </w:rPr>
              <w:t>3.91</w:t>
            </w:r>
          </w:p>
        </w:tc>
        <w:tc>
          <w:tcPr>
            <w:tcW w:w="791" w:type="dxa"/>
          </w:tcPr>
          <w:p>
            <w:pPr>
              <w:pStyle w:val="TableParagraph"/>
              <w:spacing w:before="70"/>
              <w:ind w:left="133" w:right="42"/>
              <w:jc w:val="center"/>
              <w:rPr>
                <w:sz w:val="22"/>
              </w:rPr>
            </w:pPr>
            <w:r>
              <w:rPr>
                <w:spacing w:val="-4"/>
                <w:sz w:val="22"/>
              </w:rPr>
              <w:t>7.81</w:t>
            </w:r>
          </w:p>
        </w:tc>
        <w:tc>
          <w:tcPr>
            <w:tcW w:w="737" w:type="dxa"/>
          </w:tcPr>
          <w:p>
            <w:pPr>
              <w:pStyle w:val="TableParagraph"/>
              <w:spacing w:before="70"/>
              <w:ind w:left="207"/>
              <w:rPr>
                <w:sz w:val="22"/>
              </w:rPr>
            </w:pPr>
            <w:r>
              <w:rPr>
                <w:spacing w:val="-4"/>
                <w:sz w:val="22"/>
              </w:rPr>
              <w:t>7.81</w:t>
            </w:r>
          </w:p>
        </w:tc>
        <w:tc>
          <w:tcPr>
            <w:tcW w:w="784" w:type="dxa"/>
          </w:tcPr>
          <w:p>
            <w:pPr>
              <w:pStyle w:val="TableParagraph"/>
              <w:spacing w:before="70"/>
              <w:ind w:left="225"/>
              <w:rPr>
                <w:sz w:val="22"/>
              </w:rPr>
            </w:pPr>
            <w:r>
              <w:rPr>
                <w:spacing w:val="-4"/>
                <w:sz w:val="22"/>
              </w:rPr>
              <w:t>31.3</w:t>
            </w:r>
          </w:p>
        </w:tc>
        <w:tc>
          <w:tcPr>
            <w:tcW w:w="774" w:type="dxa"/>
          </w:tcPr>
          <w:p>
            <w:pPr>
              <w:pStyle w:val="TableParagraph"/>
              <w:spacing w:before="70"/>
              <w:ind w:right="151"/>
              <w:jc w:val="right"/>
              <w:rPr>
                <w:sz w:val="22"/>
              </w:rPr>
            </w:pPr>
            <w:r>
              <w:rPr>
                <w:spacing w:val="-4"/>
                <w:sz w:val="22"/>
              </w:rPr>
              <w:t>0.78</w:t>
            </w:r>
          </w:p>
        </w:tc>
        <w:tc>
          <w:tcPr>
            <w:tcW w:w="832" w:type="dxa"/>
          </w:tcPr>
          <w:p>
            <w:pPr>
              <w:pStyle w:val="TableParagraph"/>
              <w:spacing w:before="70"/>
              <w:ind w:left="134" w:right="91"/>
              <w:jc w:val="center"/>
              <w:rPr>
                <w:sz w:val="22"/>
              </w:rPr>
            </w:pPr>
            <w:r>
              <w:rPr>
                <w:spacing w:val="-4"/>
                <w:sz w:val="22"/>
              </w:rPr>
              <w:t>3.13</w:t>
            </w:r>
          </w:p>
        </w:tc>
      </w:tr>
      <w:tr>
        <w:trPr>
          <w:trHeight w:val="523" w:hRule="atLeast"/>
        </w:trPr>
        <w:tc>
          <w:tcPr>
            <w:tcW w:w="1111" w:type="dxa"/>
            <w:tcBorders>
              <w:bottom w:val="single" w:sz="4" w:space="0" w:color="000000"/>
            </w:tcBorders>
          </w:tcPr>
          <w:p>
            <w:pPr>
              <w:pStyle w:val="TableParagraph"/>
              <w:spacing w:before="71"/>
              <w:ind w:right="270"/>
              <w:jc w:val="center"/>
              <w:rPr>
                <w:sz w:val="22"/>
              </w:rPr>
            </w:pPr>
            <w:r>
              <w:rPr>
                <w:sz w:val="22"/>
              </w:rPr>
              <w:t>TS</w:t>
            </w:r>
            <w:r>
              <w:rPr>
                <w:spacing w:val="-1"/>
                <w:sz w:val="22"/>
              </w:rPr>
              <w:t> </w:t>
            </w:r>
            <w:r>
              <w:rPr>
                <w:spacing w:val="-5"/>
                <w:sz w:val="22"/>
              </w:rPr>
              <w:t>312</w:t>
            </w:r>
          </w:p>
        </w:tc>
        <w:tc>
          <w:tcPr>
            <w:tcW w:w="762" w:type="dxa"/>
            <w:tcBorders>
              <w:bottom w:val="single" w:sz="4" w:space="0" w:color="000000"/>
            </w:tcBorders>
          </w:tcPr>
          <w:p>
            <w:pPr>
              <w:pStyle w:val="TableParagraph"/>
              <w:spacing w:before="71"/>
              <w:ind w:left="232"/>
              <w:rPr>
                <w:sz w:val="22"/>
              </w:rPr>
            </w:pPr>
            <w:r>
              <w:rPr>
                <w:spacing w:val="-4"/>
                <w:sz w:val="22"/>
              </w:rPr>
              <w:t>6.25</w:t>
            </w:r>
          </w:p>
        </w:tc>
        <w:tc>
          <w:tcPr>
            <w:tcW w:w="771" w:type="dxa"/>
            <w:tcBorders>
              <w:bottom w:val="single" w:sz="4" w:space="0" w:color="000000"/>
            </w:tcBorders>
          </w:tcPr>
          <w:p>
            <w:pPr>
              <w:pStyle w:val="TableParagraph"/>
              <w:spacing w:before="71"/>
              <w:ind w:right="150"/>
              <w:jc w:val="right"/>
              <w:rPr>
                <w:sz w:val="22"/>
              </w:rPr>
            </w:pPr>
            <w:r>
              <w:rPr>
                <w:spacing w:val="-4"/>
                <w:sz w:val="22"/>
              </w:rPr>
              <w:t>12.5</w:t>
            </w:r>
          </w:p>
        </w:tc>
        <w:tc>
          <w:tcPr>
            <w:tcW w:w="768" w:type="dxa"/>
            <w:tcBorders>
              <w:bottom w:val="single" w:sz="4" w:space="0" w:color="000000"/>
            </w:tcBorders>
          </w:tcPr>
          <w:p>
            <w:pPr>
              <w:pStyle w:val="TableParagraph"/>
              <w:spacing w:before="71"/>
              <w:ind w:right="144"/>
              <w:jc w:val="right"/>
              <w:rPr>
                <w:sz w:val="22"/>
              </w:rPr>
            </w:pPr>
            <w:r>
              <w:rPr>
                <w:spacing w:val="-4"/>
                <w:sz w:val="22"/>
              </w:rPr>
              <w:t>1.95</w:t>
            </w:r>
          </w:p>
        </w:tc>
        <w:tc>
          <w:tcPr>
            <w:tcW w:w="793" w:type="dxa"/>
            <w:tcBorders>
              <w:bottom w:val="single" w:sz="4" w:space="0" w:color="000000"/>
            </w:tcBorders>
          </w:tcPr>
          <w:p>
            <w:pPr>
              <w:pStyle w:val="TableParagraph"/>
              <w:spacing w:before="71"/>
              <w:ind w:left="133" w:right="66"/>
              <w:jc w:val="center"/>
              <w:rPr>
                <w:sz w:val="22"/>
              </w:rPr>
            </w:pPr>
            <w:r>
              <w:rPr>
                <w:spacing w:val="-4"/>
                <w:sz w:val="22"/>
              </w:rPr>
              <w:t>7.81</w:t>
            </w:r>
          </w:p>
        </w:tc>
        <w:tc>
          <w:tcPr>
            <w:tcW w:w="785" w:type="dxa"/>
            <w:tcBorders>
              <w:bottom w:val="single" w:sz="4" w:space="0" w:color="000000"/>
            </w:tcBorders>
          </w:tcPr>
          <w:p>
            <w:pPr>
              <w:pStyle w:val="TableParagraph"/>
              <w:spacing w:before="71"/>
              <w:ind w:right="154"/>
              <w:jc w:val="right"/>
              <w:rPr>
                <w:sz w:val="22"/>
              </w:rPr>
            </w:pPr>
            <w:r>
              <w:rPr>
                <w:spacing w:val="-4"/>
                <w:sz w:val="22"/>
              </w:rPr>
              <w:t>7.81</w:t>
            </w:r>
          </w:p>
        </w:tc>
        <w:tc>
          <w:tcPr>
            <w:tcW w:w="791" w:type="dxa"/>
            <w:tcBorders>
              <w:bottom w:val="single" w:sz="4" w:space="0" w:color="000000"/>
            </w:tcBorders>
          </w:tcPr>
          <w:p>
            <w:pPr>
              <w:pStyle w:val="TableParagraph"/>
              <w:spacing w:before="71"/>
              <w:ind w:left="134" w:right="42"/>
              <w:jc w:val="center"/>
              <w:rPr>
                <w:sz w:val="22"/>
              </w:rPr>
            </w:pPr>
            <w:r>
              <w:rPr>
                <w:spacing w:val="-4"/>
                <w:sz w:val="22"/>
              </w:rPr>
              <w:t>62.5</w:t>
            </w:r>
          </w:p>
        </w:tc>
        <w:tc>
          <w:tcPr>
            <w:tcW w:w="737" w:type="dxa"/>
            <w:tcBorders>
              <w:bottom w:val="single" w:sz="4" w:space="0" w:color="000000"/>
            </w:tcBorders>
          </w:tcPr>
          <w:p>
            <w:pPr>
              <w:pStyle w:val="TableParagraph"/>
              <w:spacing w:before="71"/>
              <w:ind w:left="207"/>
              <w:rPr>
                <w:sz w:val="22"/>
              </w:rPr>
            </w:pPr>
            <w:r>
              <w:rPr>
                <w:spacing w:val="-4"/>
                <w:sz w:val="22"/>
              </w:rPr>
              <w:t>62.5</w:t>
            </w:r>
          </w:p>
        </w:tc>
        <w:tc>
          <w:tcPr>
            <w:tcW w:w="784" w:type="dxa"/>
            <w:tcBorders>
              <w:bottom w:val="single" w:sz="4" w:space="0" w:color="000000"/>
            </w:tcBorders>
          </w:tcPr>
          <w:p>
            <w:pPr>
              <w:pStyle w:val="TableParagraph"/>
              <w:spacing w:before="71"/>
              <w:ind w:left="198"/>
              <w:rPr>
                <w:sz w:val="22"/>
              </w:rPr>
            </w:pPr>
            <w:r>
              <w:rPr>
                <w:spacing w:val="-4"/>
                <w:sz w:val="22"/>
              </w:rPr>
              <w:t>&gt;125</w:t>
            </w:r>
          </w:p>
        </w:tc>
        <w:tc>
          <w:tcPr>
            <w:tcW w:w="774" w:type="dxa"/>
            <w:tcBorders>
              <w:bottom w:val="single" w:sz="4" w:space="0" w:color="000000"/>
            </w:tcBorders>
          </w:tcPr>
          <w:p>
            <w:pPr>
              <w:pStyle w:val="TableParagraph"/>
              <w:spacing w:before="71"/>
              <w:ind w:left="326"/>
              <w:rPr>
                <w:sz w:val="22"/>
              </w:rPr>
            </w:pPr>
            <w:r>
              <w:rPr>
                <w:spacing w:val="-5"/>
                <w:sz w:val="22"/>
              </w:rPr>
              <w:t>NI</w:t>
            </w:r>
          </w:p>
        </w:tc>
        <w:tc>
          <w:tcPr>
            <w:tcW w:w="832" w:type="dxa"/>
            <w:tcBorders>
              <w:bottom w:val="single" w:sz="4" w:space="0" w:color="000000"/>
            </w:tcBorders>
          </w:tcPr>
          <w:p>
            <w:pPr>
              <w:pStyle w:val="TableParagraph"/>
              <w:spacing w:before="71"/>
              <w:ind w:left="132" w:right="91"/>
              <w:jc w:val="center"/>
              <w:rPr>
                <w:sz w:val="22"/>
              </w:rPr>
            </w:pPr>
            <w:r>
              <w:rPr>
                <w:spacing w:val="-5"/>
                <w:sz w:val="22"/>
              </w:rPr>
              <w:t>NB</w:t>
            </w:r>
          </w:p>
        </w:tc>
      </w:tr>
    </w:tbl>
    <w:p>
      <w:pPr>
        <w:pStyle w:val="BodyText"/>
        <w:spacing w:line="259" w:lineRule="auto"/>
        <w:ind w:left="380" w:right="976"/>
        <w:jc w:val="both"/>
      </w:pPr>
      <w:r>
        <w:rPr>
          <w:b/>
        </w:rPr>
        <w:t>Key: </w:t>
      </w:r>
      <w:r>
        <w:rPr/>
        <w:t>CN=Gentamicin, CRO=Ceftriaxone, AMC=Amoxicillin-Clavulanic acid, LEV=Levofloxacin, AZM=Azithromycin, MIC=Minimum Inhibitory Concentration, MBC=Minimum Bactericidal Concentration, NI=No Inhibition and NB=Not Bactericidal</w:t>
      </w:r>
    </w:p>
    <w:p>
      <w:pPr>
        <w:spacing w:after="0" w:line="259" w:lineRule="auto"/>
        <w:jc w:val="both"/>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4"/>
      </w:pPr>
    </w:p>
    <w:p>
      <w:pPr>
        <w:spacing w:before="0"/>
        <w:ind w:left="380" w:right="0" w:firstLine="0"/>
        <w:jc w:val="left"/>
        <w:rPr>
          <w:b/>
          <w:i/>
          <w:sz w:val="22"/>
        </w:rPr>
      </w:pPr>
      <w:r>
        <w:rPr>
          <w:b/>
          <w:sz w:val="22"/>
        </w:rPr>
        <w:t>MIC</w:t>
      </w:r>
      <w:r>
        <w:rPr>
          <w:b/>
          <w:spacing w:val="-6"/>
          <w:sz w:val="22"/>
        </w:rPr>
        <w:t> </w:t>
      </w:r>
      <w:r>
        <w:rPr>
          <w:b/>
          <w:sz w:val="22"/>
        </w:rPr>
        <w:t>and</w:t>
      </w:r>
      <w:r>
        <w:rPr>
          <w:b/>
          <w:spacing w:val="-5"/>
          <w:sz w:val="22"/>
        </w:rPr>
        <w:t> </w:t>
      </w:r>
      <w:r>
        <w:rPr>
          <w:b/>
          <w:sz w:val="22"/>
        </w:rPr>
        <w:t>MBC</w:t>
      </w:r>
      <w:r>
        <w:rPr>
          <w:b/>
          <w:spacing w:val="-6"/>
          <w:sz w:val="22"/>
        </w:rPr>
        <w:t> </w:t>
      </w:r>
      <w:r>
        <w:rPr>
          <w:b/>
          <w:sz w:val="22"/>
        </w:rPr>
        <w:t>Test</w:t>
      </w:r>
      <w:r>
        <w:rPr>
          <w:b/>
          <w:spacing w:val="-7"/>
          <w:sz w:val="22"/>
        </w:rPr>
        <w:t> </w:t>
      </w:r>
      <w:r>
        <w:rPr>
          <w:b/>
          <w:sz w:val="22"/>
        </w:rPr>
        <w:t>(µg/ml)</w:t>
      </w:r>
      <w:r>
        <w:rPr>
          <w:b/>
          <w:spacing w:val="-6"/>
          <w:sz w:val="22"/>
        </w:rPr>
        <w:t> </w:t>
      </w:r>
      <w:r>
        <w:rPr>
          <w:b/>
          <w:sz w:val="22"/>
        </w:rPr>
        <w:t>of</w:t>
      </w:r>
      <w:r>
        <w:rPr>
          <w:b/>
          <w:spacing w:val="-4"/>
          <w:sz w:val="22"/>
        </w:rPr>
        <w:t> </w:t>
      </w:r>
      <w:r>
        <w:rPr>
          <w:b/>
          <w:sz w:val="22"/>
        </w:rPr>
        <w:t>Standard</w:t>
      </w:r>
      <w:r>
        <w:rPr>
          <w:b/>
          <w:spacing w:val="-5"/>
          <w:sz w:val="22"/>
        </w:rPr>
        <w:t> </w:t>
      </w:r>
      <w:r>
        <w:rPr>
          <w:b/>
          <w:sz w:val="22"/>
        </w:rPr>
        <w:t>Antibiotics</w:t>
      </w:r>
      <w:r>
        <w:rPr>
          <w:b/>
          <w:spacing w:val="-6"/>
          <w:sz w:val="22"/>
        </w:rPr>
        <w:t> </w:t>
      </w:r>
      <w:r>
        <w:rPr>
          <w:b/>
          <w:sz w:val="22"/>
        </w:rPr>
        <w:t>against</w:t>
      </w:r>
      <w:r>
        <w:rPr>
          <w:b/>
          <w:spacing w:val="-1"/>
          <w:sz w:val="22"/>
        </w:rPr>
        <w:t> </w:t>
      </w:r>
      <w:r>
        <w:rPr>
          <w:b/>
          <w:i/>
          <w:sz w:val="22"/>
        </w:rPr>
        <w:t>Haemophilus</w:t>
      </w:r>
      <w:r>
        <w:rPr>
          <w:b/>
          <w:i/>
          <w:spacing w:val="-4"/>
          <w:sz w:val="22"/>
        </w:rPr>
        <w:t> </w:t>
      </w:r>
      <w:r>
        <w:rPr>
          <w:b/>
          <w:i/>
          <w:spacing w:val="-2"/>
          <w:sz w:val="22"/>
        </w:rPr>
        <w:t>influenzae</w:t>
      </w:r>
    </w:p>
    <w:p>
      <w:pPr>
        <w:pStyle w:val="BodyText"/>
        <w:rPr>
          <w:b/>
          <w:i/>
          <w:sz w:val="20"/>
        </w:rPr>
      </w:pPr>
    </w:p>
    <w:p>
      <w:pPr>
        <w:pStyle w:val="BodyText"/>
        <w:spacing w:before="147"/>
        <w:rPr>
          <w:b/>
          <w:i/>
          <w:sz w:val="20"/>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1"/>
        <w:gridCol w:w="772"/>
        <w:gridCol w:w="781"/>
        <w:gridCol w:w="778"/>
        <w:gridCol w:w="803"/>
        <w:gridCol w:w="770"/>
        <w:gridCol w:w="799"/>
        <w:gridCol w:w="773"/>
        <w:gridCol w:w="781"/>
        <w:gridCol w:w="770"/>
        <w:gridCol w:w="872"/>
      </w:tblGrid>
      <w:tr>
        <w:trPr>
          <w:trHeight w:val="665" w:hRule="atLeast"/>
        </w:trPr>
        <w:tc>
          <w:tcPr>
            <w:tcW w:w="1121" w:type="dxa"/>
            <w:tcBorders>
              <w:top w:val="single" w:sz="4" w:space="0" w:color="000000"/>
            </w:tcBorders>
          </w:tcPr>
          <w:p>
            <w:pPr>
              <w:pStyle w:val="TableParagraph"/>
              <w:spacing w:line="259" w:lineRule="auto"/>
              <w:ind w:left="441" w:right="173" w:hanging="176"/>
              <w:rPr>
                <w:b/>
                <w:sz w:val="22"/>
              </w:rPr>
            </w:pPr>
            <w:r>
              <w:rPr>
                <w:b/>
                <w:spacing w:val="-2"/>
                <w:sz w:val="22"/>
              </w:rPr>
              <w:t>Sample </w:t>
            </w:r>
            <w:r>
              <w:rPr>
                <w:b/>
                <w:spacing w:val="-4"/>
                <w:sz w:val="22"/>
              </w:rPr>
              <w:t>No.</w:t>
            </w:r>
          </w:p>
        </w:tc>
        <w:tc>
          <w:tcPr>
            <w:tcW w:w="772" w:type="dxa"/>
            <w:tcBorders>
              <w:top w:val="single" w:sz="4" w:space="0" w:color="000000"/>
            </w:tcBorders>
          </w:tcPr>
          <w:p>
            <w:pPr>
              <w:pStyle w:val="TableParagraph"/>
              <w:spacing w:before="143"/>
              <w:ind w:left="179"/>
              <w:rPr>
                <w:b/>
                <w:sz w:val="22"/>
              </w:rPr>
            </w:pPr>
            <w:r>
              <w:rPr>
                <w:b/>
                <w:spacing w:val="-5"/>
                <w:sz w:val="22"/>
              </w:rPr>
              <w:t>MIC</w:t>
            </w:r>
          </w:p>
        </w:tc>
        <w:tc>
          <w:tcPr>
            <w:tcW w:w="781" w:type="dxa"/>
            <w:tcBorders>
              <w:top w:val="single" w:sz="4" w:space="0" w:color="000000"/>
            </w:tcBorders>
          </w:tcPr>
          <w:p>
            <w:pPr>
              <w:pStyle w:val="TableParagraph"/>
              <w:spacing w:before="143"/>
              <w:ind w:left="74" w:right="143"/>
              <w:jc w:val="center"/>
              <w:rPr>
                <w:b/>
                <w:sz w:val="22"/>
              </w:rPr>
            </w:pPr>
            <w:r>
              <w:rPr>
                <w:b/>
                <w:spacing w:val="-5"/>
                <w:sz w:val="22"/>
              </w:rPr>
              <w:t>MBC</w:t>
            </w:r>
          </w:p>
        </w:tc>
        <w:tc>
          <w:tcPr>
            <w:tcW w:w="778" w:type="dxa"/>
            <w:tcBorders>
              <w:top w:val="single" w:sz="4" w:space="0" w:color="000000"/>
            </w:tcBorders>
          </w:tcPr>
          <w:p>
            <w:pPr>
              <w:pStyle w:val="TableParagraph"/>
              <w:spacing w:before="143"/>
              <w:ind w:left="153"/>
              <w:rPr>
                <w:b/>
                <w:sz w:val="22"/>
              </w:rPr>
            </w:pPr>
            <w:r>
              <w:rPr>
                <w:b/>
                <w:spacing w:val="-5"/>
                <w:sz w:val="22"/>
              </w:rPr>
              <w:t>MIC</w:t>
            </w:r>
          </w:p>
        </w:tc>
        <w:tc>
          <w:tcPr>
            <w:tcW w:w="803" w:type="dxa"/>
            <w:tcBorders>
              <w:top w:val="single" w:sz="4" w:space="0" w:color="000000"/>
            </w:tcBorders>
          </w:tcPr>
          <w:p>
            <w:pPr>
              <w:pStyle w:val="TableParagraph"/>
              <w:spacing w:before="143"/>
              <w:ind w:left="146"/>
              <w:rPr>
                <w:b/>
                <w:sz w:val="22"/>
              </w:rPr>
            </w:pPr>
            <w:r>
              <w:rPr>
                <w:b/>
                <w:spacing w:val="-5"/>
                <w:sz w:val="22"/>
              </w:rPr>
              <w:t>MBC</w:t>
            </w:r>
          </w:p>
        </w:tc>
        <w:tc>
          <w:tcPr>
            <w:tcW w:w="770" w:type="dxa"/>
            <w:tcBorders>
              <w:top w:val="single" w:sz="4" w:space="0" w:color="000000"/>
            </w:tcBorders>
          </w:tcPr>
          <w:p>
            <w:pPr>
              <w:pStyle w:val="TableParagraph"/>
              <w:spacing w:before="143"/>
              <w:ind w:right="258"/>
              <w:jc w:val="right"/>
              <w:rPr>
                <w:b/>
                <w:sz w:val="22"/>
              </w:rPr>
            </w:pPr>
            <w:r>
              <w:rPr>
                <w:b/>
                <w:spacing w:val="-5"/>
                <w:sz w:val="22"/>
              </w:rPr>
              <w:t>MIC</w:t>
            </w:r>
          </w:p>
        </w:tc>
        <w:tc>
          <w:tcPr>
            <w:tcW w:w="799" w:type="dxa"/>
            <w:tcBorders>
              <w:top w:val="single" w:sz="4" w:space="0" w:color="000000"/>
            </w:tcBorders>
          </w:tcPr>
          <w:p>
            <w:pPr>
              <w:pStyle w:val="TableParagraph"/>
              <w:spacing w:before="143"/>
              <w:ind w:right="181"/>
              <w:jc w:val="right"/>
              <w:rPr>
                <w:b/>
                <w:sz w:val="22"/>
              </w:rPr>
            </w:pPr>
            <w:r>
              <w:rPr>
                <w:b/>
                <w:spacing w:val="-5"/>
                <w:sz w:val="22"/>
              </w:rPr>
              <w:t>MBC</w:t>
            </w:r>
          </w:p>
        </w:tc>
        <w:tc>
          <w:tcPr>
            <w:tcW w:w="773" w:type="dxa"/>
            <w:tcBorders>
              <w:top w:val="single" w:sz="4" w:space="0" w:color="000000"/>
            </w:tcBorders>
          </w:tcPr>
          <w:p>
            <w:pPr>
              <w:pStyle w:val="TableParagraph"/>
              <w:spacing w:before="143"/>
              <w:ind w:left="179"/>
              <w:rPr>
                <w:b/>
                <w:sz w:val="22"/>
              </w:rPr>
            </w:pPr>
            <w:r>
              <w:rPr>
                <w:b/>
                <w:spacing w:val="-5"/>
                <w:sz w:val="22"/>
              </w:rPr>
              <w:t>MIC</w:t>
            </w:r>
          </w:p>
        </w:tc>
        <w:tc>
          <w:tcPr>
            <w:tcW w:w="781" w:type="dxa"/>
            <w:tcBorders>
              <w:top w:val="single" w:sz="4" w:space="0" w:color="000000"/>
            </w:tcBorders>
          </w:tcPr>
          <w:p>
            <w:pPr>
              <w:pStyle w:val="TableParagraph"/>
              <w:spacing w:before="143"/>
              <w:ind w:right="208"/>
              <w:jc w:val="right"/>
              <w:rPr>
                <w:b/>
                <w:sz w:val="22"/>
              </w:rPr>
            </w:pPr>
            <w:r>
              <w:rPr>
                <w:b/>
                <w:spacing w:val="-5"/>
                <w:sz w:val="22"/>
              </w:rPr>
              <w:t>MBC</w:t>
            </w:r>
          </w:p>
        </w:tc>
        <w:tc>
          <w:tcPr>
            <w:tcW w:w="770" w:type="dxa"/>
            <w:tcBorders>
              <w:top w:val="single" w:sz="4" w:space="0" w:color="000000"/>
            </w:tcBorders>
          </w:tcPr>
          <w:p>
            <w:pPr>
              <w:pStyle w:val="TableParagraph"/>
              <w:spacing w:before="143"/>
              <w:ind w:left="152"/>
              <w:rPr>
                <w:b/>
                <w:sz w:val="22"/>
              </w:rPr>
            </w:pPr>
            <w:r>
              <w:rPr>
                <w:b/>
                <w:spacing w:val="-5"/>
                <w:sz w:val="22"/>
              </w:rPr>
              <w:t>MIC</w:t>
            </w:r>
          </w:p>
        </w:tc>
        <w:tc>
          <w:tcPr>
            <w:tcW w:w="872" w:type="dxa"/>
            <w:tcBorders>
              <w:top w:val="single" w:sz="4" w:space="0" w:color="000000"/>
            </w:tcBorders>
          </w:tcPr>
          <w:p>
            <w:pPr>
              <w:pStyle w:val="TableParagraph"/>
              <w:spacing w:before="143"/>
              <w:ind w:right="257"/>
              <w:jc w:val="right"/>
              <w:rPr>
                <w:b/>
                <w:sz w:val="22"/>
              </w:rPr>
            </w:pPr>
            <w:r>
              <w:rPr>
                <w:b/>
                <w:spacing w:val="-5"/>
                <w:sz w:val="22"/>
              </w:rPr>
              <w:t>MBC</w:t>
            </w:r>
          </w:p>
        </w:tc>
      </w:tr>
      <w:tr>
        <w:trPr>
          <w:trHeight w:val="524" w:hRule="atLeast"/>
        </w:trPr>
        <w:tc>
          <w:tcPr>
            <w:tcW w:w="1121" w:type="dxa"/>
            <w:tcBorders>
              <w:bottom w:val="single" w:sz="4" w:space="0" w:color="000000"/>
            </w:tcBorders>
          </w:tcPr>
          <w:p>
            <w:pPr>
              <w:pStyle w:val="TableParagraph"/>
              <w:rPr>
                <w:rFonts w:ascii="Times New Roman"/>
                <w:sz w:val="22"/>
              </w:rPr>
            </w:pPr>
          </w:p>
        </w:tc>
        <w:tc>
          <w:tcPr>
            <w:tcW w:w="772" w:type="dxa"/>
            <w:tcBorders>
              <w:bottom w:val="single" w:sz="4" w:space="0" w:color="000000"/>
            </w:tcBorders>
          </w:tcPr>
          <w:p>
            <w:pPr>
              <w:pStyle w:val="TableParagraph"/>
              <w:spacing w:before="70"/>
              <w:ind w:left="179"/>
              <w:rPr>
                <w:b/>
                <w:sz w:val="22"/>
              </w:rPr>
            </w:pPr>
            <w:r>
              <w:rPr>
                <w:b/>
                <w:spacing w:val="-5"/>
                <w:sz w:val="22"/>
              </w:rPr>
              <w:t>CN</w:t>
            </w:r>
          </w:p>
        </w:tc>
        <w:tc>
          <w:tcPr>
            <w:tcW w:w="781" w:type="dxa"/>
            <w:tcBorders>
              <w:bottom w:val="single" w:sz="4" w:space="0" w:color="000000"/>
            </w:tcBorders>
          </w:tcPr>
          <w:p>
            <w:pPr>
              <w:pStyle w:val="TableParagraph"/>
              <w:rPr>
                <w:rFonts w:ascii="Times New Roman"/>
                <w:sz w:val="22"/>
              </w:rPr>
            </w:pPr>
          </w:p>
        </w:tc>
        <w:tc>
          <w:tcPr>
            <w:tcW w:w="778" w:type="dxa"/>
            <w:tcBorders>
              <w:bottom w:val="single" w:sz="4" w:space="0" w:color="000000"/>
            </w:tcBorders>
          </w:tcPr>
          <w:p>
            <w:pPr>
              <w:pStyle w:val="TableParagraph"/>
              <w:spacing w:before="70"/>
              <w:ind w:left="153"/>
              <w:rPr>
                <w:b/>
                <w:sz w:val="22"/>
              </w:rPr>
            </w:pPr>
            <w:r>
              <w:rPr>
                <w:b/>
                <w:spacing w:val="-5"/>
                <w:sz w:val="22"/>
              </w:rPr>
              <w:t>CRO</w:t>
            </w:r>
          </w:p>
        </w:tc>
        <w:tc>
          <w:tcPr>
            <w:tcW w:w="803" w:type="dxa"/>
            <w:tcBorders>
              <w:bottom w:val="single" w:sz="4" w:space="0" w:color="000000"/>
            </w:tcBorders>
          </w:tcPr>
          <w:p>
            <w:pPr>
              <w:pStyle w:val="TableParagraph"/>
              <w:rPr>
                <w:rFonts w:ascii="Times New Roman"/>
                <w:sz w:val="22"/>
              </w:rPr>
            </w:pPr>
          </w:p>
        </w:tc>
        <w:tc>
          <w:tcPr>
            <w:tcW w:w="770" w:type="dxa"/>
            <w:tcBorders>
              <w:bottom w:val="single" w:sz="4" w:space="0" w:color="000000"/>
            </w:tcBorders>
          </w:tcPr>
          <w:p>
            <w:pPr>
              <w:pStyle w:val="TableParagraph"/>
              <w:spacing w:before="70"/>
              <w:ind w:right="184"/>
              <w:jc w:val="right"/>
              <w:rPr>
                <w:b/>
                <w:sz w:val="22"/>
              </w:rPr>
            </w:pPr>
            <w:r>
              <w:rPr>
                <w:b/>
                <w:spacing w:val="-5"/>
                <w:sz w:val="22"/>
              </w:rPr>
              <w:t>AMC</w:t>
            </w:r>
          </w:p>
        </w:tc>
        <w:tc>
          <w:tcPr>
            <w:tcW w:w="799" w:type="dxa"/>
            <w:tcBorders>
              <w:bottom w:val="single" w:sz="4" w:space="0" w:color="000000"/>
            </w:tcBorders>
          </w:tcPr>
          <w:p>
            <w:pPr>
              <w:pStyle w:val="TableParagraph"/>
              <w:rPr>
                <w:rFonts w:ascii="Times New Roman"/>
                <w:sz w:val="22"/>
              </w:rPr>
            </w:pPr>
          </w:p>
        </w:tc>
        <w:tc>
          <w:tcPr>
            <w:tcW w:w="773" w:type="dxa"/>
            <w:tcBorders>
              <w:bottom w:val="single" w:sz="4" w:space="0" w:color="000000"/>
            </w:tcBorders>
          </w:tcPr>
          <w:p>
            <w:pPr>
              <w:pStyle w:val="TableParagraph"/>
              <w:spacing w:before="70"/>
              <w:ind w:left="179"/>
              <w:rPr>
                <w:b/>
                <w:sz w:val="22"/>
              </w:rPr>
            </w:pPr>
            <w:r>
              <w:rPr>
                <w:b/>
                <w:spacing w:val="-5"/>
                <w:sz w:val="22"/>
              </w:rPr>
              <w:t>LEV</w:t>
            </w:r>
          </w:p>
        </w:tc>
        <w:tc>
          <w:tcPr>
            <w:tcW w:w="781" w:type="dxa"/>
            <w:tcBorders>
              <w:bottom w:val="single" w:sz="4" w:space="0" w:color="000000"/>
            </w:tcBorders>
          </w:tcPr>
          <w:p>
            <w:pPr>
              <w:pStyle w:val="TableParagraph"/>
              <w:rPr>
                <w:rFonts w:ascii="Times New Roman"/>
                <w:sz w:val="22"/>
              </w:rPr>
            </w:pPr>
          </w:p>
        </w:tc>
        <w:tc>
          <w:tcPr>
            <w:tcW w:w="770" w:type="dxa"/>
            <w:tcBorders>
              <w:bottom w:val="single" w:sz="4" w:space="0" w:color="000000"/>
            </w:tcBorders>
          </w:tcPr>
          <w:p>
            <w:pPr>
              <w:pStyle w:val="TableParagraph"/>
              <w:spacing w:before="70"/>
              <w:ind w:left="152"/>
              <w:rPr>
                <w:b/>
                <w:sz w:val="22"/>
              </w:rPr>
            </w:pPr>
            <w:r>
              <w:rPr>
                <w:b/>
                <w:spacing w:val="-5"/>
                <w:sz w:val="22"/>
              </w:rPr>
              <w:t>AZM</w:t>
            </w:r>
          </w:p>
        </w:tc>
        <w:tc>
          <w:tcPr>
            <w:tcW w:w="872" w:type="dxa"/>
            <w:tcBorders>
              <w:bottom w:val="single" w:sz="4" w:space="0" w:color="000000"/>
            </w:tcBorders>
          </w:tcPr>
          <w:p>
            <w:pPr>
              <w:pStyle w:val="TableParagraph"/>
              <w:rPr>
                <w:rFonts w:ascii="Times New Roman"/>
                <w:sz w:val="22"/>
              </w:rPr>
            </w:pPr>
          </w:p>
        </w:tc>
      </w:tr>
      <w:tr>
        <w:trPr>
          <w:trHeight w:val="376" w:hRule="atLeast"/>
        </w:trPr>
        <w:tc>
          <w:tcPr>
            <w:tcW w:w="1121" w:type="dxa"/>
            <w:tcBorders>
              <w:top w:val="single" w:sz="4" w:space="0" w:color="000000"/>
            </w:tcBorders>
          </w:tcPr>
          <w:p>
            <w:pPr>
              <w:pStyle w:val="TableParagraph"/>
              <w:spacing w:line="265" w:lineRule="exact"/>
              <w:ind w:right="272"/>
              <w:jc w:val="center"/>
              <w:rPr>
                <w:sz w:val="22"/>
              </w:rPr>
            </w:pPr>
            <w:r>
              <w:rPr>
                <w:sz w:val="22"/>
              </w:rPr>
              <w:t>SP</w:t>
            </w:r>
            <w:r>
              <w:rPr>
                <w:spacing w:val="1"/>
                <w:sz w:val="22"/>
              </w:rPr>
              <w:t> </w:t>
            </w:r>
            <w:r>
              <w:rPr>
                <w:spacing w:val="-5"/>
                <w:sz w:val="22"/>
              </w:rPr>
              <w:t>267</w:t>
            </w:r>
          </w:p>
        </w:tc>
        <w:tc>
          <w:tcPr>
            <w:tcW w:w="772" w:type="dxa"/>
            <w:tcBorders>
              <w:top w:val="single" w:sz="4" w:space="0" w:color="000000"/>
            </w:tcBorders>
          </w:tcPr>
          <w:p>
            <w:pPr>
              <w:pStyle w:val="TableParagraph"/>
              <w:spacing w:line="265" w:lineRule="exact"/>
              <w:ind w:left="239"/>
              <w:rPr>
                <w:sz w:val="22"/>
              </w:rPr>
            </w:pPr>
            <w:r>
              <w:rPr>
                <w:spacing w:val="-4"/>
                <w:sz w:val="22"/>
              </w:rPr>
              <w:t>1.56</w:t>
            </w:r>
          </w:p>
        </w:tc>
        <w:tc>
          <w:tcPr>
            <w:tcW w:w="781" w:type="dxa"/>
            <w:tcBorders>
              <w:top w:val="single" w:sz="4" w:space="0" w:color="000000"/>
            </w:tcBorders>
          </w:tcPr>
          <w:p>
            <w:pPr>
              <w:pStyle w:val="TableParagraph"/>
              <w:spacing w:line="265" w:lineRule="exact"/>
              <w:ind w:left="74"/>
              <w:jc w:val="center"/>
              <w:rPr>
                <w:sz w:val="22"/>
              </w:rPr>
            </w:pPr>
            <w:r>
              <w:rPr>
                <w:spacing w:val="-4"/>
                <w:sz w:val="22"/>
              </w:rPr>
              <w:t>12.5</w:t>
            </w:r>
          </w:p>
        </w:tc>
        <w:tc>
          <w:tcPr>
            <w:tcW w:w="778" w:type="dxa"/>
            <w:tcBorders>
              <w:top w:val="single" w:sz="4" w:space="0" w:color="000000"/>
            </w:tcBorders>
          </w:tcPr>
          <w:p>
            <w:pPr>
              <w:pStyle w:val="TableParagraph"/>
              <w:spacing w:line="265" w:lineRule="exact"/>
              <w:ind w:right="147"/>
              <w:jc w:val="right"/>
              <w:rPr>
                <w:sz w:val="22"/>
              </w:rPr>
            </w:pPr>
            <w:r>
              <w:rPr>
                <w:spacing w:val="-4"/>
                <w:sz w:val="22"/>
              </w:rPr>
              <w:t>62.5</w:t>
            </w:r>
          </w:p>
        </w:tc>
        <w:tc>
          <w:tcPr>
            <w:tcW w:w="803" w:type="dxa"/>
            <w:tcBorders>
              <w:top w:val="single" w:sz="4" w:space="0" w:color="000000"/>
            </w:tcBorders>
          </w:tcPr>
          <w:p>
            <w:pPr>
              <w:pStyle w:val="TableParagraph"/>
              <w:spacing w:line="265" w:lineRule="exact"/>
              <w:ind w:right="142"/>
              <w:jc w:val="right"/>
              <w:rPr>
                <w:sz w:val="22"/>
              </w:rPr>
            </w:pPr>
            <w:r>
              <w:rPr>
                <w:spacing w:val="-4"/>
                <w:sz w:val="22"/>
              </w:rPr>
              <w:t>&gt;125</w:t>
            </w:r>
          </w:p>
        </w:tc>
        <w:tc>
          <w:tcPr>
            <w:tcW w:w="770" w:type="dxa"/>
            <w:tcBorders>
              <w:top w:val="single" w:sz="4" w:space="0" w:color="000000"/>
            </w:tcBorders>
          </w:tcPr>
          <w:p>
            <w:pPr>
              <w:pStyle w:val="TableParagraph"/>
              <w:spacing w:line="265" w:lineRule="exact"/>
              <w:ind w:right="232"/>
              <w:jc w:val="right"/>
              <w:rPr>
                <w:sz w:val="22"/>
              </w:rPr>
            </w:pPr>
            <w:r>
              <w:rPr>
                <w:spacing w:val="-5"/>
                <w:sz w:val="22"/>
              </w:rPr>
              <w:t>NI</w:t>
            </w:r>
          </w:p>
        </w:tc>
        <w:tc>
          <w:tcPr>
            <w:tcW w:w="799" w:type="dxa"/>
            <w:tcBorders>
              <w:top w:val="single" w:sz="4" w:space="0" w:color="000000"/>
            </w:tcBorders>
          </w:tcPr>
          <w:p>
            <w:pPr>
              <w:pStyle w:val="TableParagraph"/>
              <w:spacing w:line="265" w:lineRule="exact"/>
              <w:ind w:right="196"/>
              <w:jc w:val="right"/>
              <w:rPr>
                <w:sz w:val="22"/>
              </w:rPr>
            </w:pPr>
            <w:r>
              <w:rPr>
                <w:spacing w:val="-5"/>
                <w:sz w:val="22"/>
              </w:rPr>
              <w:t>NB</w:t>
            </w:r>
          </w:p>
        </w:tc>
        <w:tc>
          <w:tcPr>
            <w:tcW w:w="773" w:type="dxa"/>
            <w:tcBorders>
              <w:top w:val="single" w:sz="4" w:space="0" w:color="000000"/>
            </w:tcBorders>
          </w:tcPr>
          <w:p>
            <w:pPr>
              <w:pStyle w:val="TableParagraph"/>
              <w:spacing w:line="265" w:lineRule="exact"/>
              <w:ind w:left="239"/>
              <w:rPr>
                <w:sz w:val="22"/>
              </w:rPr>
            </w:pPr>
            <w:r>
              <w:rPr>
                <w:spacing w:val="-4"/>
                <w:sz w:val="22"/>
              </w:rPr>
              <w:t>0.98</w:t>
            </w:r>
          </w:p>
        </w:tc>
        <w:tc>
          <w:tcPr>
            <w:tcW w:w="781" w:type="dxa"/>
            <w:tcBorders>
              <w:top w:val="single" w:sz="4" w:space="0" w:color="000000"/>
            </w:tcBorders>
          </w:tcPr>
          <w:p>
            <w:pPr>
              <w:pStyle w:val="TableParagraph"/>
              <w:spacing w:line="265" w:lineRule="exact"/>
              <w:ind w:right="155"/>
              <w:jc w:val="right"/>
              <w:rPr>
                <w:sz w:val="22"/>
              </w:rPr>
            </w:pPr>
            <w:r>
              <w:rPr>
                <w:spacing w:val="-4"/>
                <w:sz w:val="22"/>
              </w:rPr>
              <w:t>62.5</w:t>
            </w:r>
          </w:p>
        </w:tc>
        <w:tc>
          <w:tcPr>
            <w:tcW w:w="770" w:type="dxa"/>
            <w:tcBorders>
              <w:top w:val="single" w:sz="4" w:space="0" w:color="000000"/>
            </w:tcBorders>
          </w:tcPr>
          <w:p>
            <w:pPr>
              <w:pStyle w:val="TableParagraph"/>
              <w:spacing w:line="265" w:lineRule="exact"/>
              <w:ind w:left="344"/>
              <w:rPr>
                <w:sz w:val="22"/>
              </w:rPr>
            </w:pPr>
            <w:r>
              <w:rPr>
                <w:spacing w:val="-5"/>
                <w:sz w:val="22"/>
              </w:rPr>
              <w:t>NI</w:t>
            </w:r>
          </w:p>
        </w:tc>
        <w:tc>
          <w:tcPr>
            <w:tcW w:w="872" w:type="dxa"/>
            <w:tcBorders>
              <w:top w:val="single" w:sz="4" w:space="0" w:color="000000"/>
            </w:tcBorders>
          </w:tcPr>
          <w:p>
            <w:pPr>
              <w:pStyle w:val="TableParagraph"/>
              <w:spacing w:line="265" w:lineRule="exact"/>
              <w:ind w:right="271"/>
              <w:jc w:val="right"/>
              <w:rPr>
                <w:sz w:val="22"/>
              </w:rPr>
            </w:pPr>
            <w:r>
              <w:rPr>
                <w:spacing w:val="-5"/>
                <w:sz w:val="22"/>
              </w:rPr>
              <w:t>NB</w:t>
            </w:r>
          </w:p>
        </w:tc>
      </w:tr>
      <w:tr>
        <w:trPr>
          <w:trHeight w:val="523" w:hRule="atLeast"/>
        </w:trPr>
        <w:tc>
          <w:tcPr>
            <w:tcW w:w="1121" w:type="dxa"/>
            <w:tcBorders>
              <w:bottom w:val="single" w:sz="4" w:space="0" w:color="000000"/>
            </w:tcBorders>
          </w:tcPr>
          <w:p>
            <w:pPr>
              <w:pStyle w:val="TableParagraph"/>
              <w:spacing w:before="71"/>
              <w:ind w:left="110" w:right="272"/>
              <w:jc w:val="center"/>
              <w:rPr>
                <w:sz w:val="22"/>
              </w:rPr>
            </w:pPr>
            <w:r>
              <w:rPr>
                <w:sz w:val="22"/>
              </w:rPr>
              <w:t>SP</w:t>
            </w:r>
            <w:r>
              <w:rPr>
                <w:spacing w:val="1"/>
                <w:sz w:val="22"/>
              </w:rPr>
              <w:t> </w:t>
            </w:r>
            <w:r>
              <w:rPr>
                <w:spacing w:val="-4"/>
                <w:sz w:val="22"/>
              </w:rPr>
              <w:t>1270</w:t>
            </w:r>
          </w:p>
        </w:tc>
        <w:tc>
          <w:tcPr>
            <w:tcW w:w="772" w:type="dxa"/>
            <w:tcBorders>
              <w:bottom w:val="single" w:sz="4" w:space="0" w:color="000000"/>
            </w:tcBorders>
          </w:tcPr>
          <w:p>
            <w:pPr>
              <w:pStyle w:val="TableParagraph"/>
              <w:spacing w:before="71"/>
              <w:ind w:left="239"/>
              <w:rPr>
                <w:sz w:val="22"/>
              </w:rPr>
            </w:pPr>
            <w:r>
              <w:rPr>
                <w:spacing w:val="-4"/>
                <w:sz w:val="22"/>
              </w:rPr>
              <w:t>1.56</w:t>
            </w:r>
          </w:p>
        </w:tc>
        <w:tc>
          <w:tcPr>
            <w:tcW w:w="781" w:type="dxa"/>
            <w:tcBorders>
              <w:bottom w:val="single" w:sz="4" w:space="0" w:color="000000"/>
            </w:tcBorders>
          </w:tcPr>
          <w:p>
            <w:pPr>
              <w:pStyle w:val="TableParagraph"/>
              <w:spacing w:before="71"/>
              <w:ind w:left="74"/>
              <w:jc w:val="center"/>
              <w:rPr>
                <w:sz w:val="22"/>
              </w:rPr>
            </w:pPr>
            <w:r>
              <w:rPr>
                <w:spacing w:val="-4"/>
                <w:sz w:val="22"/>
              </w:rPr>
              <w:t>6.25</w:t>
            </w:r>
          </w:p>
        </w:tc>
        <w:tc>
          <w:tcPr>
            <w:tcW w:w="778" w:type="dxa"/>
            <w:tcBorders>
              <w:bottom w:val="single" w:sz="4" w:space="0" w:color="000000"/>
            </w:tcBorders>
          </w:tcPr>
          <w:p>
            <w:pPr>
              <w:pStyle w:val="TableParagraph"/>
              <w:spacing w:before="71"/>
              <w:ind w:right="147"/>
              <w:jc w:val="right"/>
              <w:rPr>
                <w:sz w:val="22"/>
              </w:rPr>
            </w:pPr>
            <w:r>
              <w:rPr>
                <w:spacing w:val="-4"/>
                <w:sz w:val="22"/>
              </w:rPr>
              <w:t>62.5</w:t>
            </w:r>
          </w:p>
        </w:tc>
        <w:tc>
          <w:tcPr>
            <w:tcW w:w="803" w:type="dxa"/>
            <w:tcBorders>
              <w:bottom w:val="single" w:sz="4" w:space="0" w:color="000000"/>
            </w:tcBorders>
          </w:tcPr>
          <w:p>
            <w:pPr>
              <w:pStyle w:val="TableParagraph"/>
              <w:spacing w:before="71"/>
              <w:ind w:right="142"/>
              <w:jc w:val="right"/>
              <w:rPr>
                <w:sz w:val="22"/>
              </w:rPr>
            </w:pPr>
            <w:r>
              <w:rPr>
                <w:spacing w:val="-4"/>
                <w:sz w:val="22"/>
              </w:rPr>
              <w:t>&gt;125</w:t>
            </w:r>
          </w:p>
        </w:tc>
        <w:tc>
          <w:tcPr>
            <w:tcW w:w="770" w:type="dxa"/>
            <w:tcBorders>
              <w:bottom w:val="single" w:sz="4" w:space="0" w:color="000000"/>
            </w:tcBorders>
          </w:tcPr>
          <w:p>
            <w:pPr>
              <w:pStyle w:val="TableParagraph"/>
              <w:spacing w:before="71"/>
              <w:ind w:right="232"/>
              <w:jc w:val="right"/>
              <w:rPr>
                <w:sz w:val="22"/>
              </w:rPr>
            </w:pPr>
            <w:r>
              <w:rPr>
                <w:spacing w:val="-5"/>
                <w:sz w:val="22"/>
              </w:rPr>
              <w:t>NI</w:t>
            </w:r>
          </w:p>
        </w:tc>
        <w:tc>
          <w:tcPr>
            <w:tcW w:w="799" w:type="dxa"/>
            <w:tcBorders>
              <w:bottom w:val="single" w:sz="4" w:space="0" w:color="000000"/>
            </w:tcBorders>
          </w:tcPr>
          <w:p>
            <w:pPr>
              <w:pStyle w:val="TableParagraph"/>
              <w:spacing w:before="71"/>
              <w:ind w:right="196"/>
              <w:jc w:val="right"/>
              <w:rPr>
                <w:sz w:val="22"/>
              </w:rPr>
            </w:pPr>
            <w:r>
              <w:rPr>
                <w:spacing w:val="-5"/>
                <w:sz w:val="22"/>
              </w:rPr>
              <w:t>NB</w:t>
            </w:r>
          </w:p>
        </w:tc>
        <w:tc>
          <w:tcPr>
            <w:tcW w:w="773" w:type="dxa"/>
            <w:tcBorders>
              <w:bottom w:val="single" w:sz="4" w:space="0" w:color="000000"/>
            </w:tcBorders>
          </w:tcPr>
          <w:p>
            <w:pPr>
              <w:pStyle w:val="TableParagraph"/>
              <w:spacing w:before="71"/>
              <w:ind w:left="239"/>
              <w:rPr>
                <w:sz w:val="22"/>
              </w:rPr>
            </w:pPr>
            <w:r>
              <w:rPr>
                <w:spacing w:val="-4"/>
                <w:sz w:val="22"/>
              </w:rPr>
              <w:t>0.98</w:t>
            </w:r>
          </w:p>
        </w:tc>
        <w:tc>
          <w:tcPr>
            <w:tcW w:w="781" w:type="dxa"/>
            <w:tcBorders>
              <w:bottom w:val="single" w:sz="4" w:space="0" w:color="000000"/>
            </w:tcBorders>
          </w:tcPr>
          <w:p>
            <w:pPr>
              <w:pStyle w:val="TableParagraph"/>
              <w:spacing w:before="71"/>
              <w:ind w:right="155"/>
              <w:jc w:val="right"/>
              <w:rPr>
                <w:sz w:val="22"/>
              </w:rPr>
            </w:pPr>
            <w:r>
              <w:rPr>
                <w:spacing w:val="-4"/>
                <w:sz w:val="22"/>
              </w:rPr>
              <w:t>31.3</w:t>
            </w:r>
          </w:p>
        </w:tc>
        <w:tc>
          <w:tcPr>
            <w:tcW w:w="770" w:type="dxa"/>
            <w:tcBorders>
              <w:bottom w:val="single" w:sz="4" w:space="0" w:color="000000"/>
            </w:tcBorders>
          </w:tcPr>
          <w:p>
            <w:pPr>
              <w:pStyle w:val="TableParagraph"/>
              <w:spacing w:before="71"/>
              <w:ind w:left="344"/>
              <w:rPr>
                <w:sz w:val="22"/>
              </w:rPr>
            </w:pPr>
            <w:r>
              <w:rPr>
                <w:spacing w:val="-5"/>
                <w:sz w:val="22"/>
              </w:rPr>
              <w:t>NI</w:t>
            </w:r>
          </w:p>
        </w:tc>
        <w:tc>
          <w:tcPr>
            <w:tcW w:w="872" w:type="dxa"/>
            <w:tcBorders>
              <w:bottom w:val="single" w:sz="4" w:space="0" w:color="000000"/>
            </w:tcBorders>
          </w:tcPr>
          <w:p>
            <w:pPr>
              <w:pStyle w:val="TableParagraph"/>
              <w:spacing w:before="71"/>
              <w:ind w:right="271"/>
              <w:jc w:val="right"/>
              <w:rPr>
                <w:sz w:val="22"/>
              </w:rPr>
            </w:pPr>
            <w:r>
              <w:rPr>
                <w:spacing w:val="-5"/>
                <w:sz w:val="22"/>
              </w:rPr>
              <w:t>NB</w:t>
            </w:r>
          </w:p>
        </w:tc>
      </w:tr>
    </w:tbl>
    <w:p>
      <w:pPr>
        <w:pStyle w:val="BodyText"/>
        <w:spacing w:line="259" w:lineRule="auto"/>
        <w:ind w:left="380" w:right="976"/>
        <w:jc w:val="both"/>
      </w:pPr>
      <w:r>
        <w:rPr>
          <w:b/>
        </w:rPr>
        <w:t>Key: </w:t>
      </w:r>
      <w:r>
        <w:rPr/>
        <w:t>CN=Gentamicin, CRO=Ceftriaxone, AMC=Amoxicillin-Clavulanic acid, LEV=Levofloxacin, AZM=Azithromycin, MIC=Minimum Inhibitory Concentration, MBC=Minimum Bactericidal Concentration, NI=No Inhibition and NB=Not Bactericidal.</w:t>
      </w:r>
    </w:p>
    <w:p>
      <w:pPr>
        <w:spacing w:after="0" w:line="259" w:lineRule="auto"/>
        <w:jc w:val="both"/>
        <w:sectPr>
          <w:pgSz w:w="11910" w:h="16840"/>
          <w:pgMar w:header="0" w:footer="1055" w:top="1920" w:bottom="1240" w:left="1060" w:right="460"/>
        </w:sectPr>
      </w:pPr>
    </w:p>
    <w:p>
      <w:pPr>
        <w:pStyle w:val="BodyText"/>
        <w:spacing w:before="4"/>
        <w:rPr>
          <w:sz w:val="16"/>
        </w:rPr>
      </w:pPr>
    </w:p>
    <w:p>
      <w:pPr>
        <w:spacing w:after="0"/>
        <w:rPr>
          <w:sz w:val="16"/>
        </w:rPr>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spacing w:before="136"/>
      </w:pPr>
    </w:p>
    <w:p>
      <w:pPr>
        <w:spacing w:before="0"/>
        <w:ind w:left="380" w:right="0" w:firstLine="0"/>
        <w:jc w:val="left"/>
        <w:rPr>
          <w:b/>
          <w:i/>
          <w:sz w:val="22"/>
        </w:rPr>
      </w:pPr>
      <w:r>
        <w:rPr>
          <w:b/>
          <w:sz w:val="22"/>
        </w:rPr>
        <w:t>MIC</w:t>
      </w:r>
      <w:r>
        <w:rPr>
          <w:b/>
          <w:spacing w:val="-6"/>
          <w:sz w:val="22"/>
        </w:rPr>
        <w:t> </w:t>
      </w:r>
      <w:r>
        <w:rPr>
          <w:b/>
          <w:sz w:val="22"/>
        </w:rPr>
        <w:t>and</w:t>
      </w:r>
      <w:r>
        <w:rPr>
          <w:b/>
          <w:spacing w:val="-5"/>
          <w:sz w:val="22"/>
        </w:rPr>
        <w:t> </w:t>
      </w:r>
      <w:r>
        <w:rPr>
          <w:b/>
          <w:sz w:val="22"/>
        </w:rPr>
        <w:t>MBC</w:t>
      </w:r>
      <w:r>
        <w:rPr>
          <w:b/>
          <w:spacing w:val="-6"/>
          <w:sz w:val="22"/>
        </w:rPr>
        <w:t> </w:t>
      </w:r>
      <w:r>
        <w:rPr>
          <w:b/>
          <w:sz w:val="22"/>
        </w:rPr>
        <w:t>Test</w:t>
      </w:r>
      <w:r>
        <w:rPr>
          <w:b/>
          <w:spacing w:val="-6"/>
          <w:sz w:val="22"/>
        </w:rPr>
        <w:t> </w:t>
      </w:r>
      <w:r>
        <w:rPr>
          <w:b/>
          <w:sz w:val="22"/>
        </w:rPr>
        <w:t>(µg/ml)</w:t>
      </w:r>
      <w:r>
        <w:rPr>
          <w:b/>
          <w:spacing w:val="-6"/>
          <w:sz w:val="22"/>
        </w:rPr>
        <w:t> </w:t>
      </w:r>
      <w:r>
        <w:rPr>
          <w:b/>
          <w:sz w:val="22"/>
        </w:rPr>
        <w:t>of</w:t>
      </w:r>
      <w:r>
        <w:rPr>
          <w:b/>
          <w:spacing w:val="-5"/>
          <w:sz w:val="22"/>
        </w:rPr>
        <w:t> </w:t>
      </w:r>
      <w:r>
        <w:rPr>
          <w:b/>
          <w:sz w:val="22"/>
        </w:rPr>
        <w:t>Standard</w:t>
      </w:r>
      <w:r>
        <w:rPr>
          <w:b/>
          <w:spacing w:val="-5"/>
          <w:sz w:val="22"/>
        </w:rPr>
        <w:t> </w:t>
      </w:r>
      <w:r>
        <w:rPr>
          <w:b/>
          <w:sz w:val="22"/>
        </w:rPr>
        <w:t>Antibiotics</w:t>
      </w:r>
      <w:r>
        <w:rPr>
          <w:b/>
          <w:spacing w:val="-6"/>
          <w:sz w:val="22"/>
        </w:rPr>
        <w:t> </w:t>
      </w:r>
      <w:r>
        <w:rPr>
          <w:b/>
          <w:sz w:val="22"/>
        </w:rPr>
        <w:t>against P</w:t>
      </w:r>
      <w:r>
        <w:rPr>
          <w:b/>
          <w:i/>
          <w:sz w:val="22"/>
        </w:rPr>
        <w:t>seudomonas</w:t>
      </w:r>
      <w:r>
        <w:rPr>
          <w:b/>
          <w:i/>
          <w:spacing w:val="-7"/>
          <w:sz w:val="22"/>
        </w:rPr>
        <w:t> </w:t>
      </w:r>
      <w:r>
        <w:rPr>
          <w:b/>
          <w:i/>
          <w:spacing w:val="-2"/>
          <w:sz w:val="22"/>
        </w:rPr>
        <w:t>aeruginosa.</w:t>
      </w:r>
    </w:p>
    <w:p>
      <w:pPr>
        <w:pStyle w:val="BodyText"/>
        <w:rPr>
          <w:b/>
          <w:i/>
          <w:sz w:val="20"/>
        </w:rPr>
      </w:pPr>
    </w:p>
    <w:p>
      <w:pPr>
        <w:pStyle w:val="BodyText"/>
        <w:spacing w:before="146"/>
        <w:rPr>
          <w:b/>
          <w:i/>
          <w:sz w:val="20"/>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5"/>
        <w:gridCol w:w="852"/>
        <w:gridCol w:w="851"/>
        <w:gridCol w:w="849"/>
        <w:gridCol w:w="865"/>
        <w:gridCol w:w="821"/>
        <w:gridCol w:w="809"/>
        <w:gridCol w:w="793"/>
        <w:gridCol w:w="825"/>
        <w:gridCol w:w="849"/>
        <w:gridCol w:w="910"/>
      </w:tblGrid>
      <w:tr>
        <w:trPr>
          <w:trHeight w:val="666" w:hRule="atLeast"/>
        </w:trPr>
        <w:tc>
          <w:tcPr>
            <w:tcW w:w="1095" w:type="dxa"/>
            <w:tcBorders>
              <w:top w:val="single" w:sz="4" w:space="0" w:color="000000"/>
            </w:tcBorders>
          </w:tcPr>
          <w:p>
            <w:pPr>
              <w:pStyle w:val="TableParagraph"/>
              <w:spacing w:line="259" w:lineRule="auto"/>
              <w:ind w:left="424" w:right="164" w:hanging="176"/>
              <w:rPr>
                <w:b/>
                <w:sz w:val="22"/>
              </w:rPr>
            </w:pPr>
            <w:r>
              <w:rPr>
                <w:b/>
                <w:spacing w:val="-2"/>
                <w:sz w:val="22"/>
              </w:rPr>
              <w:t>Sample </w:t>
            </w:r>
            <w:r>
              <w:rPr>
                <w:b/>
                <w:spacing w:val="-4"/>
                <w:sz w:val="22"/>
              </w:rPr>
              <w:t>No.</w:t>
            </w:r>
          </w:p>
        </w:tc>
        <w:tc>
          <w:tcPr>
            <w:tcW w:w="852" w:type="dxa"/>
            <w:tcBorders>
              <w:top w:val="single" w:sz="4" w:space="0" w:color="000000"/>
            </w:tcBorders>
          </w:tcPr>
          <w:p>
            <w:pPr>
              <w:pStyle w:val="TableParagraph"/>
              <w:spacing w:before="143"/>
              <w:ind w:left="172"/>
              <w:rPr>
                <w:b/>
                <w:sz w:val="22"/>
              </w:rPr>
            </w:pPr>
            <w:r>
              <w:rPr>
                <w:b/>
                <w:spacing w:val="-5"/>
                <w:sz w:val="22"/>
              </w:rPr>
              <w:t>MIC</w:t>
            </w:r>
          </w:p>
        </w:tc>
        <w:tc>
          <w:tcPr>
            <w:tcW w:w="851" w:type="dxa"/>
            <w:tcBorders>
              <w:top w:val="single" w:sz="4" w:space="0" w:color="000000"/>
            </w:tcBorders>
          </w:tcPr>
          <w:p>
            <w:pPr>
              <w:pStyle w:val="TableParagraph"/>
              <w:spacing w:before="143"/>
              <w:ind w:left="170"/>
              <w:rPr>
                <w:b/>
                <w:sz w:val="22"/>
              </w:rPr>
            </w:pPr>
            <w:r>
              <w:rPr>
                <w:b/>
                <w:spacing w:val="-5"/>
                <w:sz w:val="22"/>
              </w:rPr>
              <w:t>MBC</w:t>
            </w:r>
          </w:p>
        </w:tc>
        <w:tc>
          <w:tcPr>
            <w:tcW w:w="849" w:type="dxa"/>
            <w:tcBorders>
              <w:top w:val="single" w:sz="4" w:space="0" w:color="000000"/>
            </w:tcBorders>
          </w:tcPr>
          <w:p>
            <w:pPr>
              <w:pStyle w:val="TableParagraph"/>
              <w:spacing w:before="143"/>
              <w:ind w:left="168"/>
              <w:rPr>
                <w:b/>
                <w:sz w:val="22"/>
              </w:rPr>
            </w:pPr>
            <w:r>
              <w:rPr>
                <w:b/>
                <w:spacing w:val="-5"/>
                <w:sz w:val="22"/>
              </w:rPr>
              <w:t>MIC</w:t>
            </w:r>
          </w:p>
        </w:tc>
        <w:tc>
          <w:tcPr>
            <w:tcW w:w="865" w:type="dxa"/>
            <w:tcBorders>
              <w:top w:val="single" w:sz="4" w:space="0" w:color="000000"/>
            </w:tcBorders>
          </w:tcPr>
          <w:p>
            <w:pPr>
              <w:pStyle w:val="TableParagraph"/>
              <w:spacing w:before="143"/>
              <w:ind w:left="171"/>
              <w:rPr>
                <w:b/>
                <w:sz w:val="22"/>
              </w:rPr>
            </w:pPr>
            <w:r>
              <w:rPr>
                <w:b/>
                <w:spacing w:val="-5"/>
                <w:sz w:val="22"/>
              </w:rPr>
              <w:t>MBC</w:t>
            </w:r>
          </w:p>
        </w:tc>
        <w:tc>
          <w:tcPr>
            <w:tcW w:w="821" w:type="dxa"/>
            <w:tcBorders>
              <w:top w:val="single" w:sz="4" w:space="0" w:color="000000"/>
            </w:tcBorders>
          </w:tcPr>
          <w:p>
            <w:pPr>
              <w:pStyle w:val="TableParagraph"/>
              <w:spacing w:before="143"/>
              <w:ind w:right="293"/>
              <w:jc w:val="right"/>
              <w:rPr>
                <w:b/>
                <w:sz w:val="22"/>
              </w:rPr>
            </w:pPr>
            <w:r>
              <w:rPr>
                <w:b/>
                <w:spacing w:val="-5"/>
                <w:sz w:val="22"/>
              </w:rPr>
              <w:t>MIC</w:t>
            </w:r>
          </w:p>
        </w:tc>
        <w:tc>
          <w:tcPr>
            <w:tcW w:w="809" w:type="dxa"/>
            <w:tcBorders>
              <w:top w:val="single" w:sz="4" w:space="0" w:color="000000"/>
            </w:tcBorders>
          </w:tcPr>
          <w:p>
            <w:pPr>
              <w:pStyle w:val="TableParagraph"/>
              <w:spacing w:before="143"/>
              <w:ind w:right="187"/>
              <w:jc w:val="right"/>
              <w:rPr>
                <w:b/>
                <w:sz w:val="22"/>
              </w:rPr>
            </w:pPr>
            <w:r>
              <w:rPr>
                <w:b/>
                <w:spacing w:val="-5"/>
                <w:sz w:val="22"/>
              </w:rPr>
              <w:t>MBC</w:t>
            </w:r>
          </w:p>
        </w:tc>
        <w:tc>
          <w:tcPr>
            <w:tcW w:w="793" w:type="dxa"/>
            <w:tcBorders>
              <w:top w:val="single" w:sz="4" w:space="0" w:color="000000"/>
            </w:tcBorders>
          </w:tcPr>
          <w:p>
            <w:pPr>
              <w:pStyle w:val="TableParagraph"/>
              <w:spacing w:before="143"/>
              <w:ind w:left="194"/>
              <w:rPr>
                <w:b/>
                <w:sz w:val="22"/>
              </w:rPr>
            </w:pPr>
            <w:r>
              <w:rPr>
                <w:b/>
                <w:spacing w:val="-5"/>
                <w:sz w:val="22"/>
              </w:rPr>
              <w:t>MIC</w:t>
            </w:r>
          </w:p>
        </w:tc>
        <w:tc>
          <w:tcPr>
            <w:tcW w:w="825" w:type="dxa"/>
            <w:tcBorders>
              <w:top w:val="single" w:sz="4" w:space="0" w:color="000000"/>
            </w:tcBorders>
          </w:tcPr>
          <w:p>
            <w:pPr>
              <w:pStyle w:val="TableParagraph"/>
              <w:spacing w:before="143"/>
              <w:ind w:left="144"/>
              <w:rPr>
                <w:b/>
                <w:sz w:val="22"/>
              </w:rPr>
            </w:pPr>
            <w:r>
              <w:rPr>
                <w:b/>
                <w:spacing w:val="-5"/>
                <w:sz w:val="22"/>
              </w:rPr>
              <w:t>MBC</w:t>
            </w:r>
          </w:p>
        </w:tc>
        <w:tc>
          <w:tcPr>
            <w:tcW w:w="849" w:type="dxa"/>
            <w:tcBorders>
              <w:top w:val="single" w:sz="4" w:space="0" w:color="000000"/>
            </w:tcBorders>
          </w:tcPr>
          <w:p>
            <w:pPr>
              <w:pStyle w:val="TableParagraph"/>
              <w:spacing w:before="143"/>
              <w:ind w:left="171"/>
              <w:rPr>
                <w:b/>
                <w:sz w:val="22"/>
              </w:rPr>
            </w:pPr>
            <w:r>
              <w:rPr>
                <w:b/>
                <w:spacing w:val="-5"/>
                <w:sz w:val="22"/>
              </w:rPr>
              <w:t>MIC</w:t>
            </w:r>
          </w:p>
        </w:tc>
        <w:tc>
          <w:tcPr>
            <w:tcW w:w="910" w:type="dxa"/>
            <w:tcBorders>
              <w:top w:val="single" w:sz="4" w:space="0" w:color="000000"/>
            </w:tcBorders>
          </w:tcPr>
          <w:p>
            <w:pPr>
              <w:pStyle w:val="TableParagraph"/>
              <w:spacing w:before="143"/>
              <w:ind w:right="302"/>
              <w:jc w:val="right"/>
              <w:rPr>
                <w:b/>
                <w:sz w:val="22"/>
              </w:rPr>
            </w:pPr>
            <w:r>
              <w:rPr>
                <w:b/>
                <w:spacing w:val="-5"/>
                <w:sz w:val="22"/>
              </w:rPr>
              <w:t>MBC</w:t>
            </w:r>
          </w:p>
        </w:tc>
      </w:tr>
      <w:tr>
        <w:trPr>
          <w:trHeight w:val="524" w:hRule="atLeast"/>
        </w:trPr>
        <w:tc>
          <w:tcPr>
            <w:tcW w:w="1095" w:type="dxa"/>
            <w:tcBorders>
              <w:bottom w:val="single" w:sz="4" w:space="0" w:color="000000"/>
            </w:tcBorders>
          </w:tcPr>
          <w:p>
            <w:pPr>
              <w:pStyle w:val="TableParagraph"/>
              <w:rPr>
                <w:rFonts w:ascii="Times New Roman"/>
                <w:sz w:val="22"/>
              </w:rPr>
            </w:pPr>
          </w:p>
        </w:tc>
        <w:tc>
          <w:tcPr>
            <w:tcW w:w="852" w:type="dxa"/>
            <w:tcBorders>
              <w:bottom w:val="single" w:sz="4" w:space="0" w:color="000000"/>
            </w:tcBorders>
          </w:tcPr>
          <w:p>
            <w:pPr>
              <w:pStyle w:val="TableParagraph"/>
              <w:spacing w:before="70"/>
              <w:ind w:left="172"/>
              <w:rPr>
                <w:b/>
                <w:sz w:val="22"/>
              </w:rPr>
            </w:pPr>
            <w:r>
              <w:rPr>
                <w:b/>
                <w:spacing w:val="-5"/>
                <w:sz w:val="22"/>
              </w:rPr>
              <w:t>CN</w:t>
            </w:r>
          </w:p>
        </w:tc>
        <w:tc>
          <w:tcPr>
            <w:tcW w:w="851" w:type="dxa"/>
            <w:tcBorders>
              <w:bottom w:val="single" w:sz="4" w:space="0" w:color="000000"/>
            </w:tcBorders>
          </w:tcPr>
          <w:p>
            <w:pPr>
              <w:pStyle w:val="TableParagraph"/>
              <w:rPr>
                <w:rFonts w:ascii="Times New Roman"/>
                <w:sz w:val="22"/>
              </w:rPr>
            </w:pPr>
          </w:p>
        </w:tc>
        <w:tc>
          <w:tcPr>
            <w:tcW w:w="849" w:type="dxa"/>
            <w:tcBorders>
              <w:bottom w:val="single" w:sz="4" w:space="0" w:color="000000"/>
            </w:tcBorders>
          </w:tcPr>
          <w:p>
            <w:pPr>
              <w:pStyle w:val="TableParagraph"/>
              <w:spacing w:before="70"/>
              <w:ind w:left="168"/>
              <w:rPr>
                <w:b/>
                <w:sz w:val="22"/>
              </w:rPr>
            </w:pPr>
            <w:r>
              <w:rPr>
                <w:b/>
                <w:spacing w:val="-5"/>
                <w:sz w:val="22"/>
              </w:rPr>
              <w:t>CRO</w:t>
            </w:r>
          </w:p>
        </w:tc>
        <w:tc>
          <w:tcPr>
            <w:tcW w:w="865" w:type="dxa"/>
            <w:tcBorders>
              <w:bottom w:val="single" w:sz="4" w:space="0" w:color="000000"/>
            </w:tcBorders>
          </w:tcPr>
          <w:p>
            <w:pPr>
              <w:pStyle w:val="TableParagraph"/>
              <w:rPr>
                <w:rFonts w:ascii="Times New Roman"/>
                <w:sz w:val="22"/>
              </w:rPr>
            </w:pPr>
          </w:p>
        </w:tc>
        <w:tc>
          <w:tcPr>
            <w:tcW w:w="821" w:type="dxa"/>
            <w:tcBorders>
              <w:bottom w:val="single" w:sz="4" w:space="0" w:color="000000"/>
            </w:tcBorders>
          </w:tcPr>
          <w:p>
            <w:pPr>
              <w:pStyle w:val="TableParagraph"/>
              <w:spacing w:before="70"/>
              <w:ind w:right="218"/>
              <w:jc w:val="right"/>
              <w:rPr>
                <w:b/>
                <w:sz w:val="22"/>
              </w:rPr>
            </w:pPr>
            <w:r>
              <w:rPr>
                <w:b/>
                <w:spacing w:val="-5"/>
                <w:sz w:val="22"/>
              </w:rPr>
              <w:t>AMC</w:t>
            </w:r>
          </w:p>
        </w:tc>
        <w:tc>
          <w:tcPr>
            <w:tcW w:w="809" w:type="dxa"/>
            <w:tcBorders>
              <w:bottom w:val="single" w:sz="4" w:space="0" w:color="000000"/>
            </w:tcBorders>
          </w:tcPr>
          <w:p>
            <w:pPr>
              <w:pStyle w:val="TableParagraph"/>
              <w:rPr>
                <w:rFonts w:ascii="Times New Roman"/>
                <w:sz w:val="22"/>
              </w:rPr>
            </w:pPr>
          </w:p>
        </w:tc>
        <w:tc>
          <w:tcPr>
            <w:tcW w:w="793" w:type="dxa"/>
            <w:tcBorders>
              <w:bottom w:val="single" w:sz="4" w:space="0" w:color="000000"/>
            </w:tcBorders>
          </w:tcPr>
          <w:p>
            <w:pPr>
              <w:pStyle w:val="TableParagraph"/>
              <w:spacing w:before="70"/>
              <w:ind w:left="194"/>
              <w:rPr>
                <w:b/>
                <w:sz w:val="22"/>
              </w:rPr>
            </w:pPr>
            <w:r>
              <w:rPr>
                <w:b/>
                <w:spacing w:val="-5"/>
                <w:sz w:val="22"/>
              </w:rPr>
              <w:t>LEV</w:t>
            </w:r>
          </w:p>
        </w:tc>
        <w:tc>
          <w:tcPr>
            <w:tcW w:w="825" w:type="dxa"/>
            <w:tcBorders>
              <w:bottom w:val="single" w:sz="4" w:space="0" w:color="000000"/>
            </w:tcBorders>
          </w:tcPr>
          <w:p>
            <w:pPr>
              <w:pStyle w:val="TableParagraph"/>
              <w:rPr>
                <w:rFonts w:ascii="Times New Roman"/>
                <w:sz w:val="22"/>
              </w:rPr>
            </w:pPr>
          </w:p>
        </w:tc>
        <w:tc>
          <w:tcPr>
            <w:tcW w:w="849" w:type="dxa"/>
            <w:tcBorders>
              <w:bottom w:val="single" w:sz="4" w:space="0" w:color="000000"/>
            </w:tcBorders>
          </w:tcPr>
          <w:p>
            <w:pPr>
              <w:pStyle w:val="TableParagraph"/>
              <w:spacing w:before="70"/>
              <w:ind w:left="171"/>
              <w:rPr>
                <w:b/>
                <w:sz w:val="22"/>
              </w:rPr>
            </w:pPr>
            <w:r>
              <w:rPr>
                <w:b/>
                <w:spacing w:val="-5"/>
                <w:sz w:val="22"/>
              </w:rPr>
              <w:t>AZM</w:t>
            </w:r>
          </w:p>
        </w:tc>
        <w:tc>
          <w:tcPr>
            <w:tcW w:w="910" w:type="dxa"/>
            <w:tcBorders>
              <w:bottom w:val="single" w:sz="4" w:space="0" w:color="000000"/>
            </w:tcBorders>
          </w:tcPr>
          <w:p>
            <w:pPr>
              <w:pStyle w:val="TableParagraph"/>
              <w:rPr>
                <w:rFonts w:ascii="Times New Roman"/>
                <w:sz w:val="22"/>
              </w:rPr>
            </w:pPr>
          </w:p>
        </w:tc>
      </w:tr>
      <w:tr>
        <w:trPr>
          <w:trHeight w:val="375" w:hRule="atLeast"/>
        </w:trPr>
        <w:tc>
          <w:tcPr>
            <w:tcW w:w="1095" w:type="dxa"/>
            <w:tcBorders>
              <w:top w:val="single" w:sz="4" w:space="0" w:color="000000"/>
            </w:tcBorders>
          </w:tcPr>
          <w:p>
            <w:pPr>
              <w:pStyle w:val="TableParagraph"/>
              <w:spacing w:line="265" w:lineRule="exact"/>
              <w:ind w:left="122"/>
              <w:rPr>
                <w:sz w:val="22"/>
              </w:rPr>
            </w:pPr>
            <w:r>
              <w:rPr>
                <w:sz w:val="22"/>
              </w:rPr>
              <w:t>ES</w:t>
            </w:r>
            <w:r>
              <w:rPr>
                <w:spacing w:val="-3"/>
                <w:sz w:val="22"/>
              </w:rPr>
              <w:t> </w:t>
            </w:r>
            <w:r>
              <w:rPr>
                <w:spacing w:val="-4"/>
                <w:sz w:val="22"/>
              </w:rPr>
              <w:t>1243</w:t>
            </w:r>
          </w:p>
        </w:tc>
        <w:tc>
          <w:tcPr>
            <w:tcW w:w="852" w:type="dxa"/>
            <w:tcBorders>
              <w:top w:val="single" w:sz="4" w:space="0" w:color="000000"/>
            </w:tcBorders>
          </w:tcPr>
          <w:p>
            <w:pPr>
              <w:pStyle w:val="TableParagraph"/>
              <w:spacing w:line="265" w:lineRule="exact"/>
              <w:ind w:right="165"/>
              <w:jc w:val="right"/>
              <w:rPr>
                <w:sz w:val="22"/>
              </w:rPr>
            </w:pPr>
            <w:r>
              <w:rPr>
                <w:spacing w:val="-4"/>
                <w:sz w:val="22"/>
              </w:rPr>
              <w:t>1.56</w:t>
            </w:r>
          </w:p>
        </w:tc>
        <w:tc>
          <w:tcPr>
            <w:tcW w:w="851" w:type="dxa"/>
            <w:tcBorders>
              <w:top w:val="single" w:sz="4" w:space="0" w:color="000000"/>
            </w:tcBorders>
          </w:tcPr>
          <w:p>
            <w:pPr>
              <w:pStyle w:val="TableParagraph"/>
              <w:spacing w:line="265" w:lineRule="exact"/>
              <w:ind w:right="164"/>
              <w:jc w:val="right"/>
              <w:rPr>
                <w:sz w:val="22"/>
              </w:rPr>
            </w:pPr>
            <w:r>
              <w:rPr>
                <w:spacing w:val="-4"/>
                <w:sz w:val="22"/>
              </w:rPr>
              <w:t>3.13</w:t>
            </w:r>
          </w:p>
        </w:tc>
        <w:tc>
          <w:tcPr>
            <w:tcW w:w="849" w:type="dxa"/>
            <w:tcBorders>
              <w:top w:val="single" w:sz="4" w:space="0" w:color="000000"/>
            </w:tcBorders>
          </w:tcPr>
          <w:p>
            <w:pPr>
              <w:pStyle w:val="TableParagraph"/>
              <w:spacing w:line="265" w:lineRule="exact"/>
              <w:ind w:right="194"/>
              <w:jc w:val="right"/>
              <w:rPr>
                <w:sz w:val="22"/>
              </w:rPr>
            </w:pPr>
            <w:r>
              <w:rPr>
                <w:spacing w:val="-5"/>
                <w:sz w:val="22"/>
              </w:rPr>
              <w:t>125</w:t>
            </w:r>
          </w:p>
        </w:tc>
        <w:tc>
          <w:tcPr>
            <w:tcW w:w="865" w:type="dxa"/>
            <w:tcBorders>
              <w:top w:val="single" w:sz="4" w:space="0" w:color="000000"/>
            </w:tcBorders>
          </w:tcPr>
          <w:p>
            <w:pPr>
              <w:pStyle w:val="TableParagraph"/>
              <w:spacing w:line="265" w:lineRule="exact"/>
              <w:ind w:left="359"/>
              <w:rPr>
                <w:sz w:val="22"/>
              </w:rPr>
            </w:pPr>
            <w:r>
              <w:rPr>
                <w:spacing w:val="-5"/>
                <w:sz w:val="22"/>
              </w:rPr>
              <w:t>NB</w:t>
            </w:r>
          </w:p>
        </w:tc>
        <w:tc>
          <w:tcPr>
            <w:tcW w:w="821" w:type="dxa"/>
            <w:tcBorders>
              <w:top w:val="single" w:sz="4" w:space="0" w:color="000000"/>
            </w:tcBorders>
          </w:tcPr>
          <w:p>
            <w:pPr>
              <w:pStyle w:val="TableParagraph"/>
              <w:spacing w:line="265" w:lineRule="exact"/>
              <w:ind w:right="247"/>
              <w:jc w:val="right"/>
              <w:rPr>
                <w:sz w:val="22"/>
              </w:rPr>
            </w:pPr>
            <w:r>
              <w:rPr>
                <w:spacing w:val="-5"/>
                <w:sz w:val="22"/>
              </w:rPr>
              <w:t>NI</w:t>
            </w:r>
          </w:p>
        </w:tc>
        <w:tc>
          <w:tcPr>
            <w:tcW w:w="809" w:type="dxa"/>
            <w:tcBorders>
              <w:top w:val="single" w:sz="4" w:space="0" w:color="000000"/>
            </w:tcBorders>
          </w:tcPr>
          <w:p>
            <w:pPr>
              <w:pStyle w:val="TableParagraph"/>
              <w:spacing w:line="265" w:lineRule="exact"/>
              <w:ind w:right="192"/>
              <w:jc w:val="right"/>
              <w:rPr>
                <w:sz w:val="22"/>
              </w:rPr>
            </w:pPr>
            <w:r>
              <w:rPr>
                <w:spacing w:val="-5"/>
                <w:sz w:val="22"/>
              </w:rPr>
              <w:t>NB</w:t>
            </w:r>
          </w:p>
        </w:tc>
        <w:tc>
          <w:tcPr>
            <w:tcW w:w="793" w:type="dxa"/>
            <w:tcBorders>
              <w:top w:val="single" w:sz="4" w:space="0" w:color="000000"/>
            </w:tcBorders>
          </w:tcPr>
          <w:p>
            <w:pPr>
              <w:pStyle w:val="TableParagraph"/>
              <w:spacing w:line="265" w:lineRule="exact"/>
              <w:ind w:right="136"/>
              <w:jc w:val="right"/>
              <w:rPr>
                <w:sz w:val="22"/>
              </w:rPr>
            </w:pPr>
            <w:r>
              <w:rPr>
                <w:spacing w:val="-4"/>
                <w:sz w:val="22"/>
              </w:rPr>
              <w:t>3.91</w:t>
            </w:r>
          </w:p>
        </w:tc>
        <w:tc>
          <w:tcPr>
            <w:tcW w:w="825" w:type="dxa"/>
            <w:tcBorders>
              <w:top w:val="single" w:sz="4" w:space="0" w:color="000000"/>
            </w:tcBorders>
          </w:tcPr>
          <w:p>
            <w:pPr>
              <w:pStyle w:val="TableParagraph"/>
              <w:spacing w:line="265" w:lineRule="exact"/>
              <w:ind w:right="163"/>
              <w:jc w:val="right"/>
              <w:rPr>
                <w:sz w:val="22"/>
              </w:rPr>
            </w:pPr>
            <w:r>
              <w:rPr>
                <w:spacing w:val="-4"/>
                <w:sz w:val="22"/>
              </w:rPr>
              <w:t>62.5</w:t>
            </w:r>
          </w:p>
        </w:tc>
        <w:tc>
          <w:tcPr>
            <w:tcW w:w="849" w:type="dxa"/>
            <w:tcBorders>
              <w:top w:val="single" w:sz="4" w:space="0" w:color="000000"/>
            </w:tcBorders>
          </w:tcPr>
          <w:p>
            <w:pPr>
              <w:pStyle w:val="TableParagraph"/>
              <w:spacing w:line="265" w:lineRule="exact"/>
              <w:ind w:left="389"/>
              <w:rPr>
                <w:sz w:val="22"/>
              </w:rPr>
            </w:pPr>
            <w:r>
              <w:rPr>
                <w:spacing w:val="-5"/>
                <w:sz w:val="22"/>
              </w:rPr>
              <w:t>NI</w:t>
            </w:r>
          </w:p>
        </w:tc>
        <w:tc>
          <w:tcPr>
            <w:tcW w:w="910" w:type="dxa"/>
            <w:tcBorders>
              <w:top w:val="single" w:sz="4" w:space="0" w:color="000000"/>
            </w:tcBorders>
          </w:tcPr>
          <w:p>
            <w:pPr>
              <w:pStyle w:val="TableParagraph"/>
              <w:spacing w:line="265" w:lineRule="exact"/>
              <w:ind w:right="288"/>
              <w:jc w:val="right"/>
              <w:rPr>
                <w:sz w:val="22"/>
              </w:rPr>
            </w:pPr>
            <w:r>
              <w:rPr>
                <w:spacing w:val="-5"/>
                <w:sz w:val="22"/>
              </w:rPr>
              <w:t>NB</w:t>
            </w:r>
          </w:p>
        </w:tc>
      </w:tr>
      <w:tr>
        <w:trPr>
          <w:trHeight w:val="450" w:hRule="atLeast"/>
        </w:trPr>
        <w:tc>
          <w:tcPr>
            <w:tcW w:w="1095" w:type="dxa"/>
          </w:tcPr>
          <w:p>
            <w:pPr>
              <w:pStyle w:val="TableParagraph"/>
              <w:spacing w:before="70"/>
              <w:ind w:left="122"/>
              <w:rPr>
                <w:sz w:val="22"/>
              </w:rPr>
            </w:pPr>
            <w:r>
              <w:rPr>
                <w:sz w:val="22"/>
              </w:rPr>
              <w:t>ES</w:t>
            </w:r>
            <w:r>
              <w:rPr>
                <w:spacing w:val="-1"/>
                <w:sz w:val="22"/>
              </w:rPr>
              <w:t> </w:t>
            </w:r>
            <w:r>
              <w:rPr>
                <w:spacing w:val="-5"/>
                <w:sz w:val="22"/>
              </w:rPr>
              <w:t>225</w:t>
            </w:r>
          </w:p>
        </w:tc>
        <w:tc>
          <w:tcPr>
            <w:tcW w:w="852" w:type="dxa"/>
          </w:tcPr>
          <w:p>
            <w:pPr>
              <w:pStyle w:val="TableParagraph"/>
              <w:spacing w:before="70"/>
              <w:ind w:left="390"/>
              <w:rPr>
                <w:sz w:val="22"/>
              </w:rPr>
            </w:pPr>
            <w:r>
              <w:rPr>
                <w:spacing w:val="-5"/>
                <w:sz w:val="22"/>
              </w:rPr>
              <w:t>NI</w:t>
            </w:r>
          </w:p>
        </w:tc>
        <w:tc>
          <w:tcPr>
            <w:tcW w:w="851" w:type="dxa"/>
          </w:tcPr>
          <w:p>
            <w:pPr>
              <w:pStyle w:val="TableParagraph"/>
              <w:spacing w:before="70"/>
              <w:ind w:right="230"/>
              <w:jc w:val="right"/>
              <w:rPr>
                <w:sz w:val="22"/>
              </w:rPr>
            </w:pPr>
            <w:r>
              <w:rPr>
                <w:spacing w:val="-5"/>
                <w:sz w:val="22"/>
              </w:rPr>
              <w:t>NB</w:t>
            </w:r>
          </w:p>
        </w:tc>
        <w:tc>
          <w:tcPr>
            <w:tcW w:w="849" w:type="dxa"/>
          </w:tcPr>
          <w:p>
            <w:pPr>
              <w:pStyle w:val="TableParagraph"/>
              <w:spacing w:before="70"/>
              <w:ind w:right="165"/>
              <w:jc w:val="right"/>
              <w:rPr>
                <w:sz w:val="22"/>
              </w:rPr>
            </w:pPr>
            <w:r>
              <w:rPr>
                <w:spacing w:val="-4"/>
                <w:sz w:val="22"/>
              </w:rPr>
              <w:t>15.6</w:t>
            </w:r>
          </w:p>
        </w:tc>
        <w:tc>
          <w:tcPr>
            <w:tcW w:w="865" w:type="dxa"/>
          </w:tcPr>
          <w:p>
            <w:pPr>
              <w:pStyle w:val="TableParagraph"/>
              <w:spacing w:before="70"/>
              <w:ind w:left="323"/>
              <w:rPr>
                <w:sz w:val="22"/>
              </w:rPr>
            </w:pPr>
            <w:r>
              <w:rPr>
                <w:spacing w:val="-5"/>
                <w:sz w:val="22"/>
              </w:rPr>
              <w:t>125</w:t>
            </w:r>
          </w:p>
        </w:tc>
        <w:tc>
          <w:tcPr>
            <w:tcW w:w="821" w:type="dxa"/>
          </w:tcPr>
          <w:p>
            <w:pPr>
              <w:pStyle w:val="TableParagraph"/>
              <w:spacing w:before="70"/>
              <w:ind w:right="247"/>
              <w:jc w:val="right"/>
              <w:rPr>
                <w:sz w:val="22"/>
              </w:rPr>
            </w:pPr>
            <w:r>
              <w:rPr>
                <w:spacing w:val="-5"/>
                <w:sz w:val="22"/>
              </w:rPr>
              <w:t>NI</w:t>
            </w:r>
          </w:p>
        </w:tc>
        <w:tc>
          <w:tcPr>
            <w:tcW w:w="809" w:type="dxa"/>
          </w:tcPr>
          <w:p>
            <w:pPr>
              <w:pStyle w:val="TableParagraph"/>
              <w:spacing w:before="70"/>
              <w:ind w:right="192"/>
              <w:jc w:val="right"/>
              <w:rPr>
                <w:sz w:val="22"/>
              </w:rPr>
            </w:pPr>
            <w:r>
              <w:rPr>
                <w:spacing w:val="-5"/>
                <w:sz w:val="22"/>
              </w:rPr>
              <w:t>NB</w:t>
            </w:r>
          </w:p>
        </w:tc>
        <w:tc>
          <w:tcPr>
            <w:tcW w:w="793" w:type="dxa"/>
          </w:tcPr>
          <w:p>
            <w:pPr>
              <w:pStyle w:val="TableParagraph"/>
              <w:spacing w:before="70"/>
              <w:ind w:right="136"/>
              <w:jc w:val="right"/>
              <w:rPr>
                <w:sz w:val="22"/>
              </w:rPr>
            </w:pPr>
            <w:r>
              <w:rPr>
                <w:spacing w:val="-4"/>
                <w:sz w:val="22"/>
              </w:rPr>
              <w:t>7.81</w:t>
            </w:r>
          </w:p>
        </w:tc>
        <w:tc>
          <w:tcPr>
            <w:tcW w:w="825" w:type="dxa"/>
          </w:tcPr>
          <w:p>
            <w:pPr>
              <w:pStyle w:val="TableParagraph"/>
              <w:spacing w:before="70"/>
              <w:ind w:right="192"/>
              <w:jc w:val="right"/>
              <w:rPr>
                <w:sz w:val="22"/>
              </w:rPr>
            </w:pPr>
            <w:r>
              <w:rPr>
                <w:spacing w:val="-5"/>
                <w:sz w:val="22"/>
              </w:rPr>
              <w:t>125</w:t>
            </w:r>
          </w:p>
        </w:tc>
        <w:tc>
          <w:tcPr>
            <w:tcW w:w="849" w:type="dxa"/>
          </w:tcPr>
          <w:p>
            <w:pPr>
              <w:pStyle w:val="TableParagraph"/>
              <w:spacing w:before="70"/>
              <w:ind w:left="389"/>
              <w:rPr>
                <w:sz w:val="22"/>
              </w:rPr>
            </w:pPr>
            <w:r>
              <w:rPr>
                <w:spacing w:val="-5"/>
                <w:sz w:val="22"/>
              </w:rPr>
              <w:t>NI</w:t>
            </w:r>
          </w:p>
        </w:tc>
        <w:tc>
          <w:tcPr>
            <w:tcW w:w="910" w:type="dxa"/>
          </w:tcPr>
          <w:p>
            <w:pPr>
              <w:pStyle w:val="TableParagraph"/>
              <w:spacing w:before="70"/>
              <w:ind w:right="288"/>
              <w:jc w:val="right"/>
              <w:rPr>
                <w:sz w:val="22"/>
              </w:rPr>
            </w:pPr>
            <w:r>
              <w:rPr>
                <w:spacing w:val="-5"/>
                <w:sz w:val="22"/>
              </w:rPr>
              <w:t>NB</w:t>
            </w:r>
          </w:p>
        </w:tc>
      </w:tr>
      <w:tr>
        <w:trPr>
          <w:trHeight w:val="450" w:hRule="atLeast"/>
        </w:trPr>
        <w:tc>
          <w:tcPr>
            <w:tcW w:w="1095" w:type="dxa"/>
          </w:tcPr>
          <w:p>
            <w:pPr>
              <w:pStyle w:val="TableParagraph"/>
              <w:spacing w:before="71"/>
              <w:ind w:left="122"/>
              <w:rPr>
                <w:sz w:val="22"/>
              </w:rPr>
            </w:pPr>
            <w:r>
              <w:rPr>
                <w:sz w:val="22"/>
              </w:rPr>
              <w:t>ES</w:t>
            </w:r>
            <w:r>
              <w:rPr>
                <w:spacing w:val="-1"/>
                <w:sz w:val="22"/>
              </w:rPr>
              <w:t> </w:t>
            </w:r>
            <w:r>
              <w:rPr>
                <w:spacing w:val="-5"/>
                <w:sz w:val="22"/>
              </w:rPr>
              <w:t>235</w:t>
            </w:r>
          </w:p>
        </w:tc>
        <w:tc>
          <w:tcPr>
            <w:tcW w:w="852" w:type="dxa"/>
          </w:tcPr>
          <w:p>
            <w:pPr>
              <w:pStyle w:val="TableParagraph"/>
              <w:spacing w:before="71"/>
              <w:ind w:right="165"/>
              <w:jc w:val="right"/>
              <w:rPr>
                <w:sz w:val="22"/>
              </w:rPr>
            </w:pPr>
            <w:r>
              <w:rPr>
                <w:spacing w:val="-4"/>
                <w:sz w:val="22"/>
              </w:rPr>
              <w:t>1.56</w:t>
            </w:r>
          </w:p>
        </w:tc>
        <w:tc>
          <w:tcPr>
            <w:tcW w:w="851" w:type="dxa"/>
          </w:tcPr>
          <w:p>
            <w:pPr>
              <w:pStyle w:val="TableParagraph"/>
              <w:spacing w:before="71"/>
              <w:ind w:right="163"/>
              <w:jc w:val="right"/>
              <w:rPr>
                <w:sz w:val="22"/>
              </w:rPr>
            </w:pPr>
            <w:r>
              <w:rPr>
                <w:spacing w:val="-4"/>
                <w:sz w:val="22"/>
              </w:rPr>
              <w:t>12.5</w:t>
            </w:r>
          </w:p>
        </w:tc>
        <w:tc>
          <w:tcPr>
            <w:tcW w:w="849" w:type="dxa"/>
          </w:tcPr>
          <w:p>
            <w:pPr>
              <w:pStyle w:val="TableParagraph"/>
              <w:spacing w:before="71"/>
              <w:ind w:left="387"/>
              <w:rPr>
                <w:sz w:val="22"/>
              </w:rPr>
            </w:pPr>
            <w:r>
              <w:rPr>
                <w:spacing w:val="-5"/>
                <w:sz w:val="22"/>
              </w:rPr>
              <w:t>NI</w:t>
            </w:r>
          </w:p>
        </w:tc>
        <w:tc>
          <w:tcPr>
            <w:tcW w:w="865" w:type="dxa"/>
          </w:tcPr>
          <w:p>
            <w:pPr>
              <w:pStyle w:val="TableParagraph"/>
              <w:spacing w:before="71"/>
              <w:ind w:left="359"/>
              <w:rPr>
                <w:sz w:val="22"/>
              </w:rPr>
            </w:pPr>
            <w:r>
              <w:rPr>
                <w:spacing w:val="-5"/>
                <w:sz w:val="22"/>
              </w:rPr>
              <w:t>NB</w:t>
            </w:r>
          </w:p>
        </w:tc>
        <w:tc>
          <w:tcPr>
            <w:tcW w:w="821" w:type="dxa"/>
          </w:tcPr>
          <w:p>
            <w:pPr>
              <w:pStyle w:val="TableParagraph"/>
              <w:spacing w:before="71"/>
              <w:ind w:right="247"/>
              <w:jc w:val="right"/>
              <w:rPr>
                <w:sz w:val="22"/>
              </w:rPr>
            </w:pPr>
            <w:r>
              <w:rPr>
                <w:spacing w:val="-5"/>
                <w:sz w:val="22"/>
              </w:rPr>
              <w:t>NI</w:t>
            </w:r>
          </w:p>
        </w:tc>
        <w:tc>
          <w:tcPr>
            <w:tcW w:w="809" w:type="dxa"/>
          </w:tcPr>
          <w:p>
            <w:pPr>
              <w:pStyle w:val="TableParagraph"/>
              <w:spacing w:before="71"/>
              <w:ind w:right="192"/>
              <w:jc w:val="right"/>
              <w:rPr>
                <w:sz w:val="22"/>
              </w:rPr>
            </w:pPr>
            <w:r>
              <w:rPr>
                <w:spacing w:val="-5"/>
                <w:sz w:val="22"/>
              </w:rPr>
              <w:t>NB</w:t>
            </w:r>
          </w:p>
        </w:tc>
        <w:tc>
          <w:tcPr>
            <w:tcW w:w="793" w:type="dxa"/>
          </w:tcPr>
          <w:p>
            <w:pPr>
              <w:pStyle w:val="TableParagraph"/>
              <w:spacing w:before="71"/>
              <w:ind w:right="136"/>
              <w:jc w:val="right"/>
              <w:rPr>
                <w:sz w:val="22"/>
              </w:rPr>
            </w:pPr>
            <w:r>
              <w:rPr>
                <w:spacing w:val="-4"/>
                <w:sz w:val="22"/>
              </w:rPr>
              <w:t>0.98</w:t>
            </w:r>
          </w:p>
        </w:tc>
        <w:tc>
          <w:tcPr>
            <w:tcW w:w="825" w:type="dxa"/>
          </w:tcPr>
          <w:p>
            <w:pPr>
              <w:pStyle w:val="TableParagraph"/>
              <w:spacing w:before="71"/>
              <w:ind w:right="164"/>
              <w:jc w:val="right"/>
              <w:rPr>
                <w:sz w:val="22"/>
              </w:rPr>
            </w:pPr>
            <w:r>
              <w:rPr>
                <w:spacing w:val="-4"/>
                <w:sz w:val="22"/>
              </w:rPr>
              <w:t>7.81</w:t>
            </w:r>
          </w:p>
        </w:tc>
        <w:tc>
          <w:tcPr>
            <w:tcW w:w="849" w:type="dxa"/>
          </w:tcPr>
          <w:p>
            <w:pPr>
              <w:pStyle w:val="TableParagraph"/>
              <w:spacing w:before="71"/>
              <w:ind w:right="162"/>
              <w:jc w:val="right"/>
              <w:rPr>
                <w:sz w:val="22"/>
              </w:rPr>
            </w:pPr>
            <w:r>
              <w:rPr>
                <w:spacing w:val="-4"/>
                <w:sz w:val="22"/>
              </w:rPr>
              <w:t>50.0</w:t>
            </w:r>
          </w:p>
        </w:tc>
        <w:tc>
          <w:tcPr>
            <w:tcW w:w="910" w:type="dxa"/>
          </w:tcPr>
          <w:p>
            <w:pPr>
              <w:pStyle w:val="TableParagraph"/>
              <w:spacing w:before="71"/>
              <w:ind w:right="249"/>
              <w:jc w:val="right"/>
              <w:rPr>
                <w:sz w:val="22"/>
              </w:rPr>
            </w:pPr>
            <w:r>
              <w:rPr>
                <w:spacing w:val="-5"/>
                <w:sz w:val="22"/>
              </w:rPr>
              <w:t>&gt;50</w:t>
            </w:r>
          </w:p>
        </w:tc>
      </w:tr>
      <w:tr>
        <w:trPr>
          <w:trHeight w:val="450" w:hRule="atLeast"/>
        </w:trPr>
        <w:tc>
          <w:tcPr>
            <w:tcW w:w="1095" w:type="dxa"/>
          </w:tcPr>
          <w:p>
            <w:pPr>
              <w:pStyle w:val="TableParagraph"/>
              <w:spacing w:before="70"/>
              <w:ind w:left="122"/>
              <w:rPr>
                <w:sz w:val="22"/>
              </w:rPr>
            </w:pPr>
            <w:r>
              <w:rPr>
                <w:sz w:val="22"/>
              </w:rPr>
              <w:t>ES</w:t>
            </w:r>
            <w:r>
              <w:rPr>
                <w:spacing w:val="-1"/>
                <w:sz w:val="22"/>
              </w:rPr>
              <w:t> </w:t>
            </w:r>
            <w:r>
              <w:rPr>
                <w:spacing w:val="-5"/>
                <w:sz w:val="22"/>
              </w:rPr>
              <w:t>350</w:t>
            </w:r>
          </w:p>
        </w:tc>
        <w:tc>
          <w:tcPr>
            <w:tcW w:w="852" w:type="dxa"/>
          </w:tcPr>
          <w:p>
            <w:pPr>
              <w:pStyle w:val="TableParagraph"/>
              <w:spacing w:before="70"/>
              <w:ind w:right="165"/>
              <w:jc w:val="right"/>
              <w:rPr>
                <w:sz w:val="22"/>
              </w:rPr>
            </w:pPr>
            <w:r>
              <w:rPr>
                <w:spacing w:val="-4"/>
                <w:sz w:val="22"/>
              </w:rPr>
              <w:t>1.56</w:t>
            </w:r>
          </w:p>
        </w:tc>
        <w:tc>
          <w:tcPr>
            <w:tcW w:w="851" w:type="dxa"/>
          </w:tcPr>
          <w:p>
            <w:pPr>
              <w:pStyle w:val="TableParagraph"/>
              <w:spacing w:before="70"/>
              <w:ind w:right="163"/>
              <w:jc w:val="right"/>
              <w:rPr>
                <w:sz w:val="22"/>
              </w:rPr>
            </w:pPr>
            <w:r>
              <w:rPr>
                <w:spacing w:val="-4"/>
                <w:sz w:val="22"/>
              </w:rPr>
              <w:t>12.5</w:t>
            </w:r>
          </w:p>
        </w:tc>
        <w:tc>
          <w:tcPr>
            <w:tcW w:w="849" w:type="dxa"/>
          </w:tcPr>
          <w:p>
            <w:pPr>
              <w:pStyle w:val="TableParagraph"/>
              <w:spacing w:before="70"/>
              <w:ind w:right="165"/>
              <w:jc w:val="right"/>
              <w:rPr>
                <w:sz w:val="22"/>
              </w:rPr>
            </w:pPr>
            <w:r>
              <w:rPr>
                <w:spacing w:val="-4"/>
                <w:sz w:val="22"/>
              </w:rPr>
              <w:t>31.3</w:t>
            </w:r>
          </w:p>
        </w:tc>
        <w:tc>
          <w:tcPr>
            <w:tcW w:w="865" w:type="dxa"/>
          </w:tcPr>
          <w:p>
            <w:pPr>
              <w:pStyle w:val="TableParagraph"/>
              <w:spacing w:before="70"/>
              <w:ind w:left="323"/>
              <w:rPr>
                <w:sz w:val="22"/>
              </w:rPr>
            </w:pPr>
            <w:r>
              <w:rPr>
                <w:spacing w:val="-5"/>
                <w:sz w:val="22"/>
              </w:rPr>
              <w:t>125</w:t>
            </w:r>
          </w:p>
        </w:tc>
        <w:tc>
          <w:tcPr>
            <w:tcW w:w="821" w:type="dxa"/>
          </w:tcPr>
          <w:p>
            <w:pPr>
              <w:pStyle w:val="TableParagraph"/>
              <w:spacing w:before="70"/>
              <w:ind w:right="178"/>
              <w:jc w:val="right"/>
              <w:rPr>
                <w:sz w:val="22"/>
              </w:rPr>
            </w:pPr>
            <w:r>
              <w:rPr>
                <w:spacing w:val="-5"/>
                <w:sz w:val="22"/>
              </w:rPr>
              <w:t>125</w:t>
            </w:r>
          </w:p>
        </w:tc>
        <w:tc>
          <w:tcPr>
            <w:tcW w:w="809" w:type="dxa"/>
          </w:tcPr>
          <w:p>
            <w:pPr>
              <w:pStyle w:val="TableParagraph"/>
              <w:spacing w:before="70"/>
              <w:ind w:right="192"/>
              <w:jc w:val="right"/>
              <w:rPr>
                <w:sz w:val="22"/>
              </w:rPr>
            </w:pPr>
            <w:r>
              <w:rPr>
                <w:spacing w:val="-5"/>
                <w:sz w:val="22"/>
              </w:rPr>
              <w:t>NB</w:t>
            </w:r>
          </w:p>
        </w:tc>
        <w:tc>
          <w:tcPr>
            <w:tcW w:w="793" w:type="dxa"/>
          </w:tcPr>
          <w:p>
            <w:pPr>
              <w:pStyle w:val="TableParagraph"/>
              <w:spacing w:before="70"/>
              <w:ind w:right="136"/>
              <w:jc w:val="right"/>
              <w:rPr>
                <w:sz w:val="22"/>
              </w:rPr>
            </w:pPr>
            <w:r>
              <w:rPr>
                <w:spacing w:val="-4"/>
                <w:sz w:val="22"/>
              </w:rPr>
              <w:t>0.98</w:t>
            </w:r>
          </w:p>
        </w:tc>
        <w:tc>
          <w:tcPr>
            <w:tcW w:w="825" w:type="dxa"/>
          </w:tcPr>
          <w:p>
            <w:pPr>
              <w:pStyle w:val="TableParagraph"/>
              <w:spacing w:before="70"/>
              <w:ind w:right="163"/>
              <w:jc w:val="right"/>
              <w:rPr>
                <w:sz w:val="22"/>
              </w:rPr>
            </w:pPr>
            <w:r>
              <w:rPr>
                <w:spacing w:val="-4"/>
                <w:sz w:val="22"/>
              </w:rPr>
              <w:t>15.6</w:t>
            </w:r>
          </w:p>
        </w:tc>
        <w:tc>
          <w:tcPr>
            <w:tcW w:w="849" w:type="dxa"/>
          </w:tcPr>
          <w:p>
            <w:pPr>
              <w:pStyle w:val="TableParagraph"/>
              <w:spacing w:before="70"/>
              <w:ind w:left="389"/>
              <w:rPr>
                <w:sz w:val="22"/>
              </w:rPr>
            </w:pPr>
            <w:r>
              <w:rPr>
                <w:spacing w:val="-5"/>
                <w:sz w:val="22"/>
              </w:rPr>
              <w:t>NI</w:t>
            </w:r>
          </w:p>
        </w:tc>
        <w:tc>
          <w:tcPr>
            <w:tcW w:w="910" w:type="dxa"/>
          </w:tcPr>
          <w:p>
            <w:pPr>
              <w:pStyle w:val="TableParagraph"/>
              <w:spacing w:before="70"/>
              <w:ind w:right="288"/>
              <w:jc w:val="right"/>
              <w:rPr>
                <w:sz w:val="22"/>
              </w:rPr>
            </w:pPr>
            <w:r>
              <w:rPr>
                <w:spacing w:val="-5"/>
                <w:sz w:val="22"/>
              </w:rPr>
              <w:t>NB</w:t>
            </w:r>
          </w:p>
        </w:tc>
      </w:tr>
      <w:tr>
        <w:trPr>
          <w:trHeight w:val="450" w:hRule="atLeast"/>
        </w:trPr>
        <w:tc>
          <w:tcPr>
            <w:tcW w:w="1095" w:type="dxa"/>
          </w:tcPr>
          <w:p>
            <w:pPr>
              <w:pStyle w:val="TableParagraph"/>
              <w:spacing w:before="71"/>
              <w:ind w:left="122"/>
              <w:rPr>
                <w:sz w:val="22"/>
              </w:rPr>
            </w:pPr>
            <w:r>
              <w:rPr>
                <w:sz w:val="22"/>
              </w:rPr>
              <w:t>ES</w:t>
            </w:r>
            <w:r>
              <w:rPr>
                <w:spacing w:val="-1"/>
                <w:sz w:val="22"/>
              </w:rPr>
              <w:t> </w:t>
            </w:r>
            <w:r>
              <w:rPr>
                <w:spacing w:val="-5"/>
                <w:sz w:val="22"/>
              </w:rPr>
              <w:t>876</w:t>
            </w:r>
          </w:p>
        </w:tc>
        <w:tc>
          <w:tcPr>
            <w:tcW w:w="852" w:type="dxa"/>
          </w:tcPr>
          <w:p>
            <w:pPr>
              <w:pStyle w:val="TableParagraph"/>
              <w:spacing w:before="71"/>
              <w:ind w:right="165"/>
              <w:jc w:val="right"/>
              <w:rPr>
                <w:sz w:val="22"/>
              </w:rPr>
            </w:pPr>
            <w:r>
              <w:rPr>
                <w:spacing w:val="-4"/>
                <w:sz w:val="22"/>
              </w:rPr>
              <w:t>1.56</w:t>
            </w:r>
          </w:p>
        </w:tc>
        <w:tc>
          <w:tcPr>
            <w:tcW w:w="851" w:type="dxa"/>
          </w:tcPr>
          <w:p>
            <w:pPr>
              <w:pStyle w:val="TableParagraph"/>
              <w:spacing w:before="71"/>
              <w:ind w:right="163"/>
              <w:jc w:val="right"/>
              <w:rPr>
                <w:sz w:val="22"/>
              </w:rPr>
            </w:pPr>
            <w:r>
              <w:rPr>
                <w:spacing w:val="-4"/>
                <w:sz w:val="22"/>
              </w:rPr>
              <w:t>25.0</w:t>
            </w:r>
          </w:p>
        </w:tc>
        <w:tc>
          <w:tcPr>
            <w:tcW w:w="849" w:type="dxa"/>
          </w:tcPr>
          <w:p>
            <w:pPr>
              <w:pStyle w:val="TableParagraph"/>
              <w:spacing w:before="71"/>
              <w:ind w:right="165"/>
              <w:jc w:val="right"/>
              <w:rPr>
                <w:sz w:val="22"/>
              </w:rPr>
            </w:pPr>
            <w:r>
              <w:rPr>
                <w:spacing w:val="-4"/>
                <w:sz w:val="22"/>
              </w:rPr>
              <w:t>31.3</w:t>
            </w:r>
          </w:p>
        </w:tc>
        <w:tc>
          <w:tcPr>
            <w:tcW w:w="865" w:type="dxa"/>
          </w:tcPr>
          <w:p>
            <w:pPr>
              <w:pStyle w:val="TableParagraph"/>
              <w:spacing w:before="71"/>
              <w:ind w:left="323"/>
              <w:rPr>
                <w:sz w:val="22"/>
              </w:rPr>
            </w:pPr>
            <w:r>
              <w:rPr>
                <w:spacing w:val="-5"/>
                <w:sz w:val="22"/>
              </w:rPr>
              <w:t>125</w:t>
            </w:r>
          </w:p>
        </w:tc>
        <w:tc>
          <w:tcPr>
            <w:tcW w:w="821" w:type="dxa"/>
          </w:tcPr>
          <w:p>
            <w:pPr>
              <w:pStyle w:val="TableParagraph"/>
              <w:spacing w:before="71"/>
              <w:ind w:right="247"/>
              <w:jc w:val="right"/>
              <w:rPr>
                <w:sz w:val="22"/>
              </w:rPr>
            </w:pPr>
            <w:r>
              <w:rPr>
                <w:spacing w:val="-5"/>
                <w:sz w:val="22"/>
              </w:rPr>
              <w:t>NI</w:t>
            </w:r>
          </w:p>
        </w:tc>
        <w:tc>
          <w:tcPr>
            <w:tcW w:w="809" w:type="dxa"/>
          </w:tcPr>
          <w:p>
            <w:pPr>
              <w:pStyle w:val="TableParagraph"/>
              <w:spacing w:before="71"/>
              <w:ind w:right="192"/>
              <w:jc w:val="right"/>
              <w:rPr>
                <w:sz w:val="22"/>
              </w:rPr>
            </w:pPr>
            <w:r>
              <w:rPr>
                <w:spacing w:val="-5"/>
                <w:sz w:val="22"/>
              </w:rPr>
              <w:t>NB</w:t>
            </w:r>
          </w:p>
        </w:tc>
        <w:tc>
          <w:tcPr>
            <w:tcW w:w="793" w:type="dxa"/>
          </w:tcPr>
          <w:p>
            <w:pPr>
              <w:pStyle w:val="TableParagraph"/>
              <w:spacing w:before="71"/>
              <w:ind w:right="136"/>
              <w:jc w:val="right"/>
              <w:rPr>
                <w:sz w:val="22"/>
              </w:rPr>
            </w:pPr>
            <w:r>
              <w:rPr>
                <w:spacing w:val="-4"/>
                <w:sz w:val="22"/>
              </w:rPr>
              <w:t>0.98</w:t>
            </w:r>
          </w:p>
        </w:tc>
        <w:tc>
          <w:tcPr>
            <w:tcW w:w="825" w:type="dxa"/>
          </w:tcPr>
          <w:p>
            <w:pPr>
              <w:pStyle w:val="TableParagraph"/>
              <w:spacing w:before="71"/>
              <w:ind w:right="164"/>
              <w:jc w:val="right"/>
              <w:rPr>
                <w:sz w:val="22"/>
              </w:rPr>
            </w:pPr>
            <w:r>
              <w:rPr>
                <w:spacing w:val="-4"/>
                <w:sz w:val="22"/>
              </w:rPr>
              <w:t>7.81</w:t>
            </w:r>
          </w:p>
        </w:tc>
        <w:tc>
          <w:tcPr>
            <w:tcW w:w="849" w:type="dxa"/>
          </w:tcPr>
          <w:p>
            <w:pPr>
              <w:pStyle w:val="TableParagraph"/>
              <w:spacing w:before="71"/>
              <w:ind w:left="389"/>
              <w:rPr>
                <w:sz w:val="22"/>
              </w:rPr>
            </w:pPr>
            <w:r>
              <w:rPr>
                <w:spacing w:val="-5"/>
                <w:sz w:val="22"/>
              </w:rPr>
              <w:t>NI</w:t>
            </w:r>
          </w:p>
        </w:tc>
        <w:tc>
          <w:tcPr>
            <w:tcW w:w="910" w:type="dxa"/>
          </w:tcPr>
          <w:p>
            <w:pPr>
              <w:pStyle w:val="TableParagraph"/>
              <w:spacing w:before="71"/>
              <w:ind w:right="288"/>
              <w:jc w:val="right"/>
              <w:rPr>
                <w:sz w:val="22"/>
              </w:rPr>
            </w:pPr>
            <w:r>
              <w:rPr>
                <w:spacing w:val="-5"/>
                <w:sz w:val="22"/>
              </w:rPr>
              <w:t>NB</w:t>
            </w:r>
          </w:p>
        </w:tc>
      </w:tr>
      <w:tr>
        <w:trPr>
          <w:trHeight w:val="448" w:hRule="atLeast"/>
        </w:trPr>
        <w:tc>
          <w:tcPr>
            <w:tcW w:w="1095" w:type="dxa"/>
          </w:tcPr>
          <w:p>
            <w:pPr>
              <w:pStyle w:val="TableParagraph"/>
              <w:spacing w:before="70"/>
              <w:ind w:left="122"/>
              <w:rPr>
                <w:sz w:val="22"/>
              </w:rPr>
            </w:pPr>
            <w:r>
              <w:rPr>
                <w:sz w:val="22"/>
              </w:rPr>
              <w:t>ES</w:t>
            </w:r>
            <w:r>
              <w:rPr>
                <w:spacing w:val="-1"/>
                <w:sz w:val="22"/>
              </w:rPr>
              <w:t> </w:t>
            </w:r>
            <w:r>
              <w:rPr>
                <w:spacing w:val="-5"/>
                <w:sz w:val="22"/>
              </w:rPr>
              <w:t>877</w:t>
            </w:r>
          </w:p>
        </w:tc>
        <w:tc>
          <w:tcPr>
            <w:tcW w:w="852" w:type="dxa"/>
          </w:tcPr>
          <w:p>
            <w:pPr>
              <w:pStyle w:val="TableParagraph"/>
              <w:spacing w:before="70"/>
              <w:ind w:right="165"/>
              <w:jc w:val="right"/>
              <w:rPr>
                <w:sz w:val="22"/>
              </w:rPr>
            </w:pPr>
            <w:r>
              <w:rPr>
                <w:spacing w:val="-4"/>
                <w:sz w:val="22"/>
              </w:rPr>
              <w:t>1.56</w:t>
            </w:r>
          </w:p>
        </w:tc>
        <w:tc>
          <w:tcPr>
            <w:tcW w:w="851" w:type="dxa"/>
          </w:tcPr>
          <w:p>
            <w:pPr>
              <w:pStyle w:val="TableParagraph"/>
              <w:spacing w:before="70"/>
              <w:ind w:right="163"/>
              <w:jc w:val="right"/>
              <w:rPr>
                <w:sz w:val="22"/>
              </w:rPr>
            </w:pPr>
            <w:r>
              <w:rPr>
                <w:spacing w:val="-4"/>
                <w:sz w:val="22"/>
              </w:rPr>
              <w:t>25.0</w:t>
            </w:r>
          </w:p>
        </w:tc>
        <w:tc>
          <w:tcPr>
            <w:tcW w:w="849" w:type="dxa"/>
          </w:tcPr>
          <w:p>
            <w:pPr>
              <w:pStyle w:val="TableParagraph"/>
              <w:spacing w:before="70"/>
              <w:ind w:right="165"/>
              <w:jc w:val="right"/>
              <w:rPr>
                <w:sz w:val="22"/>
              </w:rPr>
            </w:pPr>
            <w:r>
              <w:rPr>
                <w:spacing w:val="-4"/>
                <w:sz w:val="22"/>
              </w:rPr>
              <w:t>15.6</w:t>
            </w:r>
          </w:p>
        </w:tc>
        <w:tc>
          <w:tcPr>
            <w:tcW w:w="865" w:type="dxa"/>
          </w:tcPr>
          <w:p>
            <w:pPr>
              <w:pStyle w:val="TableParagraph"/>
              <w:spacing w:before="70"/>
              <w:ind w:left="323"/>
              <w:rPr>
                <w:sz w:val="22"/>
              </w:rPr>
            </w:pPr>
            <w:r>
              <w:rPr>
                <w:spacing w:val="-5"/>
                <w:sz w:val="22"/>
              </w:rPr>
              <w:t>125</w:t>
            </w:r>
          </w:p>
        </w:tc>
        <w:tc>
          <w:tcPr>
            <w:tcW w:w="821" w:type="dxa"/>
          </w:tcPr>
          <w:p>
            <w:pPr>
              <w:pStyle w:val="TableParagraph"/>
              <w:spacing w:before="70"/>
              <w:ind w:right="247"/>
              <w:jc w:val="right"/>
              <w:rPr>
                <w:sz w:val="22"/>
              </w:rPr>
            </w:pPr>
            <w:r>
              <w:rPr>
                <w:spacing w:val="-5"/>
                <w:sz w:val="22"/>
              </w:rPr>
              <w:t>NI</w:t>
            </w:r>
          </w:p>
        </w:tc>
        <w:tc>
          <w:tcPr>
            <w:tcW w:w="809" w:type="dxa"/>
          </w:tcPr>
          <w:p>
            <w:pPr>
              <w:pStyle w:val="TableParagraph"/>
              <w:spacing w:before="70"/>
              <w:ind w:right="192"/>
              <w:jc w:val="right"/>
              <w:rPr>
                <w:sz w:val="22"/>
              </w:rPr>
            </w:pPr>
            <w:r>
              <w:rPr>
                <w:spacing w:val="-5"/>
                <w:sz w:val="22"/>
              </w:rPr>
              <w:t>NB</w:t>
            </w:r>
          </w:p>
        </w:tc>
        <w:tc>
          <w:tcPr>
            <w:tcW w:w="793" w:type="dxa"/>
          </w:tcPr>
          <w:p>
            <w:pPr>
              <w:pStyle w:val="TableParagraph"/>
              <w:spacing w:before="70"/>
              <w:ind w:right="136"/>
              <w:jc w:val="right"/>
              <w:rPr>
                <w:sz w:val="22"/>
              </w:rPr>
            </w:pPr>
            <w:r>
              <w:rPr>
                <w:spacing w:val="-4"/>
                <w:sz w:val="22"/>
              </w:rPr>
              <w:t>0.98</w:t>
            </w:r>
          </w:p>
        </w:tc>
        <w:tc>
          <w:tcPr>
            <w:tcW w:w="825" w:type="dxa"/>
          </w:tcPr>
          <w:p>
            <w:pPr>
              <w:pStyle w:val="TableParagraph"/>
              <w:spacing w:before="70"/>
              <w:ind w:right="164"/>
              <w:jc w:val="right"/>
              <w:rPr>
                <w:sz w:val="22"/>
              </w:rPr>
            </w:pPr>
            <w:r>
              <w:rPr>
                <w:spacing w:val="-4"/>
                <w:sz w:val="22"/>
              </w:rPr>
              <w:t>7.81</w:t>
            </w:r>
          </w:p>
        </w:tc>
        <w:tc>
          <w:tcPr>
            <w:tcW w:w="849" w:type="dxa"/>
          </w:tcPr>
          <w:p>
            <w:pPr>
              <w:pStyle w:val="TableParagraph"/>
              <w:spacing w:before="70"/>
              <w:ind w:right="162"/>
              <w:jc w:val="right"/>
              <w:rPr>
                <w:sz w:val="22"/>
              </w:rPr>
            </w:pPr>
            <w:r>
              <w:rPr>
                <w:spacing w:val="-4"/>
                <w:sz w:val="22"/>
              </w:rPr>
              <w:t>25.0</w:t>
            </w:r>
          </w:p>
        </w:tc>
        <w:tc>
          <w:tcPr>
            <w:tcW w:w="910" w:type="dxa"/>
          </w:tcPr>
          <w:p>
            <w:pPr>
              <w:pStyle w:val="TableParagraph"/>
              <w:spacing w:before="70"/>
              <w:ind w:right="220"/>
              <w:jc w:val="right"/>
              <w:rPr>
                <w:sz w:val="22"/>
              </w:rPr>
            </w:pPr>
            <w:r>
              <w:rPr>
                <w:spacing w:val="-4"/>
                <w:sz w:val="22"/>
              </w:rPr>
              <w:t>50.0</w:t>
            </w:r>
          </w:p>
        </w:tc>
      </w:tr>
      <w:tr>
        <w:trPr>
          <w:trHeight w:val="450" w:hRule="atLeast"/>
        </w:trPr>
        <w:tc>
          <w:tcPr>
            <w:tcW w:w="1095" w:type="dxa"/>
          </w:tcPr>
          <w:p>
            <w:pPr>
              <w:pStyle w:val="TableParagraph"/>
              <w:spacing w:before="70"/>
              <w:ind w:left="122"/>
              <w:rPr>
                <w:sz w:val="22"/>
              </w:rPr>
            </w:pPr>
            <w:r>
              <w:rPr>
                <w:sz w:val="22"/>
              </w:rPr>
              <w:t>ES</w:t>
            </w:r>
            <w:r>
              <w:rPr>
                <w:spacing w:val="-1"/>
                <w:sz w:val="22"/>
              </w:rPr>
              <w:t> </w:t>
            </w:r>
            <w:r>
              <w:rPr>
                <w:spacing w:val="-5"/>
                <w:sz w:val="22"/>
              </w:rPr>
              <w:t>895</w:t>
            </w:r>
          </w:p>
        </w:tc>
        <w:tc>
          <w:tcPr>
            <w:tcW w:w="852" w:type="dxa"/>
          </w:tcPr>
          <w:p>
            <w:pPr>
              <w:pStyle w:val="TableParagraph"/>
              <w:spacing w:before="70"/>
              <w:ind w:right="165"/>
              <w:jc w:val="right"/>
              <w:rPr>
                <w:sz w:val="22"/>
              </w:rPr>
            </w:pPr>
            <w:r>
              <w:rPr>
                <w:spacing w:val="-4"/>
                <w:sz w:val="22"/>
              </w:rPr>
              <w:t>1.56</w:t>
            </w:r>
          </w:p>
        </w:tc>
        <w:tc>
          <w:tcPr>
            <w:tcW w:w="851" w:type="dxa"/>
          </w:tcPr>
          <w:p>
            <w:pPr>
              <w:pStyle w:val="TableParagraph"/>
              <w:spacing w:before="70"/>
              <w:ind w:right="163"/>
              <w:jc w:val="right"/>
              <w:rPr>
                <w:sz w:val="22"/>
              </w:rPr>
            </w:pPr>
            <w:r>
              <w:rPr>
                <w:spacing w:val="-4"/>
                <w:sz w:val="22"/>
              </w:rPr>
              <w:t>25.0</w:t>
            </w:r>
          </w:p>
        </w:tc>
        <w:tc>
          <w:tcPr>
            <w:tcW w:w="849" w:type="dxa"/>
          </w:tcPr>
          <w:p>
            <w:pPr>
              <w:pStyle w:val="TableParagraph"/>
              <w:spacing w:before="70"/>
              <w:ind w:right="165"/>
              <w:jc w:val="right"/>
              <w:rPr>
                <w:sz w:val="22"/>
              </w:rPr>
            </w:pPr>
            <w:r>
              <w:rPr>
                <w:spacing w:val="-4"/>
                <w:sz w:val="22"/>
              </w:rPr>
              <w:t>31.3</w:t>
            </w:r>
          </w:p>
        </w:tc>
        <w:tc>
          <w:tcPr>
            <w:tcW w:w="865" w:type="dxa"/>
          </w:tcPr>
          <w:p>
            <w:pPr>
              <w:pStyle w:val="TableParagraph"/>
              <w:spacing w:before="70"/>
              <w:ind w:left="323"/>
              <w:rPr>
                <w:sz w:val="22"/>
              </w:rPr>
            </w:pPr>
            <w:r>
              <w:rPr>
                <w:spacing w:val="-5"/>
                <w:sz w:val="22"/>
              </w:rPr>
              <w:t>125</w:t>
            </w:r>
          </w:p>
        </w:tc>
        <w:tc>
          <w:tcPr>
            <w:tcW w:w="821" w:type="dxa"/>
          </w:tcPr>
          <w:p>
            <w:pPr>
              <w:pStyle w:val="TableParagraph"/>
              <w:spacing w:before="70"/>
              <w:ind w:right="247"/>
              <w:jc w:val="right"/>
              <w:rPr>
                <w:sz w:val="22"/>
              </w:rPr>
            </w:pPr>
            <w:r>
              <w:rPr>
                <w:spacing w:val="-5"/>
                <w:sz w:val="22"/>
              </w:rPr>
              <w:t>NI</w:t>
            </w:r>
          </w:p>
        </w:tc>
        <w:tc>
          <w:tcPr>
            <w:tcW w:w="809" w:type="dxa"/>
          </w:tcPr>
          <w:p>
            <w:pPr>
              <w:pStyle w:val="TableParagraph"/>
              <w:spacing w:before="70"/>
              <w:ind w:right="192"/>
              <w:jc w:val="right"/>
              <w:rPr>
                <w:sz w:val="22"/>
              </w:rPr>
            </w:pPr>
            <w:r>
              <w:rPr>
                <w:spacing w:val="-5"/>
                <w:sz w:val="22"/>
              </w:rPr>
              <w:t>NB</w:t>
            </w:r>
          </w:p>
        </w:tc>
        <w:tc>
          <w:tcPr>
            <w:tcW w:w="793" w:type="dxa"/>
          </w:tcPr>
          <w:p>
            <w:pPr>
              <w:pStyle w:val="TableParagraph"/>
              <w:spacing w:before="70"/>
              <w:ind w:right="136"/>
              <w:jc w:val="right"/>
              <w:rPr>
                <w:sz w:val="22"/>
              </w:rPr>
            </w:pPr>
            <w:r>
              <w:rPr>
                <w:spacing w:val="-4"/>
                <w:sz w:val="22"/>
              </w:rPr>
              <w:t>0.98</w:t>
            </w:r>
          </w:p>
        </w:tc>
        <w:tc>
          <w:tcPr>
            <w:tcW w:w="825" w:type="dxa"/>
          </w:tcPr>
          <w:p>
            <w:pPr>
              <w:pStyle w:val="TableParagraph"/>
              <w:spacing w:before="70"/>
              <w:ind w:right="163"/>
              <w:jc w:val="right"/>
              <w:rPr>
                <w:sz w:val="22"/>
              </w:rPr>
            </w:pPr>
            <w:r>
              <w:rPr>
                <w:spacing w:val="-4"/>
                <w:sz w:val="22"/>
              </w:rPr>
              <w:t>62.5</w:t>
            </w:r>
          </w:p>
        </w:tc>
        <w:tc>
          <w:tcPr>
            <w:tcW w:w="849" w:type="dxa"/>
          </w:tcPr>
          <w:p>
            <w:pPr>
              <w:pStyle w:val="TableParagraph"/>
              <w:spacing w:before="70"/>
              <w:ind w:right="162"/>
              <w:jc w:val="right"/>
              <w:rPr>
                <w:sz w:val="22"/>
              </w:rPr>
            </w:pPr>
            <w:r>
              <w:rPr>
                <w:spacing w:val="-4"/>
                <w:sz w:val="22"/>
              </w:rPr>
              <w:t>50.0</w:t>
            </w:r>
          </w:p>
        </w:tc>
        <w:tc>
          <w:tcPr>
            <w:tcW w:w="910" w:type="dxa"/>
          </w:tcPr>
          <w:p>
            <w:pPr>
              <w:pStyle w:val="TableParagraph"/>
              <w:spacing w:before="70"/>
              <w:ind w:right="249"/>
              <w:jc w:val="right"/>
              <w:rPr>
                <w:sz w:val="22"/>
              </w:rPr>
            </w:pPr>
            <w:r>
              <w:rPr>
                <w:spacing w:val="-5"/>
                <w:sz w:val="22"/>
              </w:rPr>
              <w:t>&gt;50</w:t>
            </w:r>
          </w:p>
        </w:tc>
      </w:tr>
      <w:tr>
        <w:trPr>
          <w:trHeight w:val="450" w:hRule="atLeast"/>
        </w:trPr>
        <w:tc>
          <w:tcPr>
            <w:tcW w:w="1095" w:type="dxa"/>
          </w:tcPr>
          <w:p>
            <w:pPr>
              <w:pStyle w:val="TableParagraph"/>
              <w:spacing w:before="71"/>
              <w:ind w:left="122"/>
              <w:rPr>
                <w:sz w:val="22"/>
              </w:rPr>
            </w:pPr>
            <w:r>
              <w:rPr>
                <w:sz w:val="22"/>
              </w:rPr>
              <w:t>SP</w:t>
            </w:r>
            <w:r>
              <w:rPr>
                <w:spacing w:val="1"/>
                <w:sz w:val="22"/>
              </w:rPr>
              <w:t> </w:t>
            </w:r>
            <w:r>
              <w:rPr>
                <w:spacing w:val="-4"/>
                <w:sz w:val="22"/>
              </w:rPr>
              <w:t>1203</w:t>
            </w:r>
          </w:p>
        </w:tc>
        <w:tc>
          <w:tcPr>
            <w:tcW w:w="852" w:type="dxa"/>
          </w:tcPr>
          <w:p>
            <w:pPr>
              <w:pStyle w:val="TableParagraph"/>
              <w:spacing w:before="71"/>
              <w:ind w:right="165"/>
              <w:jc w:val="right"/>
              <w:rPr>
                <w:sz w:val="22"/>
              </w:rPr>
            </w:pPr>
            <w:r>
              <w:rPr>
                <w:spacing w:val="-4"/>
                <w:sz w:val="22"/>
              </w:rPr>
              <w:t>1.56</w:t>
            </w:r>
          </w:p>
        </w:tc>
        <w:tc>
          <w:tcPr>
            <w:tcW w:w="851" w:type="dxa"/>
          </w:tcPr>
          <w:p>
            <w:pPr>
              <w:pStyle w:val="TableParagraph"/>
              <w:spacing w:before="71"/>
              <w:ind w:right="163"/>
              <w:jc w:val="right"/>
              <w:rPr>
                <w:sz w:val="22"/>
              </w:rPr>
            </w:pPr>
            <w:r>
              <w:rPr>
                <w:spacing w:val="-4"/>
                <w:sz w:val="22"/>
              </w:rPr>
              <w:t>12.5</w:t>
            </w:r>
          </w:p>
        </w:tc>
        <w:tc>
          <w:tcPr>
            <w:tcW w:w="849" w:type="dxa"/>
          </w:tcPr>
          <w:p>
            <w:pPr>
              <w:pStyle w:val="TableParagraph"/>
              <w:spacing w:before="71"/>
              <w:ind w:right="194"/>
              <w:jc w:val="right"/>
              <w:rPr>
                <w:sz w:val="22"/>
              </w:rPr>
            </w:pPr>
            <w:r>
              <w:rPr>
                <w:spacing w:val="-5"/>
                <w:sz w:val="22"/>
              </w:rPr>
              <w:t>125</w:t>
            </w:r>
          </w:p>
        </w:tc>
        <w:tc>
          <w:tcPr>
            <w:tcW w:w="865" w:type="dxa"/>
          </w:tcPr>
          <w:p>
            <w:pPr>
              <w:pStyle w:val="TableParagraph"/>
              <w:spacing w:before="71"/>
              <w:ind w:left="359"/>
              <w:rPr>
                <w:sz w:val="22"/>
              </w:rPr>
            </w:pPr>
            <w:r>
              <w:rPr>
                <w:spacing w:val="-5"/>
                <w:sz w:val="22"/>
              </w:rPr>
              <w:t>NB</w:t>
            </w:r>
          </w:p>
        </w:tc>
        <w:tc>
          <w:tcPr>
            <w:tcW w:w="821" w:type="dxa"/>
          </w:tcPr>
          <w:p>
            <w:pPr>
              <w:pStyle w:val="TableParagraph"/>
              <w:spacing w:before="71"/>
              <w:ind w:right="247"/>
              <w:jc w:val="right"/>
              <w:rPr>
                <w:sz w:val="22"/>
              </w:rPr>
            </w:pPr>
            <w:r>
              <w:rPr>
                <w:spacing w:val="-5"/>
                <w:sz w:val="22"/>
              </w:rPr>
              <w:t>NI</w:t>
            </w:r>
          </w:p>
        </w:tc>
        <w:tc>
          <w:tcPr>
            <w:tcW w:w="809" w:type="dxa"/>
          </w:tcPr>
          <w:p>
            <w:pPr>
              <w:pStyle w:val="TableParagraph"/>
              <w:spacing w:before="71"/>
              <w:ind w:right="192"/>
              <w:jc w:val="right"/>
              <w:rPr>
                <w:sz w:val="22"/>
              </w:rPr>
            </w:pPr>
            <w:r>
              <w:rPr>
                <w:spacing w:val="-5"/>
                <w:sz w:val="22"/>
              </w:rPr>
              <w:t>NB</w:t>
            </w:r>
          </w:p>
        </w:tc>
        <w:tc>
          <w:tcPr>
            <w:tcW w:w="793" w:type="dxa"/>
          </w:tcPr>
          <w:p>
            <w:pPr>
              <w:pStyle w:val="TableParagraph"/>
              <w:spacing w:before="71"/>
              <w:ind w:right="136"/>
              <w:jc w:val="right"/>
              <w:rPr>
                <w:sz w:val="22"/>
              </w:rPr>
            </w:pPr>
            <w:r>
              <w:rPr>
                <w:spacing w:val="-4"/>
                <w:sz w:val="22"/>
              </w:rPr>
              <w:t>0.98</w:t>
            </w:r>
          </w:p>
        </w:tc>
        <w:tc>
          <w:tcPr>
            <w:tcW w:w="825" w:type="dxa"/>
          </w:tcPr>
          <w:p>
            <w:pPr>
              <w:pStyle w:val="TableParagraph"/>
              <w:spacing w:before="71"/>
              <w:ind w:right="164"/>
              <w:jc w:val="right"/>
              <w:rPr>
                <w:sz w:val="22"/>
              </w:rPr>
            </w:pPr>
            <w:r>
              <w:rPr>
                <w:spacing w:val="-4"/>
                <w:sz w:val="22"/>
              </w:rPr>
              <w:t>7.81</w:t>
            </w:r>
          </w:p>
        </w:tc>
        <w:tc>
          <w:tcPr>
            <w:tcW w:w="849" w:type="dxa"/>
          </w:tcPr>
          <w:p>
            <w:pPr>
              <w:pStyle w:val="TableParagraph"/>
              <w:spacing w:before="71"/>
              <w:ind w:left="389"/>
              <w:rPr>
                <w:sz w:val="22"/>
              </w:rPr>
            </w:pPr>
            <w:r>
              <w:rPr>
                <w:spacing w:val="-5"/>
                <w:sz w:val="22"/>
              </w:rPr>
              <w:t>NI</w:t>
            </w:r>
          </w:p>
        </w:tc>
        <w:tc>
          <w:tcPr>
            <w:tcW w:w="910" w:type="dxa"/>
          </w:tcPr>
          <w:p>
            <w:pPr>
              <w:pStyle w:val="TableParagraph"/>
              <w:spacing w:before="71"/>
              <w:ind w:right="288"/>
              <w:jc w:val="right"/>
              <w:rPr>
                <w:sz w:val="22"/>
              </w:rPr>
            </w:pPr>
            <w:r>
              <w:rPr>
                <w:spacing w:val="-5"/>
                <w:sz w:val="22"/>
              </w:rPr>
              <w:t>NB</w:t>
            </w:r>
          </w:p>
        </w:tc>
      </w:tr>
      <w:tr>
        <w:trPr>
          <w:trHeight w:val="450" w:hRule="atLeast"/>
        </w:trPr>
        <w:tc>
          <w:tcPr>
            <w:tcW w:w="1095" w:type="dxa"/>
          </w:tcPr>
          <w:p>
            <w:pPr>
              <w:pStyle w:val="TableParagraph"/>
              <w:spacing w:before="70"/>
              <w:ind w:left="122"/>
              <w:rPr>
                <w:sz w:val="22"/>
              </w:rPr>
            </w:pPr>
            <w:r>
              <w:rPr>
                <w:sz w:val="22"/>
              </w:rPr>
              <w:t>SP</w:t>
            </w:r>
            <w:r>
              <w:rPr>
                <w:spacing w:val="1"/>
                <w:sz w:val="22"/>
              </w:rPr>
              <w:t> </w:t>
            </w:r>
            <w:r>
              <w:rPr>
                <w:spacing w:val="-4"/>
                <w:sz w:val="22"/>
              </w:rPr>
              <w:t>1204</w:t>
            </w:r>
          </w:p>
        </w:tc>
        <w:tc>
          <w:tcPr>
            <w:tcW w:w="852" w:type="dxa"/>
          </w:tcPr>
          <w:p>
            <w:pPr>
              <w:pStyle w:val="TableParagraph"/>
              <w:spacing w:before="70"/>
              <w:ind w:right="165"/>
              <w:jc w:val="right"/>
              <w:rPr>
                <w:sz w:val="22"/>
              </w:rPr>
            </w:pPr>
            <w:r>
              <w:rPr>
                <w:spacing w:val="-4"/>
                <w:sz w:val="22"/>
              </w:rPr>
              <w:t>1.56</w:t>
            </w:r>
          </w:p>
        </w:tc>
        <w:tc>
          <w:tcPr>
            <w:tcW w:w="851" w:type="dxa"/>
          </w:tcPr>
          <w:p>
            <w:pPr>
              <w:pStyle w:val="TableParagraph"/>
              <w:spacing w:before="70"/>
              <w:ind w:right="163"/>
              <w:jc w:val="right"/>
              <w:rPr>
                <w:sz w:val="22"/>
              </w:rPr>
            </w:pPr>
            <w:r>
              <w:rPr>
                <w:spacing w:val="-4"/>
                <w:sz w:val="22"/>
              </w:rPr>
              <w:t>25.0</w:t>
            </w:r>
          </w:p>
        </w:tc>
        <w:tc>
          <w:tcPr>
            <w:tcW w:w="849" w:type="dxa"/>
          </w:tcPr>
          <w:p>
            <w:pPr>
              <w:pStyle w:val="TableParagraph"/>
              <w:spacing w:before="70"/>
              <w:ind w:right="165"/>
              <w:jc w:val="right"/>
              <w:rPr>
                <w:sz w:val="22"/>
              </w:rPr>
            </w:pPr>
            <w:r>
              <w:rPr>
                <w:spacing w:val="-4"/>
                <w:sz w:val="22"/>
              </w:rPr>
              <w:t>62.5</w:t>
            </w:r>
          </w:p>
        </w:tc>
        <w:tc>
          <w:tcPr>
            <w:tcW w:w="865" w:type="dxa"/>
          </w:tcPr>
          <w:p>
            <w:pPr>
              <w:pStyle w:val="TableParagraph"/>
              <w:spacing w:before="70"/>
              <w:ind w:left="267"/>
              <w:rPr>
                <w:sz w:val="22"/>
              </w:rPr>
            </w:pPr>
            <w:r>
              <w:rPr>
                <w:spacing w:val="-4"/>
                <w:sz w:val="22"/>
              </w:rPr>
              <w:t>&gt;125</w:t>
            </w:r>
          </w:p>
        </w:tc>
        <w:tc>
          <w:tcPr>
            <w:tcW w:w="821" w:type="dxa"/>
          </w:tcPr>
          <w:p>
            <w:pPr>
              <w:pStyle w:val="TableParagraph"/>
              <w:spacing w:before="70"/>
              <w:ind w:right="247"/>
              <w:jc w:val="right"/>
              <w:rPr>
                <w:sz w:val="22"/>
              </w:rPr>
            </w:pPr>
            <w:r>
              <w:rPr>
                <w:spacing w:val="-5"/>
                <w:sz w:val="22"/>
              </w:rPr>
              <w:t>NI</w:t>
            </w:r>
          </w:p>
        </w:tc>
        <w:tc>
          <w:tcPr>
            <w:tcW w:w="809" w:type="dxa"/>
          </w:tcPr>
          <w:p>
            <w:pPr>
              <w:pStyle w:val="TableParagraph"/>
              <w:spacing w:before="70"/>
              <w:ind w:right="192"/>
              <w:jc w:val="right"/>
              <w:rPr>
                <w:sz w:val="22"/>
              </w:rPr>
            </w:pPr>
            <w:r>
              <w:rPr>
                <w:spacing w:val="-5"/>
                <w:sz w:val="22"/>
              </w:rPr>
              <w:t>NB</w:t>
            </w:r>
          </w:p>
        </w:tc>
        <w:tc>
          <w:tcPr>
            <w:tcW w:w="793" w:type="dxa"/>
          </w:tcPr>
          <w:p>
            <w:pPr>
              <w:pStyle w:val="TableParagraph"/>
              <w:spacing w:before="70"/>
              <w:ind w:right="136"/>
              <w:jc w:val="right"/>
              <w:rPr>
                <w:sz w:val="22"/>
              </w:rPr>
            </w:pPr>
            <w:r>
              <w:rPr>
                <w:spacing w:val="-4"/>
                <w:sz w:val="22"/>
              </w:rPr>
              <w:t>0.98</w:t>
            </w:r>
          </w:p>
        </w:tc>
        <w:tc>
          <w:tcPr>
            <w:tcW w:w="825" w:type="dxa"/>
          </w:tcPr>
          <w:p>
            <w:pPr>
              <w:pStyle w:val="TableParagraph"/>
              <w:spacing w:before="70"/>
              <w:ind w:right="162"/>
              <w:jc w:val="right"/>
              <w:rPr>
                <w:sz w:val="22"/>
              </w:rPr>
            </w:pPr>
            <w:r>
              <w:rPr>
                <w:spacing w:val="-4"/>
                <w:sz w:val="22"/>
              </w:rPr>
              <w:t>7.81</w:t>
            </w:r>
          </w:p>
        </w:tc>
        <w:tc>
          <w:tcPr>
            <w:tcW w:w="849" w:type="dxa"/>
          </w:tcPr>
          <w:p>
            <w:pPr>
              <w:pStyle w:val="TableParagraph"/>
              <w:spacing w:before="70"/>
              <w:ind w:left="389"/>
              <w:rPr>
                <w:sz w:val="22"/>
              </w:rPr>
            </w:pPr>
            <w:r>
              <w:rPr>
                <w:spacing w:val="-5"/>
                <w:sz w:val="22"/>
              </w:rPr>
              <w:t>NI</w:t>
            </w:r>
          </w:p>
        </w:tc>
        <w:tc>
          <w:tcPr>
            <w:tcW w:w="910" w:type="dxa"/>
          </w:tcPr>
          <w:p>
            <w:pPr>
              <w:pStyle w:val="TableParagraph"/>
              <w:spacing w:before="70"/>
              <w:ind w:right="288"/>
              <w:jc w:val="right"/>
              <w:rPr>
                <w:sz w:val="22"/>
              </w:rPr>
            </w:pPr>
            <w:r>
              <w:rPr>
                <w:spacing w:val="-5"/>
                <w:sz w:val="22"/>
              </w:rPr>
              <w:t>NB</w:t>
            </w:r>
          </w:p>
        </w:tc>
      </w:tr>
      <w:tr>
        <w:trPr>
          <w:trHeight w:val="450" w:hRule="atLeast"/>
        </w:trPr>
        <w:tc>
          <w:tcPr>
            <w:tcW w:w="1095" w:type="dxa"/>
          </w:tcPr>
          <w:p>
            <w:pPr>
              <w:pStyle w:val="TableParagraph"/>
              <w:spacing w:before="71"/>
              <w:ind w:left="122"/>
              <w:rPr>
                <w:sz w:val="22"/>
              </w:rPr>
            </w:pPr>
            <w:r>
              <w:rPr>
                <w:sz w:val="22"/>
              </w:rPr>
              <w:t>SP</w:t>
            </w:r>
            <w:r>
              <w:rPr>
                <w:spacing w:val="1"/>
                <w:sz w:val="22"/>
              </w:rPr>
              <w:t> </w:t>
            </w:r>
            <w:r>
              <w:rPr>
                <w:spacing w:val="-4"/>
                <w:sz w:val="22"/>
              </w:rPr>
              <w:t>1205</w:t>
            </w:r>
          </w:p>
        </w:tc>
        <w:tc>
          <w:tcPr>
            <w:tcW w:w="852" w:type="dxa"/>
          </w:tcPr>
          <w:p>
            <w:pPr>
              <w:pStyle w:val="TableParagraph"/>
              <w:spacing w:before="71"/>
              <w:ind w:right="165"/>
              <w:jc w:val="right"/>
              <w:rPr>
                <w:sz w:val="22"/>
              </w:rPr>
            </w:pPr>
            <w:r>
              <w:rPr>
                <w:spacing w:val="-4"/>
                <w:sz w:val="22"/>
              </w:rPr>
              <w:t>1.56</w:t>
            </w:r>
          </w:p>
        </w:tc>
        <w:tc>
          <w:tcPr>
            <w:tcW w:w="851" w:type="dxa"/>
          </w:tcPr>
          <w:p>
            <w:pPr>
              <w:pStyle w:val="TableParagraph"/>
              <w:spacing w:before="71"/>
              <w:ind w:right="163"/>
              <w:jc w:val="right"/>
              <w:rPr>
                <w:sz w:val="22"/>
              </w:rPr>
            </w:pPr>
            <w:r>
              <w:rPr>
                <w:spacing w:val="-4"/>
                <w:sz w:val="22"/>
              </w:rPr>
              <w:t>12.5</w:t>
            </w:r>
          </w:p>
        </w:tc>
        <w:tc>
          <w:tcPr>
            <w:tcW w:w="849" w:type="dxa"/>
          </w:tcPr>
          <w:p>
            <w:pPr>
              <w:pStyle w:val="TableParagraph"/>
              <w:spacing w:before="71"/>
              <w:ind w:right="165"/>
              <w:jc w:val="right"/>
              <w:rPr>
                <w:sz w:val="22"/>
              </w:rPr>
            </w:pPr>
            <w:r>
              <w:rPr>
                <w:spacing w:val="-4"/>
                <w:sz w:val="22"/>
              </w:rPr>
              <w:t>7.81</w:t>
            </w:r>
          </w:p>
        </w:tc>
        <w:tc>
          <w:tcPr>
            <w:tcW w:w="865" w:type="dxa"/>
          </w:tcPr>
          <w:p>
            <w:pPr>
              <w:pStyle w:val="TableParagraph"/>
              <w:spacing w:before="71"/>
              <w:ind w:left="294"/>
              <w:rPr>
                <w:sz w:val="22"/>
              </w:rPr>
            </w:pPr>
            <w:r>
              <w:rPr>
                <w:spacing w:val="-4"/>
                <w:sz w:val="22"/>
              </w:rPr>
              <w:t>62.5</w:t>
            </w:r>
          </w:p>
        </w:tc>
        <w:tc>
          <w:tcPr>
            <w:tcW w:w="821" w:type="dxa"/>
          </w:tcPr>
          <w:p>
            <w:pPr>
              <w:pStyle w:val="TableParagraph"/>
              <w:spacing w:before="71"/>
              <w:ind w:right="247"/>
              <w:jc w:val="right"/>
              <w:rPr>
                <w:sz w:val="22"/>
              </w:rPr>
            </w:pPr>
            <w:r>
              <w:rPr>
                <w:spacing w:val="-5"/>
                <w:sz w:val="22"/>
              </w:rPr>
              <w:t>NI</w:t>
            </w:r>
          </w:p>
        </w:tc>
        <w:tc>
          <w:tcPr>
            <w:tcW w:w="809" w:type="dxa"/>
          </w:tcPr>
          <w:p>
            <w:pPr>
              <w:pStyle w:val="TableParagraph"/>
              <w:spacing w:before="71"/>
              <w:ind w:right="192"/>
              <w:jc w:val="right"/>
              <w:rPr>
                <w:sz w:val="22"/>
              </w:rPr>
            </w:pPr>
            <w:r>
              <w:rPr>
                <w:spacing w:val="-5"/>
                <w:sz w:val="22"/>
              </w:rPr>
              <w:t>NB</w:t>
            </w:r>
          </w:p>
        </w:tc>
        <w:tc>
          <w:tcPr>
            <w:tcW w:w="793" w:type="dxa"/>
          </w:tcPr>
          <w:p>
            <w:pPr>
              <w:pStyle w:val="TableParagraph"/>
              <w:spacing w:before="71"/>
              <w:ind w:right="136"/>
              <w:jc w:val="right"/>
              <w:rPr>
                <w:sz w:val="22"/>
              </w:rPr>
            </w:pPr>
            <w:r>
              <w:rPr>
                <w:spacing w:val="-4"/>
                <w:sz w:val="22"/>
              </w:rPr>
              <w:t>3.91</w:t>
            </w:r>
          </w:p>
        </w:tc>
        <w:tc>
          <w:tcPr>
            <w:tcW w:w="825" w:type="dxa"/>
          </w:tcPr>
          <w:p>
            <w:pPr>
              <w:pStyle w:val="TableParagraph"/>
              <w:spacing w:before="71"/>
              <w:ind w:right="163"/>
              <w:jc w:val="right"/>
              <w:rPr>
                <w:sz w:val="22"/>
              </w:rPr>
            </w:pPr>
            <w:r>
              <w:rPr>
                <w:spacing w:val="-4"/>
                <w:sz w:val="22"/>
              </w:rPr>
              <w:t>15.6</w:t>
            </w:r>
          </w:p>
        </w:tc>
        <w:tc>
          <w:tcPr>
            <w:tcW w:w="849" w:type="dxa"/>
          </w:tcPr>
          <w:p>
            <w:pPr>
              <w:pStyle w:val="TableParagraph"/>
              <w:spacing w:before="71"/>
              <w:ind w:right="162"/>
              <w:jc w:val="right"/>
              <w:rPr>
                <w:sz w:val="22"/>
              </w:rPr>
            </w:pPr>
            <w:r>
              <w:rPr>
                <w:spacing w:val="-4"/>
                <w:sz w:val="22"/>
              </w:rPr>
              <w:t>50.0</w:t>
            </w:r>
          </w:p>
        </w:tc>
        <w:tc>
          <w:tcPr>
            <w:tcW w:w="910" w:type="dxa"/>
          </w:tcPr>
          <w:p>
            <w:pPr>
              <w:pStyle w:val="TableParagraph"/>
              <w:spacing w:before="71"/>
              <w:ind w:right="249"/>
              <w:jc w:val="right"/>
              <w:rPr>
                <w:sz w:val="22"/>
              </w:rPr>
            </w:pPr>
            <w:r>
              <w:rPr>
                <w:spacing w:val="-5"/>
                <w:sz w:val="22"/>
              </w:rPr>
              <w:t>&gt;50</w:t>
            </w:r>
          </w:p>
        </w:tc>
      </w:tr>
      <w:tr>
        <w:trPr>
          <w:trHeight w:val="450" w:hRule="atLeast"/>
        </w:trPr>
        <w:tc>
          <w:tcPr>
            <w:tcW w:w="1095" w:type="dxa"/>
          </w:tcPr>
          <w:p>
            <w:pPr>
              <w:pStyle w:val="TableParagraph"/>
              <w:spacing w:before="70"/>
              <w:ind w:left="122"/>
              <w:rPr>
                <w:sz w:val="22"/>
              </w:rPr>
            </w:pPr>
            <w:r>
              <w:rPr>
                <w:sz w:val="22"/>
              </w:rPr>
              <w:t>SP</w:t>
            </w:r>
            <w:r>
              <w:rPr>
                <w:spacing w:val="1"/>
                <w:sz w:val="22"/>
              </w:rPr>
              <w:t> </w:t>
            </w:r>
            <w:r>
              <w:rPr>
                <w:spacing w:val="-5"/>
                <w:sz w:val="22"/>
              </w:rPr>
              <w:t>259</w:t>
            </w:r>
          </w:p>
        </w:tc>
        <w:tc>
          <w:tcPr>
            <w:tcW w:w="852" w:type="dxa"/>
          </w:tcPr>
          <w:p>
            <w:pPr>
              <w:pStyle w:val="TableParagraph"/>
              <w:spacing w:before="70"/>
              <w:ind w:right="165"/>
              <w:jc w:val="right"/>
              <w:rPr>
                <w:sz w:val="22"/>
              </w:rPr>
            </w:pPr>
            <w:r>
              <w:rPr>
                <w:spacing w:val="-4"/>
                <w:sz w:val="22"/>
              </w:rPr>
              <w:t>1.56</w:t>
            </w:r>
          </w:p>
        </w:tc>
        <w:tc>
          <w:tcPr>
            <w:tcW w:w="851" w:type="dxa"/>
          </w:tcPr>
          <w:p>
            <w:pPr>
              <w:pStyle w:val="TableParagraph"/>
              <w:spacing w:before="70"/>
              <w:ind w:right="164"/>
              <w:jc w:val="right"/>
              <w:rPr>
                <w:sz w:val="22"/>
              </w:rPr>
            </w:pPr>
            <w:r>
              <w:rPr>
                <w:spacing w:val="-4"/>
                <w:sz w:val="22"/>
              </w:rPr>
              <w:t>6.25</w:t>
            </w:r>
          </w:p>
        </w:tc>
        <w:tc>
          <w:tcPr>
            <w:tcW w:w="849" w:type="dxa"/>
          </w:tcPr>
          <w:p>
            <w:pPr>
              <w:pStyle w:val="TableParagraph"/>
              <w:spacing w:before="70"/>
              <w:ind w:right="194"/>
              <w:jc w:val="right"/>
              <w:rPr>
                <w:sz w:val="22"/>
              </w:rPr>
            </w:pPr>
            <w:r>
              <w:rPr>
                <w:spacing w:val="-5"/>
                <w:sz w:val="22"/>
              </w:rPr>
              <w:t>125</w:t>
            </w:r>
          </w:p>
        </w:tc>
        <w:tc>
          <w:tcPr>
            <w:tcW w:w="865" w:type="dxa"/>
          </w:tcPr>
          <w:p>
            <w:pPr>
              <w:pStyle w:val="TableParagraph"/>
              <w:spacing w:before="70"/>
              <w:ind w:left="359"/>
              <w:rPr>
                <w:sz w:val="22"/>
              </w:rPr>
            </w:pPr>
            <w:r>
              <w:rPr>
                <w:spacing w:val="-5"/>
                <w:sz w:val="22"/>
              </w:rPr>
              <w:t>NB</w:t>
            </w:r>
          </w:p>
        </w:tc>
        <w:tc>
          <w:tcPr>
            <w:tcW w:w="821" w:type="dxa"/>
          </w:tcPr>
          <w:p>
            <w:pPr>
              <w:pStyle w:val="TableParagraph"/>
              <w:spacing w:before="70"/>
              <w:ind w:right="247"/>
              <w:jc w:val="right"/>
              <w:rPr>
                <w:sz w:val="22"/>
              </w:rPr>
            </w:pPr>
            <w:r>
              <w:rPr>
                <w:spacing w:val="-5"/>
                <w:sz w:val="22"/>
              </w:rPr>
              <w:t>NI</w:t>
            </w:r>
          </w:p>
        </w:tc>
        <w:tc>
          <w:tcPr>
            <w:tcW w:w="809" w:type="dxa"/>
          </w:tcPr>
          <w:p>
            <w:pPr>
              <w:pStyle w:val="TableParagraph"/>
              <w:spacing w:before="70"/>
              <w:ind w:right="192"/>
              <w:jc w:val="right"/>
              <w:rPr>
                <w:sz w:val="22"/>
              </w:rPr>
            </w:pPr>
            <w:r>
              <w:rPr>
                <w:spacing w:val="-5"/>
                <w:sz w:val="22"/>
              </w:rPr>
              <w:t>NB</w:t>
            </w:r>
          </w:p>
        </w:tc>
        <w:tc>
          <w:tcPr>
            <w:tcW w:w="793" w:type="dxa"/>
          </w:tcPr>
          <w:p>
            <w:pPr>
              <w:pStyle w:val="TableParagraph"/>
              <w:spacing w:before="70"/>
              <w:ind w:right="136"/>
              <w:jc w:val="right"/>
              <w:rPr>
                <w:sz w:val="22"/>
              </w:rPr>
            </w:pPr>
            <w:r>
              <w:rPr>
                <w:spacing w:val="-4"/>
                <w:sz w:val="22"/>
              </w:rPr>
              <w:t>0.98</w:t>
            </w:r>
          </w:p>
        </w:tc>
        <w:tc>
          <w:tcPr>
            <w:tcW w:w="825" w:type="dxa"/>
          </w:tcPr>
          <w:p>
            <w:pPr>
              <w:pStyle w:val="TableParagraph"/>
              <w:spacing w:before="70"/>
              <w:ind w:right="164"/>
              <w:jc w:val="right"/>
              <w:rPr>
                <w:sz w:val="22"/>
              </w:rPr>
            </w:pPr>
            <w:r>
              <w:rPr>
                <w:spacing w:val="-4"/>
                <w:sz w:val="22"/>
              </w:rPr>
              <w:t>7.81</w:t>
            </w:r>
          </w:p>
        </w:tc>
        <w:tc>
          <w:tcPr>
            <w:tcW w:w="849" w:type="dxa"/>
          </w:tcPr>
          <w:p>
            <w:pPr>
              <w:pStyle w:val="TableParagraph"/>
              <w:spacing w:before="70"/>
              <w:ind w:right="162"/>
              <w:jc w:val="right"/>
              <w:rPr>
                <w:sz w:val="22"/>
              </w:rPr>
            </w:pPr>
            <w:r>
              <w:rPr>
                <w:spacing w:val="-4"/>
                <w:sz w:val="22"/>
              </w:rPr>
              <w:t>12.5</w:t>
            </w:r>
          </w:p>
        </w:tc>
        <w:tc>
          <w:tcPr>
            <w:tcW w:w="910" w:type="dxa"/>
          </w:tcPr>
          <w:p>
            <w:pPr>
              <w:pStyle w:val="TableParagraph"/>
              <w:spacing w:before="70"/>
              <w:ind w:right="220"/>
              <w:jc w:val="right"/>
              <w:rPr>
                <w:sz w:val="22"/>
              </w:rPr>
            </w:pPr>
            <w:r>
              <w:rPr>
                <w:spacing w:val="-4"/>
                <w:sz w:val="22"/>
              </w:rPr>
              <w:t>50.0</w:t>
            </w:r>
          </w:p>
        </w:tc>
      </w:tr>
      <w:tr>
        <w:trPr>
          <w:trHeight w:val="523" w:hRule="atLeast"/>
        </w:trPr>
        <w:tc>
          <w:tcPr>
            <w:tcW w:w="1095" w:type="dxa"/>
            <w:tcBorders>
              <w:bottom w:val="single" w:sz="4" w:space="0" w:color="000000"/>
            </w:tcBorders>
          </w:tcPr>
          <w:p>
            <w:pPr>
              <w:pStyle w:val="TableParagraph"/>
              <w:spacing w:before="71"/>
              <w:ind w:left="122"/>
              <w:rPr>
                <w:sz w:val="22"/>
              </w:rPr>
            </w:pPr>
            <w:r>
              <w:rPr>
                <w:sz w:val="22"/>
              </w:rPr>
              <w:t>SP</w:t>
            </w:r>
            <w:r>
              <w:rPr>
                <w:spacing w:val="1"/>
                <w:sz w:val="22"/>
              </w:rPr>
              <w:t> </w:t>
            </w:r>
            <w:r>
              <w:rPr>
                <w:spacing w:val="-5"/>
                <w:sz w:val="22"/>
              </w:rPr>
              <w:t>897</w:t>
            </w:r>
          </w:p>
        </w:tc>
        <w:tc>
          <w:tcPr>
            <w:tcW w:w="852" w:type="dxa"/>
            <w:tcBorders>
              <w:bottom w:val="single" w:sz="4" w:space="0" w:color="000000"/>
            </w:tcBorders>
          </w:tcPr>
          <w:p>
            <w:pPr>
              <w:pStyle w:val="TableParagraph"/>
              <w:spacing w:before="71"/>
              <w:ind w:right="165"/>
              <w:jc w:val="right"/>
              <w:rPr>
                <w:sz w:val="22"/>
              </w:rPr>
            </w:pPr>
            <w:r>
              <w:rPr>
                <w:spacing w:val="-4"/>
                <w:sz w:val="22"/>
              </w:rPr>
              <w:t>1.56</w:t>
            </w:r>
          </w:p>
        </w:tc>
        <w:tc>
          <w:tcPr>
            <w:tcW w:w="851" w:type="dxa"/>
            <w:tcBorders>
              <w:bottom w:val="single" w:sz="4" w:space="0" w:color="000000"/>
            </w:tcBorders>
          </w:tcPr>
          <w:p>
            <w:pPr>
              <w:pStyle w:val="TableParagraph"/>
              <w:spacing w:before="71"/>
              <w:ind w:right="164"/>
              <w:jc w:val="right"/>
              <w:rPr>
                <w:sz w:val="22"/>
              </w:rPr>
            </w:pPr>
            <w:r>
              <w:rPr>
                <w:spacing w:val="-4"/>
                <w:sz w:val="22"/>
              </w:rPr>
              <w:t>6.25</w:t>
            </w:r>
          </w:p>
        </w:tc>
        <w:tc>
          <w:tcPr>
            <w:tcW w:w="849" w:type="dxa"/>
            <w:tcBorders>
              <w:bottom w:val="single" w:sz="4" w:space="0" w:color="000000"/>
            </w:tcBorders>
          </w:tcPr>
          <w:p>
            <w:pPr>
              <w:pStyle w:val="TableParagraph"/>
              <w:spacing w:before="71"/>
              <w:ind w:right="165"/>
              <w:jc w:val="right"/>
              <w:rPr>
                <w:sz w:val="22"/>
              </w:rPr>
            </w:pPr>
            <w:r>
              <w:rPr>
                <w:spacing w:val="-4"/>
                <w:sz w:val="22"/>
              </w:rPr>
              <w:t>31.3</w:t>
            </w:r>
          </w:p>
        </w:tc>
        <w:tc>
          <w:tcPr>
            <w:tcW w:w="865" w:type="dxa"/>
            <w:tcBorders>
              <w:bottom w:val="single" w:sz="4" w:space="0" w:color="000000"/>
            </w:tcBorders>
          </w:tcPr>
          <w:p>
            <w:pPr>
              <w:pStyle w:val="TableParagraph"/>
              <w:spacing w:before="71"/>
              <w:ind w:left="323"/>
              <w:rPr>
                <w:sz w:val="22"/>
              </w:rPr>
            </w:pPr>
            <w:r>
              <w:rPr>
                <w:spacing w:val="-5"/>
                <w:sz w:val="22"/>
              </w:rPr>
              <w:t>125</w:t>
            </w:r>
          </w:p>
        </w:tc>
        <w:tc>
          <w:tcPr>
            <w:tcW w:w="821" w:type="dxa"/>
            <w:tcBorders>
              <w:bottom w:val="single" w:sz="4" w:space="0" w:color="000000"/>
            </w:tcBorders>
          </w:tcPr>
          <w:p>
            <w:pPr>
              <w:pStyle w:val="TableParagraph"/>
              <w:spacing w:before="71"/>
              <w:ind w:right="247"/>
              <w:jc w:val="right"/>
              <w:rPr>
                <w:sz w:val="22"/>
              </w:rPr>
            </w:pPr>
            <w:r>
              <w:rPr>
                <w:spacing w:val="-5"/>
                <w:sz w:val="22"/>
              </w:rPr>
              <w:t>NI</w:t>
            </w:r>
          </w:p>
        </w:tc>
        <w:tc>
          <w:tcPr>
            <w:tcW w:w="809" w:type="dxa"/>
            <w:tcBorders>
              <w:bottom w:val="single" w:sz="4" w:space="0" w:color="000000"/>
            </w:tcBorders>
          </w:tcPr>
          <w:p>
            <w:pPr>
              <w:pStyle w:val="TableParagraph"/>
              <w:spacing w:before="71"/>
              <w:ind w:right="192"/>
              <w:jc w:val="right"/>
              <w:rPr>
                <w:sz w:val="22"/>
              </w:rPr>
            </w:pPr>
            <w:r>
              <w:rPr>
                <w:spacing w:val="-5"/>
                <w:sz w:val="22"/>
              </w:rPr>
              <w:t>NB</w:t>
            </w:r>
          </w:p>
        </w:tc>
        <w:tc>
          <w:tcPr>
            <w:tcW w:w="793" w:type="dxa"/>
            <w:tcBorders>
              <w:bottom w:val="single" w:sz="4" w:space="0" w:color="000000"/>
            </w:tcBorders>
          </w:tcPr>
          <w:p>
            <w:pPr>
              <w:pStyle w:val="TableParagraph"/>
              <w:spacing w:before="71"/>
              <w:ind w:right="136"/>
              <w:jc w:val="right"/>
              <w:rPr>
                <w:sz w:val="22"/>
              </w:rPr>
            </w:pPr>
            <w:r>
              <w:rPr>
                <w:spacing w:val="-4"/>
                <w:sz w:val="22"/>
              </w:rPr>
              <w:t>0.98</w:t>
            </w:r>
          </w:p>
        </w:tc>
        <w:tc>
          <w:tcPr>
            <w:tcW w:w="825" w:type="dxa"/>
            <w:tcBorders>
              <w:bottom w:val="single" w:sz="4" w:space="0" w:color="000000"/>
            </w:tcBorders>
          </w:tcPr>
          <w:p>
            <w:pPr>
              <w:pStyle w:val="TableParagraph"/>
              <w:spacing w:before="71"/>
              <w:ind w:right="163"/>
              <w:jc w:val="right"/>
              <w:rPr>
                <w:sz w:val="22"/>
              </w:rPr>
            </w:pPr>
            <w:r>
              <w:rPr>
                <w:spacing w:val="-4"/>
                <w:sz w:val="22"/>
              </w:rPr>
              <w:t>31.3</w:t>
            </w:r>
          </w:p>
        </w:tc>
        <w:tc>
          <w:tcPr>
            <w:tcW w:w="849" w:type="dxa"/>
            <w:tcBorders>
              <w:bottom w:val="single" w:sz="4" w:space="0" w:color="000000"/>
            </w:tcBorders>
          </w:tcPr>
          <w:p>
            <w:pPr>
              <w:pStyle w:val="TableParagraph"/>
              <w:spacing w:before="71"/>
              <w:ind w:right="162"/>
              <w:jc w:val="right"/>
              <w:rPr>
                <w:sz w:val="22"/>
              </w:rPr>
            </w:pPr>
            <w:r>
              <w:rPr>
                <w:spacing w:val="-4"/>
                <w:sz w:val="22"/>
              </w:rPr>
              <w:t>50.0</w:t>
            </w:r>
          </w:p>
        </w:tc>
        <w:tc>
          <w:tcPr>
            <w:tcW w:w="910" w:type="dxa"/>
            <w:tcBorders>
              <w:bottom w:val="single" w:sz="4" w:space="0" w:color="000000"/>
            </w:tcBorders>
          </w:tcPr>
          <w:p>
            <w:pPr>
              <w:pStyle w:val="TableParagraph"/>
              <w:spacing w:before="71"/>
              <w:ind w:right="249"/>
              <w:jc w:val="right"/>
              <w:rPr>
                <w:sz w:val="22"/>
              </w:rPr>
            </w:pPr>
            <w:r>
              <w:rPr>
                <w:spacing w:val="-5"/>
                <w:sz w:val="22"/>
              </w:rPr>
              <w:t>&gt;50</w:t>
            </w:r>
          </w:p>
        </w:tc>
      </w:tr>
    </w:tbl>
    <w:p>
      <w:pPr>
        <w:pStyle w:val="BodyText"/>
        <w:spacing w:line="259" w:lineRule="auto"/>
        <w:ind w:left="380" w:right="976"/>
        <w:jc w:val="both"/>
      </w:pPr>
      <w:r>
        <w:rPr>
          <w:b/>
        </w:rPr>
        <w:t>Key: </w:t>
      </w:r>
      <w:r>
        <w:rPr/>
        <w:t>CN=Gentamicin, CRO=Ceftriaxone, AMC=Amoxicillin-Clavulanic acid, LEV=Levofloxacin, AZM=Azithromycin, MIC=Minimum Inhibitory Concentration, MBC=Minimum Bactericidal Concentration, NI=No Inhibition and NB=Not Bactericidal</w:t>
      </w:r>
    </w:p>
    <w:p>
      <w:pPr>
        <w:spacing w:after="0" w:line="259" w:lineRule="auto"/>
        <w:jc w:val="both"/>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2"/>
      </w:pPr>
    </w:p>
    <w:p>
      <w:pPr>
        <w:spacing w:before="0"/>
        <w:ind w:left="1001" w:right="0" w:firstLine="0"/>
        <w:jc w:val="left"/>
        <w:rPr>
          <w:b/>
          <w:i/>
          <w:sz w:val="22"/>
        </w:rPr>
      </w:pPr>
      <w:r>
        <w:rPr>
          <w:b/>
          <w:sz w:val="22"/>
        </w:rPr>
        <w:t>MIC</w:t>
      </w:r>
      <w:r>
        <w:rPr>
          <w:b/>
          <w:spacing w:val="-6"/>
          <w:sz w:val="22"/>
        </w:rPr>
        <w:t> </w:t>
      </w:r>
      <w:r>
        <w:rPr>
          <w:b/>
          <w:sz w:val="22"/>
        </w:rPr>
        <w:t>and</w:t>
      </w:r>
      <w:r>
        <w:rPr>
          <w:b/>
          <w:spacing w:val="-5"/>
          <w:sz w:val="22"/>
        </w:rPr>
        <w:t> </w:t>
      </w:r>
      <w:r>
        <w:rPr>
          <w:b/>
          <w:sz w:val="22"/>
        </w:rPr>
        <w:t>MBC</w:t>
      </w:r>
      <w:r>
        <w:rPr>
          <w:b/>
          <w:spacing w:val="-5"/>
          <w:sz w:val="22"/>
        </w:rPr>
        <w:t> </w:t>
      </w:r>
      <w:r>
        <w:rPr>
          <w:b/>
          <w:sz w:val="22"/>
        </w:rPr>
        <w:t>Test</w:t>
      </w:r>
      <w:r>
        <w:rPr>
          <w:b/>
          <w:spacing w:val="-5"/>
          <w:sz w:val="22"/>
        </w:rPr>
        <w:t> </w:t>
      </w:r>
      <w:r>
        <w:rPr>
          <w:b/>
          <w:sz w:val="22"/>
        </w:rPr>
        <w:t>(µg/ml)</w:t>
      </w:r>
      <w:r>
        <w:rPr>
          <w:b/>
          <w:spacing w:val="-6"/>
          <w:sz w:val="22"/>
        </w:rPr>
        <w:t> </w:t>
      </w:r>
      <w:r>
        <w:rPr>
          <w:b/>
          <w:sz w:val="22"/>
        </w:rPr>
        <w:t>of</w:t>
      </w:r>
      <w:r>
        <w:rPr>
          <w:b/>
          <w:spacing w:val="-4"/>
          <w:sz w:val="22"/>
        </w:rPr>
        <w:t> </w:t>
      </w:r>
      <w:r>
        <w:rPr>
          <w:b/>
          <w:sz w:val="22"/>
        </w:rPr>
        <w:t>Standard</w:t>
      </w:r>
      <w:r>
        <w:rPr>
          <w:b/>
          <w:spacing w:val="-5"/>
          <w:sz w:val="22"/>
        </w:rPr>
        <w:t> </w:t>
      </w:r>
      <w:r>
        <w:rPr>
          <w:b/>
          <w:sz w:val="22"/>
        </w:rPr>
        <w:t>Antibiotics</w:t>
      </w:r>
      <w:r>
        <w:rPr>
          <w:b/>
          <w:spacing w:val="-6"/>
          <w:sz w:val="22"/>
        </w:rPr>
        <w:t> </w:t>
      </w:r>
      <w:r>
        <w:rPr>
          <w:b/>
          <w:sz w:val="22"/>
        </w:rPr>
        <w:t>against</w:t>
      </w:r>
      <w:r>
        <w:rPr>
          <w:b/>
          <w:spacing w:val="-2"/>
          <w:sz w:val="22"/>
        </w:rPr>
        <w:t> </w:t>
      </w:r>
      <w:r>
        <w:rPr>
          <w:b/>
          <w:i/>
          <w:sz w:val="22"/>
        </w:rPr>
        <w:t>Streptococcus</w:t>
      </w:r>
      <w:r>
        <w:rPr>
          <w:b/>
          <w:i/>
          <w:spacing w:val="-5"/>
          <w:sz w:val="22"/>
        </w:rPr>
        <w:t> </w:t>
      </w:r>
      <w:r>
        <w:rPr>
          <w:b/>
          <w:i/>
          <w:spacing w:val="-2"/>
          <w:sz w:val="22"/>
        </w:rPr>
        <w:t>pneumoniae</w:t>
      </w:r>
    </w:p>
    <w:p>
      <w:pPr>
        <w:pStyle w:val="BodyText"/>
        <w:rPr>
          <w:b/>
          <w:i/>
          <w:sz w:val="20"/>
        </w:rPr>
      </w:pPr>
    </w:p>
    <w:p>
      <w:pPr>
        <w:pStyle w:val="BodyText"/>
        <w:spacing w:before="146"/>
        <w:rPr>
          <w:b/>
          <w:i/>
          <w:sz w:val="20"/>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2"/>
        <w:gridCol w:w="679"/>
        <w:gridCol w:w="731"/>
        <w:gridCol w:w="729"/>
        <w:gridCol w:w="754"/>
        <w:gridCol w:w="745"/>
        <w:gridCol w:w="765"/>
        <w:gridCol w:w="688"/>
        <w:gridCol w:w="744"/>
        <w:gridCol w:w="734"/>
        <w:gridCol w:w="781"/>
      </w:tblGrid>
      <w:tr>
        <w:trPr>
          <w:trHeight w:val="665" w:hRule="atLeast"/>
        </w:trPr>
        <w:tc>
          <w:tcPr>
            <w:tcW w:w="942" w:type="dxa"/>
            <w:tcBorders>
              <w:top w:val="single" w:sz="4" w:space="0" w:color="000000"/>
            </w:tcBorders>
          </w:tcPr>
          <w:p>
            <w:pPr>
              <w:pStyle w:val="TableParagraph"/>
              <w:spacing w:line="259" w:lineRule="auto"/>
              <w:ind w:left="323" w:right="114" w:hanging="178"/>
              <w:rPr>
                <w:b/>
                <w:sz w:val="22"/>
              </w:rPr>
            </w:pPr>
            <w:r>
              <w:rPr>
                <w:b/>
                <w:spacing w:val="-2"/>
                <w:sz w:val="22"/>
              </w:rPr>
              <w:t>Sample </w:t>
            </w:r>
            <w:r>
              <w:rPr>
                <w:b/>
                <w:spacing w:val="-4"/>
                <w:sz w:val="22"/>
              </w:rPr>
              <w:t>No.</w:t>
            </w:r>
          </w:p>
        </w:tc>
        <w:tc>
          <w:tcPr>
            <w:tcW w:w="679" w:type="dxa"/>
            <w:tcBorders>
              <w:top w:val="single" w:sz="4" w:space="0" w:color="000000"/>
            </w:tcBorders>
          </w:tcPr>
          <w:p>
            <w:pPr>
              <w:pStyle w:val="TableParagraph"/>
              <w:spacing w:before="140"/>
              <w:ind w:left="121"/>
              <w:rPr>
                <w:b/>
                <w:sz w:val="22"/>
              </w:rPr>
            </w:pPr>
            <w:r>
              <w:rPr>
                <w:b/>
                <w:spacing w:val="-5"/>
                <w:sz w:val="22"/>
              </w:rPr>
              <w:t>MIC</w:t>
            </w:r>
          </w:p>
        </w:tc>
        <w:tc>
          <w:tcPr>
            <w:tcW w:w="731" w:type="dxa"/>
            <w:tcBorders>
              <w:top w:val="single" w:sz="4" w:space="0" w:color="000000"/>
            </w:tcBorders>
          </w:tcPr>
          <w:p>
            <w:pPr>
              <w:pStyle w:val="TableParagraph"/>
              <w:spacing w:before="140"/>
              <w:ind w:right="169"/>
              <w:jc w:val="right"/>
              <w:rPr>
                <w:b/>
                <w:sz w:val="22"/>
              </w:rPr>
            </w:pPr>
            <w:r>
              <w:rPr>
                <w:b/>
                <w:spacing w:val="-5"/>
                <w:sz w:val="22"/>
              </w:rPr>
              <w:t>MBC</w:t>
            </w:r>
          </w:p>
        </w:tc>
        <w:tc>
          <w:tcPr>
            <w:tcW w:w="729" w:type="dxa"/>
            <w:tcBorders>
              <w:top w:val="single" w:sz="4" w:space="0" w:color="000000"/>
            </w:tcBorders>
          </w:tcPr>
          <w:p>
            <w:pPr>
              <w:pStyle w:val="TableParagraph"/>
              <w:spacing w:before="140"/>
              <w:ind w:left="142"/>
              <w:rPr>
                <w:b/>
                <w:sz w:val="22"/>
              </w:rPr>
            </w:pPr>
            <w:r>
              <w:rPr>
                <w:b/>
                <w:spacing w:val="-5"/>
                <w:sz w:val="22"/>
              </w:rPr>
              <w:t>MIC</w:t>
            </w:r>
          </w:p>
        </w:tc>
        <w:tc>
          <w:tcPr>
            <w:tcW w:w="754" w:type="dxa"/>
            <w:tcBorders>
              <w:top w:val="single" w:sz="4" w:space="0" w:color="000000"/>
            </w:tcBorders>
          </w:tcPr>
          <w:p>
            <w:pPr>
              <w:pStyle w:val="TableParagraph"/>
              <w:spacing w:before="140"/>
              <w:ind w:left="49" w:right="96"/>
              <w:jc w:val="center"/>
              <w:rPr>
                <w:b/>
                <w:sz w:val="22"/>
              </w:rPr>
            </w:pPr>
            <w:r>
              <w:rPr>
                <w:b/>
                <w:spacing w:val="-5"/>
                <w:sz w:val="22"/>
              </w:rPr>
              <w:t>MBC</w:t>
            </w:r>
          </w:p>
        </w:tc>
        <w:tc>
          <w:tcPr>
            <w:tcW w:w="745" w:type="dxa"/>
            <w:tcBorders>
              <w:top w:val="single" w:sz="4" w:space="0" w:color="000000"/>
            </w:tcBorders>
          </w:tcPr>
          <w:p>
            <w:pPr>
              <w:pStyle w:val="TableParagraph"/>
              <w:spacing w:before="140"/>
              <w:ind w:right="246"/>
              <w:jc w:val="right"/>
              <w:rPr>
                <w:b/>
                <w:sz w:val="22"/>
              </w:rPr>
            </w:pPr>
            <w:r>
              <w:rPr>
                <w:b/>
                <w:spacing w:val="-5"/>
                <w:sz w:val="22"/>
              </w:rPr>
              <w:t>MIC</w:t>
            </w:r>
          </w:p>
        </w:tc>
        <w:tc>
          <w:tcPr>
            <w:tcW w:w="765" w:type="dxa"/>
            <w:tcBorders>
              <w:top w:val="single" w:sz="4" w:space="0" w:color="000000"/>
            </w:tcBorders>
          </w:tcPr>
          <w:p>
            <w:pPr>
              <w:pStyle w:val="TableParagraph"/>
              <w:spacing w:before="140"/>
              <w:ind w:left="55" w:right="96"/>
              <w:jc w:val="center"/>
              <w:rPr>
                <w:b/>
                <w:sz w:val="22"/>
              </w:rPr>
            </w:pPr>
            <w:r>
              <w:rPr>
                <w:b/>
                <w:spacing w:val="-5"/>
                <w:sz w:val="22"/>
              </w:rPr>
              <w:t>MBC</w:t>
            </w:r>
          </w:p>
        </w:tc>
        <w:tc>
          <w:tcPr>
            <w:tcW w:w="688" w:type="dxa"/>
            <w:tcBorders>
              <w:top w:val="single" w:sz="4" w:space="0" w:color="000000"/>
            </w:tcBorders>
          </w:tcPr>
          <w:p>
            <w:pPr>
              <w:pStyle w:val="TableParagraph"/>
              <w:spacing w:before="140"/>
              <w:ind w:left="37" w:right="98"/>
              <w:jc w:val="center"/>
              <w:rPr>
                <w:b/>
                <w:sz w:val="22"/>
              </w:rPr>
            </w:pPr>
            <w:r>
              <w:rPr>
                <w:b/>
                <w:spacing w:val="-5"/>
                <w:sz w:val="22"/>
              </w:rPr>
              <w:t>MIC</w:t>
            </w:r>
          </w:p>
        </w:tc>
        <w:tc>
          <w:tcPr>
            <w:tcW w:w="744" w:type="dxa"/>
            <w:tcBorders>
              <w:top w:val="single" w:sz="4" w:space="0" w:color="000000"/>
            </w:tcBorders>
          </w:tcPr>
          <w:p>
            <w:pPr>
              <w:pStyle w:val="TableParagraph"/>
              <w:spacing w:before="140"/>
              <w:ind w:left="35" w:right="95"/>
              <w:jc w:val="center"/>
              <w:rPr>
                <w:b/>
                <w:sz w:val="22"/>
              </w:rPr>
            </w:pPr>
            <w:r>
              <w:rPr>
                <w:b/>
                <w:spacing w:val="-5"/>
                <w:sz w:val="22"/>
              </w:rPr>
              <w:t>MBC</w:t>
            </w:r>
          </w:p>
        </w:tc>
        <w:tc>
          <w:tcPr>
            <w:tcW w:w="734" w:type="dxa"/>
            <w:tcBorders>
              <w:top w:val="single" w:sz="4" w:space="0" w:color="000000"/>
            </w:tcBorders>
          </w:tcPr>
          <w:p>
            <w:pPr>
              <w:pStyle w:val="TableParagraph"/>
              <w:spacing w:before="140"/>
              <w:ind w:right="109"/>
              <w:jc w:val="center"/>
              <w:rPr>
                <w:b/>
                <w:sz w:val="22"/>
              </w:rPr>
            </w:pPr>
            <w:r>
              <w:rPr>
                <w:b/>
                <w:spacing w:val="-5"/>
                <w:sz w:val="22"/>
              </w:rPr>
              <w:t>MIC</w:t>
            </w:r>
          </w:p>
        </w:tc>
        <w:tc>
          <w:tcPr>
            <w:tcW w:w="781" w:type="dxa"/>
            <w:tcBorders>
              <w:top w:val="single" w:sz="4" w:space="0" w:color="000000"/>
            </w:tcBorders>
          </w:tcPr>
          <w:p>
            <w:pPr>
              <w:pStyle w:val="TableParagraph"/>
              <w:spacing w:before="140"/>
              <w:ind w:left="74" w:right="140"/>
              <w:jc w:val="center"/>
              <w:rPr>
                <w:b/>
                <w:sz w:val="22"/>
              </w:rPr>
            </w:pPr>
            <w:r>
              <w:rPr>
                <w:b/>
                <w:spacing w:val="-5"/>
                <w:sz w:val="22"/>
              </w:rPr>
              <w:t>MBC</w:t>
            </w:r>
          </w:p>
        </w:tc>
      </w:tr>
      <w:tr>
        <w:trPr>
          <w:trHeight w:val="521" w:hRule="atLeast"/>
        </w:trPr>
        <w:tc>
          <w:tcPr>
            <w:tcW w:w="942" w:type="dxa"/>
            <w:tcBorders>
              <w:bottom w:val="single" w:sz="4" w:space="0" w:color="000000"/>
            </w:tcBorders>
          </w:tcPr>
          <w:p>
            <w:pPr>
              <w:pStyle w:val="TableParagraph"/>
              <w:rPr>
                <w:rFonts w:ascii="Times New Roman"/>
                <w:sz w:val="22"/>
              </w:rPr>
            </w:pPr>
          </w:p>
        </w:tc>
        <w:tc>
          <w:tcPr>
            <w:tcW w:w="679" w:type="dxa"/>
            <w:tcBorders>
              <w:bottom w:val="single" w:sz="4" w:space="0" w:color="000000"/>
            </w:tcBorders>
          </w:tcPr>
          <w:p>
            <w:pPr>
              <w:pStyle w:val="TableParagraph"/>
              <w:spacing w:before="70"/>
              <w:ind w:left="121"/>
              <w:rPr>
                <w:b/>
                <w:sz w:val="22"/>
              </w:rPr>
            </w:pPr>
            <w:r>
              <w:rPr>
                <w:b/>
                <w:spacing w:val="-5"/>
                <w:sz w:val="22"/>
              </w:rPr>
              <w:t>CN</w:t>
            </w:r>
          </w:p>
        </w:tc>
        <w:tc>
          <w:tcPr>
            <w:tcW w:w="731" w:type="dxa"/>
            <w:tcBorders>
              <w:bottom w:val="single" w:sz="4" w:space="0" w:color="000000"/>
            </w:tcBorders>
          </w:tcPr>
          <w:p>
            <w:pPr>
              <w:pStyle w:val="TableParagraph"/>
              <w:rPr>
                <w:rFonts w:ascii="Times New Roman"/>
                <w:sz w:val="22"/>
              </w:rPr>
            </w:pPr>
          </w:p>
        </w:tc>
        <w:tc>
          <w:tcPr>
            <w:tcW w:w="729" w:type="dxa"/>
            <w:tcBorders>
              <w:bottom w:val="single" w:sz="4" w:space="0" w:color="000000"/>
            </w:tcBorders>
          </w:tcPr>
          <w:p>
            <w:pPr>
              <w:pStyle w:val="TableParagraph"/>
              <w:spacing w:before="70"/>
              <w:ind w:left="142"/>
              <w:rPr>
                <w:b/>
                <w:sz w:val="22"/>
              </w:rPr>
            </w:pPr>
            <w:r>
              <w:rPr>
                <w:b/>
                <w:spacing w:val="-5"/>
                <w:sz w:val="22"/>
              </w:rPr>
              <w:t>CRO</w:t>
            </w:r>
          </w:p>
        </w:tc>
        <w:tc>
          <w:tcPr>
            <w:tcW w:w="754" w:type="dxa"/>
            <w:tcBorders>
              <w:bottom w:val="single" w:sz="4" w:space="0" w:color="000000"/>
            </w:tcBorders>
          </w:tcPr>
          <w:p>
            <w:pPr>
              <w:pStyle w:val="TableParagraph"/>
              <w:rPr>
                <w:rFonts w:ascii="Times New Roman"/>
                <w:sz w:val="22"/>
              </w:rPr>
            </w:pPr>
          </w:p>
        </w:tc>
        <w:tc>
          <w:tcPr>
            <w:tcW w:w="745" w:type="dxa"/>
            <w:tcBorders>
              <w:bottom w:val="single" w:sz="4" w:space="0" w:color="000000"/>
            </w:tcBorders>
          </w:tcPr>
          <w:p>
            <w:pPr>
              <w:pStyle w:val="TableParagraph"/>
              <w:spacing w:before="70"/>
              <w:ind w:right="171"/>
              <w:jc w:val="right"/>
              <w:rPr>
                <w:b/>
                <w:sz w:val="22"/>
              </w:rPr>
            </w:pPr>
            <w:r>
              <w:rPr>
                <w:b/>
                <w:spacing w:val="-5"/>
                <w:sz w:val="22"/>
              </w:rPr>
              <w:t>AMC</w:t>
            </w:r>
          </w:p>
        </w:tc>
        <w:tc>
          <w:tcPr>
            <w:tcW w:w="765" w:type="dxa"/>
            <w:tcBorders>
              <w:bottom w:val="single" w:sz="4" w:space="0" w:color="000000"/>
            </w:tcBorders>
          </w:tcPr>
          <w:p>
            <w:pPr>
              <w:pStyle w:val="TableParagraph"/>
              <w:rPr>
                <w:rFonts w:ascii="Times New Roman"/>
                <w:sz w:val="22"/>
              </w:rPr>
            </w:pPr>
          </w:p>
        </w:tc>
        <w:tc>
          <w:tcPr>
            <w:tcW w:w="688" w:type="dxa"/>
            <w:tcBorders>
              <w:bottom w:val="single" w:sz="4" w:space="0" w:color="000000"/>
            </w:tcBorders>
          </w:tcPr>
          <w:p>
            <w:pPr>
              <w:pStyle w:val="TableParagraph"/>
              <w:spacing w:before="70"/>
              <w:ind w:right="98"/>
              <w:jc w:val="center"/>
              <w:rPr>
                <w:b/>
                <w:sz w:val="22"/>
              </w:rPr>
            </w:pPr>
            <w:r>
              <w:rPr>
                <w:b/>
                <w:spacing w:val="-5"/>
                <w:sz w:val="22"/>
              </w:rPr>
              <w:t>LEV</w:t>
            </w:r>
          </w:p>
        </w:tc>
        <w:tc>
          <w:tcPr>
            <w:tcW w:w="744" w:type="dxa"/>
            <w:tcBorders>
              <w:bottom w:val="single" w:sz="4" w:space="0" w:color="000000"/>
            </w:tcBorders>
          </w:tcPr>
          <w:p>
            <w:pPr>
              <w:pStyle w:val="TableParagraph"/>
              <w:rPr>
                <w:rFonts w:ascii="Times New Roman"/>
                <w:sz w:val="22"/>
              </w:rPr>
            </w:pPr>
          </w:p>
        </w:tc>
        <w:tc>
          <w:tcPr>
            <w:tcW w:w="734" w:type="dxa"/>
            <w:tcBorders>
              <w:bottom w:val="single" w:sz="4" w:space="0" w:color="000000"/>
            </w:tcBorders>
          </w:tcPr>
          <w:p>
            <w:pPr>
              <w:pStyle w:val="TableParagraph"/>
              <w:spacing w:before="70"/>
              <w:ind w:left="64" w:right="109"/>
              <w:jc w:val="center"/>
              <w:rPr>
                <w:b/>
                <w:sz w:val="22"/>
              </w:rPr>
            </w:pPr>
            <w:r>
              <w:rPr>
                <w:b/>
                <w:spacing w:val="-5"/>
                <w:sz w:val="22"/>
              </w:rPr>
              <w:t>AZM</w:t>
            </w:r>
          </w:p>
        </w:tc>
        <w:tc>
          <w:tcPr>
            <w:tcW w:w="781" w:type="dxa"/>
            <w:tcBorders>
              <w:bottom w:val="single" w:sz="4" w:space="0" w:color="000000"/>
            </w:tcBorders>
          </w:tcPr>
          <w:p>
            <w:pPr>
              <w:pStyle w:val="TableParagraph"/>
              <w:rPr>
                <w:rFonts w:ascii="Times New Roman"/>
                <w:sz w:val="22"/>
              </w:rPr>
            </w:pPr>
          </w:p>
        </w:tc>
      </w:tr>
      <w:tr>
        <w:trPr>
          <w:trHeight w:val="377" w:hRule="atLeast"/>
        </w:trPr>
        <w:tc>
          <w:tcPr>
            <w:tcW w:w="942" w:type="dxa"/>
            <w:tcBorders>
              <w:top w:val="single" w:sz="4" w:space="0" w:color="000000"/>
            </w:tcBorders>
          </w:tcPr>
          <w:p>
            <w:pPr>
              <w:pStyle w:val="TableParagraph"/>
              <w:spacing w:line="268" w:lineRule="exact"/>
              <w:ind w:left="38" w:right="10"/>
              <w:jc w:val="center"/>
              <w:rPr>
                <w:sz w:val="22"/>
              </w:rPr>
            </w:pPr>
            <w:r>
              <w:rPr>
                <w:sz w:val="22"/>
              </w:rPr>
              <w:t>SP</w:t>
            </w:r>
            <w:r>
              <w:rPr>
                <w:spacing w:val="1"/>
                <w:sz w:val="22"/>
              </w:rPr>
              <w:t> </w:t>
            </w:r>
            <w:r>
              <w:rPr>
                <w:spacing w:val="-5"/>
                <w:sz w:val="22"/>
              </w:rPr>
              <w:t>228</w:t>
            </w:r>
          </w:p>
        </w:tc>
        <w:tc>
          <w:tcPr>
            <w:tcW w:w="679" w:type="dxa"/>
            <w:tcBorders>
              <w:top w:val="single" w:sz="4" w:space="0" w:color="000000"/>
            </w:tcBorders>
          </w:tcPr>
          <w:p>
            <w:pPr>
              <w:pStyle w:val="TableParagraph"/>
              <w:spacing w:line="268" w:lineRule="exact"/>
              <w:ind w:left="159"/>
              <w:rPr>
                <w:sz w:val="22"/>
              </w:rPr>
            </w:pPr>
            <w:r>
              <w:rPr>
                <w:spacing w:val="-4"/>
                <w:sz w:val="22"/>
              </w:rPr>
              <w:t>25.0</w:t>
            </w:r>
          </w:p>
        </w:tc>
        <w:tc>
          <w:tcPr>
            <w:tcW w:w="731" w:type="dxa"/>
            <w:tcBorders>
              <w:top w:val="single" w:sz="4" w:space="0" w:color="000000"/>
            </w:tcBorders>
          </w:tcPr>
          <w:p>
            <w:pPr>
              <w:pStyle w:val="TableParagraph"/>
              <w:spacing w:line="268" w:lineRule="exact"/>
              <w:ind w:right="207"/>
              <w:jc w:val="right"/>
              <w:rPr>
                <w:sz w:val="22"/>
              </w:rPr>
            </w:pPr>
            <w:r>
              <w:rPr>
                <w:spacing w:val="-5"/>
                <w:sz w:val="22"/>
              </w:rPr>
              <w:t>NB</w:t>
            </w:r>
          </w:p>
        </w:tc>
        <w:tc>
          <w:tcPr>
            <w:tcW w:w="729" w:type="dxa"/>
            <w:tcBorders>
              <w:top w:val="single" w:sz="4" w:space="0" w:color="000000"/>
            </w:tcBorders>
          </w:tcPr>
          <w:p>
            <w:pPr>
              <w:pStyle w:val="TableParagraph"/>
              <w:spacing w:line="268" w:lineRule="exact"/>
              <w:ind w:left="199"/>
              <w:rPr>
                <w:sz w:val="22"/>
              </w:rPr>
            </w:pPr>
            <w:r>
              <w:rPr>
                <w:spacing w:val="-4"/>
                <w:sz w:val="22"/>
              </w:rPr>
              <w:t>7.81</w:t>
            </w:r>
          </w:p>
        </w:tc>
        <w:tc>
          <w:tcPr>
            <w:tcW w:w="754" w:type="dxa"/>
            <w:tcBorders>
              <w:top w:val="single" w:sz="4" w:space="0" w:color="000000"/>
            </w:tcBorders>
          </w:tcPr>
          <w:p>
            <w:pPr>
              <w:pStyle w:val="TableParagraph"/>
              <w:spacing w:line="268" w:lineRule="exact"/>
              <w:ind w:left="95" w:right="47"/>
              <w:jc w:val="center"/>
              <w:rPr>
                <w:sz w:val="22"/>
              </w:rPr>
            </w:pPr>
            <w:r>
              <w:rPr>
                <w:spacing w:val="-5"/>
                <w:sz w:val="22"/>
              </w:rPr>
              <w:t>125</w:t>
            </w:r>
          </w:p>
        </w:tc>
        <w:tc>
          <w:tcPr>
            <w:tcW w:w="745" w:type="dxa"/>
            <w:tcBorders>
              <w:top w:val="single" w:sz="4" w:space="0" w:color="000000"/>
            </w:tcBorders>
          </w:tcPr>
          <w:p>
            <w:pPr>
              <w:pStyle w:val="TableParagraph"/>
              <w:spacing w:line="268" w:lineRule="exact"/>
              <w:ind w:right="145"/>
              <w:jc w:val="right"/>
              <w:rPr>
                <w:sz w:val="22"/>
              </w:rPr>
            </w:pPr>
            <w:r>
              <w:rPr>
                <w:spacing w:val="-4"/>
                <w:sz w:val="22"/>
              </w:rPr>
              <w:t>31.5</w:t>
            </w:r>
          </w:p>
        </w:tc>
        <w:tc>
          <w:tcPr>
            <w:tcW w:w="765" w:type="dxa"/>
            <w:tcBorders>
              <w:top w:val="single" w:sz="4" w:space="0" w:color="000000"/>
            </w:tcBorders>
          </w:tcPr>
          <w:p>
            <w:pPr>
              <w:pStyle w:val="TableParagraph"/>
              <w:spacing w:line="268" w:lineRule="exact"/>
              <w:ind w:left="122" w:right="68"/>
              <w:jc w:val="center"/>
              <w:rPr>
                <w:sz w:val="22"/>
              </w:rPr>
            </w:pPr>
            <w:r>
              <w:rPr>
                <w:spacing w:val="-5"/>
                <w:sz w:val="22"/>
              </w:rPr>
              <w:t>125</w:t>
            </w:r>
          </w:p>
        </w:tc>
        <w:tc>
          <w:tcPr>
            <w:tcW w:w="688" w:type="dxa"/>
            <w:tcBorders>
              <w:top w:val="single" w:sz="4" w:space="0" w:color="000000"/>
            </w:tcBorders>
          </w:tcPr>
          <w:p>
            <w:pPr>
              <w:pStyle w:val="TableParagraph"/>
              <w:spacing w:line="268" w:lineRule="exact"/>
              <w:ind w:left="36"/>
              <w:jc w:val="center"/>
              <w:rPr>
                <w:sz w:val="22"/>
              </w:rPr>
            </w:pPr>
            <w:r>
              <w:rPr>
                <w:spacing w:val="-4"/>
                <w:sz w:val="22"/>
              </w:rPr>
              <w:t>0.98</w:t>
            </w:r>
          </w:p>
        </w:tc>
        <w:tc>
          <w:tcPr>
            <w:tcW w:w="744" w:type="dxa"/>
            <w:tcBorders>
              <w:top w:val="single" w:sz="4" w:space="0" w:color="000000"/>
            </w:tcBorders>
          </w:tcPr>
          <w:p>
            <w:pPr>
              <w:pStyle w:val="TableParagraph"/>
              <w:spacing w:line="268" w:lineRule="exact"/>
              <w:ind w:left="92" w:right="60"/>
              <w:jc w:val="center"/>
              <w:rPr>
                <w:sz w:val="22"/>
              </w:rPr>
            </w:pPr>
            <w:r>
              <w:rPr>
                <w:spacing w:val="-4"/>
                <w:sz w:val="22"/>
              </w:rPr>
              <w:t>62,5</w:t>
            </w:r>
          </w:p>
        </w:tc>
        <w:tc>
          <w:tcPr>
            <w:tcW w:w="734" w:type="dxa"/>
            <w:tcBorders>
              <w:top w:val="single" w:sz="4" w:space="0" w:color="000000"/>
            </w:tcBorders>
          </w:tcPr>
          <w:p>
            <w:pPr>
              <w:pStyle w:val="TableParagraph"/>
              <w:spacing w:line="268" w:lineRule="exact"/>
              <w:ind w:left="47"/>
              <w:jc w:val="center"/>
              <w:rPr>
                <w:sz w:val="22"/>
              </w:rPr>
            </w:pPr>
            <w:r>
              <w:rPr>
                <w:spacing w:val="-5"/>
                <w:sz w:val="22"/>
              </w:rPr>
              <w:t>NI</w:t>
            </w:r>
          </w:p>
        </w:tc>
        <w:tc>
          <w:tcPr>
            <w:tcW w:w="781" w:type="dxa"/>
            <w:tcBorders>
              <w:top w:val="single" w:sz="4" w:space="0" w:color="000000"/>
            </w:tcBorders>
          </w:tcPr>
          <w:p>
            <w:pPr>
              <w:pStyle w:val="TableParagraph"/>
              <w:spacing w:line="268" w:lineRule="exact"/>
              <w:ind w:left="96" w:right="69"/>
              <w:jc w:val="center"/>
              <w:rPr>
                <w:sz w:val="22"/>
              </w:rPr>
            </w:pPr>
            <w:r>
              <w:rPr>
                <w:spacing w:val="-5"/>
                <w:sz w:val="22"/>
              </w:rPr>
              <w:t>NB</w:t>
            </w:r>
          </w:p>
        </w:tc>
      </w:tr>
      <w:tr>
        <w:trPr>
          <w:trHeight w:val="449" w:hRule="atLeast"/>
        </w:trPr>
        <w:tc>
          <w:tcPr>
            <w:tcW w:w="942" w:type="dxa"/>
          </w:tcPr>
          <w:p>
            <w:pPr>
              <w:pStyle w:val="TableParagraph"/>
              <w:spacing w:before="70"/>
              <w:ind w:left="38" w:right="10"/>
              <w:jc w:val="center"/>
              <w:rPr>
                <w:sz w:val="22"/>
              </w:rPr>
            </w:pPr>
            <w:r>
              <w:rPr>
                <w:sz w:val="22"/>
              </w:rPr>
              <w:t>SP</w:t>
            </w:r>
            <w:r>
              <w:rPr>
                <w:spacing w:val="1"/>
                <w:sz w:val="22"/>
              </w:rPr>
              <w:t> </w:t>
            </w:r>
            <w:r>
              <w:rPr>
                <w:spacing w:val="-5"/>
                <w:sz w:val="22"/>
              </w:rPr>
              <w:t>232</w:t>
            </w:r>
          </w:p>
        </w:tc>
        <w:tc>
          <w:tcPr>
            <w:tcW w:w="679" w:type="dxa"/>
          </w:tcPr>
          <w:p>
            <w:pPr>
              <w:pStyle w:val="TableParagraph"/>
              <w:spacing w:before="70"/>
              <w:ind w:left="159"/>
              <w:rPr>
                <w:sz w:val="22"/>
              </w:rPr>
            </w:pPr>
            <w:r>
              <w:rPr>
                <w:spacing w:val="-4"/>
                <w:sz w:val="22"/>
              </w:rPr>
              <w:t>25.0</w:t>
            </w:r>
          </w:p>
        </w:tc>
        <w:tc>
          <w:tcPr>
            <w:tcW w:w="731" w:type="dxa"/>
          </w:tcPr>
          <w:p>
            <w:pPr>
              <w:pStyle w:val="TableParagraph"/>
              <w:spacing w:before="70"/>
              <w:ind w:right="207"/>
              <w:jc w:val="right"/>
              <w:rPr>
                <w:sz w:val="22"/>
              </w:rPr>
            </w:pPr>
            <w:r>
              <w:rPr>
                <w:spacing w:val="-5"/>
                <w:sz w:val="22"/>
              </w:rPr>
              <w:t>NB</w:t>
            </w:r>
          </w:p>
        </w:tc>
        <w:tc>
          <w:tcPr>
            <w:tcW w:w="729" w:type="dxa"/>
          </w:tcPr>
          <w:p>
            <w:pPr>
              <w:pStyle w:val="TableParagraph"/>
              <w:spacing w:before="70"/>
              <w:ind w:left="199"/>
              <w:rPr>
                <w:sz w:val="22"/>
              </w:rPr>
            </w:pPr>
            <w:r>
              <w:rPr>
                <w:spacing w:val="-4"/>
                <w:sz w:val="22"/>
              </w:rPr>
              <w:t>1.95</w:t>
            </w:r>
          </w:p>
        </w:tc>
        <w:tc>
          <w:tcPr>
            <w:tcW w:w="754" w:type="dxa"/>
          </w:tcPr>
          <w:p>
            <w:pPr>
              <w:pStyle w:val="TableParagraph"/>
              <w:spacing w:before="70"/>
              <w:ind w:left="95" w:right="47"/>
              <w:jc w:val="center"/>
              <w:rPr>
                <w:sz w:val="22"/>
              </w:rPr>
            </w:pPr>
            <w:r>
              <w:rPr>
                <w:spacing w:val="-4"/>
                <w:sz w:val="22"/>
              </w:rPr>
              <w:t>7.81</w:t>
            </w:r>
          </w:p>
        </w:tc>
        <w:tc>
          <w:tcPr>
            <w:tcW w:w="745" w:type="dxa"/>
          </w:tcPr>
          <w:p>
            <w:pPr>
              <w:pStyle w:val="TableParagraph"/>
              <w:spacing w:before="70"/>
              <w:ind w:right="145"/>
              <w:jc w:val="right"/>
              <w:rPr>
                <w:sz w:val="22"/>
              </w:rPr>
            </w:pPr>
            <w:r>
              <w:rPr>
                <w:spacing w:val="-4"/>
                <w:sz w:val="22"/>
              </w:rPr>
              <w:t>62.5</w:t>
            </w:r>
          </w:p>
        </w:tc>
        <w:tc>
          <w:tcPr>
            <w:tcW w:w="765" w:type="dxa"/>
          </w:tcPr>
          <w:p>
            <w:pPr>
              <w:pStyle w:val="TableParagraph"/>
              <w:spacing w:before="70"/>
              <w:ind w:left="123" w:right="68"/>
              <w:jc w:val="center"/>
              <w:rPr>
                <w:sz w:val="22"/>
              </w:rPr>
            </w:pPr>
            <w:r>
              <w:rPr>
                <w:spacing w:val="-4"/>
                <w:sz w:val="22"/>
              </w:rPr>
              <w:t>&gt;125</w:t>
            </w:r>
          </w:p>
        </w:tc>
        <w:tc>
          <w:tcPr>
            <w:tcW w:w="688" w:type="dxa"/>
          </w:tcPr>
          <w:p>
            <w:pPr>
              <w:pStyle w:val="TableParagraph"/>
              <w:spacing w:before="70"/>
              <w:ind w:left="36"/>
              <w:jc w:val="center"/>
              <w:rPr>
                <w:sz w:val="22"/>
              </w:rPr>
            </w:pPr>
            <w:r>
              <w:rPr>
                <w:spacing w:val="-4"/>
                <w:sz w:val="22"/>
              </w:rPr>
              <w:t>0.98</w:t>
            </w:r>
          </w:p>
        </w:tc>
        <w:tc>
          <w:tcPr>
            <w:tcW w:w="744" w:type="dxa"/>
          </w:tcPr>
          <w:p>
            <w:pPr>
              <w:pStyle w:val="TableParagraph"/>
              <w:spacing w:before="70"/>
              <w:ind w:left="95" w:right="60"/>
              <w:jc w:val="center"/>
              <w:rPr>
                <w:sz w:val="22"/>
              </w:rPr>
            </w:pPr>
            <w:r>
              <w:rPr>
                <w:spacing w:val="-4"/>
                <w:sz w:val="22"/>
              </w:rPr>
              <w:t>62.5</w:t>
            </w:r>
          </w:p>
        </w:tc>
        <w:tc>
          <w:tcPr>
            <w:tcW w:w="734" w:type="dxa"/>
          </w:tcPr>
          <w:p>
            <w:pPr>
              <w:pStyle w:val="TableParagraph"/>
              <w:spacing w:before="70"/>
              <w:ind w:left="47"/>
              <w:jc w:val="center"/>
              <w:rPr>
                <w:sz w:val="22"/>
              </w:rPr>
            </w:pPr>
            <w:r>
              <w:rPr>
                <w:spacing w:val="-5"/>
                <w:sz w:val="22"/>
              </w:rPr>
              <w:t>NI</w:t>
            </w:r>
          </w:p>
        </w:tc>
        <w:tc>
          <w:tcPr>
            <w:tcW w:w="781" w:type="dxa"/>
          </w:tcPr>
          <w:p>
            <w:pPr>
              <w:pStyle w:val="TableParagraph"/>
              <w:spacing w:before="70"/>
              <w:ind w:left="96" w:right="69"/>
              <w:jc w:val="center"/>
              <w:rPr>
                <w:sz w:val="22"/>
              </w:rPr>
            </w:pPr>
            <w:r>
              <w:rPr>
                <w:spacing w:val="-5"/>
                <w:sz w:val="22"/>
              </w:rPr>
              <w:t>NB</w:t>
            </w:r>
          </w:p>
        </w:tc>
      </w:tr>
      <w:tr>
        <w:trPr>
          <w:trHeight w:val="450" w:hRule="atLeast"/>
        </w:trPr>
        <w:tc>
          <w:tcPr>
            <w:tcW w:w="942" w:type="dxa"/>
          </w:tcPr>
          <w:p>
            <w:pPr>
              <w:pStyle w:val="TableParagraph"/>
              <w:spacing w:before="70"/>
              <w:ind w:left="38" w:right="10"/>
              <w:jc w:val="center"/>
              <w:rPr>
                <w:sz w:val="22"/>
              </w:rPr>
            </w:pPr>
            <w:r>
              <w:rPr>
                <w:sz w:val="22"/>
              </w:rPr>
              <w:t>SP</w:t>
            </w:r>
            <w:r>
              <w:rPr>
                <w:spacing w:val="1"/>
                <w:sz w:val="22"/>
              </w:rPr>
              <w:t> </w:t>
            </w:r>
            <w:r>
              <w:rPr>
                <w:spacing w:val="-5"/>
                <w:sz w:val="22"/>
              </w:rPr>
              <w:t>285</w:t>
            </w:r>
          </w:p>
        </w:tc>
        <w:tc>
          <w:tcPr>
            <w:tcW w:w="679" w:type="dxa"/>
          </w:tcPr>
          <w:p>
            <w:pPr>
              <w:pStyle w:val="TableParagraph"/>
              <w:spacing w:before="70"/>
              <w:ind w:left="159"/>
              <w:rPr>
                <w:sz w:val="22"/>
              </w:rPr>
            </w:pPr>
            <w:r>
              <w:rPr>
                <w:spacing w:val="-4"/>
                <w:sz w:val="22"/>
              </w:rPr>
              <w:t>3.13</w:t>
            </w:r>
          </w:p>
        </w:tc>
        <w:tc>
          <w:tcPr>
            <w:tcW w:w="731" w:type="dxa"/>
          </w:tcPr>
          <w:p>
            <w:pPr>
              <w:pStyle w:val="TableParagraph"/>
              <w:spacing w:before="70"/>
              <w:ind w:right="141"/>
              <w:jc w:val="right"/>
              <w:rPr>
                <w:sz w:val="22"/>
              </w:rPr>
            </w:pPr>
            <w:r>
              <w:rPr>
                <w:spacing w:val="-4"/>
                <w:sz w:val="22"/>
              </w:rPr>
              <w:t>6.25</w:t>
            </w:r>
          </w:p>
        </w:tc>
        <w:tc>
          <w:tcPr>
            <w:tcW w:w="729" w:type="dxa"/>
          </w:tcPr>
          <w:p>
            <w:pPr>
              <w:pStyle w:val="TableParagraph"/>
              <w:spacing w:before="70"/>
              <w:ind w:left="199"/>
              <w:rPr>
                <w:sz w:val="22"/>
              </w:rPr>
            </w:pPr>
            <w:r>
              <w:rPr>
                <w:spacing w:val="-4"/>
                <w:sz w:val="22"/>
              </w:rPr>
              <w:t>1.95</w:t>
            </w:r>
          </w:p>
        </w:tc>
        <w:tc>
          <w:tcPr>
            <w:tcW w:w="754" w:type="dxa"/>
          </w:tcPr>
          <w:p>
            <w:pPr>
              <w:pStyle w:val="TableParagraph"/>
              <w:spacing w:before="70"/>
              <w:ind w:left="96" w:right="47"/>
              <w:jc w:val="center"/>
              <w:rPr>
                <w:sz w:val="22"/>
              </w:rPr>
            </w:pPr>
            <w:r>
              <w:rPr>
                <w:spacing w:val="-4"/>
                <w:sz w:val="22"/>
              </w:rPr>
              <w:t>31.3</w:t>
            </w:r>
          </w:p>
        </w:tc>
        <w:tc>
          <w:tcPr>
            <w:tcW w:w="745" w:type="dxa"/>
          </w:tcPr>
          <w:p>
            <w:pPr>
              <w:pStyle w:val="TableParagraph"/>
              <w:spacing w:before="70"/>
              <w:ind w:right="145"/>
              <w:jc w:val="right"/>
              <w:rPr>
                <w:sz w:val="22"/>
              </w:rPr>
            </w:pPr>
            <w:r>
              <w:rPr>
                <w:spacing w:val="-4"/>
                <w:sz w:val="22"/>
              </w:rPr>
              <w:t>62.5</w:t>
            </w:r>
          </w:p>
        </w:tc>
        <w:tc>
          <w:tcPr>
            <w:tcW w:w="765" w:type="dxa"/>
          </w:tcPr>
          <w:p>
            <w:pPr>
              <w:pStyle w:val="TableParagraph"/>
              <w:spacing w:before="70"/>
              <w:ind w:left="123" w:right="68"/>
              <w:jc w:val="center"/>
              <w:rPr>
                <w:sz w:val="22"/>
              </w:rPr>
            </w:pPr>
            <w:r>
              <w:rPr>
                <w:spacing w:val="-4"/>
                <w:sz w:val="22"/>
              </w:rPr>
              <w:t>&gt;125</w:t>
            </w:r>
          </w:p>
        </w:tc>
        <w:tc>
          <w:tcPr>
            <w:tcW w:w="688" w:type="dxa"/>
          </w:tcPr>
          <w:p>
            <w:pPr>
              <w:pStyle w:val="TableParagraph"/>
              <w:spacing w:before="70"/>
              <w:ind w:left="37"/>
              <w:jc w:val="center"/>
              <w:rPr>
                <w:sz w:val="22"/>
              </w:rPr>
            </w:pPr>
            <w:r>
              <w:rPr>
                <w:spacing w:val="-4"/>
                <w:sz w:val="22"/>
              </w:rPr>
              <w:t>62.5</w:t>
            </w:r>
          </w:p>
        </w:tc>
        <w:tc>
          <w:tcPr>
            <w:tcW w:w="744" w:type="dxa"/>
          </w:tcPr>
          <w:p>
            <w:pPr>
              <w:pStyle w:val="TableParagraph"/>
              <w:spacing w:before="70"/>
              <w:ind w:left="95" w:right="60"/>
              <w:jc w:val="center"/>
              <w:rPr>
                <w:sz w:val="22"/>
              </w:rPr>
            </w:pPr>
            <w:r>
              <w:rPr>
                <w:spacing w:val="-4"/>
                <w:sz w:val="22"/>
              </w:rPr>
              <w:t>&gt;125</w:t>
            </w:r>
          </w:p>
        </w:tc>
        <w:tc>
          <w:tcPr>
            <w:tcW w:w="734" w:type="dxa"/>
          </w:tcPr>
          <w:p>
            <w:pPr>
              <w:pStyle w:val="TableParagraph"/>
              <w:spacing w:before="70"/>
              <w:ind w:left="51"/>
              <w:jc w:val="center"/>
              <w:rPr>
                <w:sz w:val="22"/>
              </w:rPr>
            </w:pPr>
            <w:r>
              <w:rPr>
                <w:spacing w:val="-4"/>
                <w:sz w:val="22"/>
              </w:rPr>
              <w:t>50.0</w:t>
            </w:r>
          </w:p>
        </w:tc>
        <w:tc>
          <w:tcPr>
            <w:tcW w:w="781" w:type="dxa"/>
          </w:tcPr>
          <w:p>
            <w:pPr>
              <w:pStyle w:val="TableParagraph"/>
              <w:spacing w:before="70"/>
              <w:ind w:left="98" w:right="69"/>
              <w:jc w:val="center"/>
              <w:rPr>
                <w:sz w:val="22"/>
              </w:rPr>
            </w:pPr>
            <w:r>
              <w:rPr>
                <w:spacing w:val="-5"/>
                <w:sz w:val="22"/>
              </w:rPr>
              <w:t>&gt;50</w:t>
            </w:r>
          </w:p>
        </w:tc>
      </w:tr>
      <w:tr>
        <w:trPr>
          <w:trHeight w:val="450" w:hRule="atLeast"/>
        </w:trPr>
        <w:tc>
          <w:tcPr>
            <w:tcW w:w="942" w:type="dxa"/>
          </w:tcPr>
          <w:p>
            <w:pPr>
              <w:pStyle w:val="TableParagraph"/>
              <w:spacing w:before="71"/>
              <w:ind w:left="38" w:right="10"/>
              <w:jc w:val="center"/>
              <w:rPr>
                <w:sz w:val="22"/>
              </w:rPr>
            </w:pPr>
            <w:r>
              <w:rPr>
                <w:sz w:val="22"/>
              </w:rPr>
              <w:t>SP</w:t>
            </w:r>
            <w:r>
              <w:rPr>
                <w:spacing w:val="1"/>
                <w:sz w:val="22"/>
              </w:rPr>
              <w:t> </w:t>
            </w:r>
            <w:r>
              <w:rPr>
                <w:spacing w:val="-5"/>
                <w:sz w:val="22"/>
              </w:rPr>
              <w:t>803</w:t>
            </w:r>
          </w:p>
        </w:tc>
        <w:tc>
          <w:tcPr>
            <w:tcW w:w="679" w:type="dxa"/>
          </w:tcPr>
          <w:p>
            <w:pPr>
              <w:pStyle w:val="TableParagraph"/>
              <w:spacing w:before="71"/>
              <w:ind w:left="159"/>
              <w:rPr>
                <w:sz w:val="22"/>
              </w:rPr>
            </w:pPr>
            <w:r>
              <w:rPr>
                <w:spacing w:val="-4"/>
                <w:sz w:val="22"/>
              </w:rPr>
              <w:t>3.13</w:t>
            </w:r>
          </w:p>
        </w:tc>
        <w:tc>
          <w:tcPr>
            <w:tcW w:w="731" w:type="dxa"/>
          </w:tcPr>
          <w:p>
            <w:pPr>
              <w:pStyle w:val="TableParagraph"/>
              <w:spacing w:before="71"/>
              <w:ind w:right="140"/>
              <w:jc w:val="right"/>
              <w:rPr>
                <w:sz w:val="22"/>
              </w:rPr>
            </w:pPr>
            <w:r>
              <w:rPr>
                <w:spacing w:val="-4"/>
                <w:sz w:val="22"/>
              </w:rPr>
              <w:t>25.0</w:t>
            </w:r>
          </w:p>
        </w:tc>
        <w:tc>
          <w:tcPr>
            <w:tcW w:w="729" w:type="dxa"/>
          </w:tcPr>
          <w:p>
            <w:pPr>
              <w:pStyle w:val="TableParagraph"/>
              <w:spacing w:before="71"/>
              <w:ind w:left="228"/>
              <w:rPr>
                <w:sz w:val="22"/>
              </w:rPr>
            </w:pPr>
            <w:r>
              <w:rPr>
                <w:spacing w:val="-5"/>
                <w:sz w:val="22"/>
              </w:rPr>
              <w:t>125</w:t>
            </w:r>
          </w:p>
        </w:tc>
        <w:tc>
          <w:tcPr>
            <w:tcW w:w="754" w:type="dxa"/>
          </w:tcPr>
          <w:p>
            <w:pPr>
              <w:pStyle w:val="TableParagraph"/>
              <w:spacing w:before="71"/>
              <w:ind w:left="94" w:right="47"/>
              <w:jc w:val="center"/>
              <w:rPr>
                <w:sz w:val="22"/>
              </w:rPr>
            </w:pPr>
            <w:r>
              <w:rPr>
                <w:spacing w:val="-5"/>
                <w:sz w:val="22"/>
              </w:rPr>
              <w:t>NB</w:t>
            </w:r>
          </w:p>
        </w:tc>
        <w:tc>
          <w:tcPr>
            <w:tcW w:w="745" w:type="dxa"/>
          </w:tcPr>
          <w:p>
            <w:pPr>
              <w:pStyle w:val="TableParagraph"/>
              <w:spacing w:before="71"/>
              <w:ind w:right="246"/>
              <w:jc w:val="right"/>
              <w:rPr>
                <w:sz w:val="22"/>
              </w:rPr>
            </w:pPr>
            <w:r>
              <w:rPr>
                <w:spacing w:val="-5"/>
                <w:sz w:val="22"/>
              </w:rPr>
              <w:t>NI</w:t>
            </w:r>
          </w:p>
        </w:tc>
        <w:tc>
          <w:tcPr>
            <w:tcW w:w="765" w:type="dxa"/>
          </w:tcPr>
          <w:p>
            <w:pPr>
              <w:pStyle w:val="TableParagraph"/>
              <w:spacing w:before="71"/>
              <w:ind w:left="120" w:right="68"/>
              <w:jc w:val="center"/>
              <w:rPr>
                <w:sz w:val="22"/>
              </w:rPr>
            </w:pPr>
            <w:r>
              <w:rPr>
                <w:spacing w:val="-5"/>
                <w:sz w:val="22"/>
              </w:rPr>
              <w:t>NB</w:t>
            </w:r>
          </w:p>
        </w:tc>
        <w:tc>
          <w:tcPr>
            <w:tcW w:w="688" w:type="dxa"/>
          </w:tcPr>
          <w:p>
            <w:pPr>
              <w:pStyle w:val="TableParagraph"/>
              <w:spacing w:before="71"/>
              <w:ind w:left="36"/>
              <w:jc w:val="center"/>
              <w:rPr>
                <w:sz w:val="22"/>
              </w:rPr>
            </w:pPr>
            <w:r>
              <w:rPr>
                <w:spacing w:val="-4"/>
                <w:sz w:val="22"/>
              </w:rPr>
              <w:t>3.91</w:t>
            </w:r>
          </w:p>
        </w:tc>
        <w:tc>
          <w:tcPr>
            <w:tcW w:w="744" w:type="dxa"/>
          </w:tcPr>
          <w:p>
            <w:pPr>
              <w:pStyle w:val="TableParagraph"/>
              <w:spacing w:before="71"/>
              <w:ind w:left="95" w:right="60"/>
              <w:jc w:val="center"/>
              <w:rPr>
                <w:sz w:val="22"/>
              </w:rPr>
            </w:pPr>
            <w:r>
              <w:rPr>
                <w:spacing w:val="-5"/>
                <w:sz w:val="22"/>
              </w:rPr>
              <w:t>125</w:t>
            </w:r>
          </w:p>
        </w:tc>
        <w:tc>
          <w:tcPr>
            <w:tcW w:w="734" w:type="dxa"/>
          </w:tcPr>
          <w:p>
            <w:pPr>
              <w:pStyle w:val="TableParagraph"/>
              <w:spacing w:before="71"/>
              <w:ind w:left="47"/>
              <w:jc w:val="center"/>
              <w:rPr>
                <w:sz w:val="22"/>
              </w:rPr>
            </w:pPr>
            <w:r>
              <w:rPr>
                <w:spacing w:val="-5"/>
                <w:sz w:val="22"/>
              </w:rPr>
              <w:t>NI</w:t>
            </w:r>
          </w:p>
        </w:tc>
        <w:tc>
          <w:tcPr>
            <w:tcW w:w="781" w:type="dxa"/>
          </w:tcPr>
          <w:p>
            <w:pPr>
              <w:pStyle w:val="TableParagraph"/>
              <w:spacing w:before="71"/>
              <w:ind w:left="96" w:right="69"/>
              <w:jc w:val="center"/>
              <w:rPr>
                <w:sz w:val="22"/>
              </w:rPr>
            </w:pPr>
            <w:r>
              <w:rPr>
                <w:spacing w:val="-5"/>
                <w:sz w:val="22"/>
              </w:rPr>
              <w:t>NB</w:t>
            </w:r>
          </w:p>
        </w:tc>
      </w:tr>
      <w:tr>
        <w:trPr>
          <w:trHeight w:val="450" w:hRule="atLeast"/>
        </w:trPr>
        <w:tc>
          <w:tcPr>
            <w:tcW w:w="942" w:type="dxa"/>
          </w:tcPr>
          <w:p>
            <w:pPr>
              <w:pStyle w:val="TableParagraph"/>
              <w:spacing w:before="70"/>
              <w:ind w:left="38" w:right="10"/>
              <w:jc w:val="center"/>
              <w:rPr>
                <w:sz w:val="22"/>
              </w:rPr>
            </w:pPr>
            <w:r>
              <w:rPr>
                <w:sz w:val="22"/>
              </w:rPr>
              <w:t>SP</w:t>
            </w:r>
            <w:r>
              <w:rPr>
                <w:spacing w:val="1"/>
                <w:sz w:val="22"/>
              </w:rPr>
              <w:t> </w:t>
            </w:r>
            <w:r>
              <w:rPr>
                <w:spacing w:val="-5"/>
                <w:sz w:val="22"/>
              </w:rPr>
              <w:t>903</w:t>
            </w:r>
          </w:p>
        </w:tc>
        <w:tc>
          <w:tcPr>
            <w:tcW w:w="679" w:type="dxa"/>
          </w:tcPr>
          <w:p>
            <w:pPr>
              <w:pStyle w:val="TableParagraph"/>
              <w:spacing w:before="70"/>
              <w:ind w:left="28"/>
              <w:jc w:val="center"/>
              <w:rPr>
                <w:sz w:val="22"/>
              </w:rPr>
            </w:pPr>
            <w:r>
              <w:rPr>
                <w:spacing w:val="-5"/>
                <w:sz w:val="22"/>
              </w:rPr>
              <w:t>NI</w:t>
            </w:r>
          </w:p>
        </w:tc>
        <w:tc>
          <w:tcPr>
            <w:tcW w:w="731" w:type="dxa"/>
          </w:tcPr>
          <w:p>
            <w:pPr>
              <w:pStyle w:val="TableParagraph"/>
              <w:spacing w:before="70"/>
              <w:ind w:right="207"/>
              <w:jc w:val="right"/>
              <w:rPr>
                <w:sz w:val="22"/>
              </w:rPr>
            </w:pPr>
            <w:r>
              <w:rPr>
                <w:spacing w:val="-5"/>
                <w:sz w:val="22"/>
              </w:rPr>
              <w:t>NB</w:t>
            </w:r>
          </w:p>
        </w:tc>
        <w:tc>
          <w:tcPr>
            <w:tcW w:w="729" w:type="dxa"/>
          </w:tcPr>
          <w:p>
            <w:pPr>
              <w:pStyle w:val="TableParagraph"/>
              <w:spacing w:before="70"/>
              <w:ind w:left="199"/>
              <w:rPr>
                <w:sz w:val="22"/>
              </w:rPr>
            </w:pPr>
            <w:r>
              <w:rPr>
                <w:spacing w:val="-4"/>
                <w:sz w:val="22"/>
              </w:rPr>
              <w:t>15.6</w:t>
            </w:r>
          </w:p>
        </w:tc>
        <w:tc>
          <w:tcPr>
            <w:tcW w:w="754" w:type="dxa"/>
          </w:tcPr>
          <w:p>
            <w:pPr>
              <w:pStyle w:val="TableParagraph"/>
              <w:spacing w:before="70"/>
              <w:ind w:left="96" w:right="47"/>
              <w:jc w:val="center"/>
              <w:rPr>
                <w:sz w:val="22"/>
              </w:rPr>
            </w:pPr>
            <w:r>
              <w:rPr>
                <w:spacing w:val="-4"/>
                <w:sz w:val="22"/>
              </w:rPr>
              <w:t>62.5</w:t>
            </w:r>
          </w:p>
        </w:tc>
        <w:tc>
          <w:tcPr>
            <w:tcW w:w="745" w:type="dxa"/>
          </w:tcPr>
          <w:p>
            <w:pPr>
              <w:pStyle w:val="TableParagraph"/>
              <w:spacing w:before="70"/>
              <w:ind w:right="145"/>
              <w:jc w:val="right"/>
              <w:rPr>
                <w:sz w:val="22"/>
              </w:rPr>
            </w:pPr>
            <w:r>
              <w:rPr>
                <w:spacing w:val="-4"/>
                <w:sz w:val="22"/>
              </w:rPr>
              <w:t>62.5</w:t>
            </w:r>
          </w:p>
        </w:tc>
        <w:tc>
          <w:tcPr>
            <w:tcW w:w="765" w:type="dxa"/>
          </w:tcPr>
          <w:p>
            <w:pPr>
              <w:pStyle w:val="TableParagraph"/>
              <w:spacing w:before="70"/>
              <w:ind w:left="123" w:right="68"/>
              <w:jc w:val="center"/>
              <w:rPr>
                <w:sz w:val="22"/>
              </w:rPr>
            </w:pPr>
            <w:r>
              <w:rPr>
                <w:spacing w:val="-4"/>
                <w:sz w:val="22"/>
              </w:rPr>
              <w:t>&gt;125</w:t>
            </w:r>
          </w:p>
        </w:tc>
        <w:tc>
          <w:tcPr>
            <w:tcW w:w="688" w:type="dxa"/>
          </w:tcPr>
          <w:p>
            <w:pPr>
              <w:pStyle w:val="TableParagraph"/>
              <w:spacing w:before="70"/>
              <w:ind w:left="36"/>
              <w:jc w:val="center"/>
              <w:rPr>
                <w:sz w:val="22"/>
              </w:rPr>
            </w:pPr>
            <w:r>
              <w:rPr>
                <w:spacing w:val="-4"/>
                <w:sz w:val="22"/>
              </w:rPr>
              <w:t>3.91</w:t>
            </w:r>
          </w:p>
        </w:tc>
        <w:tc>
          <w:tcPr>
            <w:tcW w:w="744" w:type="dxa"/>
          </w:tcPr>
          <w:p>
            <w:pPr>
              <w:pStyle w:val="TableParagraph"/>
              <w:spacing w:before="70"/>
              <w:ind w:left="95" w:right="60"/>
              <w:jc w:val="center"/>
              <w:rPr>
                <w:sz w:val="22"/>
              </w:rPr>
            </w:pPr>
            <w:r>
              <w:rPr>
                <w:spacing w:val="-5"/>
                <w:sz w:val="22"/>
              </w:rPr>
              <w:t>125</w:t>
            </w:r>
          </w:p>
        </w:tc>
        <w:tc>
          <w:tcPr>
            <w:tcW w:w="734" w:type="dxa"/>
          </w:tcPr>
          <w:p>
            <w:pPr>
              <w:pStyle w:val="TableParagraph"/>
              <w:spacing w:before="70"/>
              <w:ind w:left="47"/>
              <w:jc w:val="center"/>
              <w:rPr>
                <w:sz w:val="22"/>
              </w:rPr>
            </w:pPr>
            <w:r>
              <w:rPr>
                <w:spacing w:val="-5"/>
                <w:sz w:val="22"/>
              </w:rPr>
              <w:t>NI</w:t>
            </w:r>
          </w:p>
        </w:tc>
        <w:tc>
          <w:tcPr>
            <w:tcW w:w="781" w:type="dxa"/>
          </w:tcPr>
          <w:p>
            <w:pPr>
              <w:pStyle w:val="TableParagraph"/>
              <w:spacing w:before="70"/>
              <w:ind w:left="96" w:right="69"/>
              <w:jc w:val="center"/>
              <w:rPr>
                <w:sz w:val="22"/>
              </w:rPr>
            </w:pPr>
            <w:r>
              <w:rPr>
                <w:spacing w:val="-5"/>
                <w:sz w:val="22"/>
              </w:rPr>
              <w:t>NB</w:t>
            </w:r>
          </w:p>
        </w:tc>
      </w:tr>
      <w:tr>
        <w:trPr>
          <w:trHeight w:val="450" w:hRule="atLeast"/>
        </w:trPr>
        <w:tc>
          <w:tcPr>
            <w:tcW w:w="942" w:type="dxa"/>
          </w:tcPr>
          <w:p>
            <w:pPr>
              <w:pStyle w:val="TableParagraph"/>
              <w:spacing w:before="71"/>
              <w:ind w:left="38" w:right="12"/>
              <w:jc w:val="center"/>
              <w:rPr>
                <w:sz w:val="22"/>
              </w:rPr>
            </w:pPr>
            <w:r>
              <w:rPr>
                <w:sz w:val="22"/>
              </w:rPr>
              <w:t>TS</w:t>
            </w:r>
            <w:r>
              <w:rPr>
                <w:spacing w:val="-1"/>
                <w:sz w:val="22"/>
              </w:rPr>
              <w:t> </w:t>
            </w:r>
            <w:r>
              <w:rPr>
                <w:spacing w:val="-5"/>
                <w:sz w:val="22"/>
              </w:rPr>
              <w:t>328</w:t>
            </w:r>
          </w:p>
        </w:tc>
        <w:tc>
          <w:tcPr>
            <w:tcW w:w="679" w:type="dxa"/>
          </w:tcPr>
          <w:p>
            <w:pPr>
              <w:pStyle w:val="TableParagraph"/>
              <w:spacing w:before="71"/>
              <w:ind w:left="159"/>
              <w:rPr>
                <w:sz w:val="22"/>
              </w:rPr>
            </w:pPr>
            <w:r>
              <w:rPr>
                <w:spacing w:val="-4"/>
                <w:sz w:val="22"/>
              </w:rPr>
              <w:t>3.13</w:t>
            </w:r>
          </w:p>
        </w:tc>
        <w:tc>
          <w:tcPr>
            <w:tcW w:w="731" w:type="dxa"/>
          </w:tcPr>
          <w:p>
            <w:pPr>
              <w:pStyle w:val="TableParagraph"/>
              <w:spacing w:before="71"/>
              <w:ind w:right="140"/>
              <w:jc w:val="right"/>
              <w:rPr>
                <w:sz w:val="22"/>
              </w:rPr>
            </w:pPr>
            <w:r>
              <w:rPr>
                <w:spacing w:val="-4"/>
                <w:sz w:val="22"/>
              </w:rPr>
              <w:t>25.0</w:t>
            </w:r>
          </w:p>
        </w:tc>
        <w:tc>
          <w:tcPr>
            <w:tcW w:w="729" w:type="dxa"/>
          </w:tcPr>
          <w:p>
            <w:pPr>
              <w:pStyle w:val="TableParagraph"/>
              <w:spacing w:before="71"/>
              <w:ind w:left="199"/>
              <w:rPr>
                <w:sz w:val="22"/>
              </w:rPr>
            </w:pPr>
            <w:r>
              <w:rPr>
                <w:spacing w:val="-4"/>
                <w:sz w:val="22"/>
              </w:rPr>
              <w:t>62.5</w:t>
            </w:r>
          </w:p>
        </w:tc>
        <w:tc>
          <w:tcPr>
            <w:tcW w:w="754" w:type="dxa"/>
          </w:tcPr>
          <w:p>
            <w:pPr>
              <w:pStyle w:val="TableParagraph"/>
              <w:spacing w:before="71"/>
              <w:ind w:left="95" w:right="47"/>
              <w:jc w:val="center"/>
              <w:rPr>
                <w:sz w:val="22"/>
              </w:rPr>
            </w:pPr>
            <w:r>
              <w:rPr>
                <w:spacing w:val="-4"/>
                <w:sz w:val="22"/>
              </w:rPr>
              <w:t>&gt;125</w:t>
            </w:r>
          </w:p>
        </w:tc>
        <w:tc>
          <w:tcPr>
            <w:tcW w:w="745" w:type="dxa"/>
          </w:tcPr>
          <w:p>
            <w:pPr>
              <w:pStyle w:val="TableParagraph"/>
              <w:spacing w:before="71"/>
              <w:ind w:right="246"/>
              <w:jc w:val="right"/>
              <w:rPr>
                <w:sz w:val="22"/>
              </w:rPr>
            </w:pPr>
            <w:r>
              <w:rPr>
                <w:spacing w:val="-5"/>
                <w:sz w:val="22"/>
              </w:rPr>
              <w:t>NI</w:t>
            </w:r>
          </w:p>
        </w:tc>
        <w:tc>
          <w:tcPr>
            <w:tcW w:w="765" w:type="dxa"/>
          </w:tcPr>
          <w:p>
            <w:pPr>
              <w:pStyle w:val="TableParagraph"/>
              <w:spacing w:before="71"/>
              <w:ind w:left="120" w:right="68"/>
              <w:jc w:val="center"/>
              <w:rPr>
                <w:sz w:val="22"/>
              </w:rPr>
            </w:pPr>
            <w:r>
              <w:rPr>
                <w:spacing w:val="-5"/>
                <w:sz w:val="22"/>
              </w:rPr>
              <w:t>NB</w:t>
            </w:r>
          </w:p>
        </w:tc>
        <w:tc>
          <w:tcPr>
            <w:tcW w:w="688" w:type="dxa"/>
          </w:tcPr>
          <w:p>
            <w:pPr>
              <w:pStyle w:val="TableParagraph"/>
              <w:spacing w:before="71"/>
              <w:ind w:left="36"/>
              <w:jc w:val="center"/>
              <w:rPr>
                <w:sz w:val="22"/>
              </w:rPr>
            </w:pPr>
            <w:r>
              <w:rPr>
                <w:spacing w:val="-4"/>
                <w:sz w:val="22"/>
              </w:rPr>
              <w:t>3.91</w:t>
            </w:r>
          </w:p>
        </w:tc>
        <w:tc>
          <w:tcPr>
            <w:tcW w:w="744" w:type="dxa"/>
          </w:tcPr>
          <w:p>
            <w:pPr>
              <w:pStyle w:val="TableParagraph"/>
              <w:spacing w:before="71"/>
              <w:ind w:left="95" w:right="60"/>
              <w:jc w:val="center"/>
              <w:rPr>
                <w:sz w:val="22"/>
              </w:rPr>
            </w:pPr>
            <w:r>
              <w:rPr>
                <w:spacing w:val="-5"/>
                <w:sz w:val="22"/>
              </w:rPr>
              <w:t>125</w:t>
            </w:r>
          </w:p>
        </w:tc>
        <w:tc>
          <w:tcPr>
            <w:tcW w:w="734" w:type="dxa"/>
          </w:tcPr>
          <w:p>
            <w:pPr>
              <w:pStyle w:val="TableParagraph"/>
              <w:spacing w:before="71"/>
              <w:ind w:left="47"/>
              <w:jc w:val="center"/>
              <w:rPr>
                <w:sz w:val="22"/>
              </w:rPr>
            </w:pPr>
            <w:r>
              <w:rPr>
                <w:spacing w:val="-5"/>
                <w:sz w:val="22"/>
              </w:rPr>
              <w:t>NI</w:t>
            </w:r>
          </w:p>
        </w:tc>
        <w:tc>
          <w:tcPr>
            <w:tcW w:w="781" w:type="dxa"/>
          </w:tcPr>
          <w:p>
            <w:pPr>
              <w:pStyle w:val="TableParagraph"/>
              <w:spacing w:before="71"/>
              <w:ind w:left="96" w:right="69"/>
              <w:jc w:val="center"/>
              <w:rPr>
                <w:sz w:val="22"/>
              </w:rPr>
            </w:pPr>
            <w:r>
              <w:rPr>
                <w:spacing w:val="-5"/>
                <w:sz w:val="22"/>
              </w:rPr>
              <w:t>NB</w:t>
            </w:r>
          </w:p>
        </w:tc>
      </w:tr>
      <w:tr>
        <w:trPr>
          <w:trHeight w:val="524" w:hRule="atLeast"/>
        </w:trPr>
        <w:tc>
          <w:tcPr>
            <w:tcW w:w="942" w:type="dxa"/>
            <w:tcBorders>
              <w:bottom w:val="single" w:sz="4" w:space="0" w:color="000000"/>
            </w:tcBorders>
          </w:tcPr>
          <w:p>
            <w:pPr>
              <w:pStyle w:val="TableParagraph"/>
              <w:spacing w:before="70"/>
              <w:ind w:left="38" w:right="12"/>
              <w:jc w:val="center"/>
              <w:rPr>
                <w:sz w:val="22"/>
              </w:rPr>
            </w:pPr>
            <w:r>
              <w:rPr>
                <w:sz w:val="22"/>
              </w:rPr>
              <w:t>TS</w:t>
            </w:r>
            <w:r>
              <w:rPr>
                <w:spacing w:val="-1"/>
                <w:sz w:val="22"/>
              </w:rPr>
              <w:t> </w:t>
            </w:r>
            <w:r>
              <w:rPr>
                <w:spacing w:val="-5"/>
                <w:sz w:val="22"/>
              </w:rPr>
              <w:t>901</w:t>
            </w:r>
          </w:p>
        </w:tc>
        <w:tc>
          <w:tcPr>
            <w:tcW w:w="679" w:type="dxa"/>
            <w:tcBorders>
              <w:bottom w:val="single" w:sz="4" w:space="0" w:color="000000"/>
            </w:tcBorders>
          </w:tcPr>
          <w:p>
            <w:pPr>
              <w:pStyle w:val="TableParagraph"/>
              <w:spacing w:before="70"/>
              <w:ind w:left="28"/>
              <w:jc w:val="center"/>
              <w:rPr>
                <w:sz w:val="22"/>
              </w:rPr>
            </w:pPr>
            <w:r>
              <w:rPr>
                <w:spacing w:val="-5"/>
                <w:sz w:val="22"/>
              </w:rPr>
              <w:t>NI</w:t>
            </w:r>
          </w:p>
        </w:tc>
        <w:tc>
          <w:tcPr>
            <w:tcW w:w="731" w:type="dxa"/>
            <w:tcBorders>
              <w:bottom w:val="single" w:sz="4" w:space="0" w:color="000000"/>
            </w:tcBorders>
          </w:tcPr>
          <w:p>
            <w:pPr>
              <w:pStyle w:val="TableParagraph"/>
              <w:spacing w:before="70"/>
              <w:ind w:right="207"/>
              <w:jc w:val="right"/>
              <w:rPr>
                <w:sz w:val="22"/>
              </w:rPr>
            </w:pPr>
            <w:r>
              <w:rPr>
                <w:spacing w:val="-5"/>
                <w:sz w:val="22"/>
              </w:rPr>
              <w:t>NB</w:t>
            </w:r>
          </w:p>
        </w:tc>
        <w:tc>
          <w:tcPr>
            <w:tcW w:w="729" w:type="dxa"/>
            <w:tcBorders>
              <w:bottom w:val="single" w:sz="4" w:space="0" w:color="000000"/>
            </w:tcBorders>
          </w:tcPr>
          <w:p>
            <w:pPr>
              <w:pStyle w:val="TableParagraph"/>
              <w:spacing w:before="70"/>
              <w:ind w:left="199"/>
              <w:rPr>
                <w:sz w:val="22"/>
              </w:rPr>
            </w:pPr>
            <w:r>
              <w:rPr>
                <w:spacing w:val="-4"/>
                <w:sz w:val="22"/>
              </w:rPr>
              <w:t>1.95</w:t>
            </w:r>
          </w:p>
        </w:tc>
        <w:tc>
          <w:tcPr>
            <w:tcW w:w="754" w:type="dxa"/>
            <w:tcBorders>
              <w:bottom w:val="single" w:sz="4" w:space="0" w:color="000000"/>
            </w:tcBorders>
          </w:tcPr>
          <w:p>
            <w:pPr>
              <w:pStyle w:val="TableParagraph"/>
              <w:spacing w:before="70"/>
              <w:ind w:left="96" w:right="47"/>
              <w:jc w:val="center"/>
              <w:rPr>
                <w:sz w:val="22"/>
              </w:rPr>
            </w:pPr>
            <w:r>
              <w:rPr>
                <w:spacing w:val="-4"/>
                <w:sz w:val="22"/>
              </w:rPr>
              <w:t>15.6</w:t>
            </w:r>
          </w:p>
        </w:tc>
        <w:tc>
          <w:tcPr>
            <w:tcW w:w="745" w:type="dxa"/>
            <w:tcBorders>
              <w:bottom w:val="single" w:sz="4" w:space="0" w:color="000000"/>
            </w:tcBorders>
          </w:tcPr>
          <w:p>
            <w:pPr>
              <w:pStyle w:val="TableParagraph"/>
              <w:spacing w:before="70"/>
              <w:ind w:right="145"/>
              <w:jc w:val="right"/>
              <w:rPr>
                <w:sz w:val="22"/>
              </w:rPr>
            </w:pPr>
            <w:r>
              <w:rPr>
                <w:spacing w:val="-4"/>
                <w:sz w:val="22"/>
              </w:rPr>
              <w:t>31.5</w:t>
            </w:r>
          </w:p>
        </w:tc>
        <w:tc>
          <w:tcPr>
            <w:tcW w:w="765" w:type="dxa"/>
            <w:tcBorders>
              <w:bottom w:val="single" w:sz="4" w:space="0" w:color="000000"/>
            </w:tcBorders>
          </w:tcPr>
          <w:p>
            <w:pPr>
              <w:pStyle w:val="TableParagraph"/>
              <w:spacing w:before="70"/>
              <w:ind w:left="122" w:right="68"/>
              <w:jc w:val="center"/>
              <w:rPr>
                <w:sz w:val="22"/>
              </w:rPr>
            </w:pPr>
            <w:r>
              <w:rPr>
                <w:spacing w:val="-5"/>
                <w:sz w:val="22"/>
              </w:rPr>
              <w:t>125</w:t>
            </w:r>
          </w:p>
        </w:tc>
        <w:tc>
          <w:tcPr>
            <w:tcW w:w="688" w:type="dxa"/>
            <w:tcBorders>
              <w:bottom w:val="single" w:sz="4" w:space="0" w:color="000000"/>
            </w:tcBorders>
          </w:tcPr>
          <w:p>
            <w:pPr>
              <w:pStyle w:val="TableParagraph"/>
              <w:spacing w:before="70"/>
              <w:ind w:left="36"/>
              <w:jc w:val="center"/>
              <w:rPr>
                <w:sz w:val="22"/>
              </w:rPr>
            </w:pPr>
            <w:r>
              <w:rPr>
                <w:spacing w:val="-4"/>
                <w:sz w:val="22"/>
              </w:rPr>
              <w:t>0.98</w:t>
            </w:r>
          </w:p>
        </w:tc>
        <w:tc>
          <w:tcPr>
            <w:tcW w:w="744" w:type="dxa"/>
            <w:tcBorders>
              <w:bottom w:val="single" w:sz="4" w:space="0" w:color="000000"/>
            </w:tcBorders>
          </w:tcPr>
          <w:p>
            <w:pPr>
              <w:pStyle w:val="TableParagraph"/>
              <w:spacing w:before="70"/>
              <w:ind w:left="95" w:right="60"/>
              <w:jc w:val="center"/>
              <w:rPr>
                <w:sz w:val="22"/>
              </w:rPr>
            </w:pPr>
            <w:r>
              <w:rPr>
                <w:spacing w:val="-4"/>
                <w:sz w:val="22"/>
              </w:rPr>
              <w:t>62.5</w:t>
            </w:r>
          </w:p>
        </w:tc>
        <w:tc>
          <w:tcPr>
            <w:tcW w:w="734" w:type="dxa"/>
            <w:tcBorders>
              <w:bottom w:val="single" w:sz="4" w:space="0" w:color="000000"/>
            </w:tcBorders>
          </w:tcPr>
          <w:p>
            <w:pPr>
              <w:pStyle w:val="TableParagraph"/>
              <w:spacing w:before="70"/>
              <w:ind w:left="47"/>
              <w:jc w:val="center"/>
              <w:rPr>
                <w:sz w:val="22"/>
              </w:rPr>
            </w:pPr>
            <w:r>
              <w:rPr>
                <w:spacing w:val="-5"/>
                <w:sz w:val="22"/>
              </w:rPr>
              <w:t>NI</w:t>
            </w:r>
          </w:p>
        </w:tc>
        <w:tc>
          <w:tcPr>
            <w:tcW w:w="781" w:type="dxa"/>
            <w:tcBorders>
              <w:bottom w:val="single" w:sz="4" w:space="0" w:color="000000"/>
            </w:tcBorders>
          </w:tcPr>
          <w:p>
            <w:pPr>
              <w:pStyle w:val="TableParagraph"/>
              <w:spacing w:before="70"/>
              <w:ind w:left="96" w:right="69"/>
              <w:jc w:val="center"/>
              <w:rPr>
                <w:sz w:val="22"/>
              </w:rPr>
            </w:pPr>
            <w:r>
              <w:rPr>
                <w:spacing w:val="-5"/>
                <w:sz w:val="22"/>
              </w:rPr>
              <w:t>NB</w:t>
            </w:r>
          </w:p>
        </w:tc>
      </w:tr>
    </w:tbl>
    <w:p>
      <w:pPr>
        <w:pStyle w:val="BodyText"/>
        <w:spacing w:line="259" w:lineRule="auto"/>
        <w:ind w:left="380" w:right="973"/>
        <w:jc w:val="both"/>
      </w:pPr>
      <w:r>
        <w:rPr>
          <w:b/>
        </w:rPr>
        <w:t>Key: </w:t>
      </w:r>
      <w:r>
        <w:rPr/>
        <w:t>CN=Gentamicin, CRO=Ceftriaxone, AMC=Amoxicillin-Clavulanic acid, LEV=Levofloxacin, AZM=Azithromycin, MIC=Minimum Inhibitory Concentration, MBC=Minimum Bactericidal Concentration, NI=No Inhibition and NB=Not Bactericidal.</w:t>
      </w:r>
    </w:p>
    <w:p>
      <w:pPr>
        <w:spacing w:after="0" w:line="259" w:lineRule="auto"/>
        <w:jc w:val="both"/>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5"/>
      </w:pPr>
    </w:p>
    <w:p>
      <w:pPr>
        <w:spacing w:before="0"/>
        <w:ind w:left="380" w:right="0" w:firstLine="0"/>
        <w:jc w:val="left"/>
        <w:rPr>
          <w:b/>
          <w:i/>
          <w:sz w:val="22"/>
        </w:rPr>
      </w:pPr>
      <w:r>
        <w:rPr>
          <w:b/>
          <w:sz w:val="22"/>
        </w:rPr>
        <w:t>MIC</w:t>
      </w:r>
      <w:r>
        <w:rPr>
          <w:b/>
          <w:spacing w:val="-6"/>
          <w:sz w:val="22"/>
        </w:rPr>
        <w:t> </w:t>
      </w:r>
      <w:r>
        <w:rPr>
          <w:b/>
          <w:sz w:val="22"/>
        </w:rPr>
        <w:t>and</w:t>
      </w:r>
      <w:r>
        <w:rPr>
          <w:b/>
          <w:spacing w:val="-5"/>
          <w:sz w:val="22"/>
        </w:rPr>
        <w:t> </w:t>
      </w:r>
      <w:r>
        <w:rPr>
          <w:b/>
          <w:sz w:val="22"/>
        </w:rPr>
        <w:t>MBC</w:t>
      </w:r>
      <w:r>
        <w:rPr>
          <w:b/>
          <w:spacing w:val="-6"/>
          <w:sz w:val="22"/>
        </w:rPr>
        <w:t> </w:t>
      </w:r>
      <w:r>
        <w:rPr>
          <w:b/>
          <w:sz w:val="22"/>
        </w:rPr>
        <w:t>Test</w:t>
      </w:r>
      <w:r>
        <w:rPr>
          <w:b/>
          <w:spacing w:val="-6"/>
          <w:sz w:val="22"/>
        </w:rPr>
        <w:t> </w:t>
      </w:r>
      <w:r>
        <w:rPr>
          <w:b/>
          <w:sz w:val="22"/>
        </w:rPr>
        <w:t>(µg/ml)</w:t>
      </w:r>
      <w:r>
        <w:rPr>
          <w:b/>
          <w:spacing w:val="-6"/>
          <w:sz w:val="22"/>
        </w:rPr>
        <w:t> </w:t>
      </w:r>
      <w:r>
        <w:rPr>
          <w:b/>
          <w:sz w:val="22"/>
        </w:rPr>
        <w:t>of</w:t>
      </w:r>
      <w:r>
        <w:rPr>
          <w:b/>
          <w:spacing w:val="-5"/>
          <w:sz w:val="22"/>
        </w:rPr>
        <w:t> </w:t>
      </w:r>
      <w:r>
        <w:rPr>
          <w:b/>
          <w:sz w:val="22"/>
        </w:rPr>
        <w:t>Standard</w:t>
      </w:r>
      <w:r>
        <w:rPr>
          <w:b/>
          <w:spacing w:val="-5"/>
          <w:sz w:val="22"/>
        </w:rPr>
        <w:t> </w:t>
      </w:r>
      <w:r>
        <w:rPr>
          <w:b/>
          <w:sz w:val="22"/>
        </w:rPr>
        <w:t>Antibiotics</w:t>
      </w:r>
      <w:r>
        <w:rPr>
          <w:b/>
          <w:spacing w:val="-6"/>
          <w:sz w:val="22"/>
        </w:rPr>
        <w:t> </w:t>
      </w:r>
      <w:r>
        <w:rPr>
          <w:b/>
          <w:sz w:val="22"/>
        </w:rPr>
        <w:t>against </w:t>
      </w:r>
      <w:r>
        <w:rPr>
          <w:b/>
          <w:i/>
          <w:sz w:val="22"/>
        </w:rPr>
        <w:t>Streptococcus</w:t>
      </w:r>
      <w:r>
        <w:rPr>
          <w:b/>
          <w:i/>
          <w:spacing w:val="-7"/>
          <w:sz w:val="22"/>
        </w:rPr>
        <w:t> </w:t>
      </w:r>
      <w:r>
        <w:rPr>
          <w:b/>
          <w:i/>
          <w:spacing w:val="-2"/>
          <w:sz w:val="22"/>
        </w:rPr>
        <w:t>pyogenes</w:t>
      </w:r>
    </w:p>
    <w:p>
      <w:pPr>
        <w:spacing w:after="0"/>
        <w:jc w:val="left"/>
        <w:rPr>
          <w:sz w:val="22"/>
        </w:rPr>
        <w:sectPr>
          <w:pgSz w:w="11910" w:h="16840"/>
          <w:pgMar w:header="0" w:footer="1055" w:top="1920" w:bottom="1240" w:left="1060" w:right="460"/>
        </w:sect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1"/>
        <w:gridCol w:w="764"/>
        <w:gridCol w:w="824"/>
        <w:gridCol w:w="850"/>
        <w:gridCol w:w="866"/>
        <w:gridCol w:w="838"/>
        <w:gridCol w:w="866"/>
        <w:gridCol w:w="813"/>
        <w:gridCol w:w="856"/>
        <w:gridCol w:w="841"/>
        <w:gridCol w:w="912"/>
      </w:tblGrid>
      <w:tr>
        <w:trPr>
          <w:trHeight w:val="667" w:hRule="atLeast"/>
        </w:trPr>
        <w:tc>
          <w:tcPr>
            <w:tcW w:w="1071" w:type="dxa"/>
            <w:tcBorders>
              <w:top w:val="single" w:sz="4" w:space="0" w:color="000000"/>
            </w:tcBorders>
          </w:tcPr>
          <w:p>
            <w:pPr>
              <w:pStyle w:val="TableParagraph"/>
              <w:spacing w:line="256" w:lineRule="auto"/>
              <w:ind w:left="408" w:right="156" w:hanging="176"/>
              <w:rPr>
                <w:b/>
                <w:sz w:val="22"/>
              </w:rPr>
            </w:pPr>
            <w:r>
              <w:rPr>
                <w:b/>
                <w:spacing w:val="-2"/>
                <w:sz w:val="22"/>
              </w:rPr>
              <w:t>Sample </w:t>
            </w:r>
            <w:r>
              <w:rPr>
                <w:b/>
                <w:spacing w:val="-4"/>
                <w:sz w:val="22"/>
              </w:rPr>
              <w:t>No.</w:t>
            </w:r>
          </w:p>
        </w:tc>
        <w:tc>
          <w:tcPr>
            <w:tcW w:w="764" w:type="dxa"/>
            <w:tcBorders>
              <w:top w:val="single" w:sz="4" w:space="0" w:color="000000"/>
            </w:tcBorders>
          </w:tcPr>
          <w:p>
            <w:pPr>
              <w:pStyle w:val="TableParagraph"/>
              <w:spacing w:before="143"/>
              <w:ind w:left="162"/>
              <w:rPr>
                <w:b/>
                <w:sz w:val="22"/>
              </w:rPr>
            </w:pPr>
            <w:r>
              <w:rPr>
                <w:b/>
                <w:spacing w:val="-5"/>
                <w:sz w:val="22"/>
              </w:rPr>
              <w:t>MIC</w:t>
            </w:r>
          </w:p>
        </w:tc>
        <w:tc>
          <w:tcPr>
            <w:tcW w:w="824" w:type="dxa"/>
            <w:tcBorders>
              <w:top w:val="single" w:sz="4" w:space="0" w:color="000000"/>
            </w:tcBorders>
          </w:tcPr>
          <w:p>
            <w:pPr>
              <w:pStyle w:val="TableParagraph"/>
              <w:spacing w:before="143"/>
              <w:ind w:left="140"/>
              <w:rPr>
                <w:b/>
                <w:sz w:val="22"/>
              </w:rPr>
            </w:pPr>
            <w:r>
              <w:rPr>
                <w:b/>
                <w:spacing w:val="-5"/>
                <w:sz w:val="22"/>
              </w:rPr>
              <w:t>MBC</w:t>
            </w:r>
          </w:p>
        </w:tc>
        <w:tc>
          <w:tcPr>
            <w:tcW w:w="850" w:type="dxa"/>
            <w:tcBorders>
              <w:top w:val="single" w:sz="4" w:space="0" w:color="000000"/>
            </w:tcBorders>
          </w:tcPr>
          <w:p>
            <w:pPr>
              <w:pStyle w:val="TableParagraph"/>
              <w:spacing w:before="143"/>
              <w:ind w:left="166"/>
              <w:rPr>
                <w:b/>
                <w:sz w:val="22"/>
              </w:rPr>
            </w:pPr>
            <w:r>
              <w:rPr>
                <w:b/>
                <w:spacing w:val="-5"/>
                <w:sz w:val="22"/>
              </w:rPr>
              <w:t>MIC</w:t>
            </w:r>
          </w:p>
        </w:tc>
        <w:tc>
          <w:tcPr>
            <w:tcW w:w="866" w:type="dxa"/>
            <w:tcBorders>
              <w:top w:val="single" w:sz="4" w:space="0" w:color="000000"/>
            </w:tcBorders>
          </w:tcPr>
          <w:p>
            <w:pPr>
              <w:pStyle w:val="TableParagraph"/>
              <w:spacing w:before="143"/>
              <w:ind w:left="165"/>
              <w:rPr>
                <w:b/>
                <w:sz w:val="22"/>
              </w:rPr>
            </w:pPr>
            <w:r>
              <w:rPr>
                <w:b/>
                <w:spacing w:val="-5"/>
                <w:sz w:val="22"/>
              </w:rPr>
              <w:t>MBC</w:t>
            </w:r>
          </w:p>
        </w:tc>
        <w:tc>
          <w:tcPr>
            <w:tcW w:w="838" w:type="dxa"/>
            <w:tcBorders>
              <w:top w:val="single" w:sz="4" w:space="0" w:color="000000"/>
            </w:tcBorders>
          </w:tcPr>
          <w:p>
            <w:pPr>
              <w:pStyle w:val="TableParagraph"/>
              <w:spacing w:before="143"/>
              <w:ind w:left="152"/>
              <w:rPr>
                <w:b/>
                <w:sz w:val="22"/>
              </w:rPr>
            </w:pPr>
            <w:r>
              <w:rPr>
                <w:b/>
                <w:spacing w:val="-5"/>
                <w:sz w:val="22"/>
              </w:rPr>
              <w:t>MIC</w:t>
            </w:r>
          </w:p>
        </w:tc>
        <w:tc>
          <w:tcPr>
            <w:tcW w:w="866" w:type="dxa"/>
            <w:tcBorders>
              <w:top w:val="single" w:sz="4" w:space="0" w:color="000000"/>
            </w:tcBorders>
          </w:tcPr>
          <w:p>
            <w:pPr>
              <w:pStyle w:val="TableParagraph"/>
              <w:spacing w:before="143"/>
              <w:ind w:left="163"/>
              <w:rPr>
                <w:b/>
                <w:sz w:val="22"/>
              </w:rPr>
            </w:pPr>
            <w:r>
              <w:rPr>
                <w:b/>
                <w:spacing w:val="-5"/>
                <w:sz w:val="22"/>
              </w:rPr>
              <w:t>MBC</w:t>
            </w:r>
          </w:p>
        </w:tc>
        <w:tc>
          <w:tcPr>
            <w:tcW w:w="813" w:type="dxa"/>
            <w:tcBorders>
              <w:top w:val="single" w:sz="4" w:space="0" w:color="000000"/>
            </w:tcBorders>
          </w:tcPr>
          <w:p>
            <w:pPr>
              <w:pStyle w:val="TableParagraph"/>
              <w:spacing w:before="143"/>
              <w:ind w:left="149"/>
              <w:rPr>
                <w:b/>
                <w:sz w:val="22"/>
              </w:rPr>
            </w:pPr>
            <w:r>
              <w:rPr>
                <w:b/>
                <w:spacing w:val="-5"/>
                <w:sz w:val="22"/>
              </w:rPr>
              <w:t>MIC</w:t>
            </w:r>
          </w:p>
        </w:tc>
        <w:tc>
          <w:tcPr>
            <w:tcW w:w="856" w:type="dxa"/>
            <w:tcBorders>
              <w:top w:val="single" w:sz="4" w:space="0" w:color="000000"/>
            </w:tcBorders>
          </w:tcPr>
          <w:p>
            <w:pPr>
              <w:pStyle w:val="TableParagraph"/>
              <w:spacing w:before="143"/>
              <w:ind w:left="153"/>
              <w:rPr>
                <w:b/>
                <w:sz w:val="22"/>
              </w:rPr>
            </w:pPr>
            <w:r>
              <w:rPr>
                <w:b/>
                <w:spacing w:val="-5"/>
                <w:sz w:val="22"/>
              </w:rPr>
              <w:t>MBC</w:t>
            </w:r>
          </w:p>
        </w:tc>
        <w:tc>
          <w:tcPr>
            <w:tcW w:w="841" w:type="dxa"/>
            <w:tcBorders>
              <w:top w:val="single" w:sz="4" w:space="0" w:color="000000"/>
            </w:tcBorders>
          </w:tcPr>
          <w:p>
            <w:pPr>
              <w:pStyle w:val="TableParagraph"/>
              <w:spacing w:before="143"/>
              <w:ind w:left="147"/>
              <w:rPr>
                <w:b/>
                <w:sz w:val="22"/>
              </w:rPr>
            </w:pPr>
            <w:r>
              <w:rPr>
                <w:b/>
                <w:spacing w:val="-5"/>
                <w:sz w:val="22"/>
              </w:rPr>
              <w:t>MIC</w:t>
            </w:r>
          </w:p>
        </w:tc>
        <w:tc>
          <w:tcPr>
            <w:tcW w:w="912" w:type="dxa"/>
            <w:tcBorders>
              <w:top w:val="single" w:sz="4" w:space="0" w:color="000000"/>
            </w:tcBorders>
          </w:tcPr>
          <w:p>
            <w:pPr>
              <w:pStyle w:val="TableParagraph"/>
              <w:spacing w:before="143"/>
              <w:ind w:left="158"/>
              <w:rPr>
                <w:b/>
                <w:sz w:val="22"/>
              </w:rPr>
            </w:pPr>
            <w:r>
              <w:rPr>
                <w:b/>
                <w:spacing w:val="-5"/>
                <w:sz w:val="22"/>
              </w:rPr>
              <w:t>MBC</w:t>
            </w:r>
          </w:p>
        </w:tc>
      </w:tr>
      <w:tr>
        <w:trPr>
          <w:trHeight w:val="522" w:hRule="atLeast"/>
        </w:trPr>
        <w:tc>
          <w:tcPr>
            <w:tcW w:w="1071" w:type="dxa"/>
            <w:tcBorders>
              <w:bottom w:val="single" w:sz="4" w:space="0" w:color="000000"/>
            </w:tcBorders>
          </w:tcPr>
          <w:p>
            <w:pPr>
              <w:pStyle w:val="TableParagraph"/>
              <w:rPr>
                <w:rFonts w:ascii="Times New Roman"/>
                <w:sz w:val="22"/>
              </w:rPr>
            </w:pPr>
          </w:p>
        </w:tc>
        <w:tc>
          <w:tcPr>
            <w:tcW w:w="764" w:type="dxa"/>
            <w:tcBorders>
              <w:bottom w:val="single" w:sz="4" w:space="0" w:color="000000"/>
            </w:tcBorders>
          </w:tcPr>
          <w:p>
            <w:pPr>
              <w:pStyle w:val="TableParagraph"/>
              <w:spacing w:before="71"/>
              <w:ind w:left="162"/>
              <w:rPr>
                <w:b/>
                <w:sz w:val="22"/>
              </w:rPr>
            </w:pPr>
            <w:r>
              <w:rPr>
                <w:b/>
                <w:spacing w:val="-5"/>
                <w:sz w:val="22"/>
              </w:rPr>
              <w:t>CN</w:t>
            </w:r>
          </w:p>
        </w:tc>
        <w:tc>
          <w:tcPr>
            <w:tcW w:w="824" w:type="dxa"/>
            <w:tcBorders>
              <w:bottom w:val="single" w:sz="4" w:space="0" w:color="000000"/>
            </w:tcBorders>
          </w:tcPr>
          <w:p>
            <w:pPr>
              <w:pStyle w:val="TableParagraph"/>
              <w:rPr>
                <w:rFonts w:ascii="Times New Roman"/>
                <w:sz w:val="22"/>
              </w:rPr>
            </w:pPr>
          </w:p>
        </w:tc>
        <w:tc>
          <w:tcPr>
            <w:tcW w:w="850" w:type="dxa"/>
            <w:tcBorders>
              <w:bottom w:val="single" w:sz="4" w:space="0" w:color="000000"/>
            </w:tcBorders>
          </w:tcPr>
          <w:p>
            <w:pPr>
              <w:pStyle w:val="TableParagraph"/>
              <w:spacing w:before="71"/>
              <w:ind w:left="166"/>
              <w:rPr>
                <w:b/>
                <w:sz w:val="22"/>
              </w:rPr>
            </w:pPr>
            <w:r>
              <w:rPr>
                <w:b/>
                <w:spacing w:val="-5"/>
                <w:sz w:val="22"/>
              </w:rPr>
              <w:t>CRO</w:t>
            </w:r>
          </w:p>
        </w:tc>
        <w:tc>
          <w:tcPr>
            <w:tcW w:w="866" w:type="dxa"/>
            <w:tcBorders>
              <w:bottom w:val="single" w:sz="4" w:space="0" w:color="000000"/>
            </w:tcBorders>
          </w:tcPr>
          <w:p>
            <w:pPr>
              <w:pStyle w:val="TableParagraph"/>
              <w:rPr>
                <w:rFonts w:ascii="Times New Roman"/>
                <w:sz w:val="22"/>
              </w:rPr>
            </w:pPr>
          </w:p>
        </w:tc>
        <w:tc>
          <w:tcPr>
            <w:tcW w:w="838" w:type="dxa"/>
            <w:tcBorders>
              <w:bottom w:val="single" w:sz="4" w:space="0" w:color="000000"/>
            </w:tcBorders>
          </w:tcPr>
          <w:p>
            <w:pPr>
              <w:pStyle w:val="TableParagraph"/>
              <w:spacing w:before="71"/>
              <w:ind w:left="152"/>
              <w:rPr>
                <w:b/>
                <w:sz w:val="22"/>
              </w:rPr>
            </w:pPr>
            <w:r>
              <w:rPr>
                <w:b/>
                <w:spacing w:val="-5"/>
                <w:sz w:val="22"/>
              </w:rPr>
              <w:t>AMC</w:t>
            </w:r>
          </w:p>
        </w:tc>
        <w:tc>
          <w:tcPr>
            <w:tcW w:w="866" w:type="dxa"/>
            <w:tcBorders>
              <w:bottom w:val="single" w:sz="4" w:space="0" w:color="000000"/>
            </w:tcBorders>
          </w:tcPr>
          <w:p>
            <w:pPr>
              <w:pStyle w:val="TableParagraph"/>
              <w:rPr>
                <w:rFonts w:ascii="Times New Roman"/>
                <w:sz w:val="22"/>
              </w:rPr>
            </w:pPr>
          </w:p>
        </w:tc>
        <w:tc>
          <w:tcPr>
            <w:tcW w:w="813" w:type="dxa"/>
            <w:tcBorders>
              <w:bottom w:val="single" w:sz="4" w:space="0" w:color="000000"/>
            </w:tcBorders>
          </w:tcPr>
          <w:p>
            <w:pPr>
              <w:pStyle w:val="TableParagraph"/>
              <w:spacing w:before="71"/>
              <w:ind w:left="149"/>
              <w:rPr>
                <w:b/>
                <w:sz w:val="22"/>
              </w:rPr>
            </w:pPr>
            <w:r>
              <w:rPr>
                <w:b/>
                <w:spacing w:val="-5"/>
                <w:sz w:val="22"/>
              </w:rPr>
              <w:t>LEV</w:t>
            </w:r>
          </w:p>
        </w:tc>
        <w:tc>
          <w:tcPr>
            <w:tcW w:w="856" w:type="dxa"/>
            <w:tcBorders>
              <w:bottom w:val="single" w:sz="4" w:space="0" w:color="000000"/>
            </w:tcBorders>
          </w:tcPr>
          <w:p>
            <w:pPr>
              <w:pStyle w:val="TableParagraph"/>
              <w:rPr>
                <w:rFonts w:ascii="Times New Roman"/>
                <w:sz w:val="22"/>
              </w:rPr>
            </w:pPr>
          </w:p>
        </w:tc>
        <w:tc>
          <w:tcPr>
            <w:tcW w:w="841" w:type="dxa"/>
            <w:tcBorders>
              <w:bottom w:val="single" w:sz="4" w:space="0" w:color="000000"/>
            </w:tcBorders>
          </w:tcPr>
          <w:p>
            <w:pPr>
              <w:pStyle w:val="TableParagraph"/>
              <w:spacing w:before="71"/>
              <w:ind w:left="147"/>
              <w:rPr>
                <w:b/>
                <w:sz w:val="22"/>
              </w:rPr>
            </w:pPr>
            <w:r>
              <w:rPr>
                <w:b/>
                <w:spacing w:val="-5"/>
                <w:sz w:val="22"/>
              </w:rPr>
              <w:t>AZM</w:t>
            </w:r>
          </w:p>
        </w:tc>
        <w:tc>
          <w:tcPr>
            <w:tcW w:w="912" w:type="dxa"/>
            <w:tcBorders>
              <w:bottom w:val="single" w:sz="4" w:space="0" w:color="000000"/>
            </w:tcBorders>
          </w:tcPr>
          <w:p>
            <w:pPr>
              <w:pStyle w:val="TableParagraph"/>
              <w:rPr>
                <w:rFonts w:ascii="Times New Roman"/>
                <w:sz w:val="22"/>
              </w:rPr>
            </w:pPr>
          </w:p>
        </w:tc>
      </w:tr>
      <w:tr>
        <w:trPr>
          <w:trHeight w:val="376" w:hRule="atLeast"/>
        </w:trPr>
        <w:tc>
          <w:tcPr>
            <w:tcW w:w="1071" w:type="dxa"/>
            <w:tcBorders>
              <w:top w:val="single" w:sz="4" w:space="0" w:color="000000"/>
            </w:tcBorders>
          </w:tcPr>
          <w:p>
            <w:pPr>
              <w:pStyle w:val="TableParagraph"/>
              <w:spacing w:line="265" w:lineRule="exact"/>
              <w:ind w:left="122"/>
              <w:rPr>
                <w:sz w:val="22"/>
              </w:rPr>
            </w:pPr>
            <w:r>
              <w:rPr>
                <w:sz w:val="22"/>
              </w:rPr>
              <w:t>SP</w:t>
            </w:r>
            <w:r>
              <w:rPr>
                <w:spacing w:val="1"/>
                <w:sz w:val="22"/>
              </w:rPr>
              <w:t> </w:t>
            </w:r>
            <w:r>
              <w:rPr>
                <w:spacing w:val="-5"/>
                <w:sz w:val="22"/>
              </w:rPr>
              <w:t>265</w:t>
            </w:r>
          </w:p>
        </w:tc>
        <w:tc>
          <w:tcPr>
            <w:tcW w:w="764" w:type="dxa"/>
            <w:tcBorders>
              <w:top w:val="single" w:sz="4" w:space="0" w:color="000000"/>
            </w:tcBorders>
          </w:tcPr>
          <w:p>
            <w:pPr>
              <w:pStyle w:val="TableParagraph"/>
              <w:spacing w:line="265" w:lineRule="exact"/>
              <w:ind w:left="325"/>
              <w:rPr>
                <w:sz w:val="22"/>
              </w:rPr>
            </w:pPr>
            <w:r>
              <w:rPr>
                <w:spacing w:val="-5"/>
                <w:sz w:val="22"/>
              </w:rPr>
              <w:t>NI</w:t>
            </w:r>
          </w:p>
        </w:tc>
        <w:tc>
          <w:tcPr>
            <w:tcW w:w="824" w:type="dxa"/>
            <w:tcBorders>
              <w:top w:val="single" w:sz="4" w:space="0" w:color="000000"/>
            </w:tcBorders>
          </w:tcPr>
          <w:p>
            <w:pPr>
              <w:pStyle w:val="TableParagraph"/>
              <w:spacing w:line="265" w:lineRule="exact"/>
              <w:ind w:left="327"/>
              <w:rPr>
                <w:sz w:val="22"/>
              </w:rPr>
            </w:pPr>
            <w:r>
              <w:rPr>
                <w:spacing w:val="-5"/>
                <w:sz w:val="22"/>
              </w:rPr>
              <w:t>NB</w:t>
            </w:r>
          </w:p>
        </w:tc>
        <w:tc>
          <w:tcPr>
            <w:tcW w:w="850" w:type="dxa"/>
            <w:tcBorders>
              <w:top w:val="single" w:sz="4" w:space="0" w:color="000000"/>
            </w:tcBorders>
          </w:tcPr>
          <w:p>
            <w:pPr>
              <w:pStyle w:val="TableParagraph"/>
              <w:spacing w:line="265" w:lineRule="exact"/>
              <w:ind w:right="168"/>
              <w:jc w:val="right"/>
              <w:rPr>
                <w:sz w:val="22"/>
              </w:rPr>
            </w:pPr>
            <w:r>
              <w:rPr>
                <w:spacing w:val="-4"/>
                <w:sz w:val="22"/>
              </w:rPr>
              <w:t>31.3</w:t>
            </w:r>
          </w:p>
        </w:tc>
        <w:tc>
          <w:tcPr>
            <w:tcW w:w="866" w:type="dxa"/>
            <w:tcBorders>
              <w:top w:val="single" w:sz="4" w:space="0" w:color="000000"/>
            </w:tcBorders>
          </w:tcPr>
          <w:p>
            <w:pPr>
              <w:pStyle w:val="TableParagraph"/>
              <w:spacing w:line="265" w:lineRule="exact"/>
              <w:ind w:right="211"/>
              <w:jc w:val="right"/>
              <w:rPr>
                <w:sz w:val="22"/>
              </w:rPr>
            </w:pPr>
            <w:r>
              <w:rPr>
                <w:spacing w:val="-5"/>
                <w:sz w:val="22"/>
              </w:rPr>
              <w:t>125</w:t>
            </w:r>
          </w:p>
        </w:tc>
        <w:tc>
          <w:tcPr>
            <w:tcW w:w="838" w:type="dxa"/>
            <w:tcBorders>
              <w:top w:val="single" w:sz="4" w:space="0" w:color="000000"/>
            </w:tcBorders>
          </w:tcPr>
          <w:p>
            <w:pPr>
              <w:pStyle w:val="TableParagraph"/>
              <w:spacing w:line="265" w:lineRule="exact"/>
              <w:ind w:left="370"/>
              <w:rPr>
                <w:sz w:val="22"/>
              </w:rPr>
            </w:pPr>
            <w:r>
              <w:rPr>
                <w:spacing w:val="-5"/>
                <w:sz w:val="22"/>
              </w:rPr>
              <w:t>NI</w:t>
            </w:r>
          </w:p>
        </w:tc>
        <w:tc>
          <w:tcPr>
            <w:tcW w:w="866" w:type="dxa"/>
            <w:tcBorders>
              <w:top w:val="single" w:sz="4" w:space="0" w:color="000000"/>
            </w:tcBorders>
          </w:tcPr>
          <w:p>
            <w:pPr>
              <w:pStyle w:val="TableParagraph"/>
              <w:spacing w:line="265" w:lineRule="exact"/>
              <w:ind w:left="351"/>
              <w:rPr>
                <w:sz w:val="22"/>
              </w:rPr>
            </w:pPr>
            <w:r>
              <w:rPr>
                <w:spacing w:val="-5"/>
                <w:sz w:val="22"/>
              </w:rPr>
              <w:t>NB</w:t>
            </w:r>
          </w:p>
        </w:tc>
        <w:tc>
          <w:tcPr>
            <w:tcW w:w="813" w:type="dxa"/>
            <w:tcBorders>
              <w:top w:val="single" w:sz="4" w:space="0" w:color="000000"/>
            </w:tcBorders>
          </w:tcPr>
          <w:p>
            <w:pPr>
              <w:pStyle w:val="TableParagraph"/>
              <w:spacing w:line="265" w:lineRule="exact"/>
              <w:ind w:right="164"/>
              <w:jc w:val="right"/>
              <w:rPr>
                <w:sz w:val="22"/>
              </w:rPr>
            </w:pPr>
            <w:r>
              <w:rPr>
                <w:spacing w:val="-4"/>
                <w:sz w:val="22"/>
              </w:rPr>
              <w:t>62.5</w:t>
            </w:r>
          </w:p>
        </w:tc>
        <w:tc>
          <w:tcPr>
            <w:tcW w:w="856" w:type="dxa"/>
            <w:tcBorders>
              <w:top w:val="single" w:sz="4" w:space="0" w:color="000000"/>
            </w:tcBorders>
          </w:tcPr>
          <w:p>
            <w:pPr>
              <w:pStyle w:val="TableParagraph"/>
              <w:spacing w:line="265" w:lineRule="exact"/>
              <w:ind w:right="161"/>
              <w:jc w:val="right"/>
              <w:rPr>
                <w:sz w:val="22"/>
              </w:rPr>
            </w:pPr>
            <w:r>
              <w:rPr>
                <w:spacing w:val="-4"/>
                <w:sz w:val="22"/>
              </w:rPr>
              <w:t>&gt;125</w:t>
            </w:r>
          </w:p>
        </w:tc>
        <w:tc>
          <w:tcPr>
            <w:tcW w:w="841" w:type="dxa"/>
            <w:tcBorders>
              <w:top w:val="single" w:sz="4" w:space="0" w:color="000000"/>
            </w:tcBorders>
          </w:tcPr>
          <w:p>
            <w:pPr>
              <w:pStyle w:val="TableParagraph"/>
              <w:spacing w:line="265" w:lineRule="exact"/>
              <w:ind w:left="365"/>
              <w:rPr>
                <w:sz w:val="22"/>
              </w:rPr>
            </w:pPr>
            <w:r>
              <w:rPr>
                <w:spacing w:val="-5"/>
                <w:sz w:val="22"/>
              </w:rPr>
              <w:t>NI</w:t>
            </w:r>
          </w:p>
        </w:tc>
        <w:tc>
          <w:tcPr>
            <w:tcW w:w="912" w:type="dxa"/>
            <w:tcBorders>
              <w:top w:val="single" w:sz="4" w:space="0" w:color="000000"/>
            </w:tcBorders>
          </w:tcPr>
          <w:p>
            <w:pPr>
              <w:pStyle w:val="TableParagraph"/>
              <w:spacing w:line="265" w:lineRule="exact"/>
              <w:ind w:left="35"/>
              <w:jc w:val="center"/>
              <w:rPr>
                <w:sz w:val="22"/>
              </w:rPr>
            </w:pPr>
            <w:r>
              <w:rPr>
                <w:spacing w:val="-5"/>
                <w:sz w:val="22"/>
              </w:rPr>
              <w:t>NB</w:t>
            </w:r>
          </w:p>
        </w:tc>
      </w:tr>
      <w:tr>
        <w:trPr>
          <w:trHeight w:val="450" w:hRule="atLeast"/>
        </w:trPr>
        <w:tc>
          <w:tcPr>
            <w:tcW w:w="1071" w:type="dxa"/>
          </w:tcPr>
          <w:p>
            <w:pPr>
              <w:pStyle w:val="TableParagraph"/>
              <w:spacing w:before="71"/>
              <w:ind w:left="122"/>
              <w:rPr>
                <w:sz w:val="22"/>
              </w:rPr>
            </w:pPr>
            <w:r>
              <w:rPr>
                <w:sz w:val="22"/>
              </w:rPr>
              <w:t>SP</w:t>
            </w:r>
            <w:r>
              <w:rPr>
                <w:spacing w:val="1"/>
                <w:sz w:val="22"/>
              </w:rPr>
              <w:t> </w:t>
            </w:r>
            <w:r>
              <w:rPr>
                <w:spacing w:val="-4"/>
                <w:sz w:val="22"/>
              </w:rPr>
              <w:t>1349</w:t>
            </w:r>
          </w:p>
        </w:tc>
        <w:tc>
          <w:tcPr>
            <w:tcW w:w="764" w:type="dxa"/>
          </w:tcPr>
          <w:p>
            <w:pPr>
              <w:pStyle w:val="TableParagraph"/>
              <w:spacing w:before="71"/>
              <w:ind w:left="325"/>
              <w:rPr>
                <w:sz w:val="22"/>
              </w:rPr>
            </w:pPr>
            <w:r>
              <w:rPr>
                <w:spacing w:val="-5"/>
                <w:sz w:val="22"/>
              </w:rPr>
              <w:t>NI</w:t>
            </w:r>
          </w:p>
        </w:tc>
        <w:tc>
          <w:tcPr>
            <w:tcW w:w="824" w:type="dxa"/>
          </w:tcPr>
          <w:p>
            <w:pPr>
              <w:pStyle w:val="TableParagraph"/>
              <w:spacing w:before="71"/>
              <w:ind w:left="327"/>
              <w:rPr>
                <w:sz w:val="22"/>
              </w:rPr>
            </w:pPr>
            <w:r>
              <w:rPr>
                <w:spacing w:val="-5"/>
                <w:sz w:val="22"/>
              </w:rPr>
              <w:t>NB</w:t>
            </w:r>
          </w:p>
        </w:tc>
        <w:tc>
          <w:tcPr>
            <w:tcW w:w="850" w:type="dxa"/>
          </w:tcPr>
          <w:p>
            <w:pPr>
              <w:pStyle w:val="TableParagraph"/>
              <w:spacing w:before="71"/>
              <w:ind w:right="168"/>
              <w:jc w:val="right"/>
              <w:rPr>
                <w:sz w:val="22"/>
              </w:rPr>
            </w:pPr>
            <w:r>
              <w:rPr>
                <w:spacing w:val="-4"/>
                <w:sz w:val="22"/>
              </w:rPr>
              <w:t>62.5</w:t>
            </w:r>
          </w:p>
        </w:tc>
        <w:tc>
          <w:tcPr>
            <w:tcW w:w="866" w:type="dxa"/>
          </w:tcPr>
          <w:p>
            <w:pPr>
              <w:pStyle w:val="TableParagraph"/>
              <w:spacing w:before="71"/>
              <w:ind w:right="156"/>
              <w:jc w:val="right"/>
              <w:rPr>
                <w:sz w:val="22"/>
              </w:rPr>
            </w:pPr>
            <w:r>
              <w:rPr>
                <w:spacing w:val="-4"/>
                <w:sz w:val="22"/>
              </w:rPr>
              <w:t>&gt;125</w:t>
            </w:r>
          </w:p>
        </w:tc>
        <w:tc>
          <w:tcPr>
            <w:tcW w:w="838" w:type="dxa"/>
          </w:tcPr>
          <w:p>
            <w:pPr>
              <w:pStyle w:val="TableParagraph"/>
              <w:spacing w:before="71"/>
              <w:ind w:right="170"/>
              <w:jc w:val="right"/>
              <w:rPr>
                <w:sz w:val="22"/>
              </w:rPr>
            </w:pPr>
            <w:r>
              <w:rPr>
                <w:spacing w:val="-4"/>
                <w:sz w:val="22"/>
              </w:rPr>
              <w:t>62.5</w:t>
            </w:r>
          </w:p>
        </w:tc>
        <w:tc>
          <w:tcPr>
            <w:tcW w:w="866" w:type="dxa"/>
          </w:tcPr>
          <w:p>
            <w:pPr>
              <w:pStyle w:val="TableParagraph"/>
              <w:spacing w:before="71"/>
              <w:ind w:left="259"/>
              <w:rPr>
                <w:sz w:val="22"/>
              </w:rPr>
            </w:pPr>
            <w:r>
              <w:rPr>
                <w:spacing w:val="-4"/>
                <w:sz w:val="22"/>
              </w:rPr>
              <w:t>&gt;125</w:t>
            </w:r>
          </w:p>
        </w:tc>
        <w:tc>
          <w:tcPr>
            <w:tcW w:w="813" w:type="dxa"/>
          </w:tcPr>
          <w:p>
            <w:pPr>
              <w:pStyle w:val="TableParagraph"/>
              <w:spacing w:before="71"/>
              <w:ind w:right="165"/>
              <w:jc w:val="right"/>
              <w:rPr>
                <w:sz w:val="22"/>
              </w:rPr>
            </w:pPr>
            <w:r>
              <w:rPr>
                <w:spacing w:val="-4"/>
                <w:sz w:val="22"/>
              </w:rPr>
              <w:t>7.81</w:t>
            </w:r>
          </w:p>
        </w:tc>
        <w:tc>
          <w:tcPr>
            <w:tcW w:w="856" w:type="dxa"/>
          </w:tcPr>
          <w:p>
            <w:pPr>
              <w:pStyle w:val="TableParagraph"/>
              <w:spacing w:before="71"/>
              <w:ind w:right="216"/>
              <w:jc w:val="right"/>
              <w:rPr>
                <w:sz w:val="22"/>
              </w:rPr>
            </w:pPr>
            <w:r>
              <w:rPr>
                <w:spacing w:val="-5"/>
                <w:sz w:val="22"/>
              </w:rPr>
              <w:t>125</w:t>
            </w:r>
          </w:p>
        </w:tc>
        <w:tc>
          <w:tcPr>
            <w:tcW w:w="841" w:type="dxa"/>
          </w:tcPr>
          <w:p>
            <w:pPr>
              <w:pStyle w:val="TableParagraph"/>
              <w:spacing w:before="71"/>
              <w:ind w:right="176"/>
              <w:jc w:val="right"/>
              <w:rPr>
                <w:sz w:val="22"/>
              </w:rPr>
            </w:pPr>
            <w:r>
              <w:rPr>
                <w:spacing w:val="-4"/>
                <w:sz w:val="22"/>
              </w:rPr>
              <w:t>62.5</w:t>
            </w:r>
          </w:p>
        </w:tc>
        <w:tc>
          <w:tcPr>
            <w:tcW w:w="912" w:type="dxa"/>
          </w:tcPr>
          <w:p>
            <w:pPr>
              <w:pStyle w:val="TableParagraph"/>
              <w:spacing w:before="71"/>
              <w:ind w:left="252"/>
              <w:rPr>
                <w:sz w:val="22"/>
              </w:rPr>
            </w:pPr>
            <w:r>
              <w:rPr>
                <w:spacing w:val="-4"/>
                <w:sz w:val="22"/>
              </w:rPr>
              <w:t>&gt;125</w:t>
            </w:r>
          </w:p>
        </w:tc>
      </w:tr>
      <w:tr>
        <w:trPr>
          <w:trHeight w:val="450" w:hRule="atLeast"/>
        </w:trPr>
        <w:tc>
          <w:tcPr>
            <w:tcW w:w="1071" w:type="dxa"/>
          </w:tcPr>
          <w:p>
            <w:pPr>
              <w:pStyle w:val="TableParagraph"/>
              <w:spacing w:before="70"/>
              <w:ind w:left="122"/>
              <w:rPr>
                <w:sz w:val="22"/>
              </w:rPr>
            </w:pPr>
            <w:r>
              <w:rPr>
                <w:sz w:val="22"/>
              </w:rPr>
              <w:t>SP</w:t>
            </w:r>
            <w:r>
              <w:rPr>
                <w:spacing w:val="1"/>
                <w:sz w:val="22"/>
              </w:rPr>
              <w:t> </w:t>
            </w:r>
            <w:r>
              <w:rPr>
                <w:spacing w:val="-5"/>
                <w:sz w:val="22"/>
              </w:rPr>
              <w:t>275</w:t>
            </w:r>
          </w:p>
        </w:tc>
        <w:tc>
          <w:tcPr>
            <w:tcW w:w="764" w:type="dxa"/>
          </w:tcPr>
          <w:p>
            <w:pPr>
              <w:pStyle w:val="TableParagraph"/>
              <w:spacing w:before="70"/>
              <w:ind w:left="325"/>
              <w:rPr>
                <w:sz w:val="22"/>
              </w:rPr>
            </w:pPr>
            <w:r>
              <w:rPr>
                <w:spacing w:val="-5"/>
                <w:sz w:val="22"/>
              </w:rPr>
              <w:t>NI</w:t>
            </w:r>
          </w:p>
        </w:tc>
        <w:tc>
          <w:tcPr>
            <w:tcW w:w="824" w:type="dxa"/>
          </w:tcPr>
          <w:p>
            <w:pPr>
              <w:pStyle w:val="TableParagraph"/>
              <w:spacing w:before="70"/>
              <w:ind w:left="327"/>
              <w:rPr>
                <w:sz w:val="22"/>
              </w:rPr>
            </w:pPr>
            <w:r>
              <w:rPr>
                <w:spacing w:val="-5"/>
                <w:sz w:val="22"/>
              </w:rPr>
              <w:t>NB</w:t>
            </w:r>
          </w:p>
        </w:tc>
        <w:tc>
          <w:tcPr>
            <w:tcW w:w="850" w:type="dxa"/>
          </w:tcPr>
          <w:p>
            <w:pPr>
              <w:pStyle w:val="TableParagraph"/>
              <w:spacing w:before="70"/>
              <w:ind w:right="168"/>
              <w:jc w:val="right"/>
              <w:rPr>
                <w:sz w:val="22"/>
              </w:rPr>
            </w:pPr>
            <w:r>
              <w:rPr>
                <w:spacing w:val="-4"/>
                <w:sz w:val="22"/>
              </w:rPr>
              <w:t>15.6</w:t>
            </w:r>
          </w:p>
        </w:tc>
        <w:tc>
          <w:tcPr>
            <w:tcW w:w="866" w:type="dxa"/>
          </w:tcPr>
          <w:p>
            <w:pPr>
              <w:pStyle w:val="TableParagraph"/>
              <w:spacing w:before="70"/>
              <w:ind w:right="211"/>
              <w:jc w:val="right"/>
              <w:rPr>
                <w:sz w:val="22"/>
              </w:rPr>
            </w:pPr>
            <w:r>
              <w:rPr>
                <w:spacing w:val="-5"/>
                <w:sz w:val="22"/>
              </w:rPr>
              <w:t>125</w:t>
            </w:r>
          </w:p>
        </w:tc>
        <w:tc>
          <w:tcPr>
            <w:tcW w:w="838" w:type="dxa"/>
          </w:tcPr>
          <w:p>
            <w:pPr>
              <w:pStyle w:val="TableParagraph"/>
              <w:spacing w:before="70"/>
              <w:ind w:right="199"/>
              <w:jc w:val="right"/>
              <w:rPr>
                <w:sz w:val="22"/>
              </w:rPr>
            </w:pPr>
            <w:r>
              <w:rPr>
                <w:spacing w:val="-5"/>
                <w:sz w:val="22"/>
              </w:rPr>
              <w:t>125</w:t>
            </w:r>
          </w:p>
        </w:tc>
        <w:tc>
          <w:tcPr>
            <w:tcW w:w="866" w:type="dxa"/>
          </w:tcPr>
          <w:p>
            <w:pPr>
              <w:pStyle w:val="TableParagraph"/>
              <w:spacing w:before="70"/>
              <w:ind w:left="351"/>
              <w:rPr>
                <w:sz w:val="22"/>
              </w:rPr>
            </w:pPr>
            <w:r>
              <w:rPr>
                <w:spacing w:val="-5"/>
                <w:sz w:val="22"/>
              </w:rPr>
              <w:t>NB</w:t>
            </w:r>
          </w:p>
        </w:tc>
        <w:tc>
          <w:tcPr>
            <w:tcW w:w="813" w:type="dxa"/>
          </w:tcPr>
          <w:p>
            <w:pPr>
              <w:pStyle w:val="TableParagraph"/>
              <w:spacing w:before="70"/>
              <w:ind w:right="164"/>
              <w:jc w:val="right"/>
              <w:rPr>
                <w:sz w:val="22"/>
              </w:rPr>
            </w:pPr>
            <w:r>
              <w:rPr>
                <w:spacing w:val="-4"/>
                <w:sz w:val="22"/>
              </w:rPr>
              <w:t>15.6</w:t>
            </w:r>
          </w:p>
        </w:tc>
        <w:tc>
          <w:tcPr>
            <w:tcW w:w="856" w:type="dxa"/>
          </w:tcPr>
          <w:p>
            <w:pPr>
              <w:pStyle w:val="TableParagraph"/>
              <w:spacing w:before="70"/>
              <w:ind w:right="216"/>
              <w:jc w:val="right"/>
              <w:rPr>
                <w:sz w:val="22"/>
              </w:rPr>
            </w:pPr>
            <w:r>
              <w:rPr>
                <w:spacing w:val="-5"/>
                <w:sz w:val="22"/>
              </w:rPr>
              <w:t>125</w:t>
            </w:r>
          </w:p>
        </w:tc>
        <w:tc>
          <w:tcPr>
            <w:tcW w:w="841" w:type="dxa"/>
          </w:tcPr>
          <w:p>
            <w:pPr>
              <w:pStyle w:val="TableParagraph"/>
              <w:spacing w:before="70"/>
              <w:ind w:right="205"/>
              <w:jc w:val="right"/>
              <w:rPr>
                <w:sz w:val="22"/>
              </w:rPr>
            </w:pPr>
            <w:r>
              <w:rPr>
                <w:spacing w:val="-5"/>
                <w:sz w:val="22"/>
              </w:rPr>
              <w:t>125</w:t>
            </w:r>
          </w:p>
        </w:tc>
        <w:tc>
          <w:tcPr>
            <w:tcW w:w="912" w:type="dxa"/>
          </w:tcPr>
          <w:p>
            <w:pPr>
              <w:pStyle w:val="TableParagraph"/>
              <w:spacing w:before="70"/>
              <w:ind w:left="35"/>
              <w:jc w:val="center"/>
              <w:rPr>
                <w:sz w:val="22"/>
              </w:rPr>
            </w:pPr>
            <w:r>
              <w:rPr>
                <w:spacing w:val="-5"/>
                <w:sz w:val="22"/>
              </w:rPr>
              <w:t>NB</w:t>
            </w:r>
          </w:p>
        </w:tc>
      </w:tr>
      <w:tr>
        <w:trPr>
          <w:trHeight w:val="450" w:hRule="atLeast"/>
        </w:trPr>
        <w:tc>
          <w:tcPr>
            <w:tcW w:w="1071" w:type="dxa"/>
          </w:tcPr>
          <w:p>
            <w:pPr>
              <w:pStyle w:val="TableParagraph"/>
              <w:spacing w:before="71"/>
              <w:ind w:left="122"/>
              <w:rPr>
                <w:sz w:val="22"/>
              </w:rPr>
            </w:pPr>
            <w:r>
              <w:rPr>
                <w:sz w:val="22"/>
              </w:rPr>
              <w:t>SP</w:t>
            </w:r>
            <w:r>
              <w:rPr>
                <w:spacing w:val="1"/>
                <w:sz w:val="22"/>
              </w:rPr>
              <w:t> </w:t>
            </w:r>
            <w:r>
              <w:rPr>
                <w:spacing w:val="-5"/>
                <w:sz w:val="22"/>
              </w:rPr>
              <w:t>321</w:t>
            </w:r>
          </w:p>
        </w:tc>
        <w:tc>
          <w:tcPr>
            <w:tcW w:w="764" w:type="dxa"/>
          </w:tcPr>
          <w:p>
            <w:pPr>
              <w:pStyle w:val="TableParagraph"/>
              <w:spacing w:before="71"/>
              <w:ind w:left="325"/>
              <w:rPr>
                <w:sz w:val="22"/>
              </w:rPr>
            </w:pPr>
            <w:r>
              <w:rPr>
                <w:spacing w:val="-5"/>
                <w:sz w:val="22"/>
              </w:rPr>
              <w:t>NI</w:t>
            </w:r>
          </w:p>
        </w:tc>
        <w:tc>
          <w:tcPr>
            <w:tcW w:w="824" w:type="dxa"/>
          </w:tcPr>
          <w:p>
            <w:pPr>
              <w:pStyle w:val="TableParagraph"/>
              <w:spacing w:before="71"/>
              <w:ind w:left="327"/>
              <w:rPr>
                <w:sz w:val="22"/>
              </w:rPr>
            </w:pPr>
            <w:r>
              <w:rPr>
                <w:spacing w:val="-5"/>
                <w:sz w:val="22"/>
              </w:rPr>
              <w:t>NB</w:t>
            </w:r>
          </w:p>
        </w:tc>
        <w:tc>
          <w:tcPr>
            <w:tcW w:w="850" w:type="dxa"/>
          </w:tcPr>
          <w:p>
            <w:pPr>
              <w:pStyle w:val="TableParagraph"/>
              <w:spacing w:before="71"/>
              <w:ind w:right="168"/>
              <w:jc w:val="right"/>
              <w:rPr>
                <w:sz w:val="22"/>
              </w:rPr>
            </w:pPr>
            <w:r>
              <w:rPr>
                <w:spacing w:val="-4"/>
                <w:sz w:val="22"/>
              </w:rPr>
              <w:t>31.3</w:t>
            </w:r>
          </w:p>
        </w:tc>
        <w:tc>
          <w:tcPr>
            <w:tcW w:w="866" w:type="dxa"/>
          </w:tcPr>
          <w:p>
            <w:pPr>
              <w:pStyle w:val="TableParagraph"/>
              <w:spacing w:before="71"/>
              <w:ind w:right="211"/>
              <w:jc w:val="right"/>
              <w:rPr>
                <w:sz w:val="22"/>
              </w:rPr>
            </w:pPr>
            <w:r>
              <w:rPr>
                <w:spacing w:val="-5"/>
                <w:sz w:val="22"/>
              </w:rPr>
              <w:t>125</w:t>
            </w:r>
          </w:p>
        </w:tc>
        <w:tc>
          <w:tcPr>
            <w:tcW w:w="838" w:type="dxa"/>
          </w:tcPr>
          <w:p>
            <w:pPr>
              <w:pStyle w:val="TableParagraph"/>
              <w:spacing w:before="71"/>
              <w:ind w:left="370"/>
              <w:rPr>
                <w:sz w:val="22"/>
              </w:rPr>
            </w:pPr>
            <w:r>
              <w:rPr>
                <w:spacing w:val="-5"/>
                <w:sz w:val="22"/>
              </w:rPr>
              <w:t>NI</w:t>
            </w:r>
          </w:p>
        </w:tc>
        <w:tc>
          <w:tcPr>
            <w:tcW w:w="866" w:type="dxa"/>
          </w:tcPr>
          <w:p>
            <w:pPr>
              <w:pStyle w:val="TableParagraph"/>
              <w:spacing w:before="71"/>
              <w:ind w:left="351"/>
              <w:rPr>
                <w:sz w:val="22"/>
              </w:rPr>
            </w:pPr>
            <w:r>
              <w:rPr>
                <w:spacing w:val="-5"/>
                <w:sz w:val="22"/>
              </w:rPr>
              <w:t>NB</w:t>
            </w:r>
          </w:p>
        </w:tc>
        <w:tc>
          <w:tcPr>
            <w:tcW w:w="813" w:type="dxa"/>
          </w:tcPr>
          <w:p>
            <w:pPr>
              <w:pStyle w:val="TableParagraph"/>
              <w:spacing w:before="71"/>
              <w:ind w:right="165"/>
              <w:jc w:val="right"/>
              <w:rPr>
                <w:sz w:val="22"/>
              </w:rPr>
            </w:pPr>
            <w:r>
              <w:rPr>
                <w:spacing w:val="-4"/>
                <w:sz w:val="22"/>
              </w:rPr>
              <w:t>7.81</w:t>
            </w:r>
          </w:p>
        </w:tc>
        <w:tc>
          <w:tcPr>
            <w:tcW w:w="856" w:type="dxa"/>
          </w:tcPr>
          <w:p>
            <w:pPr>
              <w:pStyle w:val="TableParagraph"/>
              <w:spacing w:before="71"/>
              <w:ind w:right="216"/>
              <w:jc w:val="right"/>
              <w:rPr>
                <w:sz w:val="22"/>
              </w:rPr>
            </w:pPr>
            <w:r>
              <w:rPr>
                <w:spacing w:val="-5"/>
                <w:sz w:val="22"/>
              </w:rPr>
              <w:t>125</w:t>
            </w:r>
          </w:p>
        </w:tc>
        <w:tc>
          <w:tcPr>
            <w:tcW w:w="841" w:type="dxa"/>
          </w:tcPr>
          <w:p>
            <w:pPr>
              <w:pStyle w:val="TableParagraph"/>
              <w:spacing w:before="71"/>
              <w:ind w:left="365"/>
              <w:rPr>
                <w:sz w:val="22"/>
              </w:rPr>
            </w:pPr>
            <w:r>
              <w:rPr>
                <w:spacing w:val="-5"/>
                <w:sz w:val="22"/>
              </w:rPr>
              <w:t>NI</w:t>
            </w:r>
          </w:p>
        </w:tc>
        <w:tc>
          <w:tcPr>
            <w:tcW w:w="912" w:type="dxa"/>
          </w:tcPr>
          <w:p>
            <w:pPr>
              <w:pStyle w:val="TableParagraph"/>
              <w:spacing w:before="71"/>
              <w:ind w:left="35"/>
              <w:jc w:val="center"/>
              <w:rPr>
                <w:sz w:val="22"/>
              </w:rPr>
            </w:pPr>
            <w:r>
              <w:rPr>
                <w:spacing w:val="-5"/>
                <w:sz w:val="22"/>
              </w:rPr>
              <w:t>NB</w:t>
            </w:r>
          </w:p>
        </w:tc>
      </w:tr>
      <w:tr>
        <w:trPr>
          <w:trHeight w:val="449" w:hRule="atLeast"/>
        </w:trPr>
        <w:tc>
          <w:tcPr>
            <w:tcW w:w="1071" w:type="dxa"/>
          </w:tcPr>
          <w:p>
            <w:pPr>
              <w:pStyle w:val="TableParagraph"/>
              <w:spacing w:before="70"/>
              <w:ind w:left="122"/>
              <w:rPr>
                <w:sz w:val="22"/>
              </w:rPr>
            </w:pPr>
            <w:r>
              <w:rPr>
                <w:sz w:val="22"/>
              </w:rPr>
              <w:t>SP</w:t>
            </w:r>
            <w:r>
              <w:rPr>
                <w:spacing w:val="1"/>
                <w:sz w:val="22"/>
              </w:rPr>
              <w:t> </w:t>
            </w:r>
            <w:r>
              <w:rPr>
                <w:spacing w:val="-5"/>
                <w:sz w:val="22"/>
              </w:rPr>
              <w:t>266</w:t>
            </w:r>
          </w:p>
        </w:tc>
        <w:tc>
          <w:tcPr>
            <w:tcW w:w="764" w:type="dxa"/>
          </w:tcPr>
          <w:p>
            <w:pPr>
              <w:pStyle w:val="TableParagraph"/>
              <w:spacing w:before="70"/>
              <w:ind w:left="229"/>
              <w:rPr>
                <w:sz w:val="22"/>
              </w:rPr>
            </w:pPr>
            <w:r>
              <w:rPr>
                <w:spacing w:val="-4"/>
                <w:sz w:val="22"/>
              </w:rPr>
              <w:t>1.56</w:t>
            </w:r>
          </w:p>
        </w:tc>
        <w:tc>
          <w:tcPr>
            <w:tcW w:w="824" w:type="dxa"/>
          </w:tcPr>
          <w:p>
            <w:pPr>
              <w:pStyle w:val="TableParagraph"/>
              <w:spacing w:before="70"/>
              <w:ind w:left="262"/>
              <w:rPr>
                <w:sz w:val="22"/>
              </w:rPr>
            </w:pPr>
            <w:r>
              <w:rPr>
                <w:spacing w:val="-4"/>
                <w:sz w:val="22"/>
              </w:rPr>
              <w:t>6.25</w:t>
            </w:r>
          </w:p>
        </w:tc>
        <w:tc>
          <w:tcPr>
            <w:tcW w:w="850" w:type="dxa"/>
          </w:tcPr>
          <w:p>
            <w:pPr>
              <w:pStyle w:val="TableParagraph"/>
              <w:spacing w:before="70"/>
              <w:ind w:right="168"/>
              <w:jc w:val="right"/>
              <w:rPr>
                <w:sz w:val="22"/>
              </w:rPr>
            </w:pPr>
            <w:r>
              <w:rPr>
                <w:spacing w:val="-4"/>
                <w:sz w:val="22"/>
              </w:rPr>
              <w:t>31.3</w:t>
            </w:r>
          </w:p>
        </w:tc>
        <w:tc>
          <w:tcPr>
            <w:tcW w:w="866" w:type="dxa"/>
          </w:tcPr>
          <w:p>
            <w:pPr>
              <w:pStyle w:val="TableParagraph"/>
              <w:spacing w:before="70"/>
              <w:ind w:right="211"/>
              <w:jc w:val="right"/>
              <w:rPr>
                <w:sz w:val="22"/>
              </w:rPr>
            </w:pPr>
            <w:r>
              <w:rPr>
                <w:spacing w:val="-5"/>
                <w:sz w:val="22"/>
              </w:rPr>
              <w:t>125</w:t>
            </w:r>
          </w:p>
        </w:tc>
        <w:tc>
          <w:tcPr>
            <w:tcW w:w="838" w:type="dxa"/>
          </w:tcPr>
          <w:p>
            <w:pPr>
              <w:pStyle w:val="TableParagraph"/>
              <w:spacing w:before="70"/>
              <w:ind w:left="370"/>
              <w:rPr>
                <w:sz w:val="22"/>
              </w:rPr>
            </w:pPr>
            <w:r>
              <w:rPr>
                <w:spacing w:val="-5"/>
                <w:sz w:val="22"/>
              </w:rPr>
              <w:t>NI</w:t>
            </w:r>
          </w:p>
        </w:tc>
        <w:tc>
          <w:tcPr>
            <w:tcW w:w="866" w:type="dxa"/>
          </w:tcPr>
          <w:p>
            <w:pPr>
              <w:pStyle w:val="TableParagraph"/>
              <w:spacing w:before="70"/>
              <w:ind w:left="351"/>
              <w:rPr>
                <w:sz w:val="22"/>
              </w:rPr>
            </w:pPr>
            <w:r>
              <w:rPr>
                <w:spacing w:val="-5"/>
                <w:sz w:val="22"/>
              </w:rPr>
              <w:t>NB</w:t>
            </w:r>
          </w:p>
        </w:tc>
        <w:tc>
          <w:tcPr>
            <w:tcW w:w="813" w:type="dxa"/>
          </w:tcPr>
          <w:p>
            <w:pPr>
              <w:pStyle w:val="TableParagraph"/>
              <w:spacing w:before="70"/>
              <w:ind w:right="165"/>
              <w:jc w:val="right"/>
              <w:rPr>
                <w:sz w:val="22"/>
              </w:rPr>
            </w:pPr>
            <w:r>
              <w:rPr>
                <w:spacing w:val="-4"/>
                <w:sz w:val="22"/>
              </w:rPr>
              <w:t>0.98</w:t>
            </w:r>
          </w:p>
        </w:tc>
        <w:tc>
          <w:tcPr>
            <w:tcW w:w="856" w:type="dxa"/>
          </w:tcPr>
          <w:p>
            <w:pPr>
              <w:pStyle w:val="TableParagraph"/>
              <w:spacing w:before="70"/>
              <w:ind w:right="187"/>
              <w:jc w:val="right"/>
              <w:rPr>
                <w:sz w:val="22"/>
              </w:rPr>
            </w:pPr>
            <w:r>
              <w:rPr>
                <w:spacing w:val="-4"/>
                <w:sz w:val="22"/>
              </w:rPr>
              <w:t>62.5</w:t>
            </w:r>
          </w:p>
        </w:tc>
        <w:tc>
          <w:tcPr>
            <w:tcW w:w="841" w:type="dxa"/>
          </w:tcPr>
          <w:p>
            <w:pPr>
              <w:pStyle w:val="TableParagraph"/>
              <w:spacing w:before="70"/>
              <w:ind w:left="365"/>
              <w:rPr>
                <w:sz w:val="22"/>
              </w:rPr>
            </w:pPr>
            <w:r>
              <w:rPr>
                <w:spacing w:val="-5"/>
                <w:sz w:val="22"/>
              </w:rPr>
              <w:t>NI</w:t>
            </w:r>
          </w:p>
        </w:tc>
        <w:tc>
          <w:tcPr>
            <w:tcW w:w="912" w:type="dxa"/>
          </w:tcPr>
          <w:p>
            <w:pPr>
              <w:pStyle w:val="TableParagraph"/>
              <w:spacing w:before="70"/>
              <w:ind w:left="35"/>
              <w:jc w:val="center"/>
              <w:rPr>
                <w:sz w:val="22"/>
              </w:rPr>
            </w:pPr>
            <w:r>
              <w:rPr>
                <w:spacing w:val="-5"/>
                <w:sz w:val="22"/>
              </w:rPr>
              <w:t>NB</w:t>
            </w:r>
          </w:p>
        </w:tc>
      </w:tr>
      <w:tr>
        <w:trPr>
          <w:trHeight w:val="524" w:hRule="atLeast"/>
        </w:trPr>
        <w:tc>
          <w:tcPr>
            <w:tcW w:w="1071" w:type="dxa"/>
            <w:tcBorders>
              <w:bottom w:val="single" w:sz="4" w:space="0" w:color="000000"/>
            </w:tcBorders>
          </w:tcPr>
          <w:p>
            <w:pPr>
              <w:pStyle w:val="TableParagraph"/>
              <w:spacing w:before="70"/>
              <w:ind w:left="122"/>
              <w:rPr>
                <w:sz w:val="22"/>
              </w:rPr>
            </w:pPr>
            <w:r>
              <w:rPr>
                <w:sz w:val="22"/>
              </w:rPr>
              <w:t>SP</w:t>
            </w:r>
            <w:r>
              <w:rPr>
                <w:spacing w:val="1"/>
                <w:sz w:val="22"/>
              </w:rPr>
              <w:t> </w:t>
            </w:r>
            <w:r>
              <w:rPr>
                <w:spacing w:val="-5"/>
                <w:sz w:val="22"/>
              </w:rPr>
              <w:t>269</w:t>
            </w:r>
          </w:p>
        </w:tc>
        <w:tc>
          <w:tcPr>
            <w:tcW w:w="764" w:type="dxa"/>
            <w:tcBorders>
              <w:bottom w:val="single" w:sz="4" w:space="0" w:color="000000"/>
            </w:tcBorders>
          </w:tcPr>
          <w:p>
            <w:pPr>
              <w:pStyle w:val="TableParagraph"/>
              <w:spacing w:before="70"/>
              <w:ind w:left="325"/>
              <w:rPr>
                <w:sz w:val="22"/>
              </w:rPr>
            </w:pPr>
            <w:r>
              <w:rPr>
                <w:spacing w:val="-5"/>
                <w:sz w:val="22"/>
              </w:rPr>
              <w:t>NI</w:t>
            </w:r>
          </w:p>
        </w:tc>
        <w:tc>
          <w:tcPr>
            <w:tcW w:w="824" w:type="dxa"/>
            <w:tcBorders>
              <w:bottom w:val="single" w:sz="4" w:space="0" w:color="000000"/>
            </w:tcBorders>
          </w:tcPr>
          <w:p>
            <w:pPr>
              <w:pStyle w:val="TableParagraph"/>
              <w:spacing w:before="70"/>
              <w:ind w:left="327"/>
              <w:rPr>
                <w:sz w:val="22"/>
              </w:rPr>
            </w:pPr>
            <w:r>
              <w:rPr>
                <w:spacing w:val="-5"/>
                <w:sz w:val="22"/>
              </w:rPr>
              <w:t>NB</w:t>
            </w:r>
          </w:p>
        </w:tc>
        <w:tc>
          <w:tcPr>
            <w:tcW w:w="850" w:type="dxa"/>
            <w:tcBorders>
              <w:bottom w:val="single" w:sz="4" w:space="0" w:color="000000"/>
            </w:tcBorders>
          </w:tcPr>
          <w:p>
            <w:pPr>
              <w:pStyle w:val="TableParagraph"/>
              <w:spacing w:before="70"/>
              <w:ind w:right="168"/>
              <w:jc w:val="right"/>
              <w:rPr>
                <w:sz w:val="22"/>
              </w:rPr>
            </w:pPr>
            <w:r>
              <w:rPr>
                <w:spacing w:val="-4"/>
                <w:sz w:val="22"/>
              </w:rPr>
              <w:t>31.3</w:t>
            </w:r>
          </w:p>
        </w:tc>
        <w:tc>
          <w:tcPr>
            <w:tcW w:w="866" w:type="dxa"/>
            <w:tcBorders>
              <w:bottom w:val="single" w:sz="4" w:space="0" w:color="000000"/>
            </w:tcBorders>
          </w:tcPr>
          <w:p>
            <w:pPr>
              <w:pStyle w:val="TableParagraph"/>
              <w:spacing w:before="70"/>
              <w:ind w:right="211"/>
              <w:jc w:val="right"/>
              <w:rPr>
                <w:sz w:val="22"/>
              </w:rPr>
            </w:pPr>
            <w:r>
              <w:rPr>
                <w:spacing w:val="-5"/>
                <w:sz w:val="22"/>
              </w:rPr>
              <w:t>125</w:t>
            </w:r>
          </w:p>
        </w:tc>
        <w:tc>
          <w:tcPr>
            <w:tcW w:w="838" w:type="dxa"/>
            <w:tcBorders>
              <w:bottom w:val="single" w:sz="4" w:space="0" w:color="000000"/>
            </w:tcBorders>
          </w:tcPr>
          <w:p>
            <w:pPr>
              <w:pStyle w:val="TableParagraph"/>
              <w:spacing w:before="70"/>
              <w:ind w:right="199"/>
              <w:jc w:val="right"/>
              <w:rPr>
                <w:sz w:val="22"/>
              </w:rPr>
            </w:pPr>
            <w:r>
              <w:rPr>
                <w:spacing w:val="-5"/>
                <w:sz w:val="22"/>
              </w:rPr>
              <w:t>125</w:t>
            </w:r>
          </w:p>
        </w:tc>
        <w:tc>
          <w:tcPr>
            <w:tcW w:w="866" w:type="dxa"/>
            <w:tcBorders>
              <w:bottom w:val="single" w:sz="4" w:space="0" w:color="000000"/>
            </w:tcBorders>
          </w:tcPr>
          <w:p>
            <w:pPr>
              <w:pStyle w:val="TableParagraph"/>
              <w:spacing w:before="70"/>
              <w:ind w:left="351"/>
              <w:rPr>
                <w:sz w:val="22"/>
              </w:rPr>
            </w:pPr>
            <w:r>
              <w:rPr>
                <w:spacing w:val="-5"/>
                <w:sz w:val="22"/>
              </w:rPr>
              <w:t>NB</w:t>
            </w:r>
          </w:p>
        </w:tc>
        <w:tc>
          <w:tcPr>
            <w:tcW w:w="813" w:type="dxa"/>
            <w:tcBorders>
              <w:bottom w:val="single" w:sz="4" w:space="0" w:color="000000"/>
            </w:tcBorders>
          </w:tcPr>
          <w:p>
            <w:pPr>
              <w:pStyle w:val="TableParagraph"/>
              <w:spacing w:before="70"/>
              <w:ind w:right="165"/>
              <w:jc w:val="right"/>
              <w:rPr>
                <w:sz w:val="22"/>
              </w:rPr>
            </w:pPr>
            <w:r>
              <w:rPr>
                <w:spacing w:val="-4"/>
                <w:sz w:val="22"/>
              </w:rPr>
              <w:t>7.81</w:t>
            </w:r>
          </w:p>
        </w:tc>
        <w:tc>
          <w:tcPr>
            <w:tcW w:w="856" w:type="dxa"/>
            <w:tcBorders>
              <w:bottom w:val="single" w:sz="4" w:space="0" w:color="000000"/>
            </w:tcBorders>
          </w:tcPr>
          <w:p>
            <w:pPr>
              <w:pStyle w:val="TableParagraph"/>
              <w:spacing w:before="70"/>
              <w:ind w:right="216"/>
              <w:jc w:val="right"/>
              <w:rPr>
                <w:sz w:val="22"/>
              </w:rPr>
            </w:pPr>
            <w:r>
              <w:rPr>
                <w:spacing w:val="-5"/>
                <w:sz w:val="22"/>
              </w:rPr>
              <w:t>125</w:t>
            </w:r>
          </w:p>
        </w:tc>
        <w:tc>
          <w:tcPr>
            <w:tcW w:w="841" w:type="dxa"/>
            <w:tcBorders>
              <w:bottom w:val="single" w:sz="4" w:space="0" w:color="000000"/>
            </w:tcBorders>
          </w:tcPr>
          <w:p>
            <w:pPr>
              <w:pStyle w:val="TableParagraph"/>
              <w:spacing w:before="70"/>
              <w:ind w:right="205"/>
              <w:jc w:val="right"/>
              <w:rPr>
                <w:sz w:val="22"/>
              </w:rPr>
            </w:pPr>
            <w:r>
              <w:rPr>
                <w:spacing w:val="-5"/>
                <w:sz w:val="22"/>
              </w:rPr>
              <w:t>125</w:t>
            </w:r>
          </w:p>
        </w:tc>
        <w:tc>
          <w:tcPr>
            <w:tcW w:w="912" w:type="dxa"/>
            <w:tcBorders>
              <w:bottom w:val="single" w:sz="4" w:space="0" w:color="000000"/>
            </w:tcBorders>
          </w:tcPr>
          <w:p>
            <w:pPr>
              <w:pStyle w:val="TableParagraph"/>
              <w:spacing w:before="70"/>
              <w:ind w:left="35"/>
              <w:jc w:val="center"/>
              <w:rPr>
                <w:sz w:val="22"/>
              </w:rPr>
            </w:pPr>
            <w:r>
              <w:rPr>
                <w:spacing w:val="-5"/>
                <w:sz w:val="22"/>
              </w:rPr>
              <w:t>NB</w:t>
            </w:r>
          </w:p>
        </w:tc>
      </w:tr>
    </w:tbl>
    <w:p>
      <w:pPr>
        <w:pStyle w:val="BodyText"/>
        <w:spacing w:line="259" w:lineRule="auto" w:before="9"/>
        <w:ind w:left="380" w:right="976"/>
        <w:jc w:val="both"/>
      </w:pPr>
      <w:r>
        <w:rPr>
          <w:b/>
        </w:rPr>
        <w:t>Key: </w:t>
      </w:r>
      <w:r>
        <w:rPr/>
        <w:t>CN=Gentamicin, CRO=Ceftriaxone, AMC=Amoxicillin-Clavulanic acid, LEV=Levofloxacin, AZM=Azithromycin, MIC=Minimum Inhibitory Concentration, MBC=Minimum Bactericidal Concentration, NI=No Inhibition and NB=Not Bactericidal.</w:t>
      </w:r>
    </w:p>
    <w:p>
      <w:pPr>
        <w:spacing w:after="0" w:line="259" w:lineRule="auto"/>
        <w:jc w:val="both"/>
        <w:sectPr>
          <w:pgSz w:w="11910" w:h="16840"/>
          <w:pgMar w:header="0" w:footer="1055" w:top="186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3"/>
      </w:pPr>
    </w:p>
    <w:p>
      <w:pPr>
        <w:pStyle w:val="Heading3"/>
        <w:tabs>
          <w:tab w:pos="1971" w:val="left" w:leader="none"/>
        </w:tabs>
        <w:spacing w:line="400" w:lineRule="auto"/>
        <w:ind w:left="1971" w:right="3485" w:hanging="1592"/>
      </w:pPr>
      <w:r>
        <w:rPr/>
        <w:t>Appendix III:</w:t>
        <w:tab/>
        <w:t>Comparing</w:t>
      </w:r>
      <w:r>
        <w:rPr>
          <w:spacing w:val="-6"/>
        </w:rPr>
        <w:t> </w:t>
      </w:r>
      <w:r>
        <w:rPr/>
        <w:t>the</w:t>
      </w:r>
      <w:r>
        <w:rPr>
          <w:spacing w:val="-5"/>
        </w:rPr>
        <w:t> </w:t>
      </w:r>
      <w:r>
        <w:rPr/>
        <w:t>mean</w:t>
      </w:r>
      <w:r>
        <w:rPr>
          <w:spacing w:val="-5"/>
        </w:rPr>
        <w:t> </w:t>
      </w:r>
      <w:r>
        <w:rPr/>
        <w:t>zones</w:t>
      </w:r>
      <w:r>
        <w:rPr>
          <w:spacing w:val="-4"/>
        </w:rPr>
        <w:t> </w:t>
      </w:r>
      <w:r>
        <w:rPr/>
        <w:t>of</w:t>
      </w:r>
      <w:r>
        <w:rPr>
          <w:spacing w:val="-4"/>
        </w:rPr>
        <w:t> </w:t>
      </w:r>
      <w:r>
        <w:rPr/>
        <w:t>inhibition</w:t>
      </w:r>
      <w:r>
        <w:rPr>
          <w:spacing w:val="-5"/>
        </w:rPr>
        <w:t> </w:t>
      </w:r>
      <w:r>
        <w:rPr/>
        <w:t>of</w:t>
      </w:r>
      <w:r>
        <w:rPr>
          <w:spacing w:val="-4"/>
        </w:rPr>
        <w:t> </w:t>
      </w:r>
      <w:r>
        <w:rPr/>
        <w:t>Honey</w:t>
      </w:r>
      <w:r>
        <w:rPr>
          <w:spacing w:val="-4"/>
        </w:rPr>
        <w:t> </w:t>
      </w:r>
      <w:r>
        <w:rPr/>
        <w:t>and Honey/Lemon juice mixture</w:t>
      </w:r>
    </w:p>
    <w:p>
      <w:pPr>
        <w:pStyle w:val="BodyText"/>
        <w:spacing w:before="183"/>
        <w:rPr>
          <w:b/>
        </w:rPr>
      </w:pPr>
    </w:p>
    <w:p>
      <w:pPr>
        <w:spacing w:line="403" w:lineRule="auto" w:before="1"/>
        <w:ind w:left="1100" w:right="3107" w:firstLine="0"/>
        <w:jc w:val="left"/>
        <w:rPr>
          <w:b/>
          <w:sz w:val="22"/>
        </w:rPr>
      </w:pPr>
      <w:r>
        <w:rPr>
          <w:b/>
          <w:sz w:val="22"/>
        </w:rPr>
        <w:t>Comparing</w:t>
      </w:r>
      <w:r>
        <w:rPr>
          <w:b/>
          <w:spacing w:val="-5"/>
          <w:sz w:val="22"/>
        </w:rPr>
        <w:t> </w:t>
      </w:r>
      <w:r>
        <w:rPr>
          <w:b/>
          <w:sz w:val="22"/>
        </w:rPr>
        <w:t>the</w:t>
      </w:r>
      <w:r>
        <w:rPr>
          <w:b/>
          <w:spacing w:val="-4"/>
          <w:sz w:val="22"/>
        </w:rPr>
        <w:t> </w:t>
      </w:r>
      <w:r>
        <w:rPr>
          <w:b/>
          <w:sz w:val="22"/>
        </w:rPr>
        <w:t>mean</w:t>
      </w:r>
      <w:r>
        <w:rPr>
          <w:b/>
          <w:spacing w:val="-4"/>
          <w:sz w:val="22"/>
        </w:rPr>
        <w:t> </w:t>
      </w:r>
      <w:r>
        <w:rPr>
          <w:b/>
          <w:sz w:val="22"/>
        </w:rPr>
        <w:t>zones</w:t>
      </w:r>
      <w:r>
        <w:rPr>
          <w:b/>
          <w:spacing w:val="-3"/>
          <w:sz w:val="22"/>
        </w:rPr>
        <w:t> </w:t>
      </w:r>
      <w:r>
        <w:rPr>
          <w:b/>
          <w:sz w:val="22"/>
        </w:rPr>
        <w:t>of</w:t>
      </w:r>
      <w:r>
        <w:rPr>
          <w:b/>
          <w:spacing w:val="-3"/>
          <w:sz w:val="22"/>
        </w:rPr>
        <w:t> </w:t>
      </w:r>
      <w:r>
        <w:rPr>
          <w:b/>
          <w:sz w:val="22"/>
        </w:rPr>
        <w:t>inhibition</w:t>
      </w:r>
      <w:r>
        <w:rPr>
          <w:b/>
          <w:spacing w:val="-4"/>
          <w:sz w:val="22"/>
        </w:rPr>
        <w:t> </w:t>
      </w:r>
      <w:r>
        <w:rPr>
          <w:b/>
          <w:sz w:val="22"/>
        </w:rPr>
        <w:t>of</w:t>
      </w:r>
      <w:r>
        <w:rPr>
          <w:b/>
          <w:spacing w:val="-1"/>
          <w:sz w:val="22"/>
        </w:rPr>
        <w:t> </w:t>
      </w:r>
      <w:r>
        <w:rPr>
          <w:b/>
          <w:sz w:val="22"/>
        </w:rPr>
        <w:t>Honey</w:t>
      </w:r>
      <w:r>
        <w:rPr>
          <w:b/>
          <w:spacing w:val="-3"/>
          <w:sz w:val="22"/>
        </w:rPr>
        <w:t> </w:t>
      </w:r>
      <w:r>
        <w:rPr>
          <w:b/>
          <w:sz w:val="22"/>
        </w:rPr>
        <w:t>and</w:t>
      </w:r>
      <w:r>
        <w:rPr>
          <w:b/>
          <w:spacing w:val="-4"/>
          <w:sz w:val="22"/>
        </w:rPr>
        <w:t> </w:t>
      </w:r>
      <w:r>
        <w:rPr>
          <w:b/>
          <w:sz w:val="22"/>
        </w:rPr>
        <w:t>the</w:t>
      </w:r>
      <w:r>
        <w:rPr>
          <w:b/>
          <w:spacing w:val="-4"/>
          <w:sz w:val="22"/>
        </w:rPr>
        <w:t> </w:t>
      </w:r>
      <w:r>
        <w:rPr>
          <w:b/>
          <w:sz w:val="22"/>
        </w:rPr>
        <w:t>mixture of Honey and Lemon juice against </w:t>
      </w:r>
      <w:r>
        <w:rPr>
          <w:b/>
          <w:i/>
          <w:sz w:val="22"/>
        </w:rPr>
        <w:t>Klebsiella pneumoniae</w:t>
      </w:r>
      <w:r>
        <w:rPr>
          <w:b/>
          <w:sz w:val="22"/>
        </w:rPr>
        <w:t>.</w:t>
      </w: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gridCol w:w="1426"/>
        <w:gridCol w:w="1556"/>
        <w:gridCol w:w="952"/>
        <w:gridCol w:w="765"/>
      </w:tblGrid>
      <w:tr>
        <w:trPr>
          <w:trHeight w:val="1343" w:hRule="atLeast"/>
        </w:trPr>
        <w:tc>
          <w:tcPr>
            <w:tcW w:w="1642" w:type="dxa"/>
            <w:tcBorders>
              <w:top w:val="single" w:sz="4" w:space="0" w:color="000000"/>
              <w:bottom w:val="single" w:sz="4" w:space="0" w:color="000000"/>
            </w:tcBorders>
          </w:tcPr>
          <w:p>
            <w:pPr>
              <w:pStyle w:val="TableParagraph"/>
              <w:spacing w:before="179"/>
              <w:rPr>
                <w:b/>
                <w:sz w:val="22"/>
              </w:rPr>
            </w:pPr>
          </w:p>
          <w:p>
            <w:pPr>
              <w:pStyle w:val="TableParagraph"/>
              <w:ind w:left="108"/>
              <w:rPr>
                <w:sz w:val="22"/>
              </w:rPr>
            </w:pPr>
            <w:r>
              <w:rPr>
                <w:sz w:val="22"/>
              </w:rPr>
              <w:t>(I)</w:t>
            </w:r>
            <w:r>
              <w:rPr>
                <w:spacing w:val="-2"/>
                <w:sz w:val="22"/>
              </w:rPr>
              <w:t> Groups_1</w:t>
            </w:r>
          </w:p>
        </w:tc>
        <w:tc>
          <w:tcPr>
            <w:tcW w:w="1426" w:type="dxa"/>
            <w:tcBorders>
              <w:top w:val="single" w:sz="4" w:space="0" w:color="000000"/>
              <w:bottom w:val="single" w:sz="4" w:space="0" w:color="000000"/>
            </w:tcBorders>
          </w:tcPr>
          <w:p>
            <w:pPr>
              <w:pStyle w:val="TableParagraph"/>
              <w:spacing w:before="179"/>
              <w:rPr>
                <w:b/>
                <w:sz w:val="22"/>
              </w:rPr>
            </w:pPr>
          </w:p>
          <w:p>
            <w:pPr>
              <w:pStyle w:val="TableParagraph"/>
              <w:ind w:left="175"/>
              <w:rPr>
                <w:sz w:val="22"/>
              </w:rPr>
            </w:pPr>
            <w:r>
              <w:rPr>
                <w:sz w:val="22"/>
              </w:rPr>
              <w:t>(J)</w:t>
            </w:r>
            <w:r>
              <w:rPr>
                <w:spacing w:val="-2"/>
                <w:sz w:val="22"/>
              </w:rPr>
              <w:t> Groups_1</w:t>
            </w:r>
          </w:p>
        </w:tc>
        <w:tc>
          <w:tcPr>
            <w:tcW w:w="1556" w:type="dxa"/>
            <w:tcBorders>
              <w:top w:val="single" w:sz="4" w:space="0" w:color="000000"/>
              <w:bottom w:val="single" w:sz="4" w:space="0" w:color="000000"/>
            </w:tcBorders>
          </w:tcPr>
          <w:p>
            <w:pPr>
              <w:pStyle w:val="TableParagraph"/>
              <w:spacing w:before="179"/>
              <w:rPr>
                <w:b/>
                <w:sz w:val="22"/>
              </w:rPr>
            </w:pPr>
          </w:p>
          <w:p>
            <w:pPr>
              <w:pStyle w:val="TableParagraph"/>
              <w:ind w:left="281"/>
              <w:rPr>
                <w:sz w:val="22"/>
              </w:rPr>
            </w:pPr>
            <w:r>
              <w:rPr>
                <w:spacing w:val="-2"/>
                <w:sz w:val="22"/>
              </w:rPr>
              <w:t>Mean±SEM</w:t>
            </w:r>
          </w:p>
        </w:tc>
        <w:tc>
          <w:tcPr>
            <w:tcW w:w="952" w:type="dxa"/>
            <w:tcBorders>
              <w:top w:val="single" w:sz="4" w:space="0" w:color="000000"/>
              <w:bottom w:val="single" w:sz="4" w:space="0" w:color="000000"/>
            </w:tcBorders>
          </w:tcPr>
          <w:p>
            <w:pPr>
              <w:pStyle w:val="TableParagraph"/>
              <w:spacing w:before="35"/>
              <w:rPr>
                <w:b/>
                <w:sz w:val="22"/>
              </w:rPr>
            </w:pPr>
          </w:p>
          <w:p>
            <w:pPr>
              <w:pStyle w:val="TableParagraph"/>
              <w:ind w:left="97" w:right="150"/>
              <w:jc w:val="center"/>
              <w:rPr>
                <w:sz w:val="22"/>
              </w:rPr>
            </w:pPr>
            <w:r>
              <w:rPr>
                <w:spacing w:val="-5"/>
                <w:sz w:val="22"/>
              </w:rPr>
              <w:t>P-</w:t>
            </w:r>
          </w:p>
          <w:p>
            <w:pPr>
              <w:pStyle w:val="TableParagraph"/>
              <w:spacing w:before="17"/>
              <w:ind w:left="97" w:right="155"/>
              <w:jc w:val="center"/>
              <w:rPr>
                <w:sz w:val="22"/>
              </w:rPr>
            </w:pPr>
            <w:r>
              <w:rPr>
                <w:spacing w:val="-2"/>
                <w:sz w:val="22"/>
              </w:rPr>
              <w:t>value</w:t>
            </w:r>
          </w:p>
        </w:tc>
        <w:tc>
          <w:tcPr>
            <w:tcW w:w="765" w:type="dxa"/>
            <w:tcBorders>
              <w:top w:val="single" w:sz="4" w:space="0" w:color="000000"/>
              <w:bottom w:val="single" w:sz="4" w:space="0" w:color="000000"/>
            </w:tcBorders>
          </w:tcPr>
          <w:p>
            <w:pPr>
              <w:pStyle w:val="TableParagraph"/>
              <w:spacing w:before="172"/>
              <w:rPr>
                <w:b/>
                <w:sz w:val="22"/>
              </w:rPr>
            </w:pPr>
          </w:p>
          <w:p>
            <w:pPr>
              <w:pStyle w:val="TableParagraph"/>
              <w:ind w:left="55" w:right="120"/>
              <w:jc w:val="center"/>
              <w:rPr>
                <w:sz w:val="22"/>
              </w:rPr>
            </w:pPr>
            <w:r>
              <w:rPr>
                <w:spacing w:val="-5"/>
                <w:sz w:val="22"/>
              </w:rPr>
              <w:t>LOS</w:t>
            </w:r>
          </w:p>
        </w:tc>
      </w:tr>
      <w:tr>
        <w:trPr>
          <w:trHeight w:val="377" w:hRule="atLeast"/>
        </w:trPr>
        <w:tc>
          <w:tcPr>
            <w:tcW w:w="1642" w:type="dxa"/>
            <w:tcBorders>
              <w:top w:val="single" w:sz="4" w:space="0" w:color="000000"/>
            </w:tcBorders>
          </w:tcPr>
          <w:p>
            <w:pPr>
              <w:pStyle w:val="TableParagraph"/>
              <w:rPr>
                <w:rFonts w:ascii="Times New Roman"/>
                <w:sz w:val="22"/>
              </w:rPr>
            </w:pPr>
          </w:p>
        </w:tc>
        <w:tc>
          <w:tcPr>
            <w:tcW w:w="1426" w:type="dxa"/>
            <w:tcBorders>
              <w:top w:val="single" w:sz="4" w:space="0" w:color="000000"/>
            </w:tcBorders>
          </w:tcPr>
          <w:p>
            <w:pPr>
              <w:pStyle w:val="TableParagraph"/>
              <w:spacing w:line="265" w:lineRule="exact"/>
              <w:ind w:left="175"/>
              <w:rPr>
                <w:sz w:val="22"/>
              </w:rPr>
            </w:pPr>
            <w:r>
              <w:rPr>
                <w:sz w:val="22"/>
              </w:rPr>
              <w:t>H:L;</w:t>
            </w:r>
            <w:r>
              <w:rPr>
                <w:spacing w:val="-5"/>
                <w:sz w:val="22"/>
              </w:rPr>
              <w:t> </w:t>
            </w:r>
            <w:r>
              <w:rPr>
                <w:spacing w:val="-2"/>
                <w:sz w:val="22"/>
              </w:rPr>
              <w:t>10:50</w:t>
            </w:r>
          </w:p>
        </w:tc>
        <w:tc>
          <w:tcPr>
            <w:tcW w:w="1556" w:type="dxa"/>
            <w:tcBorders>
              <w:top w:val="single" w:sz="4" w:space="0" w:color="000000"/>
            </w:tcBorders>
          </w:tcPr>
          <w:p>
            <w:pPr>
              <w:pStyle w:val="TableParagraph"/>
              <w:spacing w:line="265" w:lineRule="exact"/>
              <w:ind w:left="127"/>
              <w:rPr>
                <w:sz w:val="22"/>
              </w:rPr>
            </w:pPr>
            <w:r>
              <w:rPr>
                <w:spacing w:val="-2"/>
                <w:sz w:val="22"/>
              </w:rPr>
              <w:t>20.867±0.696</w:t>
            </w:r>
          </w:p>
        </w:tc>
        <w:tc>
          <w:tcPr>
            <w:tcW w:w="952" w:type="dxa"/>
            <w:tcBorders>
              <w:top w:val="single" w:sz="4" w:space="0" w:color="000000"/>
            </w:tcBorders>
          </w:tcPr>
          <w:p>
            <w:pPr>
              <w:pStyle w:val="TableParagraph"/>
              <w:spacing w:line="265" w:lineRule="exact"/>
              <w:ind w:left="155" w:right="58"/>
              <w:jc w:val="center"/>
              <w:rPr>
                <w:sz w:val="22"/>
              </w:rPr>
            </w:pPr>
            <w:r>
              <w:rPr>
                <w:spacing w:val="-2"/>
                <w:sz w:val="22"/>
              </w:rPr>
              <w:t>0.365</w:t>
            </w:r>
          </w:p>
        </w:tc>
        <w:tc>
          <w:tcPr>
            <w:tcW w:w="765" w:type="dxa"/>
            <w:tcBorders>
              <w:top w:val="single" w:sz="4" w:space="0" w:color="000000"/>
            </w:tcBorders>
          </w:tcPr>
          <w:p>
            <w:pPr>
              <w:pStyle w:val="TableParagraph"/>
              <w:spacing w:line="265" w:lineRule="exact"/>
              <w:ind w:right="68"/>
              <w:jc w:val="center"/>
              <w:rPr>
                <w:sz w:val="22"/>
              </w:rPr>
            </w:pPr>
            <w:r>
              <w:rPr>
                <w:spacing w:val="-5"/>
                <w:sz w:val="22"/>
              </w:rPr>
              <w:t>NS</w:t>
            </w:r>
          </w:p>
        </w:tc>
      </w:tr>
      <w:tr>
        <w:trPr>
          <w:trHeight w:val="382" w:hRule="atLeast"/>
        </w:trPr>
        <w:tc>
          <w:tcPr>
            <w:tcW w:w="1642" w:type="dxa"/>
          </w:tcPr>
          <w:p>
            <w:pPr>
              <w:pStyle w:val="TableParagraph"/>
              <w:rPr>
                <w:rFonts w:ascii="Times New Roman"/>
                <w:sz w:val="22"/>
              </w:rPr>
            </w:pPr>
          </w:p>
        </w:tc>
        <w:tc>
          <w:tcPr>
            <w:tcW w:w="1426" w:type="dxa"/>
          </w:tcPr>
          <w:p>
            <w:pPr>
              <w:pStyle w:val="TableParagraph"/>
              <w:spacing w:before="72"/>
              <w:ind w:left="175"/>
              <w:rPr>
                <w:sz w:val="22"/>
              </w:rPr>
            </w:pPr>
            <w:r>
              <w:rPr>
                <w:sz w:val="22"/>
              </w:rPr>
              <w:t>H:L;</w:t>
            </w:r>
            <w:r>
              <w:rPr>
                <w:spacing w:val="-5"/>
                <w:sz w:val="22"/>
              </w:rPr>
              <w:t> </w:t>
            </w:r>
            <w:r>
              <w:rPr>
                <w:spacing w:val="-2"/>
                <w:sz w:val="22"/>
              </w:rPr>
              <w:t>20:50</w:t>
            </w:r>
          </w:p>
        </w:tc>
        <w:tc>
          <w:tcPr>
            <w:tcW w:w="1556" w:type="dxa"/>
          </w:tcPr>
          <w:p>
            <w:pPr>
              <w:pStyle w:val="TableParagraph"/>
              <w:spacing w:before="72"/>
              <w:ind w:left="127"/>
              <w:rPr>
                <w:sz w:val="22"/>
              </w:rPr>
            </w:pPr>
            <w:r>
              <w:rPr>
                <w:spacing w:val="-2"/>
                <w:sz w:val="22"/>
              </w:rPr>
              <w:t>21.000±0.586</w:t>
            </w:r>
          </w:p>
        </w:tc>
        <w:tc>
          <w:tcPr>
            <w:tcW w:w="952" w:type="dxa"/>
          </w:tcPr>
          <w:p>
            <w:pPr>
              <w:pStyle w:val="TableParagraph"/>
              <w:spacing w:before="72"/>
              <w:ind w:left="155" w:right="58"/>
              <w:jc w:val="center"/>
              <w:rPr>
                <w:sz w:val="22"/>
              </w:rPr>
            </w:pPr>
            <w:r>
              <w:rPr>
                <w:spacing w:val="-2"/>
                <w:sz w:val="22"/>
              </w:rPr>
              <w:t>0.260</w:t>
            </w:r>
          </w:p>
        </w:tc>
        <w:tc>
          <w:tcPr>
            <w:tcW w:w="765" w:type="dxa"/>
          </w:tcPr>
          <w:p>
            <w:pPr>
              <w:pStyle w:val="TableParagraph"/>
              <w:spacing w:before="72"/>
              <w:ind w:right="68"/>
              <w:jc w:val="center"/>
              <w:rPr>
                <w:sz w:val="22"/>
              </w:rPr>
            </w:pPr>
            <w:r>
              <w:rPr>
                <w:spacing w:val="-5"/>
                <w:sz w:val="22"/>
              </w:rPr>
              <w:t>NS</w:t>
            </w:r>
          </w:p>
        </w:tc>
      </w:tr>
      <w:tr>
        <w:trPr>
          <w:trHeight w:val="598" w:hRule="atLeast"/>
        </w:trPr>
        <w:tc>
          <w:tcPr>
            <w:tcW w:w="1642" w:type="dxa"/>
          </w:tcPr>
          <w:p>
            <w:pPr>
              <w:pStyle w:val="TableParagraph"/>
              <w:spacing w:before="1"/>
              <w:ind w:left="108"/>
              <w:rPr>
                <w:sz w:val="22"/>
              </w:rPr>
            </w:pPr>
            <w:r>
              <w:rPr>
                <w:sz w:val="22"/>
              </w:rPr>
              <w:t>Honey</w:t>
            </w:r>
            <w:r>
              <w:rPr>
                <w:spacing w:val="-4"/>
                <w:sz w:val="22"/>
              </w:rPr>
              <w:t> </w:t>
            </w:r>
            <w:r>
              <w:rPr>
                <w:spacing w:val="-2"/>
                <w:sz w:val="22"/>
              </w:rPr>
              <w:t>(100%)</w:t>
            </w:r>
          </w:p>
          <w:p>
            <w:pPr>
              <w:pStyle w:val="TableParagraph"/>
              <w:spacing w:before="18"/>
              <w:ind w:left="108"/>
              <w:rPr>
                <w:sz w:val="22"/>
              </w:rPr>
            </w:pPr>
            <w:r>
              <w:rPr>
                <w:spacing w:val="-2"/>
                <w:sz w:val="22"/>
              </w:rPr>
              <w:t>(19.333±0.374)</w:t>
            </w:r>
          </w:p>
        </w:tc>
        <w:tc>
          <w:tcPr>
            <w:tcW w:w="1426" w:type="dxa"/>
          </w:tcPr>
          <w:p>
            <w:pPr>
              <w:pStyle w:val="TableParagraph"/>
              <w:spacing w:before="143"/>
              <w:ind w:left="175"/>
              <w:rPr>
                <w:sz w:val="22"/>
              </w:rPr>
            </w:pPr>
            <w:r>
              <w:rPr>
                <w:sz w:val="22"/>
              </w:rPr>
              <w:t>H:L;</w:t>
            </w:r>
            <w:r>
              <w:rPr>
                <w:spacing w:val="-5"/>
                <w:sz w:val="22"/>
              </w:rPr>
              <w:t> </w:t>
            </w:r>
            <w:r>
              <w:rPr>
                <w:spacing w:val="-2"/>
                <w:sz w:val="22"/>
              </w:rPr>
              <w:t>30:50</w:t>
            </w:r>
          </w:p>
        </w:tc>
        <w:tc>
          <w:tcPr>
            <w:tcW w:w="1556" w:type="dxa"/>
          </w:tcPr>
          <w:p>
            <w:pPr>
              <w:pStyle w:val="TableParagraph"/>
              <w:spacing w:before="143"/>
              <w:ind w:left="127"/>
              <w:rPr>
                <w:sz w:val="22"/>
              </w:rPr>
            </w:pPr>
            <w:r>
              <w:rPr>
                <w:spacing w:val="-2"/>
                <w:sz w:val="22"/>
              </w:rPr>
              <w:t>21.933±0.331</w:t>
            </w:r>
          </w:p>
        </w:tc>
        <w:tc>
          <w:tcPr>
            <w:tcW w:w="952" w:type="dxa"/>
          </w:tcPr>
          <w:p>
            <w:pPr>
              <w:pStyle w:val="TableParagraph"/>
              <w:spacing w:before="143"/>
              <w:ind w:left="155" w:right="58"/>
              <w:jc w:val="center"/>
              <w:rPr>
                <w:sz w:val="22"/>
              </w:rPr>
            </w:pPr>
            <w:r>
              <w:rPr>
                <w:spacing w:val="-2"/>
                <w:sz w:val="22"/>
              </w:rPr>
              <w:t>0.007</w:t>
            </w:r>
          </w:p>
        </w:tc>
        <w:tc>
          <w:tcPr>
            <w:tcW w:w="765" w:type="dxa"/>
          </w:tcPr>
          <w:p>
            <w:pPr>
              <w:pStyle w:val="TableParagraph"/>
              <w:spacing w:before="143"/>
              <w:ind w:left="55" w:right="120"/>
              <w:jc w:val="center"/>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426" w:type="dxa"/>
          </w:tcPr>
          <w:p>
            <w:pPr>
              <w:pStyle w:val="TableParagraph"/>
              <w:spacing w:before="1"/>
              <w:ind w:left="175"/>
              <w:rPr>
                <w:sz w:val="22"/>
              </w:rPr>
            </w:pPr>
            <w:r>
              <w:rPr>
                <w:sz w:val="22"/>
              </w:rPr>
              <w:t>H:L;</w:t>
            </w:r>
            <w:r>
              <w:rPr>
                <w:spacing w:val="-5"/>
                <w:sz w:val="22"/>
              </w:rPr>
              <w:t> </w:t>
            </w:r>
            <w:r>
              <w:rPr>
                <w:spacing w:val="-2"/>
                <w:sz w:val="22"/>
              </w:rPr>
              <w:t>40:50</w:t>
            </w:r>
          </w:p>
        </w:tc>
        <w:tc>
          <w:tcPr>
            <w:tcW w:w="1556" w:type="dxa"/>
          </w:tcPr>
          <w:p>
            <w:pPr>
              <w:pStyle w:val="TableParagraph"/>
              <w:spacing w:before="1"/>
              <w:ind w:left="127"/>
              <w:rPr>
                <w:sz w:val="22"/>
              </w:rPr>
            </w:pPr>
            <w:r>
              <w:rPr>
                <w:spacing w:val="-2"/>
                <w:sz w:val="22"/>
              </w:rPr>
              <w:t>21.533±0.467</w:t>
            </w:r>
          </w:p>
        </w:tc>
        <w:tc>
          <w:tcPr>
            <w:tcW w:w="952" w:type="dxa"/>
          </w:tcPr>
          <w:p>
            <w:pPr>
              <w:pStyle w:val="TableParagraph"/>
              <w:spacing w:before="1"/>
              <w:ind w:left="155" w:right="58"/>
              <w:jc w:val="center"/>
              <w:rPr>
                <w:sz w:val="22"/>
              </w:rPr>
            </w:pPr>
            <w:r>
              <w:rPr>
                <w:spacing w:val="-2"/>
                <w:sz w:val="22"/>
              </w:rPr>
              <w:t>0.043</w:t>
            </w:r>
          </w:p>
        </w:tc>
        <w:tc>
          <w:tcPr>
            <w:tcW w:w="765" w:type="dxa"/>
          </w:tcPr>
          <w:p>
            <w:pPr>
              <w:pStyle w:val="TableParagraph"/>
              <w:spacing w:before="1"/>
              <w:ind w:left="55" w:right="120"/>
              <w:jc w:val="center"/>
              <w:rPr>
                <w:sz w:val="22"/>
              </w:rPr>
            </w:pPr>
            <w:r>
              <w:rPr>
                <w:spacing w:val="-5"/>
                <w:sz w:val="22"/>
              </w:rPr>
              <w:t>SF</w:t>
            </w:r>
          </w:p>
        </w:tc>
      </w:tr>
      <w:tr>
        <w:trPr>
          <w:trHeight w:val="519" w:hRule="atLeast"/>
        </w:trPr>
        <w:tc>
          <w:tcPr>
            <w:tcW w:w="1642" w:type="dxa"/>
            <w:tcBorders>
              <w:bottom w:val="single" w:sz="4" w:space="0" w:color="000000"/>
            </w:tcBorders>
          </w:tcPr>
          <w:p>
            <w:pPr>
              <w:pStyle w:val="TableParagraph"/>
              <w:rPr>
                <w:rFonts w:ascii="Times New Roman"/>
                <w:sz w:val="22"/>
              </w:rPr>
            </w:pPr>
          </w:p>
        </w:tc>
        <w:tc>
          <w:tcPr>
            <w:tcW w:w="1426" w:type="dxa"/>
            <w:tcBorders>
              <w:bottom w:val="single" w:sz="4" w:space="0" w:color="000000"/>
            </w:tcBorders>
          </w:tcPr>
          <w:p>
            <w:pPr>
              <w:pStyle w:val="TableParagraph"/>
              <w:spacing w:before="72"/>
              <w:ind w:left="175"/>
              <w:rPr>
                <w:sz w:val="22"/>
              </w:rPr>
            </w:pPr>
            <w:r>
              <w:rPr>
                <w:sz w:val="22"/>
              </w:rPr>
              <w:t>H:L;</w:t>
            </w:r>
            <w:r>
              <w:rPr>
                <w:spacing w:val="-5"/>
                <w:sz w:val="22"/>
              </w:rPr>
              <w:t> </w:t>
            </w:r>
            <w:r>
              <w:rPr>
                <w:spacing w:val="-2"/>
                <w:sz w:val="22"/>
              </w:rPr>
              <w:t>50:50</w:t>
            </w:r>
          </w:p>
        </w:tc>
        <w:tc>
          <w:tcPr>
            <w:tcW w:w="1556" w:type="dxa"/>
            <w:tcBorders>
              <w:bottom w:val="single" w:sz="4" w:space="0" w:color="000000"/>
            </w:tcBorders>
          </w:tcPr>
          <w:p>
            <w:pPr>
              <w:pStyle w:val="TableParagraph"/>
              <w:spacing w:before="72"/>
              <w:ind w:left="127"/>
              <w:rPr>
                <w:sz w:val="22"/>
              </w:rPr>
            </w:pPr>
            <w:r>
              <w:rPr>
                <w:spacing w:val="-2"/>
                <w:sz w:val="22"/>
              </w:rPr>
              <w:t>22.800±0.571</w:t>
            </w:r>
          </w:p>
        </w:tc>
        <w:tc>
          <w:tcPr>
            <w:tcW w:w="952" w:type="dxa"/>
            <w:tcBorders>
              <w:bottom w:val="single" w:sz="4" w:space="0" w:color="000000"/>
            </w:tcBorders>
          </w:tcPr>
          <w:p>
            <w:pPr>
              <w:pStyle w:val="TableParagraph"/>
              <w:spacing w:before="72"/>
              <w:ind w:left="155" w:right="58"/>
              <w:jc w:val="center"/>
              <w:rPr>
                <w:sz w:val="22"/>
              </w:rPr>
            </w:pPr>
            <w:r>
              <w:rPr>
                <w:spacing w:val="-2"/>
                <w:sz w:val="22"/>
              </w:rPr>
              <w:t>0.000</w:t>
            </w:r>
          </w:p>
        </w:tc>
        <w:tc>
          <w:tcPr>
            <w:tcW w:w="765" w:type="dxa"/>
            <w:tcBorders>
              <w:bottom w:val="single" w:sz="4" w:space="0" w:color="000000"/>
            </w:tcBorders>
          </w:tcPr>
          <w:p>
            <w:pPr>
              <w:pStyle w:val="TableParagraph"/>
              <w:spacing w:before="72"/>
              <w:ind w:left="55" w:right="120"/>
              <w:jc w:val="center"/>
              <w:rPr>
                <w:sz w:val="22"/>
              </w:rPr>
            </w:pPr>
            <w:r>
              <w:rPr>
                <w:spacing w:val="-5"/>
                <w:sz w:val="22"/>
              </w:rPr>
              <w:t>SF</w:t>
            </w:r>
          </w:p>
        </w:tc>
      </w:tr>
      <w:tr>
        <w:trPr>
          <w:trHeight w:val="378" w:hRule="atLeast"/>
        </w:trPr>
        <w:tc>
          <w:tcPr>
            <w:tcW w:w="1642" w:type="dxa"/>
            <w:tcBorders>
              <w:top w:val="single" w:sz="4" w:space="0" w:color="000000"/>
            </w:tcBorders>
          </w:tcPr>
          <w:p>
            <w:pPr>
              <w:pStyle w:val="TableParagraph"/>
              <w:rPr>
                <w:rFonts w:ascii="Times New Roman"/>
                <w:sz w:val="22"/>
              </w:rPr>
            </w:pPr>
          </w:p>
        </w:tc>
        <w:tc>
          <w:tcPr>
            <w:tcW w:w="1426" w:type="dxa"/>
            <w:tcBorders>
              <w:top w:val="single" w:sz="4" w:space="0" w:color="000000"/>
            </w:tcBorders>
          </w:tcPr>
          <w:p>
            <w:pPr>
              <w:pStyle w:val="TableParagraph"/>
              <w:spacing w:line="265" w:lineRule="exact"/>
              <w:ind w:left="175"/>
              <w:rPr>
                <w:sz w:val="22"/>
              </w:rPr>
            </w:pPr>
            <w:r>
              <w:rPr>
                <w:sz w:val="22"/>
              </w:rPr>
              <w:t>H:L;</w:t>
            </w:r>
            <w:r>
              <w:rPr>
                <w:spacing w:val="-5"/>
                <w:sz w:val="22"/>
              </w:rPr>
              <w:t> </w:t>
            </w:r>
            <w:r>
              <w:rPr>
                <w:spacing w:val="-2"/>
                <w:sz w:val="22"/>
              </w:rPr>
              <w:t>10:50</w:t>
            </w:r>
          </w:p>
        </w:tc>
        <w:tc>
          <w:tcPr>
            <w:tcW w:w="1556" w:type="dxa"/>
            <w:tcBorders>
              <w:top w:val="single" w:sz="4" w:space="0" w:color="000000"/>
            </w:tcBorders>
          </w:tcPr>
          <w:p>
            <w:pPr>
              <w:pStyle w:val="TableParagraph"/>
              <w:spacing w:line="265" w:lineRule="exact"/>
              <w:ind w:left="127"/>
              <w:rPr>
                <w:sz w:val="22"/>
              </w:rPr>
            </w:pPr>
            <w:r>
              <w:rPr>
                <w:spacing w:val="-2"/>
                <w:sz w:val="22"/>
              </w:rPr>
              <w:t>20.867±0.696</w:t>
            </w:r>
          </w:p>
        </w:tc>
        <w:tc>
          <w:tcPr>
            <w:tcW w:w="952" w:type="dxa"/>
            <w:tcBorders>
              <w:top w:val="single" w:sz="4" w:space="0" w:color="000000"/>
            </w:tcBorders>
          </w:tcPr>
          <w:p>
            <w:pPr>
              <w:pStyle w:val="TableParagraph"/>
              <w:spacing w:line="265" w:lineRule="exact"/>
              <w:ind w:left="155" w:right="58"/>
              <w:jc w:val="center"/>
              <w:rPr>
                <w:sz w:val="22"/>
              </w:rPr>
            </w:pPr>
            <w:r>
              <w:rPr>
                <w:spacing w:val="-2"/>
                <w:sz w:val="22"/>
              </w:rPr>
              <w:t>0.000</w:t>
            </w:r>
          </w:p>
        </w:tc>
        <w:tc>
          <w:tcPr>
            <w:tcW w:w="765" w:type="dxa"/>
            <w:tcBorders>
              <w:top w:val="single" w:sz="4" w:space="0" w:color="000000"/>
            </w:tcBorders>
          </w:tcPr>
          <w:p>
            <w:pPr>
              <w:pStyle w:val="TableParagraph"/>
              <w:spacing w:line="265" w:lineRule="exact"/>
              <w:ind w:left="55" w:right="120"/>
              <w:jc w:val="center"/>
              <w:rPr>
                <w:sz w:val="22"/>
              </w:rPr>
            </w:pPr>
            <w:r>
              <w:rPr>
                <w:spacing w:val="-5"/>
                <w:sz w:val="22"/>
              </w:rPr>
              <w:t>SF</w:t>
            </w:r>
          </w:p>
        </w:tc>
      </w:tr>
      <w:tr>
        <w:trPr>
          <w:trHeight w:val="384" w:hRule="atLeast"/>
        </w:trPr>
        <w:tc>
          <w:tcPr>
            <w:tcW w:w="1642" w:type="dxa"/>
          </w:tcPr>
          <w:p>
            <w:pPr>
              <w:pStyle w:val="TableParagraph"/>
              <w:rPr>
                <w:rFonts w:ascii="Times New Roman"/>
                <w:sz w:val="22"/>
              </w:rPr>
            </w:pPr>
          </w:p>
        </w:tc>
        <w:tc>
          <w:tcPr>
            <w:tcW w:w="1426" w:type="dxa"/>
          </w:tcPr>
          <w:p>
            <w:pPr>
              <w:pStyle w:val="TableParagraph"/>
              <w:spacing w:before="73"/>
              <w:ind w:left="175"/>
              <w:rPr>
                <w:sz w:val="22"/>
              </w:rPr>
            </w:pPr>
            <w:r>
              <w:rPr>
                <w:sz w:val="22"/>
              </w:rPr>
              <w:t>H:L;</w:t>
            </w:r>
            <w:r>
              <w:rPr>
                <w:spacing w:val="-5"/>
                <w:sz w:val="22"/>
              </w:rPr>
              <w:t> </w:t>
            </w:r>
            <w:r>
              <w:rPr>
                <w:spacing w:val="-2"/>
                <w:sz w:val="22"/>
              </w:rPr>
              <w:t>20:50</w:t>
            </w:r>
          </w:p>
        </w:tc>
        <w:tc>
          <w:tcPr>
            <w:tcW w:w="1556" w:type="dxa"/>
          </w:tcPr>
          <w:p>
            <w:pPr>
              <w:pStyle w:val="TableParagraph"/>
              <w:spacing w:before="73"/>
              <w:ind w:left="127"/>
              <w:rPr>
                <w:sz w:val="22"/>
              </w:rPr>
            </w:pPr>
            <w:r>
              <w:rPr>
                <w:spacing w:val="-2"/>
                <w:sz w:val="22"/>
              </w:rPr>
              <w:t>21.000±0.586</w:t>
            </w:r>
          </w:p>
        </w:tc>
        <w:tc>
          <w:tcPr>
            <w:tcW w:w="952" w:type="dxa"/>
          </w:tcPr>
          <w:p>
            <w:pPr>
              <w:pStyle w:val="TableParagraph"/>
              <w:spacing w:before="73"/>
              <w:ind w:left="155" w:right="58"/>
              <w:jc w:val="center"/>
              <w:rPr>
                <w:sz w:val="22"/>
              </w:rPr>
            </w:pPr>
            <w:r>
              <w:rPr>
                <w:spacing w:val="-2"/>
                <w:sz w:val="22"/>
              </w:rPr>
              <w:t>0.000</w:t>
            </w:r>
          </w:p>
        </w:tc>
        <w:tc>
          <w:tcPr>
            <w:tcW w:w="765" w:type="dxa"/>
          </w:tcPr>
          <w:p>
            <w:pPr>
              <w:pStyle w:val="TableParagraph"/>
              <w:spacing w:before="73"/>
              <w:ind w:left="55" w:right="120"/>
              <w:jc w:val="center"/>
              <w:rPr>
                <w:sz w:val="22"/>
              </w:rPr>
            </w:pPr>
            <w:r>
              <w:rPr>
                <w:spacing w:val="-5"/>
                <w:sz w:val="22"/>
              </w:rPr>
              <w:t>SF</w:t>
            </w:r>
          </w:p>
        </w:tc>
      </w:tr>
      <w:tr>
        <w:trPr>
          <w:trHeight w:val="595" w:hRule="atLeast"/>
        </w:trPr>
        <w:tc>
          <w:tcPr>
            <w:tcW w:w="1642" w:type="dxa"/>
          </w:tcPr>
          <w:p>
            <w:pPr>
              <w:pStyle w:val="TableParagraph"/>
              <w:spacing w:before="1"/>
              <w:ind w:left="108"/>
              <w:rPr>
                <w:sz w:val="22"/>
              </w:rPr>
            </w:pPr>
            <w:r>
              <w:rPr>
                <w:sz w:val="22"/>
              </w:rPr>
              <w:t>Honey</w:t>
            </w:r>
            <w:r>
              <w:rPr>
                <w:spacing w:val="-2"/>
                <w:sz w:val="22"/>
              </w:rPr>
              <w:t> (50%)</w:t>
            </w:r>
          </w:p>
          <w:p>
            <w:pPr>
              <w:pStyle w:val="TableParagraph"/>
              <w:spacing w:before="15"/>
              <w:ind w:left="108"/>
              <w:rPr>
                <w:sz w:val="22"/>
              </w:rPr>
            </w:pPr>
            <w:r>
              <w:rPr>
                <w:spacing w:val="-2"/>
                <w:sz w:val="22"/>
              </w:rPr>
              <w:t>(16.000±0.378)</w:t>
            </w:r>
          </w:p>
        </w:tc>
        <w:tc>
          <w:tcPr>
            <w:tcW w:w="1426" w:type="dxa"/>
          </w:tcPr>
          <w:p>
            <w:pPr>
              <w:pStyle w:val="TableParagraph"/>
              <w:spacing w:before="143"/>
              <w:ind w:left="175"/>
              <w:rPr>
                <w:sz w:val="22"/>
              </w:rPr>
            </w:pPr>
            <w:r>
              <w:rPr>
                <w:sz w:val="22"/>
              </w:rPr>
              <w:t>H:L;</w:t>
            </w:r>
            <w:r>
              <w:rPr>
                <w:spacing w:val="-5"/>
                <w:sz w:val="22"/>
              </w:rPr>
              <w:t> </w:t>
            </w:r>
            <w:r>
              <w:rPr>
                <w:spacing w:val="-2"/>
                <w:sz w:val="22"/>
              </w:rPr>
              <w:t>30:50</w:t>
            </w:r>
          </w:p>
        </w:tc>
        <w:tc>
          <w:tcPr>
            <w:tcW w:w="1556" w:type="dxa"/>
          </w:tcPr>
          <w:p>
            <w:pPr>
              <w:pStyle w:val="TableParagraph"/>
              <w:spacing w:before="143"/>
              <w:ind w:left="127"/>
              <w:rPr>
                <w:sz w:val="22"/>
              </w:rPr>
            </w:pPr>
            <w:r>
              <w:rPr>
                <w:spacing w:val="-2"/>
                <w:sz w:val="22"/>
              </w:rPr>
              <w:t>21.933±0.331</w:t>
            </w:r>
          </w:p>
        </w:tc>
        <w:tc>
          <w:tcPr>
            <w:tcW w:w="952" w:type="dxa"/>
          </w:tcPr>
          <w:p>
            <w:pPr>
              <w:pStyle w:val="TableParagraph"/>
              <w:spacing w:before="143"/>
              <w:ind w:left="155" w:right="58"/>
              <w:jc w:val="center"/>
              <w:rPr>
                <w:sz w:val="22"/>
              </w:rPr>
            </w:pPr>
            <w:r>
              <w:rPr>
                <w:spacing w:val="-2"/>
                <w:sz w:val="22"/>
              </w:rPr>
              <w:t>0.000</w:t>
            </w:r>
          </w:p>
        </w:tc>
        <w:tc>
          <w:tcPr>
            <w:tcW w:w="765" w:type="dxa"/>
          </w:tcPr>
          <w:p>
            <w:pPr>
              <w:pStyle w:val="TableParagraph"/>
              <w:spacing w:before="143"/>
              <w:ind w:left="55" w:right="120"/>
              <w:jc w:val="center"/>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426" w:type="dxa"/>
          </w:tcPr>
          <w:p>
            <w:pPr>
              <w:pStyle w:val="TableParagraph"/>
              <w:spacing w:before="1"/>
              <w:ind w:left="175"/>
              <w:rPr>
                <w:sz w:val="22"/>
              </w:rPr>
            </w:pPr>
            <w:r>
              <w:rPr>
                <w:sz w:val="22"/>
              </w:rPr>
              <w:t>H:L;</w:t>
            </w:r>
            <w:r>
              <w:rPr>
                <w:spacing w:val="-5"/>
                <w:sz w:val="22"/>
              </w:rPr>
              <w:t> </w:t>
            </w:r>
            <w:r>
              <w:rPr>
                <w:spacing w:val="-2"/>
                <w:sz w:val="22"/>
              </w:rPr>
              <w:t>40:50</w:t>
            </w:r>
          </w:p>
        </w:tc>
        <w:tc>
          <w:tcPr>
            <w:tcW w:w="1556" w:type="dxa"/>
          </w:tcPr>
          <w:p>
            <w:pPr>
              <w:pStyle w:val="TableParagraph"/>
              <w:spacing w:before="1"/>
              <w:ind w:left="127"/>
              <w:rPr>
                <w:sz w:val="22"/>
              </w:rPr>
            </w:pPr>
            <w:r>
              <w:rPr>
                <w:spacing w:val="-2"/>
                <w:sz w:val="22"/>
              </w:rPr>
              <w:t>21.533±0.467</w:t>
            </w:r>
          </w:p>
        </w:tc>
        <w:tc>
          <w:tcPr>
            <w:tcW w:w="952" w:type="dxa"/>
          </w:tcPr>
          <w:p>
            <w:pPr>
              <w:pStyle w:val="TableParagraph"/>
              <w:spacing w:before="1"/>
              <w:ind w:left="155" w:right="58"/>
              <w:jc w:val="center"/>
              <w:rPr>
                <w:sz w:val="22"/>
              </w:rPr>
            </w:pPr>
            <w:r>
              <w:rPr>
                <w:spacing w:val="-2"/>
                <w:sz w:val="22"/>
              </w:rPr>
              <w:t>0.000</w:t>
            </w:r>
          </w:p>
        </w:tc>
        <w:tc>
          <w:tcPr>
            <w:tcW w:w="765" w:type="dxa"/>
          </w:tcPr>
          <w:p>
            <w:pPr>
              <w:pStyle w:val="TableParagraph"/>
              <w:spacing w:before="1"/>
              <w:ind w:left="55" w:right="120"/>
              <w:jc w:val="center"/>
              <w:rPr>
                <w:sz w:val="22"/>
              </w:rPr>
            </w:pPr>
            <w:r>
              <w:rPr>
                <w:spacing w:val="-5"/>
                <w:sz w:val="22"/>
              </w:rPr>
              <w:t>SF</w:t>
            </w:r>
          </w:p>
        </w:tc>
      </w:tr>
      <w:tr>
        <w:trPr>
          <w:trHeight w:val="522" w:hRule="atLeast"/>
        </w:trPr>
        <w:tc>
          <w:tcPr>
            <w:tcW w:w="1642" w:type="dxa"/>
            <w:tcBorders>
              <w:bottom w:val="single" w:sz="4" w:space="0" w:color="000000"/>
            </w:tcBorders>
          </w:tcPr>
          <w:p>
            <w:pPr>
              <w:pStyle w:val="TableParagraph"/>
              <w:rPr>
                <w:rFonts w:ascii="Times New Roman"/>
                <w:sz w:val="22"/>
              </w:rPr>
            </w:pPr>
          </w:p>
        </w:tc>
        <w:tc>
          <w:tcPr>
            <w:tcW w:w="1426" w:type="dxa"/>
            <w:tcBorders>
              <w:bottom w:val="single" w:sz="4" w:space="0" w:color="000000"/>
            </w:tcBorders>
          </w:tcPr>
          <w:p>
            <w:pPr>
              <w:pStyle w:val="TableParagraph"/>
              <w:spacing w:before="72"/>
              <w:ind w:left="175"/>
              <w:rPr>
                <w:sz w:val="22"/>
              </w:rPr>
            </w:pPr>
            <w:r>
              <w:rPr>
                <w:sz w:val="22"/>
              </w:rPr>
              <w:t>H:L;</w:t>
            </w:r>
            <w:r>
              <w:rPr>
                <w:spacing w:val="-5"/>
                <w:sz w:val="22"/>
              </w:rPr>
              <w:t> </w:t>
            </w:r>
            <w:r>
              <w:rPr>
                <w:spacing w:val="-2"/>
                <w:sz w:val="22"/>
              </w:rPr>
              <w:t>50:50</w:t>
            </w:r>
          </w:p>
        </w:tc>
        <w:tc>
          <w:tcPr>
            <w:tcW w:w="1556" w:type="dxa"/>
            <w:tcBorders>
              <w:bottom w:val="single" w:sz="4" w:space="0" w:color="000000"/>
            </w:tcBorders>
          </w:tcPr>
          <w:p>
            <w:pPr>
              <w:pStyle w:val="TableParagraph"/>
              <w:spacing w:before="72"/>
              <w:ind w:left="127"/>
              <w:rPr>
                <w:sz w:val="22"/>
              </w:rPr>
            </w:pPr>
            <w:r>
              <w:rPr>
                <w:spacing w:val="-2"/>
                <w:sz w:val="22"/>
              </w:rPr>
              <w:t>22.800±0.571</w:t>
            </w:r>
          </w:p>
        </w:tc>
        <w:tc>
          <w:tcPr>
            <w:tcW w:w="952" w:type="dxa"/>
            <w:tcBorders>
              <w:bottom w:val="single" w:sz="4" w:space="0" w:color="000000"/>
            </w:tcBorders>
          </w:tcPr>
          <w:p>
            <w:pPr>
              <w:pStyle w:val="TableParagraph"/>
              <w:spacing w:before="72"/>
              <w:ind w:left="155" w:right="58"/>
              <w:jc w:val="center"/>
              <w:rPr>
                <w:sz w:val="22"/>
              </w:rPr>
            </w:pPr>
            <w:r>
              <w:rPr>
                <w:spacing w:val="-2"/>
                <w:sz w:val="22"/>
              </w:rPr>
              <w:t>0.000</w:t>
            </w:r>
          </w:p>
        </w:tc>
        <w:tc>
          <w:tcPr>
            <w:tcW w:w="765" w:type="dxa"/>
            <w:tcBorders>
              <w:bottom w:val="single" w:sz="4" w:space="0" w:color="000000"/>
            </w:tcBorders>
          </w:tcPr>
          <w:p>
            <w:pPr>
              <w:pStyle w:val="TableParagraph"/>
              <w:spacing w:before="72"/>
              <w:ind w:left="55" w:right="120"/>
              <w:jc w:val="center"/>
              <w:rPr>
                <w:sz w:val="22"/>
              </w:rPr>
            </w:pPr>
            <w:r>
              <w:rPr>
                <w:spacing w:val="-5"/>
                <w:sz w:val="22"/>
              </w:rPr>
              <w:t>SF</w:t>
            </w:r>
          </w:p>
        </w:tc>
      </w:tr>
    </w:tbl>
    <w:p>
      <w:pPr>
        <w:spacing w:after="0"/>
        <w:jc w:val="center"/>
        <w:rPr>
          <w:sz w:val="22"/>
        </w:rPr>
        <w:sectPr>
          <w:pgSz w:w="11910" w:h="16840"/>
          <w:pgMar w:header="0" w:footer="1055" w:top="1920" w:bottom="1679" w:left="1060" w:right="460"/>
        </w:sect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gridCol w:w="1315"/>
        <w:gridCol w:w="1700"/>
        <w:gridCol w:w="953"/>
        <w:gridCol w:w="730"/>
      </w:tblGrid>
      <w:tr>
        <w:trPr>
          <w:trHeight w:val="378" w:hRule="atLeast"/>
        </w:trPr>
        <w:tc>
          <w:tcPr>
            <w:tcW w:w="1642" w:type="dxa"/>
            <w:tcBorders>
              <w:top w:val="single" w:sz="4" w:space="0" w:color="000000"/>
            </w:tcBorders>
          </w:tcPr>
          <w:p>
            <w:pPr>
              <w:pStyle w:val="TableParagraph"/>
              <w:rPr>
                <w:rFonts w:ascii="Times New Roman"/>
                <w:sz w:val="22"/>
              </w:rPr>
            </w:pPr>
          </w:p>
        </w:tc>
        <w:tc>
          <w:tcPr>
            <w:tcW w:w="1315" w:type="dxa"/>
            <w:tcBorders>
              <w:top w:val="single" w:sz="4" w:space="0" w:color="000000"/>
            </w:tcBorders>
          </w:tcPr>
          <w:p>
            <w:pPr>
              <w:pStyle w:val="TableParagraph"/>
              <w:spacing w:line="265" w:lineRule="exact"/>
              <w:ind w:right="58"/>
              <w:jc w:val="center"/>
              <w:rPr>
                <w:sz w:val="22"/>
              </w:rPr>
            </w:pPr>
            <w:r>
              <w:rPr>
                <w:sz w:val="22"/>
              </w:rPr>
              <w:t>H:L;</w:t>
            </w:r>
            <w:r>
              <w:rPr>
                <w:spacing w:val="-5"/>
                <w:sz w:val="22"/>
              </w:rPr>
              <w:t> </w:t>
            </w:r>
            <w:r>
              <w:rPr>
                <w:spacing w:val="-2"/>
                <w:sz w:val="22"/>
              </w:rPr>
              <w:t>10:50</w:t>
            </w:r>
          </w:p>
        </w:tc>
        <w:tc>
          <w:tcPr>
            <w:tcW w:w="1700" w:type="dxa"/>
            <w:tcBorders>
              <w:top w:val="single" w:sz="4" w:space="0" w:color="000000"/>
            </w:tcBorders>
          </w:tcPr>
          <w:p>
            <w:pPr>
              <w:pStyle w:val="TableParagraph"/>
              <w:spacing w:line="265" w:lineRule="exact"/>
              <w:ind w:left="1"/>
              <w:jc w:val="center"/>
              <w:rPr>
                <w:sz w:val="22"/>
              </w:rPr>
            </w:pPr>
            <w:r>
              <w:rPr>
                <w:spacing w:val="-2"/>
                <w:sz w:val="22"/>
              </w:rPr>
              <w:t>20.867±0.696</w:t>
            </w:r>
          </w:p>
        </w:tc>
        <w:tc>
          <w:tcPr>
            <w:tcW w:w="953" w:type="dxa"/>
            <w:tcBorders>
              <w:top w:val="single" w:sz="4" w:space="0" w:color="000000"/>
            </w:tcBorders>
          </w:tcPr>
          <w:p>
            <w:pPr>
              <w:pStyle w:val="TableParagraph"/>
              <w:spacing w:line="265" w:lineRule="exact"/>
              <w:ind w:left="30"/>
              <w:jc w:val="center"/>
              <w:rPr>
                <w:sz w:val="22"/>
              </w:rPr>
            </w:pPr>
            <w:r>
              <w:rPr>
                <w:spacing w:val="-2"/>
                <w:sz w:val="22"/>
              </w:rPr>
              <w:t>0.000</w:t>
            </w:r>
          </w:p>
        </w:tc>
        <w:tc>
          <w:tcPr>
            <w:tcW w:w="730" w:type="dxa"/>
            <w:tcBorders>
              <w:top w:val="single" w:sz="4" w:space="0" w:color="000000"/>
            </w:tcBorders>
          </w:tcPr>
          <w:p>
            <w:pPr>
              <w:pStyle w:val="TableParagraph"/>
              <w:spacing w:line="265" w:lineRule="exact"/>
              <w:ind w:right="98"/>
              <w:jc w:val="center"/>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315" w:type="dxa"/>
          </w:tcPr>
          <w:p>
            <w:pPr>
              <w:pStyle w:val="TableParagraph"/>
              <w:spacing w:before="72"/>
              <w:ind w:right="58"/>
              <w:jc w:val="center"/>
              <w:rPr>
                <w:sz w:val="22"/>
              </w:rPr>
            </w:pPr>
            <w:r>
              <w:rPr>
                <w:sz w:val="22"/>
              </w:rPr>
              <w:t>H:L;</w:t>
            </w:r>
            <w:r>
              <w:rPr>
                <w:spacing w:val="-5"/>
                <w:sz w:val="22"/>
              </w:rPr>
              <w:t> </w:t>
            </w:r>
            <w:r>
              <w:rPr>
                <w:spacing w:val="-2"/>
                <w:sz w:val="22"/>
              </w:rPr>
              <w:t>20:50</w:t>
            </w:r>
          </w:p>
        </w:tc>
        <w:tc>
          <w:tcPr>
            <w:tcW w:w="1700" w:type="dxa"/>
          </w:tcPr>
          <w:p>
            <w:pPr>
              <w:pStyle w:val="TableParagraph"/>
              <w:spacing w:before="72"/>
              <w:ind w:left="1"/>
              <w:jc w:val="center"/>
              <w:rPr>
                <w:sz w:val="22"/>
              </w:rPr>
            </w:pPr>
            <w:r>
              <w:rPr>
                <w:spacing w:val="-2"/>
                <w:sz w:val="22"/>
              </w:rPr>
              <w:t>21.000±0.586</w:t>
            </w:r>
          </w:p>
        </w:tc>
        <w:tc>
          <w:tcPr>
            <w:tcW w:w="953" w:type="dxa"/>
          </w:tcPr>
          <w:p>
            <w:pPr>
              <w:pStyle w:val="TableParagraph"/>
              <w:spacing w:before="72"/>
              <w:ind w:left="30"/>
              <w:jc w:val="center"/>
              <w:rPr>
                <w:sz w:val="22"/>
              </w:rPr>
            </w:pPr>
            <w:r>
              <w:rPr>
                <w:spacing w:val="-2"/>
                <w:sz w:val="22"/>
              </w:rPr>
              <w:t>0.000</w:t>
            </w:r>
          </w:p>
        </w:tc>
        <w:tc>
          <w:tcPr>
            <w:tcW w:w="730" w:type="dxa"/>
          </w:tcPr>
          <w:p>
            <w:pPr>
              <w:pStyle w:val="TableParagraph"/>
              <w:spacing w:before="72"/>
              <w:ind w:right="98"/>
              <w:jc w:val="center"/>
              <w:rPr>
                <w:sz w:val="22"/>
              </w:rPr>
            </w:pPr>
            <w:r>
              <w:rPr>
                <w:spacing w:val="-5"/>
                <w:sz w:val="22"/>
              </w:rPr>
              <w:t>SF</w:t>
            </w:r>
          </w:p>
        </w:tc>
      </w:tr>
      <w:tr>
        <w:trPr>
          <w:trHeight w:val="597" w:hRule="atLeast"/>
        </w:trPr>
        <w:tc>
          <w:tcPr>
            <w:tcW w:w="1642" w:type="dxa"/>
          </w:tcPr>
          <w:p>
            <w:pPr>
              <w:pStyle w:val="TableParagraph"/>
              <w:spacing w:before="1"/>
              <w:ind w:left="108"/>
              <w:rPr>
                <w:sz w:val="22"/>
              </w:rPr>
            </w:pPr>
            <w:r>
              <w:rPr>
                <w:sz w:val="22"/>
              </w:rPr>
              <w:t>Honey</w:t>
            </w:r>
            <w:r>
              <w:rPr>
                <w:spacing w:val="-2"/>
                <w:sz w:val="22"/>
              </w:rPr>
              <w:t> (25%)</w:t>
            </w:r>
          </w:p>
          <w:p>
            <w:pPr>
              <w:pStyle w:val="TableParagraph"/>
              <w:spacing w:before="17"/>
              <w:ind w:left="108"/>
              <w:rPr>
                <w:sz w:val="22"/>
              </w:rPr>
            </w:pPr>
            <w:r>
              <w:rPr>
                <w:spacing w:val="-2"/>
                <w:sz w:val="22"/>
              </w:rPr>
              <w:t>(11.733±0.442)</w:t>
            </w:r>
          </w:p>
        </w:tc>
        <w:tc>
          <w:tcPr>
            <w:tcW w:w="1315" w:type="dxa"/>
          </w:tcPr>
          <w:p>
            <w:pPr>
              <w:pStyle w:val="TableParagraph"/>
              <w:spacing w:before="145"/>
              <w:ind w:right="58"/>
              <w:jc w:val="center"/>
              <w:rPr>
                <w:sz w:val="22"/>
              </w:rPr>
            </w:pPr>
            <w:r>
              <w:rPr>
                <w:sz w:val="22"/>
              </w:rPr>
              <w:t>H:L;</w:t>
            </w:r>
            <w:r>
              <w:rPr>
                <w:spacing w:val="-5"/>
                <w:sz w:val="22"/>
              </w:rPr>
              <w:t> </w:t>
            </w:r>
            <w:r>
              <w:rPr>
                <w:spacing w:val="-2"/>
                <w:sz w:val="22"/>
              </w:rPr>
              <w:t>30:50</w:t>
            </w:r>
          </w:p>
        </w:tc>
        <w:tc>
          <w:tcPr>
            <w:tcW w:w="1700" w:type="dxa"/>
          </w:tcPr>
          <w:p>
            <w:pPr>
              <w:pStyle w:val="TableParagraph"/>
              <w:spacing w:before="145"/>
              <w:ind w:left="1"/>
              <w:jc w:val="center"/>
              <w:rPr>
                <w:sz w:val="22"/>
              </w:rPr>
            </w:pPr>
            <w:r>
              <w:rPr>
                <w:spacing w:val="-2"/>
                <w:sz w:val="22"/>
              </w:rPr>
              <w:t>21.933±0.331</w:t>
            </w:r>
          </w:p>
        </w:tc>
        <w:tc>
          <w:tcPr>
            <w:tcW w:w="953" w:type="dxa"/>
          </w:tcPr>
          <w:p>
            <w:pPr>
              <w:pStyle w:val="TableParagraph"/>
              <w:spacing w:before="145"/>
              <w:ind w:left="30"/>
              <w:jc w:val="center"/>
              <w:rPr>
                <w:sz w:val="22"/>
              </w:rPr>
            </w:pPr>
            <w:r>
              <w:rPr>
                <w:spacing w:val="-2"/>
                <w:sz w:val="22"/>
              </w:rPr>
              <w:t>0.000</w:t>
            </w:r>
          </w:p>
        </w:tc>
        <w:tc>
          <w:tcPr>
            <w:tcW w:w="730" w:type="dxa"/>
          </w:tcPr>
          <w:p>
            <w:pPr>
              <w:pStyle w:val="TableParagraph"/>
              <w:spacing w:before="145"/>
              <w:ind w:right="98"/>
              <w:jc w:val="center"/>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315" w:type="dxa"/>
          </w:tcPr>
          <w:p>
            <w:pPr>
              <w:pStyle w:val="TableParagraph"/>
              <w:spacing w:before="1"/>
              <w:ind w:right="58"/>
              <w:jc w:val="center"/>
              <w:rPr>
                <w:sz w:val="22"/>
              </w:rPr>
            </w:pPr>
            <w:r>
              <w:rPr>
                <w:sz w:val="22"/>
              </w:rPr>
              <w:t>H:L;</w:t>
            </w:r>
            <w:r>
              <w:rPr>
                <w:spacing w:val="-5"/>
                <w:sz w:val="22"/>
              </w:rPr>
              <w:t> </w:t>
            </w:r>
            <w:r>
              <w:rPr>
                <w:spacing w:val="-2"/>
                <w:sz w:val="22"/>
              </w:rPr>
              <w:t>40:50</w:t>
            </w:r>
          </w:p>
        </w:tc>
        <w:tc>
          <w:tcPr>
            <w:tcW w:w="1700" w:type="dxa"/>
          </w:tcPr>
          <w:p>
            <w:pPr>
              <w:pStyle w:val="TableParagraph"/>
              <w:spacing w:before="1"/>
              <w:ind w:left="1"/>
              <w:jc w:val="center"/>
              <w:rPr>
                <w:sz w:val="22"/>
              </w:rPr>
            </w:pPr>
            <w:r>
              <w:rPr>
                <w:spacing w:val="-2"/>
                <w:sz w:val="22"/>
              </w:rPr>
              <w:t>21.533±0.467</w:t>
            </w:r>
          </w:p>
        </w:tc>
        <w:tc>
          <w:tcPr>
            <w:tcW w:w="953" w:type="dxa"/>
          </w:tcPr>
          <w:p>
            <w:pPr>
              <w:pStyle w:val="TableParagraph"/>
              <w:spacing w:before="1"/>
              <w:ind w:left="30"/>
              <w:jc w:val="center"/>
              <w:rPr>
                <w:sz w:val="22"/>
              </w:rPr>
            </w:pPr>
            <w:r>
              <w:rPr>
                <w:spacing w:val="-2"/>
                <w:sz w:val="22"/>
              </w:rPr>
              <w:t>0.000</w:t>
            </w:r>
          </w:p>
        </w:tc>
        <w:tc>
          <w:tcPr>
            <w:tcW w:w="730" w:type="dxa"/>
          </w:tcPr>
          <w:p>
            <w:pPr>
              <w:pStyle w:val="TableParagraph"/>
              <w:spacing w:before="1"/>
              <w:ind w:right="98"/>
              <w:jc w:val="center"/>
              <w:rPr>
                <w:sz w:val="22"/>
              </w:rPr>
            </w:pPr>
            <w:r>
              <w:rPr>
                <w:spacing w:val="-5"/>
                <w:sz w:val="22"/>
              </w:rPr>
              <w:t>SF</w:t>
            </w:r>
          </w:p>
        </w:tc>
      </w:tr>
      <w:tr>
        <w:trPr>
          <w:trHeight w:val="519" w:hRule="atLeast"/>
        </w:trPr>
        <w:tc>
          <w:tcPr>
            <w:tcW w:w="1642" w:type="dxa"/>
            <w:tcBorders>
              <w:bottom w:val="single" w:sz="4" w:space="0" w:color="000000"/>
            </w:tcBorders>
          </w:tcPr>
          <w:p>
            <w:pPr>
              <w:pStyle w:val="TableParagraph"/>
              <w:rPr>
                <w:rFonts w:ascii="Times New Roman"/>
                <w:sz w:val="22"/>
              </w:rPr>
            </w:pPr>
          </w:p>
        </w:tc>
        <w:tc>
          <w:tcPr>
            <w:tcW w:w="1315" w:type="dxa"/>
            <w:tcBorders>
              <w:bottom w:val="single" w:sz="4" w:space="0" w:color="000000"/>
            </w:tcBorders>
          </w:tcPr>
          <w:p>
            <w:pPr>
              <w:pStyle w:val="TableParagraph"/>
              <w:spacing w:before="72"/>
              <w:ind w:right="58"/>
              <w:jc w:val="center"/>
              <w:rPr>
                <w:sz w:val="22"/>
              </w:rPr>
            </w:pPr>
            <w:r>
              <w:rPr>
                <w:sz w:val="22"/>
              </w:rPr>
              <w:t>H:L;</w:t>
            </w:r>
            <w:r>
              <w:rPr>
                <w:spacing w:val="-5"/>
                <w:sz w:val="22"/>
              </w:rPr>
              <w:t> </w:t>
            </w:r>
            <w:r>
              <w:rPr>
                <w:spacing w:val="-2"/>
                <w:sz w:val="22"/>
              </w:rPr>
              <w:t>50:50</w:t>
            </w:r>
          </w:p>
        </w:tc>
        <w:tc>
          <w:tcPr>
            <w:tcW w:w="1700" w:type="dxa"/>
            <w:tcBorders>
              <w:bottom w:val="single" w:sz="4" w:space="0" w:color="000000"/>
            </w:tcBorders>
          </w:tcPr>
          <w:p>
            <w:pPr>
              <w:pStyle w:val="TableParagraph"/>
              <w:spacing w:before="72"/>
              <w:ind w:left="1"/>
              <w:jc w:val="center"/>
              <w:rPr>
                <w:sz w:val="22"/>
              </w:rPr>
            </w:pPr>
            <w:r>
              <w:rPr>
                <w:spacing w:val="-2"/>
                <w:sz w:val="22"/>
              </w:rPr>
              <w:t>22.800±0.571</w:t>
            </w:r>
          </w:p>
        </w:tc>
        <w:tc>
          <w:tcPr>
            <w:tcW w:w="953" w:type="dxa"/>
            <w:tcBorders>
              <w:bottom w:val="single" w:sz="4" w:space="0" w:color="000000"/>
            </w:tcBorders>
          </w:tcPr>
          <w:p>
            <w:pPr>
              <w:pStyle w:val="TableParagraph"/>
              <w:spacing w:before="72"/>
              <w:ind w:left="30"/>
              <w:jc w:val="center"/>
              <w:rPr>
                <w:sz w:val="22"/>
              </w:rPr>
            </w:pPr>
            <w:r>
              <w:rPr>
                <w:spacing w:val="-2"/>
                <w:sz w:val="22"/>
              </w:rPr>
              <w:t>0.000</w:t>
            </w:r>
          </w:p>
        </w:tc>
        <w:tc>
          <w:tcPr>
            <w:tcW w:w="730" w:type="dxa"/>
            <w:tcBorders>
              <w:bottom w:val="single" w:sz="4" w:space="0" w:color="000000"/>
            </w:tcBorders>
          </w:tcPr>
          <w:p>
            <w:pPr>
              <w:pStyle w:val="TableParagraph"/>
              <w:spacing w:before="72"/>
              <w:ind w:right="98"/>
              <w:jc w:val="center"/>
              <w:rPr>
                <w:sz w:val="22"/>
              </w:rPr>
            </w:pPr>
            <w:r>
              <w:rPr>
                <w:spacing w:val="-5"/>
                <w:sz w:val="22"/>
              </w:rPr>
              <w:t>SF</w:t>
            </w:r>
          </w:p>
        </w:tc>
      </w:tr>
    </w:tbl>
    <w:p>
      <w:pPr>
        <w:pStyle w:val="BodyText"/>
        <w:spacing w:line="259" w:lineRule="auto" w:before="21"/>
        <w:ind w:left="380" w:right="975"/>
      </w:pPr>
      <w:r>
        <w:rPr>
          <w:b/>
        </w:rPr>
        <w:t>Key:</w:t>
      </w:r>
      <w:r>
        <w:rPr>
          <w:b/>
          <w:spacing w:val="34"/>
        </w:rPr>
        <w:t> </w:t>
      </w:r>
      <w:r>
        <w:rPr/>
        <w:t>LOS=Level</w:t>
      </w:r>
      <w:r>
        <w:rPr>
          <w:spacing w:val="32"/>
        </w:rPr>
        <w:t> </w:t>
      </w:r>
      <w:r>
        <w:rPr/>
        <w:t>of</w:t>
      </w:r>
      <w:r>
        <w:rPr>
          <w:spacing w:val="32"/>
        </w:rPr>
        <w:t> </w:t>
      </w:r>
      <w:r>
        <w:rPr/>
        <w:t>significance;</w:t>
      </w:r>
      <w:r>
        <w:rPr>
          <w:spacing w:val="36"/>
        </w:rPr>
        <w:t> </w:t>
      </w:r>
      <w:r>
        <w:rPr/>
        <w:t>NS=Not</w:t>
      </w:r>
      <w:r>
        <w:rPr>
          <w:spacing w:val="33"/>
        </w:rPr>
        <w:t> </w:t>
      </w:r>
      <w:r>
        <w:rPr/>
        <w:t>significantly</w:t>
      </w:r>
      <w:r>
        <w:rPr>
          <w:spacing w:val="33"/>
        </w:rPr>
        <w:t> </w:t>
      </w:r>
      <w:r>
        <w:rPr/>
        <w:t>different;</w:t>
      </w:r>
      <w:r>
        <w:rPr>
          <w:spacing w:val="35"/>
        </w:rPr>
        <w:t> </w:t>
      </w:r>
      <w:r>
        <w:rPr/>
        <w:t>SF=Significantly</w:t>
      </w:r>
      <w:r>
        <w:rPr>
          <w:spacing w:val="33"/>
        </w:rPr>
        <w:t> </w:t>
      </w:r>
      <w:r>
        <w:rPr/>
        <w:t>different;</w:t>
      </w:r>
      <w:r>
        <w:rPr>
          <w:spacing w:val="35"/>
        </w:rPr>
        <w:t> </w:t>
      </w:r>
      <w:r>
        <w:rPr/>
        <w:t>H=Honey and L=Lemon juice.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5"/>
      </w:pPr>
    </w:p>
    <w:p>
      <w:pPr>
        <w:pStyle w:val="Heading3"/>
        <w:spacing w:line="400" w:lineRule="auto"/>
        <w:ind w:right="3107"/>
      </w:pPr>
      <w:r>
        <w:rPr/>
        <w:t>Comparing</w:t>
      </w:r>
      <w:r>
        <w:rPr>
          <w:spacing w:val="-5"/>
        </w:rPr>
        <w:t> </w:t>
      </w:r>
      <w:r>
        <w:rPr/>
        <w:t>the</w:t>
      </w:r>
      <w:r>
        <w:rPr>
          <w:spacing w:val="-4"/>
        </w:rPr>
        <w:t> </w:t>
      </w:r>
      <w:r>
        <w:rPr/>
        <w:t>mean</w:t>
      </w:r>
      <w:r>
        <w:rPr>
          <w:spacing w:val="-4"/>
        </w:rPr>
        <w:t> </w:t>
      </w:r>
      <w:r>
        <w:rPr/>
        <w:t>zones</w:t>
      </w:r>
      <w:r>
        <w:rPr>
          <w:spacing w:val="-3"/>
        </w:rPr>
        <w:t> </w:t>
      </w:r>
      <w:r>
        <w:rPr/>
        <w:t>of</w:t>
      </w:r>
      <w:r>
        <w:rPr>
          <w:spacing w:val="-3"/>
        </w:rPr>
        <w:t> </w:t>
      </w:r>
      <w:r>
        <w:rPr/>
        <w:t>inhibition</w:t>
      </w:r>
      <w:r>
        <w:rPr>
          <w:spacing w:val="-4"/>
        </w:rPr>
        <w:t> </w:t>
      </w:r>
      <w:r>
        <w:rPr/>
        <w:t>of</w:t>
      </w:r>
      <w:r>
        <w:rPr>
          <w:spacing w:val="-3"/>
        </w:rPr>
        <w:t> </w:t>
      </w:r>
      <w:r>
        <w:rPr/>
        <w:t>Honey</w:t>
      </w:r>
      <w:r>
        <w:rPr>
          <w:spacing w:val="-3"/>
        </w:rPr>
        <w:t> </w:t>
      </w:r>
      <w:r>
        <w:rPr/>
        <w:t>and</w:t>
      </w:r>
      <w:r>
        <w:rPr>
          <w:spacing w:val="-4"/>
        </w:rPr>
        <w:t> </w:t>
      </w:r>
      <w:r>
        <w:rPr/>
        <w:t>the</w:t>
      </w:r>
      <w:r>
        <w:rPr>
          <w:spacing w:val="-4"/>
        </w:rPr>
        <w:t> </w:t>
      </w:r>
      <w:r>
        <w:rPr/>
        <w:t>mixture of Honey and Lemon juice against </w:t>
      </w:r>
      <w:r>
        <w:rPr>
          <w:i/>
        </w:rPr>
        <w:t>Staphylococcus aureus</w:t>
      </w:r>
      <w:r>
        <w:rPr/>
        <w:t>.</w:t>
      </w:r>
    </w:p>
    <w:p>
      <w:pPr>
        <w:pStyle w:val="BodyText"/>
        <w:spacing w:before="187"/>
        <w:rPr>
          <w:b/>
          <w:sz w:val="20"/>
        </w:rPr>
      </w:pPr>
      <w:r>
        <w:rPr/>
        <mc:AlternateContent>
          <mc:Choice Requires="wps">
            <w:drawing>
              <wp:anchor distT="0" distB="0" distL="0" distR="0" allowOverlap="1" layoutInCell="1" locked="0" behindDoc="1" simplePos="0" relativeHeight="487678976">
                <wp:simplePos x="0" y="0"/>
                <wp:positionH relativeFrom="page">
                  <wp:posOffset>1461770</wp:posOffset>
                </wp:positionH>
                <wp:positionV relativeFrom="paragraph">
                  <wp:posOffset>289318</wp:posOffset>
                </wp:positionV>
                <wp:extent cx="4027804" cy="6350"/>
                <wp:effectExtent l="0" t="0" r="0" b="0"/>
                <wp:wrapTopAndBottom/>
                <wp:docPr id="498" name="Graphic 498"/>
                <wp:cNvGraphicFramePr>
                  <a:graphicFrameLocks/>
                </wp:cNvGraphicFramePr>
                <a:graphic>
                  <a:graphicData uri="http://schemas.microsoft.com/office/word/2010/wordprocessingShape">
                    <wps:wsp>
                      <wps:cNvPr id="498" name="Graphic 498"/>
                      <wps:cNvSpPr/>
                      <wps:spPr>
                        <a:xfrm>
                          <a:off x="0" y="0"/>
                          <a:ext cx="4027804" cy="6350"/>
                        </a:xfrm>
                        <a:custGeom>
                          <a:avLst/>
                          <a:gdLst/>
                          <a:ahLst/>
                          <a:cxnLst/>
                          <a:rect l="l" t="t" r="r" b="b"/>
                          <a:pathLst>
                            <a:path w="4027804" h="6350">
                              <a:moveTo>
                                <a:pt x="1085392" y="0"/>
                              </a:moveTo>
                              <a:lnTo>
                                <a:pt x="0" y="0"/>
                              </a:lnTo>
                              <a:lnTo>
                                <a:pt x="0" y="6083"/>
                              </a:lnTo>
                              <a:lnTo>
                                <a:pt x="1085392" y="6083"/>
                              </a:lnTo>
                              <a:lnTo>
                                <a:pt x="1085392" y="0"/>
                              </a:lnTo>
                              <a:close/>
                            </a:path>
                            <a:path w="4027804" h="6350">
                              <a:moveTo>
                                <a:pt x="1091552" y="0"/>
                              </a:moveTo>
                              <a:lnTo>
                                <a:pt x="1085469" y="0"/>
                              </a:lnTo>
                              <a:lnTo>
                                <a:pt x="1085469" y="6083"/>
                              </a:lnTo>
                              <a:lnTo>
                                <a:pt x="1091552" y="6083"/>
                              </a:lnTo>
                              <a:lnTo>
                                <a:pt x="1091552" y="0"/>
                              </a:lnTo>
                              <a:close/>
                            </a:path>
                            <a:path w="4027804" h="6350">
                              <a:moveTo>
                                <a:pt x="1952612" y="0"/>
                              </a:moveTo>
                              <a:lnTo>
                                <a:pt x="1946529" y="0"/>
                              </a:lnTo>
                              <a:lnTo>
                                <a:pt x="1091565" y="0"/>
                              </a:lnTo>
                              <a:lnTo>
                                <a:pt x="1091565" y="6083"/>
                              </a:lnTo>
                              <a:lnTo>
                                <a:pt x="1946529" y="6083"/>
                              </a:lnTo>
                              <a:lnTo>
                                <a:pt x="1952612" y="6083"/>
                              </a:lnTo>
                              <a:lnTo>
                                <a:pt x="1952612" y="0"/>
                              </a:lnTo>
                              <a:close/>
                            </a:path>
                            <a:path w="4027804" h="6350">
                              <a:moveTo>
                                <a:pt x="3489375" y="0"/>
                              </a:moveTo>
                              <a:lnTo>
                                <a:pt x="2935859" y="0"/>
                              </a:lnTo>
                              <a:lnTo>
                                <a:pt x="2929813" y="0"/>
                              </a:lnTo>
                              <a:lnTo>
                                <a:pt x="1952625" y="0"/>
                              </a:lnTo>
                              <a:lnTo>
                                <a:pt x="1952625" y="6083"/>
                              </a:lnTo>
                              <a:lnTo>
                                <a:pt x="2929763" y="6083"/>
                              </a:lnTo>
                              <a:lnTo>
                                <a:pt x="2935859" y="6083"/>
                              </a:lnTo>
                              <a:lnTo>
                                <a:pt x="3489375" y="6083"/>
                              </a:lnTo>
                              <a:lnTo>
                                <a:pt x="3489375" y="0"/>
                              </a:lnTo>
                              <a:close/>
                            </a:path>
                            <a:path w="4027804" h="6350">
                              <a:moveTo>
                                <a:pt x="3495535" y="0"/>
                              </a:moveTo>
                              <a:lnTo>
                                <a:pt x="3489452" y="0"/>
                              </a:lnTo>
                              <a:lnTo>
                                <a:pt x="3489452" y="6083"/>
                              </a:lnTo>
                              <a:lnTo>
                                <a:pt x="3495535" y="6083"/>
                              </a:lnTo>
                              <a:lnTo>
                                <a:pt x="3495535" y="0"/>
                              </a:lnTo>
                              <a:close/>
                            </a:path>
                            <a:path w="4027804" h="6350">
                              <a:moveTo>
                                <a:pt x="4027411" y="0"/>
                              </a:moveTo>
                              <a:lnTo>
                                <a:pt x="3495548" y="0"/>
                              </a:lnTo>
                              <a:lnTo>
                                <a:pt x="3495548" y="6083"/>
                              </a:lnTo>
                              <a:lnTo>
                                <a:pt x="4027411" y="6083"/>
                              </a:lnTo>
                              <a:lnTo>
                                <a:pt x="40274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5.100006pt;margin-top:22.780954pt;width:317.150pt;height:.5pt;mso-position-horizontal-relative:page;mso-position-vertical-relative:paragraph;z-index:-15637504;mso-wrap-distance-left:0;mso-wrap-distance-right:0" id="docshape443" coordorigin="2302,456" coordsize="6343,10" path="m4011,456l2302,456,2302,465,4011,465,4011,456xm4021,456l4011,456,4011,465,4021,465,4021,456xm5377,456l5367,456,4021,456,4021,465,5367,465,5377,465,5377,456xm7797,456l6925,456,6916,456,6916,456,5377,456,5377,465,6916,465,6916,465,6925,465,7797,465,7797,456xm7807,456l7797,456,7797,465,7807,465,7807,456xm8644,456l7807,456,7807,465,8644,465,8644,456xe" filled="true" fillcolor="#000000" stroked="false">
                <v:path arrowok="t"/>
                <v:fill type="solid"/>
                <w10:wrap type="topAndBottom"/>
              </v:shape>
            </w:pict>
          </mc:Fallback>
        </mc:AlternateContent>
      </w:r>
    </w:p>
    <w:p>
      <w:pPr>
        <w:pStyle w:val="BodyText"/>
        <w:spacing w:before="15"/>
        <w:rPr>
          <w:b/>
          <w:sz w:val="20"/>
        </w:r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4"/>
        <w:gridCol w:w="1616"/>
        <w:gridCol w:w="1446"/>
        <w:gridCol w:w="957"/>
        <w:gridCol w:w="645"/>
      </w:tblGrid>
      <w:tr>
        <w:trPr>
          <w:trHeight w:val="624" w:hRule="atLeast"/>
        </w:trPr>
        <w:tc>
          <w:tcPr>
            <w:tcW w:w="1474" w:type="dxa"/>
            <w:tcBorders>
              <w:bottom w:val="single" w:sz="4" w:space="0" w:color="000000"/>
            </w:tcBorders>
          </w:tcPr>
          <w:p>
            <w:pPr>
              <w:pStyle w:val="TableParagraph"/>
              <w:spacing w:line="225" w:lineRule="exact"/>
              <w:ind w:left="108"/>
              <w:rPr>
                <w:sz w:val="22"/>
              </w:rPr>
            </w:pPr>
            <w:r>
              <w:rPr>
                <w:sz w:val="22"/>
              </w:rPr>
              <w:t>(I)</w:t>
            </w:r>
            <w:r>
              <w:rPr>
                <w:spacing w:val="-2"/>
                <w:sz w:val="22"/>
              </w:rPr>
              <w:t> Group_2</w:t>
            </w:r>
          </w:p>
        </w:tc>
        <w:tc>
          <w:tcPr>
            <w:tcW w:w="1616" w:type="dxa"/>
            <w:tcBorders>
              <w:bottom w:val="single" w:sz="4" w:space="0" w:color="000000"/>
            </w:tcBorders>
          </w:tcPr>
          <w:p>
            <w:pPr>
              <w:pStyle w:val="TableParagraph"/>
              <w:spacing w:line="225" w:lineRule="exact"/>
              <w:ind w:left="343"/>
              <w:rPr>
                <w:sz w:val="22"/>
              </w:rPr>
            </w:pPr>
            <w:r>
              <w:rPr>
                <w:sz w:val="22"/>
              </w:rPr>
              <w:t>(J)</w:t>
            </w:r>
            <w:r>
              <w:rPr>
                <w:spacing w:val="-2"/>
                <w:sz w:val="22"/>
              </w:rPr>
              <w:t> Group_2</w:t>
            </w:r>
          </w:p>
        </w:tc>
        <w:tc>
          <w:tcPr>
            <w:tcW w:w="1446" w:type="dxa"/>
            <w:tcBorders>
              <w:bottom w:val="single" w:sz="4" w:space="0" w:color="000000"/>
            </w:tcBorders>
          </w:tcPr>
          <w:p>
            <w:pPr>
              <w:pStyle w:val="TableParagraph"/>
              <w:spacing w:line="225" w:lineRule="exact"/>
              <w:ind w:left="237"/>
              <w:rPr>
                <w:sz w:val="22"/>
              </w:rPr>
            </w:pPr>
            <w:r>
              <w:rPr>
                <w:spacing w:val="-2"/>
                <w:sz w:val="22"/>
              </w:rPr>
              <w:t>Mean±SEM</w:t>
            </w:r>
          </w:p>
        </w:tc>
        <w:tc>
          <w:tcPr>
            <w:tcW w:w="957" w:type="dxa"/>
            <w:tcBorders>
              <w:bottom w:val="single" w:sz="4" w:space="0" w:color="000000"/>
            </w:tcBorders>
          </w:tcPr>
          <w:p>
            <w:pPr>
              <w:pStyle w:val="TableParagraph"/>
              <w:spacing w:line="225" w:lineRule="exact"/>
              <w:ind w:left="185"/>
              <w:rPr>
                <w:sz w:val="22"/>
              </w:rPr>
            </w:pPr>
            <w:r>
              <w:rPr>
                <w:sz w:val="22"/>
              </w:rPr>
              <w:t>P-</w:t>
            </w:r>
            <w:r>
              <w:rPr>
                <w:spacing w:val="-2"/>
                <w:sz w:val="22"/>
              </w:rPr>
              <w:t>value</w:t>
            </w:r>
          </w:p>
        </w:tc>
        <w:tc>
          <w:tcPr>
            <w:tcW w:w="645" w:type="dxa"/>
          </w:tcPr>
          <w:p>
            <w:pPr>
              <w:pStyle w:val="TableParagraph"/>
              <w:spacing w:before="177"/>
              <w:ind w:left="256"/>
              <w:rPr>
                <w:sz w:val="22"/>
              </w:rPr>
            </w:pPr>
            <w:r>
              <w:rPr>
                <w:spacing w:val="-5"/>
                <w:sz w:val="22"/>
              </w:rPr>
              <w:t>LOS</w:t>
            </w:r>
          </w:p>
        </w:tc>
      </w:tr>
    </w:tbl>
    <w:p>
      <w:pPr>
        <w:spacing w:after="0"/>
        <w:rPr>
          <w:sz w:val="22"/>
        </w:rPr>
        <w:sectPr>
          <w:type w:val="continuous"/>
          <w:pgSz w:w="11910" w:h="16840"/>
          <w:pgMar w:header="0" w:footer="1055" w:top="1400" w:bottom="1240" w:left="1060" w:right="460"/>
        </w:sectPr>
      </w:pPr>
    </w:p>
    <w:p>
      <w:pPr>
        <w:pStyle w:val="BodyText"/>
        <w:spacing w:line="20" w:lineRule="exact"/>
        <w:ind w:left="1242"/>
        <w:rPr>
          <w:sz w:val="2"/>
        </w:rPr>
      </w:pPr>
      <w:r>
        <w:rPr>
          <w:sz w:val="2"/>
        </w:rPr>
        <mc:AlternateContent>
          <mc:Choice Requires="wps">
            <w:drawing>
              <wp:inline distT="0" distB="0" distL="0" distR="0">
                <wp:extent cx="3489960" cy="6350"/>
                <wp:effectExtent l="0" t="0" r="0" b="0"/>
                <wp:docPr id="499" name="Group 499"/>
                <wp:cNvGraphicFramePr>
                  <a:graphicFrameLocks/>
                </wp:cNvGraphicFramePr>
                <a:graphic>
                  <a:graphicData uri="http://schemas.microsoft.com/office/word/2010/wordprocessingGroup">
                    <wpg:wgp>
                      <wpg:cNvPr id="499" name="Group 499"/>
                      <wpg:cNvGrpSpPr/>
                      <wpg:grpSpPr>
                        <a:xfrm>
                          <a:off x="0" y="0"/>
                          <a:ext cx="3489960" cy="6350"/>
                          <a:chExt cx="3489960" cy="6350"/>
                        </a:xfrm>
                      </wpg:grpSpPr>
                      <wps:wsp>
                        <wps:cNvPr id="500" name="Graphic 500"/>
                        <wps:cNvSpPr/>
                        <wps:spPr>
                          <a:xfrm>
                            <a:off x="0" y="0"/>
                            <a:ext cx="3489960" cy="6350"/>
                          </a:xfrm>
                          <a:custGeom>
                            <a:avLst/>
                            <a:gdLst/>
                            <a:ahLst/>
                            <a:cxnLst/>
                            <a:rect l="l" t="t" r="r" b="b"/>
                            <a:pathLst>
                              <a:path w="3489960" h="6350">
                                <a:moveTo>
                                  <a:pt x="1085392" y="0"/>
                                </a:moveTo>
                                <a:lnTo>
                                  <a:pt x="0" y="0"/>
                                </a:lnTo>
                                <a:lnTo>
                                  <a:pt x="0" y="6096"/>
                                </a:lnTo>
                                <a:lnTo>
                                  <a:pt x="1085392" y="6096"/>
                                </a:lnTo>
                                <a:lnTo>
                                  <a:pt x="1085392" y="0"/>
                                </a:lnTo>
                                <a:close/>
                              </a:path>
                              <a:path w="3489960" h="6350">
                                <a:moveTo>
                                  <a:pt x="1091552" y="0"/>
                                </a:moveTo>
                                <a:lnTo>
                                  <a:pt x="1085469" y="0"/>
                                </a:lnTo>
                                <a:lnTo>
                                  <a:pt x="1085469" y="6096"/>
                                </a:lnTo>
                                <a:lnTo>
                                  <a:pt x="1091552" y="6096"/>
                                </a:lnTo>
                                <a:lnTo>
                                  <a:pt x="1091552" y="0"/>
                                </a:lnTo>
                                <a:close/>
                              </a:path>
                              <a:path w="3489960" h="6350">
                                <a:moveTo>
                                  <a:pt x="1952612" y="0"/>
                                </a:moveTo>
                                <a:lnTo>
                                  <a:pt x="1946529" y="0"/>
                                </a:lnTo>
                                <a:lnTo>
                                  <a:pt x="1091565" y="0"/>
                                </a:lnTo>
                                <a:lnTo>
                                  <a:pt x="1091565" y="6096"/>
                                </a:lnTo>
                                <a:lnTo>
                                  <a:pt x="1946529" y="6096"/>
                                </a:lnTo>
                                <a:lnTo>
                                  <a:pt x="1952612" y="6096"/>
                                </a:lnTo>
                                <a:lnTo>
                                  <a:pt x="1952612" y="0"/>
                                </a:lnTo>
                                <a:close/>
                              </a:path>
                              <a:path w="3489960" h="6350">
                                <a:moveTo>
                                  <a:pt x="3489375" y="0"/>
                                </a:moveTo>
                                <a:lnTo>
                                  <a:pt x="2935859" y="0"/>
                                </a:lnTo>
                                <a:lnTo>
                                  <a:pt x="2929813" y="0"/>
                                </a:lnTo>
                                <a:lnTo>
                                  <a:pt x="1952625" y="0"/>
                                </a:lnTo>
                                <a:lnTo>
                                  <a:pt x="1952625" y="6096"/>
                                </a:lnTo>
                                <a:lnTo>
                                  <a:pt x="2929763" y="6096"/>
                                </a:lnTo>
                                <a:lnTo>
                                  <a:pt x="2935859" y="6096"/>
                                </a:lnTo>
                                <a:lnTo>
                                  <a:pt x="3489375" y="6096"/>
                                </a:lnTo>
                                <a:lnTo>
                                  <a:pt x="348937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4.8pt;height:.5pt;mso-position-horizontal-relative:char;mso-position-vertical-relative:line" id="docshapegroup444" coordorigin="0,0" coordsize="5496,10">
                <v:shape style="position:absolute;left:0;top:0;width:5496;height:10" id="docshape445" coordorigin="0,0" coordsize="5496,10" path="m1709,0l0,0,0,10,1709,10,1709,0xm1719,0l1709,0,1709,10,1719,10,1719,0xm3075,0l3065,0,1719,0,1719,10,3065,10,3075,10,3075,0xm5495,0l4623,0,4614,0,4614,0,3075,0,3075,10,4614,10,4614,10,4623,10,5495,10,5495,0xe" filled="true" fillcolor="#000000" stroked="false">
                  <v:path arrowok="t"/>
                  <v:fill type="solid"/>
                </v:shape>
              </v:group>
            </w:pict>
          </mc:Fallback>
        </mc:AlternateContent>
      </w:r>
      <w:r>
        <w:rPr>
          <w:sz w:val="2"/>
        </w:rPr>
      </w:r>
    </w:p>
    <w:p>
      <w:pPr>
        <w:pStyle w:val="BodyText"/>
        <w:spacing w:before="189" w:after="1"/>
        <w:rPr>
          <w:b/>
          <w:sz w:val="20"/>
        </w:r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gridCol w:w="1305"/>
        <w:gridCol w:w="1695"/>
        <w:gridCol w:w="961"/>
        <w:gridCol w:w="741"/>
      </w:tblGrid>
      <w:tr>
        <w:trPr>
          <w:trHeight w:val="379" w:hRule="atLeast"/>
        </w:trPr>
        <w:tc>
          <w:tcPr>
            <w:tcW w:w="1642" w:type="dxa"/>
            <w:tcBorders>
              <w:top w:val="single" w:sz="4" w:space="0" w:color="000000"/>
            </w:tcBorders>
          </w:tcPr>
          <w:p>
            <w:pPr>
              <w:pStyle w:val="TableParagraph"/>
              <w:rPr>
                <w:rFonts w:ascii="Times New Roman"/>
                <w:sz w:val="22"/>
              </w:rPr>
            </w:pPr>
          </w:p>
        </w:tc>
        <w:tc>
          <w:tcPr>
            <w:tcW w:w="1305" w:type="dxa"/>
            <w:tcBorders>
              <w:top w:val="single" w:sz="4" w:space="0" w:color="000000"/>
            </w:tcBorders>
          </w:tcPr>
          <w:p>
            <w:pPr>
              <w:pStyle w:val="TableParagraph"/>
              <w:spacing w:line="265" w:lineRule="exact"/>
              <w:ind w:left="1" w:right="49"/>
              <w:jc w:val="center"/>
              <w:rPr>
                <w:sz w:val="22"/>
              </w:rPr>
            </w:pPr>
            <w:r>
              <w:rPr>
                <w:sz w:val="22"/>
              </w:rPr>
              <w:t>H:L;</w:t>
            </w:r>
            <w:r>
              <w:rPr>
                <w:spacing w:val="-5"/>
                <w:sz w:val="22"/>
              </w:rPr>
              <w:t> </w:t>
            </w:r>
            <w:r>
              <w:rPr>
                <w:spacing w:val="-2"/>
                <w:sz w:val="22"/>
              </w:rPr>
              <w:t>10:50</w:t>
            </w:r>
          </w:p>
        </w:tc>
        <w:tc>
          <w:tcPr>
            <w:tcW w:w="1695" w:type="dxa"/>
            <w:tcBorders>
              <w:top w:val="single" w:sz="4" w:space="0" w:color="000000"/>
            </w:tcBorders>
          </w:tcPr>
          <w:p>
            <w:pPr>
              <w:pStyle w:val="TableParagraph"/>
              <w:spacing w:line="265" w:lineRule="exact"/>
              <w:ind w:right="14"/>
              <w:jc w:val="center"/>
              <w:rPr>
                <w:sz w:val="22"/>
              </w:rPr>
            </w:pPr>
            <w:r>
              <w:rPr>
                <w:spacing w:val="-2"/>
                <w:sz w:val="22"/>
              </w:rPr>
              <w:t>22.071±0.529</w:t>
            </w:r>
          </w:p>
        </w:tc>
        <w:tc>
          <w:tcPr>
            <w:tcW w:w="961" w:type="dxa"/>
            <w:tcBorders>
              <w:top w:val="single" w:sz="4" w:space="0" w:color="000000"/>
            </w:tcBorders>
          </w:tcPr>
          <w:p>
            <w:pPr>
              <w:pStyle w:val="TableParagraph"/>
              <w:spacing w:line="265" w:lineRule="exact"/>
              <w:ind w:left="28"/>
              <w:jc w:val="center"/>
              <w:rPr>
                <w:sz w:val="22"/>
              </w:rPr>
            </w:pPr>
            <w:r>
              <w:rPr>
                <w:spacing w:val="-2"/>
                <w:sz w:val="22"/>
              </w:rPr>
              <w:t>0.019</w:t>
            </w:r>
          </w:p>
        </w:tc>
        <w:tc>
          <w:tcPr>
            <w:tcW w:w="741" w:type="dxa"/>
            <w:tcBorders>
              <w:top w:val="single" w:sz="4" w:space="0" w:color="000000"/>
            </w:tcBorders>
          </w:tcPr>
          <w:p>
            <w:pPr>
              <w:pStyle w:val="TableParagraph"/>
              <w:spacing w:line="265" w:lineRule="exact"/>
              <w:ind w:left="213"/>
              <w:rPr>
                <w:sz w:val="22"/>
              </w:rPr>
            </w:pPr>
            <w:r>
              <w:rPr>
                <w:spacing w:val="-5"/>
                <w:sz w:val="22"/>
              </w:rPr>
              <w:t>SF</w:t>
            </w:r>
          </w:p>
        </w:tc>
      </w:tr>
      <w:tr>
        <w:trPr>
          <w:trHeight w:val="384" w:hRule="atLeast"/>
        </w:trPr>
        <w:tc>
          <w:tcPr>
            <w:tcW w:w="1642" w:type="dxa"/>
          </w:tcPr>
          <w:p>
            <w:pPr>
              <w:pStyle w:val="TableParagraph"/>
              <w:rPr>
                <w:rFonts w:ascii="Times New Roman"/>
                <w:sz w:val="22"/>
              </w:rPr>
            </w:pPr>
          </w:p>
        </w:tc>
        <w:tc>
          <w:tcPr>
            <w:tcW w:w="1305" w:type="dxa"/>
          </w:tcPr>
          <w:p>
            <w:pPr>
              <w:pStyle w:val="TableParagraph"/>
              <w:spacing w:before="73"/>
              <w:ind w:left="1" w:right="49"/>
              <w:jc w:val="center"/>
              <w:rPr>
                <w:sz w:val="22"/>
              </w:rPr>
            </w:pPr>
            <w:r>
              <w:rPr>
                <w:sz w:val="22"/>
              </w:rPr>
              <w:t>H:L;</w:t>
            </w:r>
            <w:r>
              <w:rPr>
                <w:spacing w:val="-5"/>
                <w:sz w:val="22"/>
              </w:rPr>
              <w:t> </w:t>
            </w:r>
            <w:r>
              <w:rPr>
                <w:spacing w:val="-2"/>
                <w:sz w:val="22"/>
              </w:rPr>
              <w:t>20:50</w:t>
            </w:r>
          </w:p>
        </w:tc>
        <w:tc>
          <w:tcPr>
            <w:tcW w:w="1695" w:type="dxa"/>
          </w:tcPr>
          <w:p>
            <w:pPr>
              <w:pStyle w:val="TableParagraph"/>
              <w:spacing w:before="73"/>
              <w:ind w:right="14"/>
              <w:jc w:val="center"/>
              <w:rPr>
                <w:sz w:val="22"/>
              </w:rPr>
            </w:pPr>
            <w:r>
              <w:rPr>
                <w:spacing w:val="-2"/>
                <w:sz w:val="22"/>
              </w:rPr>
              <w:t>22.143±0.501</w:t>
            </w:r>
          </w:p>
        </w:tc>
        <w:tc>
          <w:tcPr>
            <w:tcW w:w="961" w:type="dxa"/>
          </w:tcPr>
          <w:p>
            <w:pPr>
              <w:pStyle w:val="TableParagraph"/>
              <w:spacing w:before="73"/>
              <w:ind w:left="28"/>
              <w:jc w:val="center"/>
              <w:rPr>
                <w:sz w:val="22"/>
              </w:rPr>
            </w:pPr>
            <w:r>
              <w:rPr>
                <w:spacing w:val="-2"/>
                <w:sz w:val="22"/>
              </w:rPr>
              <w:t>0.014</w:t>
            </w:r>
          </w:p>
        </w:tc>
        <w:tc>
          <w:tcPr>
            <w:tcW w:w="741" w:type="dxa"/>
          </w:tcPr>
          <w:p>
            <w:pPr>
              <w:pStyle w:val="TableParagraph"/>
              <w:spacing w:before="73"/>
              <w:ind w:left="213"/>
              <w:rPr>
                <w:sz w:val="22"/>
              </w:rPr>
            </w:pPr>
            <w:r>
              <w:rPr>
                <w:spacing w:val="-5"/>
                <w:sz w:val="22"/>
              </w:rPr>
              <w:t>SF</w:t>
            </w:r>
          </w:p>
        </w:tc>
      </w:tr>
      <w:tr>
        <w:trPr>
          <w:trHeight w:val="595" w:hRule="atLeast"/>
        </w:trPr>
        <w:tc>
          <w:tcPr>
            <w:tcW w:w="1642" w:type="dxa"/>
          </w:tcPr>
          <w:p>
            <w:pPr>
              <w:pStyle w:val="TableParagraph"/>
              <w:spacing w:before="1"/>
              <w:ind w:left="108"/>
              <w:rPr>
                <w:sz w:val="22"/>
              </w:rPr>
            </w:pPr>
            <w:r>
              <w:rPr>
                <w:sz w:val="22"/>
              </w:rPr>
              <w:t>Honey</w:t>
            </w:r>
            <w:r>
              <w:rPr>
                <w:spacing w:val="-4"/>
                <w:sz w:val="22"/>
              </w:rPr>
              <w:t> </w:t>
            </w:r>
            <w:r>
              <w:rPr>
                <w:spacing w:val="-2"/>
                <w:sz w:val="22"/>
              </w:rPr>
              <w:t>(100%)</w:t>
            </w:r>
          </w:p>
          <w:p>
            <w:pPr>
              <w:pStyle w:val="TableParagraph"/>
              <w:spacing w:before="15"/>
              <w:ind w:left="108"/>
              <w:rPr>
                <w:sz w:val="22"/>
              </w:rPr>
            </w:pPr>
            <w:r>
              <w:rPr>
                <w:spacing w:val="-2"/>
                <w:sz w:val="22"/>
              </w:rPr>
              <w:t>(19.429±0.402)</w:t>
            </w:r>
          </w:p>
        </w:tc>
        <w:tc>
          <w:tcPr>
            <w:tcW w:w="1305" w:type="dxa"/>
          </w:tcPr>
          <w:p>
            <w:pPr>
              <w:pStyle w:val="TableParagraph"/>
              <w:spacing w:before="143"/>
              <w:ind w:left="1" w:right="49"/>
              <w:jc w:val="center"/>
              <w:rPr>
                <w:sz w:val="22"/>
              </w:rPr>
            </w:pPr>
            <w:r>
              <w:rPr>
                <w:sz w:val="22"/>
              </w:rPr>
              <w:t>H:L;</w:t>
            </w:r>
            <w:r>
              <w:rPr>
                <w:spacing w:val="-5"/>
                <w:sz w:val="22"/>
              </w:rPr>
              <w:t> </w:t>
            </w:r>
            <w:r>
              <w:rPr>
                <w:spacing w:val="-2"/>
                <w:sz w:val="22"/>
              </w:rPr>
              <w:t>30:50</w:t>
            </w:r>
          </w:p>
        </w:tc>
        <w:tc>
          <w:tcPr>
            <w:tcW w:w="1695" w:type="dxa"/>
          </w:tcPr>
          <w:p>
            <w:pPr>
              <w:pStyle w:val="TableParagraph"/>
              <w:spacing w:before="143"/>
              <w:ind w:right="14"/>
              <w:jc w:val="center"/>
              <w:rPr>
                <w:sz w:val="22"/>
              </w:rPr>
            </w:pPr>
            <w:r>
              <w:rPr>
                <w:spacing w:val="-2"/>
                <w:sz w:val="22"/>
              </w:rPr>
              <w:t>22.643±0.830</w:t>
            </w:r>
          </w:p>
        </w:tc>
        <w:tc>
          <w:tcPr>
            <w:tcW w:w="961" w:type="dxa"/>
          </w:tcPr>
          <w:p>
            <w:pPr>
              <w:pStyle w:val="TableParagraph"/>
              <w:spacing w:before="143"/>
              <w:ind w:left="28"/>
              <w:jc w:val="center"/>
              <w:rPr>
                <w:sz w:val="22"/>
              </w:rPr>
            </w:pPr>
            <w:r>
              <w:rPr>
                <w:spacing w:val="-2"/>
                <w:sz w:val="22"/>
              </w:rPr>
              <w:t>0.002</w:t>
            </w:r>
          </w:p>
        </w:tc>
        <w:tc>
          <w:tcPr>
            <w:tcW w:w="741" w:type="dxa"/>
          </w:tcPr>
          <w:p>
            <w:pPr>
              <w:pStyle w:val="TableParagraph"/>
              <w:spacing w:before="143"/>
              <w:ind w:left="213"/>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305" w:type="dxa"/>
          </w:tcPr>
          <w:p>
            <w:pPr>
              <w:pStyle w:val="TableParagraph"/>
              <w:spacing w:before="1"/>
              <w:ind w:left="1" w:right="49"/>
              <w:jc w:val="center"/>
              <w:rPr>
                <w:sz w:val="22"/>
              </w:rPr>
            </w:pPr>
            <w:r>
              <w:rPr>
                <w:sz w:val="22"/>
              </w:rPr>
              <w:t>H:L;</w:t>
            </w:r>
            <w:r>
              <w:rPr>
                <w:spacing w:val="-5"/>
                <w:sz w:val="22"/>
              </w:rPr>
              <w:t> </w:t>
            </w:r>
            <w:r>
              <w:rPr>
                <w:spacing w:val="-2"/>
                <w:sz w:val="22"/>
              </w:rPr>
              <w:t>40:50</w:t>
            </w:r>
          </w:p>
        </w:tc>
        <w:tc>
          <w:tcPr>
            <w:tcW w:w="1695" w:type="dxa"/>
          </w:tcPr>
          <w:p>
            <w:pPr>
              <w:pStyle w:val="TableParagraph"/>
              <w:spacing w:before="1"/>
              <w:ind w:right="14"/>
              <w:jc w:val="center"/>
              <w:rPr>
                <w:sz w:val="22"/>
              </w:rPr>
            </w:pPr>
            <w:r>
              <w:rPr>
                <w:spacing w:val="-2"/>
                <w:sz w:val="22"/>
              </w:rPr>
              <w:t>22.429±0.511</w:t>
            </w:r>
          </w:p>
        </w:tc>
        <w:tc>
          <w:tcPr>
            <w:tcW w:w="961" w:type="dxa"/>
          </w:tcPr>
          <w:p>
            <w:pPr>
              <w:pStyle w:val="TableParagraph"/>
              <w:spacing w:before="1"/>
              <w:ind w:left="28"/>
              <w:jc w:val="center"/>
              <w:rPr>
                <w:sz w:val="22"/>
              </w:rPr>
            </w:pPr>
            <w:r>
              <w:rPr>
                <w:spacing w:val="-2"/>
                <w:sz w:val="22"/>
              </w:rPr>
              <w:t>0.004</w:t>
            </w:r>
          </w:p>
        </w:tc>
        <w:tc>
          <w:tcPr>
            <w:tcW w:w="741" w:type="dxa"/>
          </w:tcPr>
          <w:p>
            <w:pPr>
              <w:pStyle w:val="TableParagraph"/>
              <w:spacing w:before="1"/>
              <w:ind w:left="213"/>
              <w:rPr>
                <w:sz w:val="22"/>
              </w:rPr>
            </w:pPr>
            <w:r>
              <w:rPr>
                <w:spacing w:val="-5"/>
                <w:sz w:val="22"/>
              </w:rPr>
              <w:t>SF</w:t>
            </w:r>
          </w:p>
        </w:tc>
      </w:tr>
      <w:tr>
        <w:trPr>
          <w:trHeight w:val="521" w:hRule="atLeast"/>
        </w:trPr>
        <w:tc>
          <w:tcPr>
            <w:tcW w:w="1642" w:type="dxa"/>
            <w:tcBorders>
              <w:bottom w:val="single" w:sz="4" w:space="0" w:color="000000"/>
            </w:tcBorders>
          </w:tcPr>
          <w:p>
            <w:pPr>
              <w:pStyle w:val="TableParagraph"/>
              <w:rPr>
                <w:rFonts w:ascii="Times New Roman"/>
                <w:sz w:val="22"/>
              </w:rPr>
            </w:pPr>
          </w:p>
        </w:tc>
        <w:tc>
          <w:tcPr>
            <w:tcW w:w="1305" w:type="dxa"/>
            <w:tcBorders>
              <w:bottom w:val="single" w:sz="4" w:space="0" w:color="000000"/>
            </w:tcBorders>
          </w:tcPr>
          <w:p>
            <w:pPr>
              <w:pStyle w:val="TableParagraph"/>
              <w:spacing w:before="72"/>
              <w:ind w:left="1" w:right="49"/>
              <w:jc w:val="center"/>
              <w:rPr>
                <w:sz w:val="22"/>
              </w:rPr>
            </w:pPr>
            <w:r>
              <w:rPr>
                <w:sz w:val="22"/>
              </w:rPr>
              <w:t>H:L;</w:t>
            </w:r>
            <w:r>
              <w:rPr>
                <w:spacing w:val="-5"/>
                <w:sz w:val="22"/>
              </w:rPr>
              <w:t> </w:t>
            </w:r>
            <w:r>
              <w:rPr>
                <w:spacing w:val="-2"/>
                <w:sz w:val="22"/>
              </w:rPr>
              <w:t>50:50</w:t>
            </w:r>
          </w:p>
        </w:tc>
        <w:tc>
          <w:tcPr>
            <w:tcW w:w="1695" w:type="dxa"/>
            <w:tcBorders>
              <w:bottom w:val="single" w:sz="4" w:space="0" w:color="000000"/>
            </w:tcBorders>
          </w:tcPr>
          <w:p>
            <w:pPr>
              <w:pStyle w:val="TableParagraph"/>
              <w:spacing w:before="72"/>
              <w:ind w:right="14"/>
              <w:jc w:val="center"/>
              <w:rPr>
                <w:sz w:val="22"/>
              </w:rPr>
            </w:pPr>
            <w:r>
              <w:rPr>
                <w:spacing w:val="-2"/>
                <w:sz w:val="22"/>
              </w:rPr>
              <w:t>24.500±0.489</w:t>
            </w:r>
          </w:p>
        </w:tc>
        <w:tc>
          <w:tcPr>
            <w:tcW w:w="961" w:type="dxa"/>
            <w:tcBorders>
              <w:bottom w:val="single" w:sz="4" w:space="0" w:color="000000"/>
            </w:tcBorders>
          </w:tcPr>
          <w:p>
            <w:pPr>
              <w:pStyle w:val="TableParagraph"/>
              <w:spacing w:before="72"/>
              <w:ind w:left="28"/>
              <w:jc w:val="center"/>
              <w:rPr>
                <w:sz w:val="22"/>
              </w:rPr>
            </w:pPr>
            <w:r>
              <w:rPr>
                <w:spacing w:val="-2"/>
                <w:sz w:val="22"/>
              </w:rPr>
              <w:t>0.000</w:t>
            </w:r>
          </w:p>
        </w:tc>
        <w:tc>
          <w:tcPr>
            <w:tcW w:w="741" w:type="dxa"/>
            <w:tcBorders>
              <w:bottom w:val="single" w:sz="4" w:space="0" w:color="000000"/>
            </w:tcBorders>
          </w:tcPr>
          <w:p>
            <w:pPr>
              <w:pStyle w:val="TableParagraph"/>
              <w:spacing w:before="72"/>
              <w:ind w:left="213"/>
              <w:rPr>
                <w:sz w:val="22"/>
              </w:rPr>
            </w:pPr>
            <w:r>
              <w:rPr>
                <w:spacing w:val="-5"/>
                <w:sz w:val="22"/>
              </w:rPr>
              <w:t>SF</w:t>
            </w:r>
          </w:p>
        </w:tc>
      </w:tr>
      <w:tr>
        <w:trPr>
          <w:trHeight w:val="377" w:hRule="atLeast"/>
        </w:trPr>
        <w:tc>
          <w:tcPr>
            <w:tcW w:w="1642" w:type="dxa"/>
            <w:tcBorders>
              <w:top w:val="single" w:sz="4" w:space="0" w:color="000000"/>
            </w:tcBorders>
          </w:tcPr>
          <w:p>
            <w:pPr>
              <w:pStyle w:val="TableParagraph"/>
              <w:rPr>
                <w:rFonts w:ascii="Times New Roman"/>
                <w:sz w:val="22"/>
              </w:rPr>
            </w:pPr>
          </w:p>
        </w:tc>
        <w:tc>
          <w:tcPr>
            <w:tcW w:w="1305" w:type="dxa"/>
            <w:tcBorders>
              <w:top w:val="single" w:sz="4" w:space="0" w:color="000000"/>
            </w:tcBorders>
          </w:tcPr>
          <w:p>
            <w:pPr>
              <w:pStyle w:val="TableParagraph"/>
              <w:spacing w:line="265" w:lineRule="exact"/>
              <w:ind w:left="1" w:right="49"/>
              <w:jc w:val="center"/>
              <w:rPr>
                <w:sz w:val="22"/>
              </w:rPr>
            </w:pPr>
            <w:r>
              <w:rPr>
                <w:sz w:val="22"/>
              </w:rPr>
              <w:t>H:L;</w:t>
            </w:r>
            <w:r>
              <w:rPr>
                <w:spacing w:val="-5"/>
                <w:sz w:val="22"/>
              </w:rPr>
              <w:t> </w:t>
            </w:r>
            <w:r>
              <w:rPr>
                <w:spacing w:val="-2"/>
                <w:sz w:val="22"/>
              </w:rPr>
              <w:t>10:50</w:t>
            </w:r>
          </w:p>
        </w:tc>
        <w:tc>
          <w:tcPr>
            <w:tcW w:w="1695" w:type="dxa"/>
            <w:tcBorders>
              <w:top w:val="single" w:sz="4" w:space="0" w:color="000000"/>
            </w:tcBorders>
          </w:tcPr>
          <w:p>
            <w:pPr>
              <w:pStyle w:val="TableParagraph"/>
              <w:spacing w:line="265" w:lineRule="exact"/>
              <w:ind w:right="14"/>
              <w:jc w:val="center"/>
              <w:rPr>
                <w:sz w:val="22"/>
              </w:rPr>
            </w:pPr>
            <w:r>
              <w:rPr>
                <w:spacing w:val="-2"/>
                <w:sz w:val="22"/>
              </w:rPr>
              <w:t>22.071±0.529</w:t>
            </w:r>
          </w:p>
        </w:tc>
        <w:tc>
          <w:tcPr>
            <w:tcW w:w="961" w:type="dxa"/>
            <w:tcBorders>
              <w:top w:val="single" w:sz="4" w:space="0" w:color="000000"/>
            </w:tcBorders>
          </w:tcPr>
          <w:p>
            <w:pPr>
              <w:pStyle w:val="TableParagraph"/>
              <w:spacing w:line="265" w:lineRule="exact"/>
              <w:ind w:left="28"/>
              <w:jc w:val="center"/>
              <w:rPr>
                <w:sz w:val="22"/>
              </w:rPr>
            </w:pPr>
            <w:r>
              <w:rPr>
                <w:spacing w:val="-2"/>
                <w:sz w:val="22"/>
              </w:rPr>
              <w:t>0.000</w:t>
            </w:r>
          </w:p>
        </w:tc>
        <w:tc>
          <w:tcPr>
            <w:tcW w:w="741" w:type="dxa"/>
            <w:tcBorders>
              <w:top w:val="single" w:sz="4" w:space="0" w:color="000000"/>
            </w:tcBorders>
          </w:tcPr>
          <w:p>
            <w:pPr>
              <w:pStyle w:val="TableParagraph"/>
              <w:spacing w:line="265" w:lineRule="exact"/>
              <w:ind w:left="213"/>
              <w:rPr>
                <w:sz w:val="22"/>
              </w:rPr>
            </w:pPr>
            <w:r>
              <w:rPr>
                <w:spacing w:val="-5"/>
                <w:sz w:val="22"/>
              </w:rPr>
              <w:t>SF</w:t>
            </w:r>
          </w:p>
        </w:tc>
      </w:tr>
      <w:tr>
        <w:trPr>
          <w:trHeight w:val="383" w:hRule="atLeast"/>
        </w:trPr>
        <w:tc>
          <w:tcPr>
            <w:tcW w:w="1642" w:type="dxa"/>
          </w:tcPr>
          <w:p>
            <w:pPr>
              <w:pStyle w:val="TableParagraph"/>
              <w:rPr>
                <w:rFonts w:ascii="Times New Roman"/>
                <w:sz w:val="22"/>
              </w:rPr>
            </w:pPr>
          </w:p>
        </w:tc>
        <w:tc>
          <w:tcPr>
            <w:tcW w:w="1305" w:type="dxa"/>
          </w:tcPr>
          <w:p>
            <w:pPr>
              <w:pStyle w:val="TableParagraph"/>
              <w:spacing w:before="72"/>
              <w:ind w:left="1" w:right="49"/>
              <w:jc w:val="center"/>
              <w:rPr>
                <w:sz w:val="22"/>
              </w:rPr>
            </w:pPr>
            <w:r>
              <w:rPr>
                <w:sz w:val="22"/>
              </w:rPr>
              <w:t>H:L;</w:t>
            </w:r>
            <w:r>
              <w:rPr>
                <w:spacing w:val="-5"/>
                <w:sz w:val="22"/>
              </w:rPr>
              <w:t> </w:t>
            </w:r>
            <w:r>
              <w:rPr>
                <w:spacing w:val="-2"/>
                <w:sz w:val="22"/>
              </w:rPr>
              <w:t>20:50</w:t>
            </w:r>
          </w:p>
        </w:tc>
        <w:tc>
          <w:tcPr>
            <w:tcW w:w="1695" w:type="dxa"/>
          </w:tcPr>
          <w:p>
            <w:pPr>
              <w:pStyle w:val="TableParagraph"/>
              <w:spacing w:before="72"/>
              <w:ind w:right="14"/>
              <w:jc w:val="center"/>
              <w:rPr>
                <w:sz w:val="22"/>
              </w:rPr>
            </w:pPr>
            <w:r>
              <w:rPr>
                <w:spacing w:val="-2"/>
                <w:sz w:val="22"/>
              </w:rPr>
              <w:t>22.143±0.501</w:t>
            </w:r>
          </w:p>
        </w:tc>
        <w:tc>
          <w:tcPr>
            <w:tcW w:w="961" w:type="dxa"/>
          </w:tcPr>
          <w:p>
            <w:pPr>
              <w:pStyle w:val="TableParagraph"/>
              <w:spacing w:before="72"/>
              <w:ind w:left="28"/>
              <w:jc w:val="center"/>
              <w:rPr>
                <w:sz w:val="22"/>
              </w:rPr>
            </w:pPr>
            <w:r>
              <w:rPr>
                <w:spacing w:val="-2"/>
                <w:sz w:val="22"/>
              </w:rPr>
              <w:t>0.000</w:t>
            </w:r>
          </w:p>
        </w:tc>
        <w:tc>
          <w:tcPr>
            <w:tcW w:w="741" w:type="dxa"/>
          </w:tcPr>
          <w:p>
            <w:pPr>
              <w:pStyle w:val="TableParagraph"/>
              <w:spacing w:before="72"/>
              <w:ind w:left="213"/>
              <w:rPr>
                <w:sz w:val="22"/>
              </w:rPr>
            </w:pPr>
            <w:r>
              <w:rPr>
                <w:spacing w:val="-5"/>
                <w:sz w:val="22"/>
              </w:rPr>
              <w:t>SF</w:t>
            </w:r>
          </w:p>
        </w:tc>
      </w:tr>
      <w:tr>
        <w:trPr>
          <w:trHeight w:val="595" w:hRule="atLeast"/>
        </w:trPr>
        <w:tc>
          <w:tcPr>
            <w:tcW w:w="1642" w:type="dxa"/>
          </w:tcPr>
          <w:p>
            <w:pPr>
              <w:pStyle w:val="TableParagraph"/>
              <w:spacing w:before="2"/>
              <w:ind w:left="108"/>
              <w:rPr>
                <w:sz w:val="22"/>
              </w:rPr>
            </w:pPr>
            <w:r>
              <w:rPr>
                <w:sz w:val="22"/>
              </w:rPr>
              <w:t>Honey</w:t>
            </w:r>
            <w:r>
              <w:rPr>
                <w:spacing w:val="-2"/>
                <w:sz w:val="22"/>
              </w:rPr>
              <w:t> (50%)</w:t>
            </w:r>
          </w:p>
          <w:p>
            <w:pPr>
              <w:pStyle w:val="TableParagraph"/>
              <w:spacing w:before="14"/>
              <w:ind w:left="108"/>
              <w:rPr>
                <w:sz w:val="22"/>
              </w:rPr>
            </w:pPr>
            <w:r>
              <w:rPr>
                <w:spacing w:val="-2"/>
                <w:sz w:val="22"/>
              </w:rPr>
              <w:t>(15.714±0.438)</w:t>
            </w:r>
          </w:p>
        </w:tc>
        <w:tc>
          <w:tcPr>
            <w:tcW w:w="1305" w:type="dxa"/>
          </w:tcPr>
          <w:p>
            <w:pPr>
              <w:pStyle w:val="TableParagraph"/>
              <w:spacing w:before="143"/>
              <w:ind w:left="1" w:right="49"/>
              <w:jc w:val="center"/>
              <w:rPr>
                <w:sz w:val="22"/>
              </w:rPr>
            </w:pPr>
            <w:r>
              <w:rPr>
                <w:sz w:val="22"/>
              </w:rPr>
              <w:t>H:L;</w:t>
            </w:r>
            <w:r>
              <w:rPr>
                <w:spacing w:val="-5"/>
                <w:sz w:val="22"/>
              </w:rPr>
              <w:t> </w:t>
            </w:r>
            <w:r>
              <w:rPr>
                <w:spacing w:val="-2"/>
                <w:sz w:val="22"/>
              </w:rPr>
              <w:t>30:50</w:t>
            </w:r>
          </w:p>
        </w:tc>
        <w:tc>
          <w:tcPr>
            <w:tcW w:w="1695" w:type="dxa"/>
          </w:tcPr>
          <w:p>
            <w:pPr>
              <w:pStyle w:val="TableParagraph"/>
              <w:spacing w:before="143"/>
              <w:ind w:right="14"/>
              <w:jc w:val="center"/>
              <w:rPr>
                <w:sz w:val="22"/>
              </w:rPr>
            </w:pPr>
            <w:r>
              <w:rPr>
                <w:spacing w:val="-2"/>
                <w:sz w:val="22"/>
              </w:rPr>
              <w:t>22.643±0.830</w:t>
            </w:r>
          </w:p>
        </w:tc>
        <w:tc>
          <w:tcPr>
            <w:tcW w:w="961" w:type="dxa"/>
          </w:tcPr>
          <w:p>
            <w:pPr>
              <w:pStyle w:val="TableParagraph"/>
              <w:spacing w:before="143"/>
              <w:ind w:left="28"/>
              <w:jc w:val="center"/>
              <w:rPr>
                <w:sz w:val="22"/>
              </w:rPr>
            </w:pPr>
            <w:r>
              <w:rPr>
                <w:spacing w:val="-2"/>
                <w:sz w:val="22"/>
              </w:rPr>
              <w:t>0.000</w:t>
            </w:r>
          </w:p>
        </w:tc>
        <w:tc>
          <w:tcPr>
            <w:tcW w:w="741" w:type="dxa"/>
          </w:tcPr>
          <w:p>
            <w:pPr>
              <w:pStyle w:val="TableParagraph"/>
              <w:spacing w:before="143"/>
              <w:ind w:left="213"/>
              <w:rPr>
                <w:sz w:val="22"/>
              </w:rPr>
            </w:pPr>
            <w:r>
              <w:rPr>
                <w:spacing w:val="-5"/>
                <w:sz w:val="22"/>
              </w:rPr>
              <w:t>SF</w:t>
            </w:r>
          </w:p>
        </w:tc>
      </w:tr>
      <w:tr>
        <w:trPr>
          <w:trHeight w:val="384" w:hRule="atLeast"/>
        </w:trPr>
        <w:tc>
          <w:tcPr>
            <w:tcW w:w="1642" w:type="dxa"/>
          </w:tcPr>
          <w:p>
            <w:pPr>
              <w:pStyle w:val="TableParagraph"/>
              <w:rPr>
                <w:rFonts w:ascii="Times New Roman"/>
                <w:sz w:val="22"/>
              </w:rPr>
            </w:pPr>
          </w:p>
        </w:tc>
        <w:tc>
          <w:tcPr>
            <w:tcW w:w="1305" w:type="dxa"/>
          </w:tcPr>
          <w:p>
            <w:pPr>
              <w:pStyle w:val="TableParagraph"/>
              <w:spacing w:before="1"/>
              <w:ind w:left="1" w:right="49"/>
              <w:jc w:val="center"/>
              <w:rPr>
                <w:sz w:val="22"/>
              </w:rPr>
            </w:pPr>
            <w:r>
              <w:rPr>
                <w:sz w:val="22"/>
              </w:rPr>
              <w:t>H:L;</w:t>
            </w:r>
            <w:r>
              <w:rPr>
                <w:spacing w:val="-5"/>
                <w:sz w:val="22"/>
              </w:rPr>
              <w:t> </w:t>
            </w:r>
            <w:r>
              <w:rPr>
                <w:spacing w:val="-2"/>
                <w:sz w:val="22"/>
              </w:rPr>
              <w:t>40:50</w:t>
            </w:r>
          </w:p>
        </w:tc>
        <w:tc>
          <w:tcPr>
            <w:tcW w:w="1695" w:type="dxa"/>
          </w:tcPr>
          <w:p>
            <w:pPr>
              <w:pStyle w:val="TableParagraph"/>
              <w:spacing w:before="1"/>
              <w:ind w:right="14"/>
              <w:jc w:val="center"/>
              <w:rPr>
                <w:sz w:val="22"/>
              </w:rPr>
            </w:pPr>
            <w:r>
              <w:rPr>
                <w:spacing w:val="-2"/>
                <w:sz w:val="22"/>
              </w:rPr>
              <w:t>22.429±0.511</w:t>
            </w:r>
          </w:p>
        </w:tc>
        <w:tc>
          <w:tcPr>
            <w:tcW w:w="961" w:type="dxa"/>
          </w:tcPr>
          <w:p>
            <w:pPr>
              <w:pStyle w:val="TableParagraph"/>
              <w:spacing w:before="1"/>
              <w:ind w:left="28"/>
              <w:jc w:val="center"/>
              <w:rPr>
                <w:sz w:val="22"/>
              </w:rPr>
            </w:pPr>
            <w:r>
              <w:rPr>
                <w:spacing w:val="-2"/>
                <w:sz w:val="22"/>
              </w:rPr>
              <w:t>0.000</w:t>
            </w:r>
          </w:p>
        </w:tc>
        <w:tc>
          <w:tcPr>
            <w:tcW w:w="741" w:type="dxa"/>
          </w:tcPr>
          <w:p>
            <w:pPr>
              <w:pStyle w:val="TableParagraph"/>
              <w:spacing w:before="1"/>
              <w:ind w:left="213"/>
              <w:rPr>
                <w:sz w:val="22"/>
              </w:rPr>
            </w:pPr>
            <w:r>
              <w:rPr>
                <w:spacing w:val="-5"/>
                <w:sz w:val="22"/>
              </w:rPr>
              <w:t>SF</w:t>
            </w:r>
          </w:p>
        </w:tc>
      </w:tr>
      <w:tr>
        <w:trPr>
          <w:trHeight w:val="520" w:hRule="atLeast"/>
        </w:trPr>
        <w:tc>
          <w:tcPr>
            <w:tcW w:w="1642" w:type="dxa"/>
            <w:tcBorders>
              <w:bottom w:val="single" w:sz="4" w:space="0" w:color="000000"/>
            </w:tcBorders>
          </w:tcPr>
          <w:p>
            <w:pPr>
              <w:pStyle w:val="TableParagraph"/>
              <w:rPr>
                <w:rFonts w:ascii="Times New Roman"/>
                <w:sz w:val="22"/>
              </w:rPr>
            </w:pPr>
          </w:p>
        </w:tc>
        <w:tc>
          <w:tcPr>
            <w:tcW w:w="1305" w:type="dxa"/>
            <w:tcBorders>
              <w:bottom w:val="single" w:sz="4" w:space="0" w:color="000000"/>
            </w:tcBorders>
          </w:tcPr>
          <w:p>
            <w:pPr>
              <w:pStyle w:val="TableParagraph"/>
              <w:spacing w:before="73"/>
              <w:ind w:left="1" w:right="49"/>
              <w:jc w:val="center"/>
              <w:rPr>
                <w:sz w:val="22"/>
              </w:rPr>
            </w:pPr>
            <w:r>
              <w:rPr>
                <w:sz w:val="22"/>
              </w:rPr>
              <w:t>H:L;</w:t>
            </w:r>
            <w:r>
              <w:rPr>
                <w:spacing w:val="-5"/>
                <w:sz w:val="22"/>
              </w:rPr>
              <w:t> </w:t>
            </w:r>
            <w:r>
              <w:rPr>
                <w:spacing w:val="-2"/>
                <w:sz w:val="22"/>
              </w:rPr>
              <w:t>50:50</w:t>
            </w:r>
          </w:p>
        </w:tc>
        <w:tc>
          <w:tcPr>
            <w:tcW w:w="1695" w:type="dxa"/>
            <w:tcBorders>
              <w:bottom w:val="single" w:sz="4" w:space="0" w:color="000000"/>
            </w:tcBorders>
          </w:tcPr>
          <w:p>
            <w:pPr>
              <w:pStyle w:val="TableParagraph"/>
              <w:spacing w:before="73"/>
              <w:ind w:right="14"/>
              <w:jc w:val="center"/>
              <w:rPr>
                <w:sz w:val="22"/>
              </w:rPr>
            </w:pPr>
            <w:r>
              <w:rPr>
                <w:spacing w:val="-2"/>
                <w:sz w:val="22"/>
              </w:rPr>
              <w:t>24.500±0.489</w:t>
            </w:r>
          </w:p>
        </w:tc>
        <w:tc>
          <w:tcPr>
            <w:tcW w:w="961" w:type="dxa"/>
            <w:tcBorders>
              <w:bottom w:val="single" w:sz="4" w:space="0" w:color="000000"/>
            </w:tcBorders>
          </w:tcPr>
          <w:p>
            <w:pPr>
              <w:pStyle w:val="TableParagraph"/>
              <w:spacing w:before="73"/>
              <w:ind w:left="28"/>
              <w:jc w:val="center"/>
              <w:rPr>
                <w:sz w:val="22"/>
              </w:rPr>
            </w:pPr>
            <w:r>
              <w:rPr>
                <w:spacing w:val="-2"/>
                <w:sz w:val="22"/>
              </w:rPr>
              <w:t>0.000</w:t>
            </w:r>
          </w:p>
        </w:tc>
        <w:tc>
          <w:tcPr>
            <w:tcW w:w="741" w:type="dxa"/>
            <w:tcBorders>
              <w:bottom w:val="single" w:sz="4" w:space="0" w:color="000000"/>
            </w:tcBorders>
          </w:tcPr>
          <w:p>
            <w:pPr>
              <w:pStyle w:val="TableParagraph"/>
              <w:spacing w:before="73"/>
              <w:ind w:left="213"/>
              <w:rPr>
                <w:sz w:val="22"/>
              </w:rPr>
            </w:pPr>
            <w:r>
              <w:rPr>
                <w:spacing w:val="-5"/>
                <w:sz w:val="22"/>
              </w:rPr>
              <w:t>SF</w:t>
            </w:r>
          </w:p>
        </w:tc>
      </w:tr>
      <w:tr>
        <w:trPr>
          <w:trHeight w:val="377" w:hRule="atLeast"/>
        </w:trPr>
        <w:tc>
          <w:tcPr>
            <w:tcW w:w="1642" w:type="dxa"/>
            <w:tcBorders>
              <w:top w:val="single" w:sz="4" w:space="0" w:color="000000"/>
            </w:tcBorders>
          </w:tcPr>
          <w:p>
            <w:pPr>
              <w:pStyle w:val="TableParagraph"/>
              <w:rPr>
                <w:rFonts w:ascii="Times New Roman"/>
                <w:sz w:val="22"/>
              </w:rPr>
            </w:pPr>
          </w:p>
        </w:tc>
        <w:tc>
          <w:tcPr>
            <w:tcW w:w="1305" w:type="dxa"/>
            <w:tcBorders>
              <w:top w:val="single" w:sz="4" w:space="0" w:color="000000"/>
            </w:tcBorders>
          </w:tcPr>
          <w:p>
            <w:pPr>
              <w:pStyle w:val="TableParagraph"/>
              <w:spacing w:line="265" w:lineRule="exact"/>
              <w:ind w:left="1" w:right="49"/>
              <w:jc w:val="center"/>
              <w:rPr>
                <w:sz w:val="22"/>
              </w:rPr>
            </w:pPr>
            <w:r>
              <w:rPr>
                <w:sz w:val="22"/>
              </w:rPr>
              <w:t>H:L;</w:t>
            </w:r>
            <w:r>
              <w:rPr>
                <w:spacing w:val="-5"/>
                <w:sz w:val="22"/>
              </w:rPr>
              <w:t> </w:t>
            </w:r>
            <w:r>
              <w:rPr>
                <w:spacing w:val="-2"/>
                <w:sz w:val="22"/>
              </w:rPr>
              <w:t>10:50</w:t>
            </w:r>
          </w:p>
        </w:tc>
        <w:tc>
          <w:tcPr>
            <w:tcW w:w="1695" w:type="dxa"/>
            <w:tcBorders>
              <w:top w:val="single" w:sz="4" w:space="0" w:color="000000"/>
            </w:tcBorders>
          </w:tcPr>
          <w:p>
            <w:pPr>
              <w:pStyle w:val="TableParagraph"/>
              <w:spacing w:line="265" w:lineRule="exact"/>
              <w:ind w:right="14"/>
              <w:jc w:val="center"/>
              <w:rPr>
                <w:sz w:val="22"/>
              </w:rPr>
            </w:pPr>
            <w:r>
              <w:rPr>
                <w:spacing w:val="-2"/>
                <w:sz w:val="22"/>
              </w:rPr>
              <w:t>22.071±0.529</w:t>
            </w:r>
          </w:p>
        </w:tc>
        <w:tc>
          <w:tcPr>
            <w:tcW w:w="961" w:type="dxa"/>
            <w:tcBorders>
              <w:top w:val="single" w:sz="4" w:space="0" w:color="000000"/>
            </w:tcBorders>
          </w:tcPr>
          <w:p>
            <w:pPr>
              <w:pStyle w:val="TableParagraph"/>
              <w:spacing w:line="265" w:lineRule="exact"/>
              <w:ind w:left="28"/>
              <w:jc w:val="center"/>
              <w:rPr>
                <w:sz w:val="22"/>
              </w:rPr>
            </w:pPr>
            <w:r>
              <w:rPr>
                <w:spacing w:val="-2"/>
                <w:sz w:val="22"/>
              </w:rPr>
              <w:t>0.000</w:t>
            </w:r>
          </w:p>
        </w:tc>
        <w:tc>
          <w:tcPr>
            <w:tcW w:w="741" w:type="dxa"/>
            <w:tcBorders>
              <w:top w:val="single" w:sz="4" w:space="0" w:color="000000"/>
            </w:tcBorders>
          </w:tcPr>
          <w:p>
            <w:pPr>
              <w:pStyle w:val="TableParagraph"/>
              <w:spacing w:line="265" w:lineRule="exact"/>
              <w:ind w:left="213"/>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305" w:type="dxa"/>
          </w:tcPr>
          <w:p>
            <w:pPr>
              <w:pStyle w:val="TableParagraph"/>
              <w:spacing w:before="72"/>
              <w:ind w:left="1" w:right="49"/>
              <w:jc w:val="center"/>
              <w:rPr>
                <w:sz w:val="22"/>
              </w:rPr>
            </w:pPr>
            <w:r>
              <w:rPr>
                <w:sz w:val="22"/>
              </w:rPr>
              <w:t>H:L;</w:t>
            </w:r>
            <w:r>
              <w:rPr>
                <w:spacing w:val="-5"/>
                <w:sz w:val="22"/>
              </w:rPr>
              <w:t> </w:t>
            </w:r>
            <w:r>
              <w:rPr>
                <w:spacing w:val="-2"/>
                <w:sz w:val="22"/>
              </w:rPr>
              <w:t>20:50</w:t>
            </w:r>
          </w:p>
        </w:tc>
        <w:tc>
          <w:tcPr>
            <w:tcW w:w="1695" w:type="dxa"/>
          </w:tcPr>
          <w:p>
            <w:pPr>
              <w:pStyle w:val="TableParagraph"/>
              <w:spacing w:before="72"/>
              <w:ind w:right="14"/>
              <w:jc w:val="center"/>
              <w:rPr>
                <w:sz w:val="22"/>
              </w:rPr>
            </w:pPr>
            <w:r>
              <w:rPr>
                <w:spacing w:val="-2"/>
                <w:sz w:val="22"/>
              </w:rPr>
              <w:t>22.143±0.501</w:t>
            </w:r>
          </w:p>
        </w:tc>
        <w:tc>
          <w:tcPr>
            <w:tcW w:w="961" w:type="dxa"/>
          </w:tcPr>
          <w:p>
            <w:pPr>
              <w:pStyle w:val="TableParagraph"/>
              <w:spacing w:before="72"/>
              <w:ind w:left="28"/>
              <w:jc w:val="center"/>
              <w:rPr>
                <w:sz w:val="22"/>
              </w:rPr>
            </w:pPr>
            <w:r>
              <w:rPr>
                <w:spacing w:val="-2"/>
                <w:sz w:val="22"/>
              </w:rPr>
              <w:t>0.000</w:t>
            </w:r>
          </w:p>
        </w:tc>
        <w:tc>
          <w:tcPr>
            <w:tcW w:w="741" w:type="dxa"/>
          </w:tcPr>
          <w:p>
            <w:pPr>
              <w:pStyle w:val="TableParagraph"/>
              <w:spacing w:before="72"/>
              <w:ind w:left="213"/>
              <w:rPr>
                <w:sz w:val="22"/>
              </w:rPr>
            </w:pPr>
            <w:r>
              <w:rPr>
                <w:spacing w:val="-5"/>
                <w:sz w:val="22"/>
              </w:rPr>
              <w:t>SF</w:t>
            </w:r>
          </w:p>
        </w:tc>
      </w:tr>
      <w:tr>
        <w:trPr>
          <w:trHeight w:val="597" w:hRule="atLeast"/>
        </w:trPr>
        <w:tc>
          <w:tcPr>
            <w:tcW w:w="1642" w:type="dxa"/>
          </w:tcPr>
          <w:p>
            <w:pPr>
              <w:pStyle w:val="TableParagraph"/>
              <w:spacing w:before="1"/>
              <w:ind w:left="108"/>
              <w:rPr>
                <w:sz w:val="22"/>
              </w:rPr>
            </w:pPr>
            <w:r>
              <w:rPr>
                <w:sz w:val="22"/>
              </w:rPr>
              <w:t>Honey</w:t>
            </w:r>
            <w:r>
              <w:rPr>
                <w:spacing w:val="-2"/>
                <w:sz w:val="22"/>
              </w:rPr>
              <w:t> (25%)</w:t>
            </w:r>
          </w:p>
          <w:p>
            <w:pPr>
              <w:pStyle w:val="TableParagraph"/>
              <w:spacing w:before="17"/>
              <w:ind w:left="108"/>
              <w:rPr>
                <w:sz w:val="22"/>
              </w:rPr>
            </w:pPr>
            <w:r>
              <w:rPr>
                <w:spacing w:val="-2"/>
                <w:sz w:val="22"/>
              </w:rPr>
              <w:t>(12.500±0.542)</w:t>
            </w:r>
          </w:p>
        </w:tc>
        <w:tc>
          <w:tcPr>
            <w:tcW w:w="1305" w:type="dxa"/>
          </w:tcPr>
          <w:p>
            <w:pPr>
              <w:pStyle w:val="TableParagraph"/>
              <w:spacing w:before="145"/>
              <w:ind w:left="1" w:right="49"/>
              <w:jc w:val="center"/>
              <w:rPr>
                <w:sz w:val="22"/>
              </w:rPr>
            </w:pPr>
            <w:r>
              <w:rPr>
                <w:sz w:val="22"/>
              </w:rPr>
              <w:t>H:L;</w:t>
            </w:r>
            <w:r>
              <w:rPr>
                <w:spacing w:val="-5"/>
                <w:sz w:val="22"/>
              </w:rPr>
              <w:t> </w:t>
            </w:r>
            <w:r>
              <w:rPr>
                <w:spacing w:val="-2"/>
                <w:sz w:val="22"/>
              </w:rPr>
              <w:t>30:50</w:t>
            </w:r>
          </w:p>
        </w:tc>
        <w:tc>
          <w:tcPr>
            <w:tcW w:w="1695" w:type="dxa"/>
          </w:tcPr>
          <w:p>
            <w:pPr>
              <w:pStyle w:val="TableParagraph"/>
              <w:spacing w:before="145"/>
              <w:ind w:right="14"/>
              <w:jc w:val="center"/>
              <w:rPr>
                <w:sz w:val="22"/>
              </w:rPr>
            </w:pPr>
            <w:r>
              <w:rPr>
                <w:spacing w:val="-2"/>
                <w:sz w:val="22"/>
              </w:rPr>
              <w:t>22.643±0.830</w:t>
            </w:r>
          </w:p>
        </w:tc>
        <w:tc>
          <w:tcPr>
            <w:tcW w:w="961" w:type="dxa"/>
          </w:tcPr>
          <w:p>
            <w:pPr>
              <w:pStyle w:val="TableParagraph"/>
              <w:spacing w:before="145"/>
              <w:ind w:left="28"/>
              <w:jc w:val="center"/>
              <w:rPr>
                <w:sz w:val="22"/>
              </w:rPr>
            </w:pPr>
            <w:r>
              <w:rPr>
                <w:spacing w:val="-2"/>
                <w:sz w:val="22"/>
              </w:rPr>
              <w:t>0.000</w:t>
            </w:r>
          </w:p>
        </w:tc>
        <w:tc>
          <w:tcPr>
            <w:tcW w:w="741" w:type="dxa"/>
          </w:tcPr>
          <w:p>
            <w:pPr>
              <w:pStyle w:val="TableParagraph"/>
              <w:spacing w:before="145"/>
              <w:ind w:left="213"/>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305" w:type="dxa"/>
          </w:tcPr>
          <w:p>
            <w:pPr>
              <w:pStyle w:val="TableParagraph"/>
              <w:spacing w:before="1"/>
              <w:ind w:left="1" w:right="49"/>
              <w:jc w:val="center"/>
              <w:rPr>
                <w:sz w:val="22"/>
              </w:rPr>
            </w:pPr>
            <w:r>
              <w:rPr>
                <w:sz w:val="22"/>
              </w:rPr>
              <w:t>H:L;</w:t>
            </w:r>
            <w:r>
              <w:rPr>
                <w:spacing w:val="-5"/>
                <w:sz w:val="22"/>
              </w:rPr>
              <w:t> </w:t>
            </w:r>
            <w:r>
              <w:rPr>
                <w:spacing w:val="-2"/>
                <w:sz w:val="22"/>
              </w:rPr>
              <w:t>40:50</w:t>
            </w:r>
          </w:p>
        </w:tc>
        <w:tc>
          <w:tcPr>
            <w:tcW w:w="1695" w:type="dxa"/>
          </w:tcPr>
          <w:p>
            <w:pPr>
              <w:pStyle w:val="TableParagraph"/>
              <w:spacing w:before="1"/>
              <w:ind w:right="14"/>
              <w:jc w:val="center"/>
              <w:rPr>
                <w:sz w:val="22"/>
              </w:rPr>
            </w:pPr>
            <w:r>
              <w:rPr>
                <w:spacing w:val="-2"/>
                <w:sz w:val="22"/>
              </w:rPr>
              <w:t>22.429±0.511</w:t>
            </w:r>
          </w:p>
        </w:tc>
        <w:tc>
          <w:tcPr>
            <w:tcW w:w="961" w:type="dxa"/>
          </w:tcPr>
          <w:p>
            <w:pPr>
              <w:pStyle w:val="TableParagraph"/>
              <w:spacing w:before="1"/>
              <w:ind w:left="28"/>
              <w:jc w:val="center"/>
              <w:rPr>
                <w:sz w:val="22"/>
              </w:rPr>
            </w:pPr>
            <w:r>
              <w:rPr>
                <w:spacing w:val="-2"/>
                <w:sz w:val="22"/>
              </w:rPr>
              <w:t>0.000</w:t>
            </w:r>
          </w:p>
        </w:tc>
        <w:tc>
          <w:tcPr>
            <w:tcW w:w="741" w:type="dxa"/>
          </w:tcPr>
          <w:p>
            <w:pPr>
              <w:pStyle w:val="TableParagraph"/>
              <w:spacing w:before="1"/>
              <w:ind w:left="213"/>
              <w:rPr>
                <w:sz w:val="22"/>
              </w:rPr>
            </w:pPr>
            <w:r>
              <w:rPr>
                <w:spacing w:val="-5"/>
                <w:sz w:val="22"/>
              </w:rPr>
              <w:t>SF</w:t>
            </w:r>
          </w:p>
        </w:tc>
      </w:tr>
      <w:tr>
        <w:trPr>
          <w:trHeight w:val="519" w:hRule="atLeast"/>
        </w:trPr>
        <w:tc>
          <w:tcPr>
            <w:tcW w:w="1642" w:type="dxa"/>
            <w:tcBorders>
              <w:bottom w:val="single" w:sz="4" w:space="0" w:color="000000"/>
            </w:tcBorders>
          </w:tcPr>
          <w:p>
            <w:pPr>
              <w:pStyle w:val="TableParagraph"/>
              <w:rPr>
                <w:rFonts w:ascii="Times New Roman"/>
                <w:sz w:val="22"/>
              </w:rPr>
            </w:pPr>
          </w:p>
        </w:tc>
        <w:tc>
          <w:tcPr>
            <w:tcW w:w="1305" w:type="dxa"/>
            <w:tcBorders>
              <w:bottom w:val="single" w:sz="4" w:space="0" w:color="000000"/>
            </w:tcBorders>
          </w:tcPr>
          <w:p>
            <w:pPr>
              <w:pStyle w:val="TableParagraph"/>
              <w:spacing w:before="72"/>
              <w:ind w:left="1" w:right="49"/>
              <w:jc w:val="center"/>
              <w:rPr>
                <w:sz w:val="22"/>
              </w:rPr>
            </w:pPr>
            <w:r>
              <w:rPr>
                <w:sz w:val="22"/>
              </w:rPr>
              <w:t>H:L;</w:t>
            </w:r>
            <w:r>
              <w:rPr>
                <w:spacing w:val="-5"/>
                <w:sz w:val="22"/>
              </w:rPr>
              <w:t> </w:t>
            </w:r>
            <w:r>
              <w:rPr>
                <w:spacing w:val="-2"/>
                <w:sz w:val="22"/>
              </w:rPr>
              <w:t>50:50</w:t>
            </w:r>
          </w:p>
        </w:tc>
        <w:tc>
          <w:tcPr>
            <w:tcW w:w="1695" w:type="dxa"/>
            <w:tcBorders>
              <w:bottom w:val="single" w:sz="4" w:space="0" w:color="000000"/>
            </w:tcBorders>
          </w:tcPr>
          <w:p>
            <w:pPr>
              <w:pStyle w:val="TableParagraph"/>
              <w:spacing w:before="72"/>
              <w:ind w:right="14"/>
              <w:jc w:val="center"/>
              <w:rPr>
                <w:sz w:val="22"/>
              </w:rPr>
            </w:pPr>
            <w:r>
              <w:rPr>
                <w:spacing w:val="-2"/>
                <w:sz w:val="22"/>
              </w:rPr>
              <w:t>24.500±0.489</w:t>
            </w:r>
          </w:p>
        </w:tc>
        <w:tc>
          <w:tcPr>
            <w:tcW w:w="961" w:type="dxa"/>
            <w:tcBorders>
              <w:bottom w:val="single" w:sz="4" w:space="0" w:color="000000"/>
            </w:tcBorders>
          </w:tcPr>
          <w:p>
            <w:pPr>
              <w:pStyle w:val="TableParagraph"/>
              <w:spacing w:before="72"/>
              <w:ind w:left="28"/>
              <w:jc w:val="center"/>
              <w:rPr>
                <w:sz w:val="22"/>
              </w:rPr>
            </w:pPr>
            <w:r>
              <w:rPr>
                <w:spacing w:val="-2"/>
                <w:sz w:val="22"/>
              </w:rPr>
              <w:t>0.000</w:t>
            </w:r>
          </w:p>
        </w:tc>
        <w:tc>
          <w:tcPr>
            <w:tcW w:w="741" w:type="dxa"/>
            <w:tcBorders>
              <w:bottom w:val="single" w:sz="4" w:space="0" w:color="000000"/>
            </w:tcBorders>
          </w:tcPr>
          <w:p>
            <w:pPr>
              <w:pStyle w:val="TableParagraph"/>
              <w:spacing w:before="72"/>
              <w:ind w:left="213"/>
              <w:rPr>
                <w:sz w:val="22"/>
              </w:rPr>
            </w:pPr>
            <w:r>
              <w:rPr>
                <w:spacing w:val="-5"/>
                <w:sz w:val="22"/>
              </w:rPr>
              <w:t>SF</w:t>
            </w:r>
          </w:p>
        </w:tc>
      </w:tr>
    </w:tbl>
    <w:p>
      <w:pPr>
        <w:pStyle w:val="BodyText"/>
        <w:spacing w:line="259" w:lineRule="auto" w:before="4"/>
        <w:ind w:left="380" w:right="975"/>
      </w:pPr>
      <w:r>
        <w:rPr>
          <w:b/>
        </w:rPr>
        <w:t>Key:</w:t>
      </w:r>
      <w:r>
        <w:rPr>
          <w:b/>
          <w:spacing w:val="34"/>
        </w:rPr>
        <w:t> </w:t>
      </w:r>
      <w:r>
        <w:rPr/>
        <w:t>LOS=Level</w:t>
      </w:r>
      <w:r>
        <w:rPr>
          <w:spacing w:val="32"/>
        </w:rPr>
        <w:t> </w:t>
      </w:r>
      <w:r>
        <w:rPr/>
        <w:t>of</w:t>
      </w:r>
      <w:r>
        <w:rPr>
          <w:spacing w:val="32"/>
        </w:rPr>
        <w:t> </w:t>
      </w:r>
      <w:r>
        <w:rPr/>
        <w:t>significance;</w:t>
      </w:r>
      <w:r>
        <w:rPr>
          <w:spacing w:val="38"/>
        </w:rPr>
        <w:t> </w:t>
      </w:r>
      <w:r>
        <w:rPr/>
        <w:t>NS=Not</w:t>
      </w:r>
      <w:r>
        <w:rPr>
          <w:spacing w:val="33"/>
        </w:rPr>
        <w:t> </w:t>
      </w:r>
      <w:r>
        <w:rPr/>
        <w:t>significantly</w:t>
      </w:r>
      <w:r>
        <w:rPr>
          <w:spacing w:val="33"/>
        </w:rPr>
        <w:t> </w:t>
      </w:r>
      <w:r>
        <w:rPr/>
        <w:t>different;</w:t>
      </w:r>
      <w:r>
        <w:rPr>
          <w:spacing w:val="35"/>
        </w:rPr>
        <w:t> </w:t>
      </w:r>
      <w:r>
        <w:rPr/>
        <w:t>SF=Significantly</w:t>
      </w:r>
      <w:r>
        <w:rPr>
          <w:spacing w:val="33"/>
        </w:rPr>
        <w:t> </w:t>
      </w:r>
      <w:r>
        <w:rPr/>
        <w:t>different;</w:t>
      </w:r>
      <w:r>
        <w:rPr>
          <w:spacing w:val="35"/>
        </w:rPr>
        <w:t> </w:t>
      </w:r>
      <w:r>
        <w:rPr/>
        <w:t>H=Honey and L=Lemon juice.</w:t>
      </w:r>
    </w:p>
    <w:p>
      <w:pPr>
        <w:spacing w:after="0" w:line="259" w:lineRule="auto"/>
        <w:sectPr>
          <w:pgSz w:w="11910" w:h="16840"/>
          <w:pgMar w:header="0" w:footer="1055" w:top="14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3"/>
      </w:pPr>
    </w:p>
    <w:p>
      <w:pPr>
        <w:pStyle w:val="Heading3"/>
        <w:spacing w:line="403" w:lineRule="auto"/>
        <w:ind w:right="3107"/>
      </w:pPr>
      <w:r>
        <w:rPr/>
        <w:t>Comparing</w:t>
      </w:r>
      <w:r>
        <w:rPr>
          <w:spacing w:val="-5"/>
        </w:rPr>
        <w:t> </w:t>
      </w:r>
      <w:r>
        <w:rPr/>
        <w:t>the</w:t>
      </w:r>
      <w:r>
        <w:rPr>
          <w:spacing w:val="-4"/>
        </w:rPr>
        <w:t> </w:t>
      </w:r>
      <w:r>
        <w:rPr/>
        <w:t>mean</w:t>
      </w:r>
      <w:r>
        <w:rPr>
          <w:spacing w:val="-4"/>
        </w:rPr>
        <w:t> </w:t>
      </w:r>
      <w:r>
        <w:rPr/>
        <w:t>zones</w:t>
      </w:r>
      <w:r>
        <w:rPr>
          <w:spacing w:val="-3"/>
        </w:rPr>
        <w:t> </w:t>
      </w:r>
      <w:r>
        <w:rPr/>
        <w:t>of</w:t>
      </w:r>
      <w:r>
        <w:rPr>
          <w:spacing w:val="-3"/>
        </w:rPr>
        <w:t> </w:t>
      </w:r>
      <w:r>
        <w:rPr/>
        <w:t>inhibition</w:t>
      </w:r>
      <w:r>
        <w:rPr>
          <w:spacing w:val="-4"/>
        </w:rPr>
        <w:t> </w:t>
      </w:r>
      <w:r>
        <w:rPr/>
        <w:t>of</w:t>
      </w:r>
      <w:r>
        <w:rPr>
          <w:spacing w:val="-3"/>
        </w:rPr>
        <w:t> </w:t>
      </w:r>
      <w:r>
        <w:rPr/>
        <w:t>Honey</w:t>
      </w:r>
      <w:r>
        <w:rPr>
          <w:spacing w:val="-3"/>
        </w:rPr>
        <w:t> </w:t>
      </w:r>
      <w:r>
        <w:rPr/>
        <w:t>and</w:t>
      </w:r>
      <w:r>
        <w:rPr>
          <w:spacing w:val="-4"/>
        </w:rPr>
        <w:t> </w:t>
      </w:r>
      <w:r>
        <w:rPr/>
        <w:t>the</w:t>
      </w:r>
      <w:r>
        <w:rPr>
          <w:spacing w:val="-4"/>
        </w:rPr>
        <w:t> </w:t>
      </w:r>
      <w:r>
        <w:rPr/>
        <w:t>mixture of Honey and Lemon juice against </w:t>
      </w:r>
      <w:r>
        <w:rPr>
          <w:i/>
        </w:rPr>
        <w:t>Haemophilus influenzae</w:t>
      </w:r>
      <w:r>
        <w:rPr/>
        <w:t>.</w:t>
      </w:r>
    </w:p>
    <w:p>
      <w:pPr>
        <w:pStyle w:val="BodyText"/>
        <w:spacing w:before="183"/>
        <w:rPr>
          <w:b/>
          <w:sz w:val="20"/>
        </w:rPr>
      </w:pPr>
      <w:r>
        <w:rPr/>
        <mc:AlternateContent>
          <mc:Choice Requires="wps">
            <w:drawing>
              <wp:anchor distT="0" distB="0" distL="0" distR="0" allowOverlap="1" layoutInCell="1" locked="0" behindDoc="1" simplePos="0" relativeHeight="487680000">
                <wp:simplePos x="0" y="0"/>
                <wp:positionH relativeFrom="page">
                  <wp:posOffset>1461770</wp:posOffset>
                </wp:positionH>
                <wp:positionV relativeFrom="paragraph">
                  <wp:posOffset>286990</wp:posOffset>
                </wp:positionV>
                <wp:extent cx="4027804" cy="6350"/>
                <wp:effectExtent l="0" t="0" r="0" b="0"/>
                <wp:wrapTopAndBottom/>
                <wp:docPr id="501" name="Graphic 501"/>
                <wp:cNvGraphicFramePr>
                  <a:graphicFrameLocks/>
                </wp:cNvGraphicFramePr>
                <a:graphic>
                  <a:graphicData uri="http://schemas.microsoft.com/office/word/2010/wordprocessingShape">
                    <wps:wsp>
                      <wps:cNvPr id="501" name="Graphic 501"/>
                      <wps:cNvSpPr/>
                      <wps:spPr>
                        <a:xfrm>
                          <a:off x="0" y="0"/>
                          <a:ext cx="4027804" cy="6350"/>
                        </a:xfrm>
                        <a:custGeom>
                          <a:avLst/>
                          <a:gdLst/>
                          <a:ahLst/>
                          <a:cxnLst/>
                          <a:rect l="l" t="t" r="r" b="b"/>
                          <a:pathLst>
                            <a:path w="4027804" h="6350">
                              <a:moveTo>
                                <a:pt x="1085392" y="0"/>
                              </a:moveTo>
                              <a:lnTo>
                                <a:pt x="0" y="0"/>
                              </a:lnTo>
                              <a:lnTo>
                                <a:pt x="0" y="6096"/>
                              </a:lnTo>
                              <a:lnTo>
                                <a:pt x="1085392" y="6096"/>
                              </a:lnTo>
                              <a:lnTo>
                                <a:pt x="1085392" y="0"/>
                              </a:lnTo>
                              <a:close/>
                            </a:path>
                            <a:path w="4027804" h="6350">
                              <a:moveTo>
                                <a:pt x="1091552" y="0"/>
                              </a:moveTo>
                              <a:lnTo>
                                <a:pt x="1085469" y="0"/>
                              </a:lnTo>
                              <a:lnTo>
                                <a:pt x="1085469" y="6096"/>
                              </a:lnTo>
                              <a:lnTo>
                                <a:pt x="1091552" y="6096"/>
                              </a:lnTo>
                              <a:lnTo>
                                <a:pt x="1091552" y="0"/>
                              </a:lnTo>
                              <a:close/>
                            </a:path>
                            <a:path w="4027804" h="6350">
                              <a:moveTo>
                                <a:pt x="1952612" y="0"/>
                              </a:moveTo>
                              <a:lnTo>
                                <a:pt x="1946529" y="0"/>
                              </a:lnTo>
                              <a:lnTo>
                                <a:pt x="1091565" y="0"/>
                              </a:lnTo>
                              <a:lnTo>
                                <a:pt x="1091565" y="6096"/>
                              </a:lnTo>
                              <a:lnTo>
                                <a:pt x="1946529" y="6096"/>
                              </a:lnTo>
                              <a:lnTo>
                                <a:pt x="1952612" y="6096"/>
                              </a:lnTo>
                              <a:lnTo>
                                <a:pt x="1952612" y="0"/>
                              </a:lnTo>
                              <a:close/>
                            </a:path>
                            <a:path w="4027804" h="6350">
                              <a:moveTo>
                                <a:pt x="3489375" y="0"/>
                              </a:moveTo>
                              <a:lnTo>
                                <a:pt x="2935859" y="0"/>
                              </a:lnTo>
                              <a:lnTo>
                                <a:pt x="2929813" y="0"/>
                              </a:lnTo>
                              <a:lnTo>
                                <a:pt x="1952625" y="0"/>
                              </a:lnTo>
                              <a:lnTo>
                                <a:pt x="1952625" y="6096"/>
                              </a:lnTo>
                              <a:lnTo>
                                <a:pt x="2929763" y="6096"/>
                              </a:lnTo>
                              <a:lnTo>
                                <a:pt x="2935859" y="6096"/>
                              </a:lnTo>
                              <a:lnTo>
                                <a:pt x="3489375" y="6096"/>
                              </a:lnTo>
                              <a:lnTo>
                                <a:pt x="3489375" y="0"/>
                              </a:lnTo>
                              <a:close/>
                            </a:path>
                            <a:path w="4027804" h="6350">
                              <a:moveTo>
                                <a:pt x="3495535" y="0"/>
                              </a:moveTo>
                              <a:lnTo>
                                <a:pt x="3489452" y="0"/>
                              </a:lnTo>
                              <a:lnTo>
                                <a:pt x="3489452" y="6096"/>
                              </a:lnTo>
                              <a:lnTo>
                                <a:pt x="3495535" y="6096"/>
                              </a:lnTo>
                              <a:lnTo>
                                <a:pt x="3495535" y="0"/>
                              </a:lnTo>
                              <a:close/>
                            </a:path>
                            <a:path w="4027804" h="6350">
                              <a:moveTo>
                                <a:pt x="4027411" y="0"/>
                              </a:moveTo>
                              <a:lnTo>
                                <a:pt x="3495548" y="0"/>
                              </a:lnTo>
                              <a:lnTo>
                                <a:pt x="3495548" y="6096"/>
                              </a:lnTo>
                              <a:lnTo>
                                <a:pt x="4027411" y="6096"/>
                              </a:lnTo>
                              <a:lnTo>
                                <a:pt x="40274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5.100006pt;margin-top:22.59771pt;width:317.150pt;height:.5pt;mso-position-horizontal-relative:page;mso-position-vertical-relative:paragraph;z-index:-15636480;mso-wrap-distance-left:0;mso-wrap-distance-right:0" id="docshape446" coordorigin="2302,452" coordsize="6343,10" path="m4011,452l2302,452,2302,462,4011,462,4011,452xm4021,452l4011,452,4011,462,4021,462,4021,452xm5377,452l5367,452,4021,452,4021,462,5367,462,5377,462,5377,452xm7797,452l6925,452,6916,452,6916,452,5377,452,5377,462,6916,462,6916,462,6925,462,7797,462,7797,452xm7807,452l7797,452,7797,462,7807,462,7807,452xm8644,452l7807,452,7807,462,8644,462,8644,452xe" filled="true" fillcolor="#000000" stroked="false">
                <v:path arrowok="t"/>
                <v:fill type="solid"/>
                <w10:wrap type="topAndBottom"/>
              </v:shape>
            </w:pict>
          </mc:Fallback>
        </mc:AlternateContent>
      </w:r>
    </w:p>
    <w:p>
      <w:pPr>
        <w:pStyle w:val="BodyText"/>
        <w:spacing w:before="235" w:after="1"/>
        <w:rPr>
          <w:b/>
          <w:sz w:val="20"/>
        </w:r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gridCol w:w="1372"/>
        <w:gridCol w:w="1546"/>
        <w:gridCol w:w="1008"/>
        <w:gridCol w:w="773"/>
      </w:tblGrid>
      <w:tr>
        <w:trPr>
          <w:trHeight w:val="856" w:hRule="atLeast"/>
        </w:trPr>
        <w:tc>
          <w:tcPr>
            <w:tcW w:w="1642" w:type="dxa"/>
            <w:tcBorders>
              <w:bottom w:val="single" w:sz="4" w:space="0" w:color="000000"/>
            </w:tcBorders>
          </w:tcPr>
          <w:p>
            <w:pPr>
              <w:pStyle w:val="TableParagraph"/>
              <w:spacing w:line="229" w:lineRule="exact"/>
              <w:ind w:left="108"/>
              <w:rPr>
                <w:sz w:val="22"/>
              </w:rPr>
            </w:pPr>
            <w:r>
              <w:rPr>
                <w:sz w:val="22"/>
              </w:rPr>
              <w:t>(I)</w:t>
            </w:r>
            <w:r>
              <w:rPr>
                <w:spacing w:val="-2"/>
                <w:sz w:val="22"/>
              </w:rPr>
              <w:t> Group_3</w:t>
            </w:r>
          </w:p>
        </w:tc>
        <w:tc>
          <w:tcPr>
            <w:tcW w:w="1372" w:type="dxa"/>
            <w:tcBorders>
              <w:bottom w:val="single" w:sz="4" w:space="0" w:color="000000"/>
            </w:tcBorders>
          </w:tcPr>
          <w:p>
            <w:pPr>
              <w:pStyle w:val="TableParagraph"/>
              <w:spacing w:line="229" w:lineRule="exact"/>
              <w:ind w:left="175"/>
              <w:rPr>
                <w:sz w:val="22"/>
              </w:rPr>
            </w:pPr>
            <w:r>
              <w:rPr>
                <w:sz w:val="22"/>
              </w:rPr>
              <w:t>(J)</w:t>
            </w:r>
            <w:r>
              <w:rPr>
                <w:spacing w:val="-2"/>
                <w:sz w:val="22"/>
              </w:rPr>
              <w:t> Group_3</w:t>
            </w:r>
          </w:p>
        </w:tc>
        <w:tc>
          <w:tcPr>
            <w:tcW w:w="1546" w:type="dxa"/>
            <w:tcBorders>
              <w:bottom w:val="single" w:sz="4" w:space="0" w:color="000000"/>
            </w:tcBorders>
          </w:tcPr>
          <w:p>
            <w:pPr>
              <w:pStyle w:val="TableParagraph"/>
              <w:spacing w:line="229" w:lineRule="exact"/>
              <w:ind w:left="107" w:right="1"/>
              <w:jc w:val="center"/>
              <w:rPr>
                <w:sz w:val="22"/>
              </w:rPr>
            </w:pPr>
            <w:r>
              <w:rPr>
                <w:spacing w:val="-2"/>
                <w:sz w:val="22"/>
              </w:rPr>
              <w:t>Mean±SEM</w:t>
            </w:r>
          </w:p>
        </w:tc>
        <w:tc>
          <w:tcPr>
            <w:tcW w:w="1008" w:type="dxa"/>
            <w:tcBorders>
              <w:bottom w:val="single" w:sz="4" w:space="0" w:color="000000"/>
            </w:tcBorders>
          </w:tcPr>
          <w:p>
            <w:pPr>
              <w:pStyle w:val="TableParagraph"/>
              <w:spacing w:line="229" w:lineRule="exact"/>
              <w:ind w:right="180"/>
              <w:jc w:val="right"/>
              <w:rPr>
                <w:sz w:val="22"/>
              </w:rPr>
            </w:pPr>
            <w:r>
              <w:rPr>
                <w:sz w:val="22"/>
              </w:rPr>
              <w:t>P-</w:t>
            </w:r>
            <w:r>
              <w:rPr>
                <w:spacing w:val="-2"/>
                <w:sz w:val="22"/>
              </w:rPr>
              <w:t>value</w:t>
            </w:r>
          </w:p>
        </w:tc>
        <w:tc>
          <w:tcPr>
            <w:tcW w:w="773" w:type="dxa"/>
            <w:tcBorders>
              <w:bottom w:val="single" w:sz="4" w:space="0" w:color="000000"/>
            </w:tcBorders>
          </w:tcPr>
          <w:p>
            <w:pPr>
              <w:pStyle w:val="TableParagraph"/>
              <w:spacing w:line="225" w:lineRule="exact"/>
              <w:ind w:left="5" w:right="71"/>
              <w:jc w:val="center"/>
              <w:rPr>
                <w:sz w:val="22"/>
              </w:rPr>
            </w:pPr>
            <w:r>
              <w:rPr>
                <w:spacing w:val="-5"/>
                <w:sz w:val="22"/>
              </w:rPr>
              <w:t>LOS</w:t>
            </w:r>
          </w:p>
        </w:tc>
      </w:tr>
      <w:tr>
        <w:trPr>
          <w:trHeight w:val="379" w:hRule="atLeast"/>
        </w:trPr>
        <w:tc>
          <w:tcPr>
            <w:tcW w:w="1642" w:type="dxa"/>
            <w:tcBorders>
              <w:top w:val="single" w:sz="4" w:space="0" w:color="000000"/>
            </w:tcBorders>
          </w:tcPr>
          <w:p>
            <w:pPr>
              <w:pStyle w:val="TableParagraph"/>
              <w:rPr>
                <w:rFonts w:ascii="Times New Roman"/>
                <w:sz w:val="22"/>
              </w:rPr>
            </w:pPr>
          </w:p>
        </w:tc>
        <w:tc>
          <w:tcPr>
            <w:tcW w:w="1372" w:type="dxa"/>
            <w:tcBorders>
              <w:top w:val="single" w:sz="4" w:space="0" w:color="000000"/>
            </w:tcBorders>
          </w:tcPr>
          <w:p>
            <w:pPr>
              <w:pStyle w:val="TableParagraph"/>
              <w:spacing w:line="265" w:lineRule="exact"/>
              <w:ind w:left="2" w:right="117"/>
              <w:jc w:val="center"/>
              <w:rPr>
                <w:sz w:val="22"/>
              </w:rPr>
            </w:pPr>
            <w:r>
              <w:rPr>
                <w:sz w:val="22"/>
              </w:rPr>
              <w:t>H:L;</w:t>
            </w:r>
            <w:r>
              <w:rPr>
                <w:spacing w:val="-5"/>
                <w:sz w:val="22"/>
              </w:rPr>
              <w:t> </w:t>
            </w:r>
            <w:r>
              <w:rPr>
                <w:spacing w:val="-2"/>
                <w:sz w:val="22"/>
              </w:rPr>
              <w:t>10:50</w:t>
            </w:r>
          </w:p>
        </w:tc>
        <w:tc>
          <w:tcPr>
            <w:tcW w:w="1546" w:type="dxa"/>
            <w:tcBorders>
              <w:top w:val="single" w:sz="4" w:space="0" w:color="000000"/>
            </w:tcBorders>
          </w:tcPr>
          <w:p>
            <w:pPr>
              <w:pStyle w:val="TableParagraph"/>
              <w:spacing w:line="265" w:lineRule="exact"/>
              <w:ind w:left="106" w:right="107"/>
              <w:jc w:val="center"/>
              <w:rPr>
                <w:sz w:val="22"/>
              </w:rPr>
            </w:pPr>
            <w:r>
              <w:rPr>
                <w:spacing w:val="-2"/>
                <w:sz w:val="22"/>
              </w:rPr>
              <w:t>20.500±0.500</w:t>
            </w:r>
          </w:p>
        </w:tc>
        <w:tc>
          <w:tcPr>
            <w:tcW w:w="1008" w:type="dxa"/>
            <w:tcBorders>
              <w:top w:val="single" w:sz="4" w:space="0" w:color="000000"/>
            </w:tcBorders>
          </w:tcPr>
          <w:p>
            <w:pPr>
              <w:pStyle w:val="TableParagraph"/>
              <w:spacing w:line="265" w:lineRule="exact"/>
              <w:ind w:right="177"/>
              <w:jc w:val="right"/>
              <w:rPr>
                <w:sz w:val="22"/>
              </w:rPr>
            </w:pPr>
            <w:r>
              <w:rPr>
                <w:spacing w:val="-2"/>
                <w:sz w:val="22"/>
              </w:rPr>
              <w:t>0.543</w:t>
            </w:r>
          </w:p>
        </w:tc>
        <w:tc>
          <w:tcPr>
            <w:tcW w:w="773" w:type="dxa"/>
            <w:tcBorders>
              <w:top w:val="single" w:sz="4" w:space="0" w:color="000000"/>
            </w:tcBorders>
          </w:tcPr>
          <w:p>
            <w:pPr>
              <w:pStyle w:val="TableParagraph"/>
              <w:spacing w:line="265" w:lineRule="exact"/>
              <w:ind w:left="1" w:right="71"/>
              <w:jc w:val="center"/>
              <w:rPr>
                <w:sz w:val="22"/>
              </w:rPr>
            </w:pPr>
            <w:r>
              <w:rPr>
                <w:spacing w:val="-5"/>
                <w:sz w:val="22"/>
              </w:rPr>
              <w:t>NS</w:t>
            </w:r>
          </w:p>
        </w:tc>
      </w:tr>
      <w:tr>
        <w:trPr>
          <w:trHeight w:val="384" w:hRule="atLeast"/>
        </w:trPr>
        <w:tc>
          <w:tcPr>
            <w:tcW w:w="1642" w:type="dxa"/>
          </w:tcPr>
          <w:p>
            <w:pPr>
              <w:pStyle w:val="TableParagraph"/>
              <w:rPr>
                <w:rFonts w:ascii="Times New Roman"/>
                <w:sz w:val="22"/>
              </w:rPr>
            </w:pPr>
          </w:p>
        </w:tc>
        <w:tc>
          <w:tcPr>
            <w:tcW w:w="1372" w:type="dxa"/>
          </w:tcPr>
          <w:p>
            <w:pPr>
              <w:pStyle w:val="TableParagraph"/>
              <w:spacing w:before="74"/>
              <w:ind w:left="2" w:right="117"/>
              <w:jc w:val="center"/>
              <w:rPr>
                <w:sz w:val="22"/>
              </w:rPr>
            </w:pPr>
            <w:r>
              <w:rPr>
                <w:sz w:val="22"/>
              </w:rPr>
              <w:t>H:L;</w:t>
            </w:r>
            <w:r>
              <w:rPr>
                <w:spacing w:val="-5"/>
                <w:sz w:val="22"/>
              </w:rPr>
              <w:t> </w:t>
            </w:r>
            <w:r>
              <w:rPr>
                <w:spacing w:val="-2"/>
                <w:sz w:val="22"/>
              </w:rPr>
              <w:t>20:50</w:t>
            </w:r>
          </w:p>
        </w:tc>
        <w:tc>
          <w:tcPr>
            <w:tcW w:w="1546" w:type="dxa"/>
          </w:tcPr>
          <w:p>
            <w:pPr>
              <w:pStyle w:val="TableParagraph"/>
              <w:spacing w:before="74"/>
              <w:ind w:left="106" w:right="107"/>
              <w:jc w:val="center"/>
              <w:rPr>
                <w:sz w:val="22"/>
              </w:rPr>
            </w:pPr>
            <w:r>
              <w:rPr>
                <w:spacing w:val="-2"/>
                <w:sz w:val="22"/>
              </w:rPr>
              <w:t>23.000±2.000</w:t>
            </w:r>
          </w:p>
        </w:tc>
        <w:tc>
          <w:tcPr>
            <w:tcW w:w="1008" w:type="dxa"/>
          </w:tcPr>
          <w:p>
            <w:pPr>
              <w:pStyle w:val="TableParagraph"/>
              <w:spacing w:before="74"/>
              <w:ind w:right="177"/>
              <w:jc w:val="right"/>
              <w:rPr>
                <w:sz w:val="22"/>
              </w:rPr>
            </w:pPr>
            <w:r>
              <w:rPr>
                <w:spacing w:val="-2"/>
                <w:sz w:val="22"/>
              </w:rPr>
              <w:t>0.691</w:t>
            </w:r>
          </w:p>
        </w:tc>
        <w:tc>
          <w:tcPr>
            <w:tcW w:w="773" w:type="dxa"/>
          </w:tcPr>
          <w:p>
            <w:pPr>
              <w:pStyle w:val="TableParagraph"/>
              <w:spacing w:before="74"/>
              <w:ind w:left="1" w:right="71"/>
              <w:jc w:val="center"/>
              <w:rPr>
                <w:sz w:val="22"/>
              </w:rPr>
            </w:pPr>
            <w:r>
              <w:rPr>
                <w:spacing w:val="-5"/>
                <w:sz w:val="22"/>
              </w:rPr>
              <w:t>NS</w:t>
            </w:r>
          </w:p>
        </w:tc>
      </w:tr>
      <w:tr>
        <w:trPr>
          <w:trHeight w:val="595" w:hRule="atLeast"/>
        </w:trPr>
        <w:tc>
          <w:tcPr>
            <w:tcW w:w="1642" w:type="dxa"/>
          </w:tcPr>
          <w:p>
            <w:pPr>
              <w:pStyle w:val="TableParagraph"/>
              <w:spacing w:before="1"/>
              <w:ind w:left="108"/>
              <w:rPr>
                <w:sz w:val="22"/>
              </w:rPr>
            </w:pPr>
            <w:r>
              <w:rPr>
                <w:sz w:val="22"/>
              </w:rPr>
              <w:t>Honey</w:t>
            </w:r>
            <w:r>
              <w:rPr>
                <w:spacing w:val="-4"/>
                <w:sz w:val="22"/>
              </w:rPr>
              <w:t> </w:t>
            </w:r>
            <w:r>
              <w:rPr>
                <w:spacing w:val="-2"/>
                <w:sz w:val="22"/>
              </w:rPr>
              <w:t>(100%)</w:t>
            </w:r>
          </w:p>
          <w:p>
            <w:pPr>
              <w:pStyle w:val="TableParagraph"/>
              <w:spacing w:before="15"/>
              <w:ind w:left="108"/>
              <w:rPr>
                <w:sz w:val="22"/>
              </w:rPr>
            </w:pPr>
            <w:r>
              <w:rPr>
                <w:spacing w:val="-2"/>
                <w:sz w:val="22"/>
              </w:rPr>
              <w:t>(20.000±0.000)</w:t>
            </w:r>
          </w:p>
        </w:tc>
        <w:tc>
          <w:tcPr>
            <w:tcW w:w="1372" w:type="dxa"/>
          </w:tcPr>
          <w:p>
            <w:pPr>
              <w:pStyle w:val="TableParagraph"/>
              <w:spacing w:before="143"/>
              <w:ind w:left="2" w:right="117"/>
              <w:jc w:val="center"/>
              <w:rPr>
                <w:sz w:val="22"/>
              </w:rPr>
            </w:pPr>
            <w:r>
              <w:rPr>
                <w:sz w:val="22"/>
              </w:rPr>
              <w:t>H:L;</w:t>
            </w:r>
            <w:r>
              <w:rPr>
                <w:spacing w:val="-5"/>
                <w:sz w:val="22"/>
              </w:rPr>
              <w:t> </w:t>
            </w:r>
            <w:r>
              <w:rPr>
                <w:spacing w:val="-2"/>
                <w:sz w:val="22"/>
              </w:rPr>
              <w:t>30:50</w:t>
            </w:r>
          </w:p>
        </w:tc>
        <w:tc>
          <w:tcPr>
            <w:tcW w:w="1546" w:type="dxa"/>
          </w:tcPr>
          <w:p>
            <w:pPr>
              <w:pStyle w:val="TableParagraph"/>
              <w:spacing w:before="143"/>
              <w:ind w:left="106" w:right="107"/>
              <w:jc w:val="center"/>
              <w:rPr>
                <w:sz w:val="22"/>
              </w:rPr>
            </w:pPr>
            <w:r>
              <w:rPr>
                <w:spacing w:val="-2"/>
                <w:sz w:val="22"/>
              </w:rPr>
              <w:t>21.000±1.000</w:t>
            </w:r>
          </w:p>
        </w:tc>
        <w:tc>
          <w:tcPr>
            <w:tcW w:w="1008" w:type="dxa"/>
          </w:tcPr>
          <w:p>
            <w:pPr>
              <w:pStyle w:val="TableParagraph"/>
              <w:spacing w:before="143"/>
              <w:ind w:right="177"/>
              <w:jc w:val="right"/>
              <w:rPr>
                <w:sz w:val="22"/>
              </w:rPr>
            </w:pPr>
            <w:r>
              <w:rPr>
                <w:spacing w:val="-2"/>
                <w:sz w:val="22"/>
              </w:rPr>
              <w:t>0.998</w:t>
            </w:r>
          </w:p>
        </w:tc>
        <w:tc>
          <w:tcPr>
            <w:tcW w:w="773" w:type="dxa"/>
          </w:tcPr>
          <w:p>
            <w:pPr>
              <w:pStyle w:val="TableParagraph"/>
              <w:spacing w:before="143"/>
              <w:ind w:left="1" w:right="71"/>
              <w:jc w:val="center"/>
              <w:rPr>
                <w:sz w:val="22"/>
              </w:rPr>
            </w:pPr>
            <w:r>
              <w:rPr>
                <w:spacing w:val="-5"/>
                <w:sz w:val="22"/>
              </w:rPr>
              <w:t>NS</w:t>
            </w:r>
          </w:p>
        </w:tc>
      </w:tr>
      <w:tr>
        <w:trPr>
          <w:trHeight w:val="382" w:hRule="atLeast"/>
        </w:trPr>
        <w:tc>
          <w:tcPr>
            <w:tcW w:w="1642" w:type="dxa"/>
          </w:tcPr>
          <w:p>
            <w:pPr>
              <w:pStyle w:val="TableParagraph"/>
              <w:rPr>
                <w:rFonts w:ascii="Times New Roman"/>
                <w:sz w:val="22"/>
              </w:rPr>
            </w:pPr>
          </w:p>
        </w:tc>
        <w:tc>
          <w:tcPr>
            <w:tcW w:w="1372" w:type="dxa"/>
          </w:tcPr>
          <w:p>
            <w:pPr>
              <w:pStyle w:val="TableParagraph"/>
              <w:spacing w:before="1"/>
              <w:ind w:left="2" w:right="117"/>
              <w:jc w:val="center"/>
              <w:rPr>
                <w:sz w:val="22"/>
              </w:rPr>
            </w:pPr>
            <w:r>
              <w:rPr>
                <w:sz w:val="22"/>
              </w:rPr>
              <w:t>H:L;</w:t>
            </w:r>
            <w:r>
              <w:rPr>
                <w:spacing w:val="-5"/>
                <w:sz w:val="22"/>
              </w:rPr>
              <w:t> </w:t>
            </w:r>
            <w:r>
              <w:rPr>
                <w:spacing w:val="-2"/>
                <w:sz w:val="22"/>
              </w:rPr>
              <w:t>40:50</w:t>
            </w:r>
          </w:p>
        </w:tc>
        <w:tc>
          <w:tcPr>
            <w:tcW w:w="1546" w:type="dxa"/>
          </w:tcPr>
          <w:p>
            <w:pPr>
              <w:pStyle w:val="TableParagraph"/>
              <w:spacing w:before="1"/>
              <w:ind w:left="106" w:right="107"/>
              <w:jc w:val="center"/>
              <w:rPr>
                <w:sz w:val="22"/>
              </w:rPr>
            </w:pPr>
            <w:r>
              <w:rPr>
                <w:spacing w:val="-2"/>
                <w:sz w:val="22"/>
              </w:rPr>
              <w:t>24.000±2.000</w:t>
            </w:r>
          </w:p>
        </w:tc>
        <w:tc>
          <w:tcPr>
            <w:tcW w:w="1008" w:type="dxa"/>
          </w:tcPr>
          <w:p>
            <w:pPr>
              <w:pStyle w:val="TableParagraph"/>
              <w:spacing w:before="1"/>
              <w:ind w:right="177"/>
              <w:jc w:val="right"/>
              <w:rPr>
                <w:sz w:val="22"/>
              </w:rPr>
            </w:pPr>
            <w:r>
              <w:rPr>
                <w:spacing w:val="-2"/>
                <w:sz w:val="22"/>
              </w:rPr>
              <w:t>0.407</w:t>
            </w:r>
          </w:p>
        </w:tc>
        <w:tc>
          <w:tcPr>
            <w:tcW w:w="773" w:type="dxa"/>
          </w:tcPr>
          <w:p>
            <w:pPr>
              <w:pStyle w:val="TableParagraph"/>
              <w:spacing w:before="1"/>
              <w:ind w:left="1" w:right="71"/>
              <w:jc w:val="center"/>
              <w:rPr>
                <w:sz w:val="22"/>
              </w:rPr>
            </w:pPr>
            <w:r>
              <w:rPr>
                <w:spacing w:val="-5"/>
                <w:sz w:val="22"/>
              </w:rPr>
              <w:t>NS</w:t>
            </w:r>
          </w:p>
        </w:tc>
      </w:tr>
      <w:tr>
        <w:trPr>
          <w:trHeight w:val="521" w:hRule="atLeast"/>
        </w:trPr>
        <w:tc>
          <w:tcPr>
            <w:tcW w:w="1642" w:type="dxa"/>
            <w:tcBorders>
              <w:bottom w:val="single" w:sz="4" w:space="0" w:color="000000"/>
            </w:tcBorders>
          </w:tcPr>
          <w:p>
            <w:pPr>
              <w:pStyle w:val="TableParagraph"/>
              <w:rPr>
                <w:rFonts w:ascii="Times New Roman"/>
                <w:sz w:val="22"/>
              </w:rPr>
            </w:pPr>
          </w:p>
        </w:tc>
        <w:tc>
          <w:tcPr>
            <w:tcW w:w="1372" w:type="dxa"/>
            <w:tcBorders>
              <w:bottom w:val="single" w:sz="4" w:space="0" w:color="000000"/>
            </w:tcBorders>
          </w:tcPr>
          <w:p>
            <w:pPr>
              <w:pStyle w:val="TableParagraph"/>
              <w:spacing w:before="72"/>
              <w:ind w:left="2" w:right="117"/>
              <w:jc w:val="center"/>
              <w:rPr>
                <w:sz w:val="22"/>
              </w:rPr>
            </w:pPr>
            <w:r>
              <w:rPr>
                <w:sz w:val="22"/>
              </w:rPr>
              <w:t>H:L;</w:t>
            </w:r>
            <w:r>
              <w:rPr>
                <w:spacing w:val="-5"/>
                <w:sz w:val="22"/>
              </w:rPr>
              <w:t> </w:t>
            </w:r>
            <w:r>
              <w:rPr>
                <w:spacing w:val="-2"/>
                <w:sz w:val="22"/>
              </w:rPr>
              <w:t>50:50</w:t>
            </w:r>
          </w:p>
        </w:tc>
        <w:tc>
          <w:tcPr>
            <w:tcW w:w="1546" w:type="dxa"/>
            <w:tcBorders>
              <w:bottom w:val="single" w:sz="4" w:space="0" w:color="000000"/>
            </w:tcBorders>
          </w:tcPr>
          <w:p>
            <w:pPr>
              <w:pStyle w:val="TableParagraph"/>
              <w:spacing w:before="72"/>
              <w:ind w:left="106" w:right="107"/>
              <w:jc w:val="center"/>
              <w:rPr>
                <w:sz w:val="22"/>
              </w:rPr>
            </w:pPr>
            <w:r>
              <w:rPr>
                <w:spacing w:val="-2"/>
                <w:sz w:val="22"/>
              </w:rPr>
              <w:t>25.500±1.500</w:t>
            </w:r>
          </w:p>
        </w:tc>
        <w:tc>
          <w:tcPr>
            <w:tcW w:w="1008" w:type="dxa"/>
            <w:tcBorders>
              <w:bottom w:val="single" w:sz="4" w:space="0" w:color="000000"/>
            </w:tcBorders>
          </w:tcPr>
          <w:p>
            <w:pPr>
              <w:pStyle w:val="TableParagraph"/>
              <w:spacing w:before="72"/>
              <w:ind w:right="177"/>
              <w:jc w:val="right"/>
              <w:rPr>
                <w:sz w:val="22"/>
              </w:rPr>
            </w:pPr>
            <w:r>
              <w:rPr>
                <w:spacing w:val="-2"/>
                <w:sz w:val="22"/>
              </w:rPr>
              <w:t>0.147</w:t>
            </w:r>
          </w:p>
        </w:tc>
        <w:tc>
          <w:tcPr>
            <w:tcW w:w="773" w:type="dxa"/>
            <w:tcBorders>
              <w:bottom w:val="single" w:sz="4" w:space="0" w:color="000000"/>
            </w:tcBorders>
          </w:tcPr>
          <w:p>
            <w:pPr>
              <w:pStyle w:val="TableParagraph"/>
              <w:spacing w:before="72"/>
              <w:ind w:left="1" w:right="71"/>
              <w:jc w:val="center"/>
              <w:rPr>
                <w:sz w:val="22"/>
              </w:rPr>
            </w:pPr>
            <w:r>
              <w:rPr>
                <w:spacing w:val="-5"/>
                <w:sz w:val="22"/>
              </w:rPr>
              <w:t>NS</w:t>
            </w:r>
          </w:p>
        </w:tc>
      </w:tr>
      <w:tr>
        <w:trPr>
          <w:trHeight w:val="377" w:hRule="atLeast"/>
        </w:trPr>
        <w:tc>
          <w:tcPr>
            <w:tcW w:w="1642" w:type="dxa"/>
            <w:tcBorders>
              <w:top w:val="single" w:sz="4" w:space="0" w:color="000000"/>
            </w:tcBorders>
          </w:tcPr>
          <w:p>
            <w:pPr>
              <w:pStyle w:val="TableParagraph"/>
              <w:rPr>
                <w:rFonts w:ascii="Times New Roman"/>
                <w:sz w:val="22"/>
              </w:rPr>
            </w:pPr>
          </w:p>
        </w:tc>
        <w:tc>
          <w:tcPr>
            <w:tcW w:w="1372" w:type="dxa"/>
            <w:tcBorders>
              <w:top w:val="single" w:sz="4" w:space="0" w:color="000000"/>
            </w:tcBorders>
          </w:tcPr>
          <w:p>
            <w:pPr>
              <w:pStyle w:val="TableParagraph"/>
              <w:spacing w:line="265" w:lineRule="exact"/>
              <w:ind w:left="2" w:right="117"/>
              <w:jc w:val="center"/>
              <w:rPr>
                <w:sz w:val="22"/>
              </w:rPr>
            </w:pPr>
            <w:r>
              <w:rPr>
                <w:sz w:val="22"/>
              </w:rPr>
              <w:t>H:L;</w:t>
            </w:r>
            <w:r>
              <w:rPr>
                <w:spacing w:val="-5"/>
                <w:sz w:val="22"/>
              </w:rPr>
              <w:t> </w:t>
            </w:r>
            <w:r>
              <w:rPr>
                <w:spacing w:val="-2"/>
                <w:sz w:val="22"/>
              </w:rPr>
              <w:t>10:50</w:t>
            </w:r>
          </w:p>
        </w:tc>
        <w:tc>
          <w:tcPr>
            <w:tcW w:w="1546" w:type="dxa"/>
            <w:tcBorders>
              <w:top w:val="single" w:sz="4" w:space="0" w:color="000000"/>
            </w:tcBorders>
          </w:tcPr>
          <w:p>
            <w:pPr>
              <w:pStyle w:val="TableParagraph"/>
              <w:spacing w:line="265" w:lineRule="exact"/>
              <w:ind w:left="106" w:right="107"/>
              <w:jc w:val="center"/>
              <w:rPr>
                <w:sz w:val="22"/>
              </w:rPr>
            </w:pPr>
            <w:r>
              <w:rPr>
                <w:spacing w:val="-2"/>
                <w:sz w:val="22"/>
              </w:rPr>
              <w:t>20.500±0.500</w:t>
            </w:r>
          </w:p>
        </w:tc>
        <w:tc>
          <w:tcPr>
            <w:tcW w:w="1008" w:type="dxa"/>
            <w:tcBorders>
              <w:top w:val="single" w:sz="4" w:space="0" w:color="000000"/>
            </w:tcBorders>
          </w:tcPr>
          <w:p>
            <w:pPr>
              <w:pStyle w:val="TableParagraph"/>
              <w:spacing w:line="265" w:lineRule="exact"/>
              <w:ind w:right="177"/>
              <w:jc w:val="right"/>
              <w:rPr>
                <w:sz w:val="22"/>
              </w:rPr>
            </w:pPr>
            <w:r>
              <w:rPr>
                <w:spacing w:val="-2"/>
                <w:sz w:val="22"/>
              </w:rPr>
              <w:t>0.035</w:t>
            </w:r>
          </w:p>
        </w:tc>
        <w:tc>
          <w:tcPr>
            <w:tcW w:w="773" w:type="dxa"/>
            <w:tcBorders>
              <w:top w:val="single" w:sz="4" w:space="0" w:color="000000"/>
            </w:tcBorders>
          </w:tcPr>
          <w:p>
            <w:pPr>
              <w:pStyle w:val="TableParagraph"/>
              <w:spacing w:line="265" w:lineRule="exact"/>
              <w:ind w:right="71"/>
              <w:jc w:val="center"/>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372" w:type="dxa"/>
          </w:tcPr>
          <w:p>
            <w:pPr>
              <w:pStyle w:val="TableParagraph"/>
              <w:spacing w:before="72"/>
              <w:ind w:left="2" w:right="117"/>
              <w:jc w:val="center"/>
              <w:rPr>
                <w:sz w:val="22"/>
              </w:rPr>
            </w:pPr>
            <w:r>
              <w:rPr>
                <w:sz w:val="22"/>
              </w:rPr>
              <w:t>H:L;</w:t>
            </w:r>
            <w:r>
              <w:rPr>
                <w:spacing w:val="-5"/>
                <w:sz w:val="22"/>
              </w:rPr>
              <w:t> </w:t>
            </w:r>
            <w:r>
              <w:rPr>
                <w:spacing w:val="-2"/>
                <w:sz w:val="22"/>
              </w:rPr>
              <w:t>20:50</w:t>
            </w:r>
          </w:p>
        </w:tc>
        <w:tc>
          <w:tcPr>
            <w:tcW w:w="1546" w:type="dxa"/>
          </w:tcPr>
          <w:p>
            <w:pPr>
              <w:pStyle w:val="TableParagraph"/>
              <w:spacing w:before="72"/>
              <w:ind w:left="106" w:right="107"/>
              <w:jc w:val="center"/>
              <w:rPr>
                <w:sz w:val="22"/>
              </w:rPr>
            </w:pPr>
            <w:r>
              <w:rPr>
                <w:spacing w:val="-2"/>
                <w:sz w:val="22"/>
              </w:rPr>
              <w:t>23.000±2.000</w:t>
            </w:r>
          </w:p>
        </w:tc>
        <w:tc>
          <w:tcPr>
            <w:tcW w:w="1008" w:type="dxa"/>
          </w:tcPr>
          <w:p>
            <w:pPr>
              <w:pStyle w:val="TableParagraph"/>
              <w:spacing w:before="72"/>
              <w:ind w:right="177"/>
              <w:jc w:val="right"/>
              <w:rPr>
                <w:sz w:val="22"/>
              </w:rPr>
            </w:pPr>
            <w:r>
              <w:rPr>
                <w:spacing w:val="-2"/>
                <w:sz w:val="22"/>
              </w:rPr>
              <w:t>0.050</w:t>
            </w:r>
          </w:p>
        </w:tc>
        <w:tc>
          <w:tcPr>
            <w:tcW w:w="773" w:type="dxa"/>
          </w:tcPr>
          <w:p>
            <w:pPr>
              <w:pStyle w:val="TableParagraph"/>
              <w:spacing w:before="72"/>
              <w:ind w:right="71"/>
              <w:jc w:val="center"/>
              <w:rPr>
                <w:sz w:val="22"/>
              </w:rPr>
            </w:pPr>
            <w:r>
              <w:rPr>
                <w:spacing w:val="-5"/>
                <w:sz w:val="22"/>
              </w:rPr>
              <w:t>SF</w:t>
            </w:r>
          </w:p>
        </w:tc>
      </w:tr>
      <w:tr>
        <w:trPr>
          <w:trHeight w:val="595" w:hRule="atLeast"/>
        </w:trPr>
        <w:tc>
          <w:tcPr>
            <w:tcW w:w="1642" w:type="dxa"/>
          </w:tcPr>
          <w:p>
            <w:pPr>
              <w:pStyle w:val="TableParagraph"/>
              <w:spacing w:before="1"/>
              <w:ind w:left="108"/>
              <w:rPr>
                <w:sz w:val="22"/>
              </w:rPr>
            </w:pPr>
            <w:r>
              <w:rPr>
                <w:sz w:val="22"/>
              </w:rPr>
              <w:t>Honey</w:t>
            </w:r>
            <w:r>
              <w:rPr>
                <w:spacing w:val="-2"/>
                <w:sz w:val="22"/>
              </w:rPr>
              <w:t> (50%)</w:t>
            </w:r>
          </w:p>
          <w:p>
            <w:pPr>
              <w:pStyle w:val="TableParagraph"/>
              <w:spacing w:before="15"/>
              <w:ind w:left="108"/>
              <w:rPr>
                <w:sz w:val="22"/>
              </w:rPr>
            </w:pPr>
            <w:r>
              <w:rPr>
                <w:spacing w:val="-2"/>
                <w:sz w:val="22"/>
              </w:rPr>
              <w:t>(16.000±1.000)</w:t>
            </w:r>
          </w:p>
        </w:tc>
        <w:tc>
          <w:tcPr>
            <w:tcW w:w="1372" w:type="dxa"/>
          </w:tcPr>
          <w:p>
            <w:pPr>
              <w:pStyle w:val="TableParagraph"/>
              <w:spacing w:before="143"/>
              <w:ind w:left="2" w:right="117"/>
              <w:jc w:val="center"/>
              <w:rPr>
                <w:sz w:val="22"/>
              </w:rPr>
            </w:pPr>
            <w:r>
              <w:rPr>
                <w:sz w:val="22"/>
              </w:rPr>
              <w:t>H:L;</w:t>
            </w:r>
            <w:r>
              <w:rPr>
                <w:spacing w:val="-5"/>
                <w:sz w:val="22"/>
              </w:rPr>
              <w:t> </w:t>
            </w:r>
            <w:r>
              <w:rPr>
                <w:spacing w:val="-2"/>
                <w:sz w:val="22"/>
              </w:rPr>
              <w:t>30:50</w:t>
            </w:r>
          </w:p>
        </w:tc>
        <w:tc>
          <w:tcPr>
            <w:tcW w:w="1546" w:type="dxa"/>
          </w:tcPr>
          <w:p>
            <w:pPr>
              <w:pStyle w:val="TableParagraph"/>
              <w:spacing w:before="143"/>
              <w:ind w:left="106" w:right="107"/>
              <w:jc w:val="center"/>
              <w:rPr>
                <w:sz w:val="22"/>
              </w:rPr>
            </w:pPr>
            <w:r>
              <w:rPr>
                <w:spacing w:val="-2"/>
                <w:sz w:val="22"/>
              </w:rPr>
              <w:t>21.000±1.000</w:t>
            </w:r>
          </w:p>
        </w:tc>
        <w:tc>
          <w:tcPr>
            <w:tcW w:w="1008" w:type="dxa"/>
          </w:tcPr>
          <w:p>
            <w:pPr>
              <w:pStyle w:val="TableParagraph"/>
              <w:spacing w:before="143"/>
              <w:ind w:right="177"/>
              <w:jc w:val="right"/>
              <w:rPr>
                <w:sz w:val="22"/>
              </w:rPr>
            </w:pPr>
            <w:r>
              <w:rPr>
                <w:spacing w:val="-2"/>
                <w:sz w:val="22"/>
              </w:rPr>
              <w:t>0.210</w:t>
            </w:r>
          </w:p>
        </w:tc>
        <w:tc>
          <w:tcPr>
            <w:tcW w:w="773" w:type="dxa"/>
          </w:tcPr>
          <w:p>
            <w:pPr>
              <w:pStyle w:val="TableParagraph"/>
              <w:spacing w:before="143"/>
              <w:ind w:left="1" w:right="71"/>
              <w:jc w:val="center"/>
              <w:rPr>
                <w:sz w:val="22"/>
              </w:rPr>
            </w:pPr>
            <w:r>
              <w:rPr>
                <w:spacing w:val="-5"/>
                <w:sz w:val="22"/>
              </w:rPr>
              <w:t>NS</w:t>
            </w:r>
          </w:p>
        </w:tc>
      </w:tr>
      <w:tr>
        <w:trPr>
          <w:trHeight w:val="384" w:hRule="atLeast"/>
        </w:trPr>
        <w:tc>
          <w:tcPr>
            <w:tcW w:w="1642" w:type="dxa"/>
          </w:tcPr>
          <w:p>
            <w:pPr>
              <w:pStyle w:val="TableParagraph"/>
              <w:rPr>
                <w:rFonts w:ascii="Times New Roman"/>
                <w:sz w:val="22"/>
              </w:rPr>
            </w:pPr>
          </w:p>
        </w:tc>
        <w:tc>
          <w:tcPr>
            <w:tcW w:w="1372" w:type="dxa"/>
          </w:tcPr>
          <w:p>
            <w:pPr>
              <w:pStyle w:val="TableParagraph"/>
              <w:spacing w:before="1"/>
              <w:ind w:left="2" w:right="117"/>
              <w:jc w:val="center"/>
              <w:rPr>
                <w:sz w:val="22"/>
              </w:rPr>
            </w:pPr>
            <w:r>
              <w:rPr>
                <w:sz w:val="22"/>
              </w:rPr>
              <w:t>H:L;</w:t>
            </w:r>
            <w:r>
              <w:rPr>
                <w:spacing w:val="-5"/>
                <w:sz w:val="22"/>
              </w:rPr>
              <w:t> </w:t>
            </w:r>
            <w:r>
              <w:rPr>
                <w:spacing w:val="-2"/>
                <w:sz w:val="22"/>
              </w:rPr>
              <w:t>40:50</w:t>
            </w:r>
          </w:p>
        </w:tc>
        <w:tc>
          <w:tcPr>
            <w:tcW w:w="1546" w:type="dxa"/>
          </w:tcPr>
          <w:p>
            <w:pPr>
              <w:pStyle w:val="TableParagraph"/>
              <w:spacing w:before="1"/>
              <w:ind w:left="106" w:right="107"/>
              <w:jc w:val="center"/>
              <w:rPr>
                <w:sz w:val="22"/>
              </w:rPr>
            </w:pPr>
            <w:r>
              <w:rPr>
                <w:spacing w:val="-2"/>
                <w:sz w:val="22"/>
              </w:rPr>
              <w:t>24.000±2.000</w:t>
            </w:r>
          </w:p>
        </w:tc>
        <w:tc>
          <w:tcPr>
            <w:tcW w:w="1008" w:type="dxa"/>
          </w:tcPr>
          <w:p>
            <w:pPr>
              <w:pStyle w:val="TableParagraph"/>
              <w:spacing w:before="1"/>
              <w:ind w:right="177"/>
              <w:jc w:val="right"/>
              <w:rPr>
                <w:sz w:val="22"/>
              </w:rPr>
            </w:pPr>
            <w:r>
              <w:rPr>
                <w:spacing w:val="-2"/>
                <w:sz w:val="22"/>
              </w:rPr>
              <w:t>0.025</w:t>
            </w:r>
          </w:p>
        </w:tc>
        <w:tc>
          <w:tcPr>
            <w:tcW w:w="773" w:type="dxa"/>
          </w:tcPr>
          <w:p>
            <w:pPr>
              <w:pStyle w:val="TableParagraph"/>
              <w:spacing w:before="1"/>
              <w:ind w:right="71"/>
              <w:jc w:val="center"/>
              <w:rPr>
                <w:sz w:val="22"/>
              </w:rPr>
            </w:pPr>
            <w:r>
              <w:rPr>
                <w:spacing w:val="-5"/>
                <w:sz w:val="22"/>
              </w:rPr>
              <w:t>SF</w:t>
            </w:r>
          </w:p>
        </w:tc>
      </w:tr>
      <w:tr>
        <w:trPr>
          <w:trHeight w:val="520" w:hRule="atLeast"/>
        </w:trPr>
        <w:tc>
          <w:tcPr>
            <w:tcW w:w="1642" w:type="dxa"/>
            <w:tcBorders>
              <w:bottom w:val="single" w:sz="4" w:space="0" w:color="000000"/>
            </w:tcBorders>
          </w:tcPr>
          <w:p>
            <w:pPr>
              <w:pStyle w:val="TableParagraph"/>
              <w:rPr>
                <w:rFonts w:ascii="Times New Roman"/>
                <w:sz w:val="22"/>
              </w:rPr>
            </w:pPr>
          </w:p>
        </w:tc>
        <w:tc>
          <w:tcPr>
            <w:tcW w:w="1372" w:type="dxa"/>
            <w:tcBorders>
              <w:bottom w:val="single" w:sz="4" w:space="0" w:color="000000"/>
            </w:tcBorders>
          </w:tcPr>
          <w:p>
            <w:pPr>
              <w:pStyle w:val="TableParagraph"/>
              <w:spacing w:before="74"/>
              <w:ind w:left="2" w:right="117"/>
              <w:jc w:val="center"/>
              <w:rPr>
                <w:sz w:val="22"/>
              </w:rPr>
            </w:pPr>
            <w:r>
              <w:rPr>
                <w:sz w:val="22"/>
              </w:rPr>
              <w:t>H:L;</w:t>
            </w:r>
            <w:r>
              <w:rPr>
                <w:spacing w:val="-5"/>
                <w:sz w:val="22"/>
              </w:rPr>
              <w:t> </w:t>
            </w:r>
            <w:r>
              <w:rPr>
                <w:spacing w:val="-2"/>
                <w:sz w:val="22"/>
              </w:rPr>
              <w:t>50:50</w:t>
            </w:r>
          </w:p>
        </w:tc>
        <w:tc>
          <w:tcPr>
            <w:tcW w:w="1546" w:type="dxa"/>
            <w:tcBorders>
              <w:bottom w:val="single" w:sz="4" w:space="0" w:color="000000"/>
            </w:tcBorders>
          </w:tcPr>
          <w:p>
            <w:pPr>
              <w:pStyle w:val="TableParagraph"/>
              <w:spacing w:before="74"/>
              <w:ind w:left="106" w:right="107"/>
              <w:jc w:val="center"/>
              <w:rPr>
                <w:sz w:val="22"/>
              </w:rPr>
            </w:pPr>
            <w:r>
              <w:rPr>
                <w:spacing w:val="-2"/>
                <w:sz w:val="22"/>
              </w:rPr>
              <w:t>25.500±1.500</w:t>
            </w:r>
          </w:p>
        </w:tc>
        <w:tc>
          <w:tcPr>
            <w:tcW w:w="1008" w:type="dxa"/>
            <w:tcBorders>
              <w:bottom w:val="single" w:sz="4" w:space="0" w:color="000000"/>
            </w:tcBorders>
          </w:tcPr>
          <w:p>
            <w:pPr>
              <w:pStyle w:val="TableParagraph"/>
              <w:spacing w:before="74"/>
              <w:ind w:right="177"/>
              <w:jc w:val="right"/>
              <w:rPr>
                <w:sz w:val="22"/>
              </w:rPr>
            </w:pPr>
            <w:r>
              <w:rPr>
                <w:spacing w:val="-2"/>
                <w:sz w:val="22"/>
              </w:rPr>
              <w:t>0.009</w:t>
            </w:r>
          </w:p>
        </w:tc>
        <w:tc>
          <w:tcPr>
            <w:tcW w:w="773" w:type="dxa"/>
            <w:tcBorders>
              <w:bottom w:val="single" w:sz="4" w:space="0" w:color="000000"/>
            </w:tcBorders>
          </w:tcPr>
          <w:p>
            <w:pPr>
              <w:pStyle w:val="TableParagraph"/>
              <w:spacing w:before="74"/>
              <w:ind w:right="71"/>
              <w:jc w:val="center"/>
              <w:rPr>
                <w:sz w:val="22"/>
              </w:rPr>
            </w:pPr>
            <w:r>
              <w:rPr>
                <w:spacing w:val="-5"/>
                <w:sz w:val="22"/>
              </w:rPr>
              <w:t>SF</w:t>
            </w:r>
          </w:p>
        </w:tc>
      </w:tr>
      <w:tr>
        <w:trPr>
          <w:trHeight w:val="377" w:hRule="atLeast"/>
        </w:trPr>
        <w:tc>
          <w:tcPr>
            <w:tcW w:w="1642" w:type="dxa"/>
            <w:tcBorders>
              <w:top w:val="single" w:sz="4" w:space="0" w:color="000000"/>
            </w:tcBorders>
          </w:tcPr>
          <w:p>
            <w:pPr>
              <w:pStyle w:val="TableParagraph"/>
              <w:rPr>
                <w:rFonts w:ascii="Times New Roman"/>
                <w:sz w:val="22"/>
              </w:rPr>
            </w:pPr>
          </w:p>
        </w:tc>
        <w:tc>
          <w:tcPr>
            <w:tcW w:w="1372" w:type="dxa"/>
            <w:tcBorders>
              <w:top w:val="single" w:sz="4" w:space="0" w:color="000000"/>
            </w:tcBorders>
          </w:tcPr>
          <w:p>
            <w:pPr>
              <w:pStyle w:val="TableParagraph"/>
              <w:spacing w:line="265" w:lineRule="exact"/>
              <w:ind w:left="2" w:right="117"/>
              <w:jc w:val="center"/>
              <w:rPr>
                <w:sz w:val="22"/>
              </w:rPr>
            </w:pPr>
            <w:r>
              <w:rPr>
                <w:sz w:val="22"/>
              </w:rPr>
              <w:t>H:L;</w:t>
            </w:r>
            <w:r>
              <w:rPr>
                <w:spacing w:val="-5"/>
                <w:sz w:val="22"/>
              </w:rPr>
              <w:t> </w:t>
            </w:r>
            <w:r>
              <w:rPr>
                <w:spacing w:val="-2"/>
                <w:sz w:val="22"/>
              </w:rPr>
              <w:t>10:50</w:t>
            </w:r>
          </w:p>
        </w:tc>
        <w:tc>
          <w:tcPr>
            <w:tcW w:w="1546" w:type="dxa"/>
            <w:tcBorders>
              <w:top w:val="single" w:sz="4" w:space="0" w:color="000000"/>
            </w:tcBorders>
          </w:tcPr>
          <w:p>
            <w:pPr>
              <w:pStyle w:val="TableParagraph"/>
              <w:spacing w:line="265" w:lineRule="exact"/>
              <w:ind w:left="106" w:right="107"/>
              <w:jc w:val="center"/>
              <w:rPr>
                <w:sz w:val="22"/>
              </w:rPr>
            </w:pPr>
            <w:r>
              <w:rPr>
                <w:spacing w:val="-2"/>
                <w:sz w:val="22"/>
              </w:rPr>
              <w:t>20.500±0.500</w:t>
            </w:r>
          </w:p>
        </w:tc>
        <w:tc>
          <w:tcPr>
            <w:tcW w:w="1008" w:type="dxa"/>
            <w:tcBorders>
              <w:top w:val="single" w:sz="4" w:space="0" w:color="000000"/>
            </w:tcBorders>
          </w:tcPr>
          <w:p>
            <w:pPr>
              <w:pStyle w:val="TableParagraph"/>
              <w:spacing w:line="265" w:lineRule="exact"/>
              <w:ind w:right="177"/>
              <w:jc w:val="right"/>
              <w:rPr>
                <w:sz w:val="22"/>
              </w:rPr>
            </w:pPr>
            <w:r>
              <w:rPr>
                <w:spacing w:val="-2"/>
                <w:sz w:val="22"/>
              </w:rPr>
              <w:t>0.001</w:t>
            </w:r>
          </w:p>
        </w:tc>
        <w:tc>
          <w:tcPr>
            <w:tcW w:w="773" w:type="dxa"/>
            <w:tcBorders>
              <w:top w:val="single" w:sz="4" w:space="0" w:color="000000"/>
            </w:tcBorders>
          </w:tcPr>
          <w:p>
            <w:pPr>
              <w:pStyle w:val="TableParagraph"/>
              <w:spacing w:line="265" w:lineRule="exact"/>
              <w:ind w:right="71"/>
              <w:jc w:val="center"/>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372" w:type="dxa"/>
          </w:tcPr>
          <w:p>
            <w:pPr>
              <w:pStyle w:val="TableParagraph"/>
              <w:spacing w:before="72"/>
              <w:ind w:left="2" w:right="117"/>
              <w:jc w:val="center"/>
              <w:rPr>
                <w:sz w:val="22"/>
              </w:rPr>
            </w:pPr>
            <w:r>
              <w:rPr>
                <w:sz w:val="22"/>
              </w:rPr>
              <w:t>H:L;</w:t>
            </w:r>
            <w:r>
              <w:rPr>
                <w:spacing w:val="-5"/>
                <w:sz w:val="22"/>
              </w:rPr>
              <w:t> </w:t>
            </w:r>
            <w:r>
              <w:rPr>
                <w:spacing w:val="-2"/>
                <w:sz w:val="22"/>
              </w:rPr>
              <w:t>20:50</w:t>
            </w:r>
          </w:p>
        </w:tc>
        <w:tc>
          <w:tcPr>
            <w:tcW w:w="1546" w:type="dxa"/>
          </w:tcPr>
          <w:p>
            <w:pPr>
              <w:pStyle w:val="TableParagraph"/>
              <w:spacing w:before="72"/>
              <w:ind w:left="106" w:right="107"/>
              <w:jc w:val="center"/>
              <w:rPr>
                <w:sz w:val="22"/>
              </w:rPr>
            </w:pPr>
            <w:r>
              <w:rPr>
                <w:spacing w:val="-2"/>
                <w:sz w:val="22"/>
              </w:rPr>
              <w:t>23.000±2.000</w:t>
            </w:r>
          </w:p>
        </w:tc>
        <w:tc>
          <w:tcPr>
            <w:tcW w:w="1008" w:type="dxa"/>
          </w:tcPr>
          <w:p>
            <w:pPr>
              <w:pStyle w:val="TableParagraph"/>
              <w:spacing w:before="72"/>
              <w:ind w:right="177"/>
              <w:jc w:val="right"/>
              <w:rPr>
                <w:sz w:val="22"/>
              </w:rPr>
            </w:pPr>
            <w:r>
              <w:rPr>
                <w:spacing w:val="-2"/>
                <w:sz w:val="22"/>
              </w:rPr>
              <w:t>0.001</w:t>
            </w:r>
          </w:p>
        </w:tc>
        <w:tc>
          <w:tcPr>
            <w:tcW w:w="773" w:type="dxa"/>
          </w:tcPr>
          <w:p>
            <w:pPr>
              <w:pStyle w:val="TableParagraph"/>
              <w:spacing w:before="72"/>
              <w:ind w:right="71"/>
              <w:jc w:val="center"/>
              <w:rPr>
                <w:sz w:val="22"/>
              </w:rPr>
            </w:pPr>
            <w:r>
              <w:rPr>
                <w:spacing w:val="-5"/>
                <w:sz w:val="22"/>
              </w:rPr>
              <w:t>SF</w:t>
            </w:r>
          </w:p>
        </w:tc>
      </w:tr>
      <w:tr>
        <w:trPr>
          <w:trHeight w:val="597" w:hRule="atLeast"/>
        </w:trPr>
        <w:tc>
          <w:tcPr>
            <w:tcW w:w="1642" w:type="dxa"/>
          </w:tcPr>
          <w:p>
            <w:pPr>
              <w:pStyle w:val="TableParagraph"/>
              <w:spacing w:before="1"/>
              <w:ind w:left="108"/>
              <w:rPr>
                <w:sz w:val="22"/>
              </w:rPr>
            </w:pPr>
            <w:r>
              <w:rPr>
                <w:sz w:val="22"/>
              </w:rPr>
              <w:t>Honey</w:t>
            </w:r>
            <w:r>
              <w:rPr>
                <w:spacing w:val="-2"/>
                <w:sz w:val="22"/>
              </w:rPr>
              <w:t> (25%)</w:t>
            </w:r>
          </w:p>
          <w:p>
            <w:pPr>
              <w:pStyle w:val="TableParagraph"/>
              <w:spacing w:before="17"/>
              <w:ind w:left="108"/>
              <w:rPr>
                <w:sz w:val="22"/>
              </w:rPr>
            </w:pPr>
            <w:r>
              <w:rPr>
                <w:spacing w:val="-2"/>
                <w:sz w:val="22"/>
              </w:rPr>
              <w:t>(10.000±0.000)</w:t>
            </w:r>
          </w:p>
        </w:tc>
        <w:tc>
          <w:tcPr>
            <w:tcW w:w="1372" w:type="dxa"/>
          </w:tcPr>
          <w:p>
            <w:pPr>
              <w:pStyle w:val="TableParagraph"/>
              <w:spacing w:before="145"/>
              <w:ind w:left="2" w:right="117"/>
              <w:jc w:val="center"/>
              <w:rPr>
                <w:sz w:val="22"/>
              </w:rPr>
            </w:pPr>
            <w:r>
              <w:rPr>
                <w:sz w:val="22"/>
              </w:rPr>
              <w:t>H:L;</w:t>
            </w:r>
            <w:r>
              <w:rPr>
                <w:spacing w:val="-5"/>
                <w:sz w:val="22"/>
              </w:rPr>
              <w:t> </w:t>
            </w:r>
            <w:r>
              <w:rPr>
                <w:spacing w:val="-2"/>
                <w:sz w:val="22"/>
              </w:rPr>
              <w:t>30:50</w:t>
            </w:r>
          </w:p>
        </w:tc>
        <w:tc>
          <w:tcPr>
            <w:tcW w:w="1546" w:type="dxa"/>
          </w:tcPr>
          <w:p>
            <w:pPr>
              <w:pStyle w:val="TableParagraph"/>
              <w:spacing w:before="145"/>
              <w:ind w:left="106" w:right="107"/>
              <w:jc w:val="center"/>
              <w:rPr>
                <w:sz w:val="22"/>
              </w:rPr>
            </w:pPr>
            <w:r>
              <w:rPr>
                <w:spacing w:val="-2"/>
                <w:sz w:val="22"/>
              </w:rPr>
              <w:t>21.000±1.000</w:t>
            </w:r>
          </w:p>
        </w:tc>
        <w:tc>
          <w:tcPr>
            <w:tcW w:w="1008" w:type="dxa"/>
          </w:tcPr>
          <w:p>
            <w:pPr>
              <w:pStyle w:val="TableParagraph"/>
              <w:spacing w:before="145"/>
              <w:ind w:right="177"/>
              <w:jc w:val="right"/>
              <w:rPr>
                <w:sz w:val="22"/>
              </w:rPr>
            </w:pPr>
            <w:r>
              <w:rPr>
                <w:spacing w:val="-2"/>
                <w:sz w:val="22"/>
              </w:rPr>
              <w:t>0.004</w:t>
            </w:r>
          </w:p>
        </w:tc>
        <w:tc>
          <w:tcPr>
            <w:tcW w:w="773" w:type="dxa"/>
          </w:tcPr>
          <w:p>
            <w:pPr>
              <w:pStyle w:val="TableParagraph"/>
              <w:spacing w:before="145"/>
              <w:ind w:right="71"/>
              <w:jc w:val="center"/>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372" w:type="dxa"/>
          </w:tcPr>
          <w:p>
            <w:pPr>
              <w:pStyle w:val="TableParagraph"/>
              <w:spacing w:before="1"/>
              <w:ind w:left="2" w:right="117"/>
              <w:jc w:val="center"/>
              <w:rPr>
                <w:sz w:val="22"/>
              </w:rPr>
            </w:pPr>
            <w:r>
              <w:rPr>
                <w:sz w:val="22"/>
              </w:rPr>
              <w:t>H:L;</w:t>
            </w:r>
            <w:r>
              <w:rPr>
                <w:spacing w:val="-5"/>
                <w:sz w:val="22"/>
              </w:rPr>
              <w:t> </w:t>
            </w:r>
            <w:r>
              <w:rPr>
                <w:spacing w:val="-2"/>
                <w:sz w:val="22"/>
              </w:rPr>
              <w:t>40:50</w:t>
            </w:r>
          </w:p>
        </w:tc>
        <w:tc>
          <w:tcPr>
            <w:tcW w:w="1546" w:type="dxa"/>
          </w:tcPr>
          <w:p>
            <w:pPr>
              <w:pStyle w:val="TableParagraph"/>
              <w:spacing w:before="1"/>
              <w:ind w:left="106" w:right="107"/>
              <w:jc w:val="center"/>
              <w:rPr>
                <w:sz w:val="22"/>
              </w:rPr>
            </w:pPr>
            <w:r>
              <w:rPr>
                <w:spacing w:val="-2"/>
                <w:sz w:val="22"/>
              </w:rPr>
              <w:t>24.000±2.000</w:t>
            </w:r>
          </w:p>
        </w:tc>
        <w:tc>
          <w:tcPr>
            <w:tcW w:w="1008" w:type="dxa"/>
          </w:tcPr>
          <w:p>
            <w:pPr>
              <w:pStyle w:val="TableParagraph"/>
              <w:spacing w:before="1"/>
              <w:ind w:right="177"/>
              <w:jc w:val="right"/>
              <w:rPr>
                <w:sz w:val="22"/>
              </w:rPr>
            </w:pPr>
            <w:r>
              <w:rPr>
                <w:spacing w:val="-2"/>
                <w:sz w:val="22"/>
              </w:rPr>
              <w:t>0.001</w:t>
            </w:r>
          </w:p>
        </w:tc>
        <w:tc>
          <w:tcPr>
            <w:tcW w:w="773" w:type="dxa"/>
          </w:tcPr>
          <w:p>
            <w:pPr>
              <w:pStyle w:val="TableParagraph"/>
              <w:spacing w:before="1"/>
              <w:ind w:right="71"/>
              <w:jc w:val="center"/>
              <w:rPr>
                <w:sz w:val="22"/>
              </w:rPr>
            </w:pPr>
            <w:r>
              <w:rPr>
                <w:spacing w:val="-5"/>
                <w:sz w:val="22"/>
              </w:rPr>
              <w:t>SF</w:t>
            </w:r>
          </w:p>
        </w:tc>
      </w:tr>
      <w:tr>
        <w:trPr>
          <w:trHeight w:val="519" w:hRule="atLeast"/>
        </w:trPr>
        <w:tc>
          <w:tcPr>
            <w:tcW w:w="1642" w:type="dxa"/>
            <w:tcBorders>
              <w:bottom w:val="single" w:sz="4" w:space="0" w:color="000000"/>
            </w:tcBorders>
          </w:tcPr>
          <w:p>
            <w:pPr>
              <w:pStyle w:val="TableParagraph"/>
              <w:rPr>
                <w:rFonts w:ascii="Times New Roman"/>
                <w:sz w:val="22"/>
              </w:rPr>
            </w:pPr>
          </w:p>
        </w:tc>
        <w:tc>
          <w:tcPr>
            <w:tcW w:w="1372" w:type="dxa"/>
            <w:tcBorders>
              <w:bottom w:val="single" w:sz="4" w:space="0" w:color="000000"/>
            </w:tcBorders>
          </w:tcPr>
          <w:p>
            <w:pPr>
              <w:pStyle w:val="TableParagraph"/>
              <w:spacing w:before="72"/>
              <w:ind w:left="2" w:right="117"/>
              <w:jc w:val="center"/>
              <w:rPr>
                <w:sz w:val="22"/>
              </w:rPr>
            </w:pPr>
            <w:r>
              <w:rPr>
                <w:sz w:val="22"/>
              </w:rPr>
              <w:t>H:L;</w:t>
            </w:r>
            <w:r>
              <w:rPr>
                <w:spacing w:val="-5"/>
                <w:sz w:val="22"/>
              </w:rPr>
              <w:t> </w:t>
            </w:r>
            <w:r>
              <w:rPr>
                <w:spacing w:val="-2"/>
                <w:sz w:val="22"/>
              </w:rPr>
              <w:t>50:50</w:t>
            </w:r>
          </w:p>
        </w:tc>
        <w:tc>
          <w:tcPr>
            <w:tcW w:w="1546" w:type="dxa"/>
            <w:tcBorders>
              <w:bottom w:val="single" w:sz="4" w:space="0" w:color="000000"/>
            </w:tcBorders>
          </w:tcPr>
          <w:p>
            <w:pPr>
              <w:pStyle w:val="TableParagraph"/>
              <w:spacing w:before="72"/>
              <w:ind w:left="106" w:right="107"/>
              <w:jc w:val="center"/>
              <w:rPr>
                <w:sz w:val="22"/>
              </w:rPr>
            </w:pPr>
            <w:r>
              <w:rPr>
                <w:spacing w:val="-2"/>
                <w:sz w:val="22"/>
              </w:rPr>
              <w:t>25.500±1.500</w:t>
            </w:r>
          </w:p>
        </w:tc>
        <w:tc>
          <w:tcPr>
            <w:tcW w:w="1008" w:type="dxa"/>
            <w:tcBorders>
              <w:bottom w:val="single" w:sz="4" w:space="0" w:color="000000"/>
            </w:tcBorders>
          </w:tcPr>
          <w:p>
            <w:pPr>
              <w:pStyle w:val="TableParagraph"/>
              <w:spacing w:before="72"/>
              <w:ind w:right="177"/>
              <w:jc w:val="right"/>
              <w:rPr>
                <w:sz w:val="22"/>
              </w:rPr>
            </w:pPr>
            <w:r>
              <w:rPr>
                <w:spacing w:val="-2"/>
                <w:sz w:val="22"/>
              </w:rPr>
              <w:t>0.000</w:t>
            </w:r>
          </w:p>
        </w:tc>
        <w:tc>
          <w:tcPr>
            <w:tcW w:w="773" w:type="dxa"/>
            <w:tcBorders>
              <w:bottom w:val="single" w:sz="4" w:space="0" w:color="000000"/>
            </w:tcBorders>
          </w:tcPr>
          <w:p>
            <w:pPr>
              <w:pStyle w:val="TableParagraph"/>
              <w:spacing w:before="72"/>
              <w:ind w:right="71"/>
              <w:jc w:val="center"/>
              <w:rPr>
                <w:sz w:val="22"/>
              </w:rPr>
            </w:pPr>
            <w:r>
              <w:rPr>
                <w:spacing w:val="-5"/>
                <w:sz w:val="22"/>
              </w:rPr>
              <w:t>SF</w:t>
            </w:r>
          </w:p>
        </w:tc>
      </w:tr>
    </w:tbl>
    <w:p>
      <w:pPr>
        <w:pStyle w:val="BodyText"/>
        <w:spacing w:line="259" w:lineRule="auto" w:before="10"/>
        <w:ind w:left="380" w:right="975"/>
      </w:pPr>
      <w:r>
        <w:rPr>
          <w:b/>
        </w:rPr>
        <w:t>Key:</w:t>
      </w:r>
      <w:r>
        <w:rPr>
          <w:b/>
          <w:spacing w:val="34"/>
        </w:rPr>
        <w:t> </w:t>
      </w:r>
      <w:r>
        <w:rPr/>
        <w:t>LOS=Level</w:t>
      </w:r>
      <w:r>
        <w:rPr>
          <w:spacing w:val="32"/>
        </w:rPr>
        <w:t> </w:t>
      </w:r>
      <w:r>
        <w:rPr/>
        <w:t>of</w:t>
      </w:r>
      <w:r>
        <w:rPr>
          <w:spacing w:val="32"/>
        </w:rPr>
        <w:t> </w:t>
      </w:r>
      <w:r>
        <w:rPr/>
        <w:t>significance;</w:t>
      </w:r>
      <w:r>
        <w:rPr>
          <w:spacing w:val="38"/>
        </w:rPr>
        <w:t> </w:t>
      </w:r>
      <w:r>
        <w:rPr/>
        <w:t>NS=Not</w:t>
      </w:r>
      <w:r>
        <w:rPr>
          <w:spacing w:val="33"/>
        </w:rPr>
        <w:t> </w:t>
      </w:r>
      <w:r>
        <w:rPr/>
        <w:t>significantly</w:t>
      </w:r>
      <w:r>
        <w:rPr>
          <w:spacing w:val="33"/>
        </w:rPr>
        <w:t> </w:t>
      </w:r>
      <w:r>
        <w:rPr/>
        <w:t>different;</w:t>
      </w:r>
      <w:r>
        <w:rPr>
          <w:spacing w:val="35"/>
        </w:rPr>
        <w:t> </w:t>
      </w:r>
      <w:r>
        <w:rPr/>
        <w:t>SF=Significantly</w:t>
      </w:r>
      <w:r>
        <w:rPr>
          <w:spacing w:val="33"/>
        </w:rPr>
        <w:t> </w:t>
      </w:r>
      <w:r>
        <w:rPr/>
        <w:t>different;</w:t>
      </w:r>
      <w:r>
        <w:rPr>
          <w:spacing w:val="35"/>
        </w:rPr>
        <w:t> </w:t>
      </w:r>
      <w:r>
        <w:rPr/>
        <w:t>H=Honey and L=Lemon juice.</w:t>
      </w:r>
    </w:p>
    <w:p>
      <w:pPr>
        <w:spacing w:after="0" w:line="259"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4"/>
      </w:pPr>
    </w:p>
    <w:p>
      <w:pPr>
        <w:pStyle w:val="Heading3"/>
        <w:spacing w:line="400" w:lineRule="auto"/>
        <w:ind w:right="3107"/>
      </w:pPr>
      <w:r>
        <w:rPr/>
        <w:t>Comparing</w:t>
      </w:r>
      <w:r>
        <w:rPr>
          <w:spacing w:val="-5"/>
        </w:rPr>
        <w:t> </w:t>
      </w:r>
      <w:r>
        <w:rPr/>
        <w:t>the</w:t>
      </w:r>
      <w:r>
        <w:rPr>
          <w:spacing w:val="-4"/>
        </w:rPr>
        <w:t> </w:t>
      </w:r>
      <w:r>
        <w:rPr/>
        <w:t>mean</w:t>
      </w:r>
      <w:r>
        <w:rPr>
          <w:spacing w:val="-4"/>
        </w:rPr>
        <w:t> </w:t>
      </w:r>
      <w:r>
        <w:rPr/>
        <w:t>zones</w:t>
      </w:r>
      <w:r>
        <w:rPr>
          <w:spacing w:val="-3"/>
        </w:rPr>
        <w:t> </w:t>
      </w:r>
      <w:r>
        <w:rPr/>
        <w:t>of</w:t>
      </w:r>
      <w:r>
        <w:rPr>
          <w:spacing w:val="-3"/>
        </w:rPr>
        <w:t> </w:t>
      </w:r>
      <w:r>
        <w:rPr/>
        <w:t>inhibition</w:t>
      </w:r>
      <w:r>
        <w:rPr>
          <w:spacing w:val="-4"/>
        </w:rPr>
        <w:t> </w:t>
      </w:r>
      <w:r>
        <w:rPr/>
        <w:t>of</w:t>
      </w:r>
      <w:r>
        <w:rPr>
          <w:spacing w:val="-3"/>
        </w:rPr>
        <w:t> </w:t>
      </w:r>
      <w:r>
        <w:rPr/>
        <w:t>Honey</w:t>
      </w:r>
      <w:r>
        <w:rPr>
          <w:spacing w:val="-3"/>
        </w:rPr>
        <w:t> </w:t>
      </w:r>
      <w:r>
        <w:rPr/>
        <w:t>and</w:t>
      </w:r>
      <w:r>
        <w:rPr>
          <w:spacing w:val="-4"/>
        </w:rPr>
        <w:t> </w:t>
      </w:r>
      <w:r>
        <w:rPr/>
        <w:t>the</w:t>
      </w:r>
      <w:r>
        <w:rPr>
          <w:spacing w:val="-4"/>
        </w:rPr>
        <w:t> </w:t>
      </w:r>
      <w:r>
        <w:rPr/>
        <w:t>mixture of Honey and Lemon juice against </w:t>
      </w:r>
      <w:r>
        <w:rPr>
          <w:i/>
        </w:rPr>
        <w:t>Pseudomonas aeruginosa</w:t>
      </w:r>
      <w:r>
        <w:rPr/>
        <w:t>.</w:t>
      </w:r>
    </w:p>
    <w:p>
      <w:pPr>
        <w:pStyle w:val="BodyText"/>
        <w:spacing w:before="187"/>
        <w:rPr>
          <w:b/>
          <w:sz w:val="20"/>
        </w:rPr>
      </w:pPr>
      <w:r>
        <w:rPr/>
        <mc:AlternateContent>
          <mc:Choice Requires="wps">
            <w:drawing>
              <wp:anchor distT="0" distB="0" distL="0" distR="0" allowOverlap="1" layoutInCell="1" locked="0" behindDoc="1" simplePos="0" relativeHeight="487680512">
                <wp:simplePos x="0" y="0"/>
                <wp:positionH relativeFrom="page">
                  <wp:posOffset>1461770</wp:posOffset>
                </wp:positionH>
                <wp:positionV relativeFrom="paragraph">
                  <wp:posOffset>289269</wp:posOffset>
                </wp:positionV>
                <wp:extent cx="4027804" cy="6350"/>
                <wp:effectExtent l="0" t="0" r="0" b="0"/>
                <wp:wrapTopAndBottom/>
                <wp:docPr id="502" name="Graphic 502"/>
                <wp:cNvGraphicFramePr>
                  <a:graphicFrameLocks/>
                </wp:cNvGraphicFramePr>
                <a:graphic>
                  <a:graphicData uri="http://schemas.microsoft.com/office/word/2010/wordprocessingShape">
                    <wps:wsp>
                      <wps:cNvPr id="502" name="Graphic 502"/>
                      <wps:cNvSpPr/>
                      <wps:spPr>
                        <a:xfrm>
                          <a:off x="0" y="0"/>
                          <a:ext cx="4027804" cy="6350"/>
                        </a:xfrm>
                        <a:custGeom>
                          <a:avLst/>
                          <a:gdLst/>
                          <a:ahLst/>
                          <a:cxnLst/>
                          <a:rect l="l" t="t" r="r" b="b"/>
                          <a:pathLst>
                            <a:path w="4027804" h="6350">
                              <a:moveTo>
                                <a:pt x="1085392" y="0"/>
                              </a:moveTo>
                              <a:lnTo>
                                <a:pt x="0" y="0"/>
                              </a:lnTo>
                              <a:lnTo>
                                <a:pt x="0" y="6083"/>
                              </a:lnTo>
                              <a:lnTo>
                                <a:pt x="1085392" y="6083"/>
                              </a:lnTo>
                              <a:lnTo>
                                <a:pt x="1085392" y="0"/>
                              </a:lnTo>
                              <a:close/>
                            </a:path>
                            <a:path w="4027804" h="6350">
                              <a:moveTo>
                                <a:pt x="1091552" y="0"/>
                              </a:moveTo>
                              <a:lnTo>
                                <a:pt x="1085469" y="0"/>
                              </a:lnTo>
                              <a:lnTo>
                                <a:pt x="1085469" y="6083"/>
                              </a:lnTo>
                              <a:lnTo>
                                <a:pt x="1091552" y="6083"/>
                              </a:lnTo>
                              <a:lnTo>
                                <a:pt x="1091552" y="0"/>
                              </a:lnTo>
                              <a:close/>
                            </a:path>
                            <a:path w="4027804" h="6350">
                              <a:moveTo>
                                <a:pt x="1952612" y="0"/>
                              </a:moveTo>
                              <a:lnTo>
                                <a:pt x="1946529" y="0"/>
                              </a:lnTo>
                              <a:lnTo>
                                <a:pt x="1091565" y="0"/>
                              </a:lnTo>
                              <a:lnTo>
                                <a:pt x="1091565" y="6083"/>
                              </a:lnTo>
                              <a:lnTo>
                                <a:pt x="1946529" y="6083"/>
                              </a:lnTo>
                              <a:lnTo>
                                <a:pt x="1952612" y="6083"/>
                              </a:lnTo>
                              <a:lnTo>
                                <a:pt x="1952612" y="0"/>
                              </a:lnTo>
                              <a:close/>
                            </a:path>
                            <a:path w="4027804" h="6350">
                              <a:moveTo>
                                <a:pt x="3489375" y="0"/>
                              </a:moveTo>
                              <a:lnTo>
                                <a:pt x="2935859" y="0"/>
                              </a:lnTo>
                              <a:lnTo>
                                <a:pt x="2929813" y="0"/>
                              </a:lnTo>
                              <a:lnTo>
                                <a:pt x="1952625" y="0"/>
                              </a:lnTo>
                              <a:lnTo>
                                <a:pt x="1952625" y="6083"/>
                              </a:lnTo>
                              <a:lnTo>
                                <a:pt x="2929763" y="6083"/>
                              </a:lnTo>
                              <a:lnTo>
                                <a:pt x="2935859" y="6083"/>
                              </a:lnTo>
                              <a:lnTo>
                                <a:pt x="3489375" y="6083"/>
                              </a:lnTo>
                              <a:lnTo>
                                <a:pt x="3489375" y="0"/>
                              </a:lnTo>
                              <a:close/>
                            </a:path>
                            <a:path w="4027804" h="6350">
                              <a:moveTo>
                                <a:pt x="3495535" y="0"/>
                              </a:moveTo>
                              <a:lnTo>
                                <a:pt x="3489452" y="0"/>
                              </a:lnTo>
                              <a:lnTo>
                                <a:pt x="3489452" y="6083"/>
                              </a:lnTo>
                              <a:lnTo>
                                <a:pt x="3495535" y="6083"/>
                              </a:lnTo>
                              <a:lnTo>
                                <a:pt x="3495535" y="0"/>
                              </a:lnTo>
                              <a:close/>
                            </a:path>
                            <a:path w="4027804" h="6350">
                              <a:moveTo>
                                <a:pt x="4027411" y="0"/>
                              </a:moveTo>
                              <a:lnTo>
                                <a:pt x="3495548" y="0"/>
                              </a:lnTo>
                              <a:lnTo>
                                <a:pt x="3495548" y="6083"/>
                              </a:lnTo>
                              <a:lnTo>
                                <a:pt x="4027411" y="6083"/>
                              </a:lnTo>
                              <a:lnTo>
                                <a:pt x="40274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5.100006pt;margin-top:22.777122pt;width:317.150pt;height:.5pt;mso-position-horizontal-relative:page;mso-position-vertical-relative:paragraph;z-index:-15635968;mso-wrap-distance-left:0;mso-wrap-distance-right:0" id="docshape447" coordorigin="2302,456" coordsize="6343,10" path="m4011,456l2302,456,2302,465,4011,465,4011,456xm4021,456l4011,456,4011,465,4021,465,4021,456xm5377,456l5367,456,4021,456,4021,465,5367,465,5377,465,5377,456xm7797,456l6925,456,6916,456,6916,456,5377,456,5377,465,6916,465,6916,465,6925,465,7797,465,7797,456xm7807,456l7797,456,7797,465,7807,465,7807,456xm8644,456l7807,456,7807,465,8644,465,8644,456xe" filled="true" fillcolor="#000000" stroked="false">
                <v:path arrowok="t"/>
                <v:fill type="solid"/>
                <w10:wrap type="topAndBottom"/>
              </v:shape>
            </w:pict>
          </mc:Fallback>
        </mc:AlternateContent>
      </w:r>
    </w:p>
    <w:p>
      <w:pPr>
        <w:pStyle w:val="BodyText"/>
        <w:spacing w:before="240"/>
        <w:rPr>
          <w:b/>
          <w:sz w:val="20"/>
        </w:r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gridCol w:w="1372"/>
        <w:gridCol w:w="1545"/>
        <w:gridCol w:w="1008"/>
        <w:gridCol w:w="773"/>
      </w:tblGrid>
      <w:tr>
        <w:trPr>
          <w:trHeight w:val="859" w:hRule="atLeast"/>
        </w:trPr>
        <w:tc>
          <w:tcPr>
            <w:tcW w:w="1642" w:type="dxa"/>
            <w:tcBorders>
              <w:bottom w:val="single" w:sz="4" w:space="0" w:color="000000"/>
            </w:tcBorders>
          </w:tcPr>
          <w:p>
            <w:pPr>
              <w:pStyle w:val="TableParagraph"/>
              <w:spacing w:line="229" w:lineRule="exact"/>
              <w:ind w:left="108"/>
              <w:rPr>
                <w:sz w:val="22"/>
              </w:rPr>
            </w:pPr>
            <w:r>
              <w:rPr>
                <w:sz w:val="22"/>
              </w:rPr>
              <w:t>(I)</w:t>
            </w:r>
            <w:r>
              <w:rPr>
                <w:spacing w:val="-2"/>
                <w:sz w:val="22"/>
              </w:rPr>
              <w:t> Group_4</w:t>
            </w:r>
          </w:p>
        </w:tc>
        <w:tc>
          <w:tcPr>
            <w:tcW w:w="1372" w:type="dxa"/>
            <w:tcBorders>
              <w:bottom w:val="single" w:sz="4" w:space="0" w:color="000000"/>
            </w:tcBorders>
          </w:tcPr>
          <w:p>
            <w:pPr>
              <w:pStyle w:val="TableParagraph"/>
              <w:spacing w:line="229" w:lineRule="exact"/>
              <w:ind w:left="175"/>
              <w:rPr>
                <w:sz w:val="22"/>
              </w:rPr>
            </w:pPr>
            <w:r>
              <w:rPr>
                <w:sz w:val="22"/>
              </w:rPr>
              <w:t>(J)</w:t>
            </w:r>
            <w:r>
              <w:rPr>
                <w:spacing w:val="-2"/>
                <w:sz w:val="22"/>
              </w:rPr>
              <w:t> Group_4</w:t>
            </w:r>
          </w:p>
        </w:tc>
        <w:tc>
          <w:tcPr>
            <w:tcW w:w="1545" w:type="dxa"/>
            <w:tcBorders>
              <w:bottom w:val="single" w:sz="4" w:space="0" w:color="000000"/>
            </w:tcBorders>
          </w:tcPr>
          <w:p>
            <w:pPr>
              <w:pStyle w:val="TableParagraph"/>
              <w:spacing w:line="229" w:lineRule="exact"/>
              <w:ind w:left="107"/>
              <w:jc w:val="center"/>
              <w:rPr>
                <w:sz w:val="22"/>
              </w:rPr>
            </w:pPr>
            <w:r>
              <w:rPr>
                <w:spacing w:val="-2"/>
                <w:sz w:val="22"/>
              </w:rPr>
              <w:t>Mean±SEM</w:t>
            </w:r>
          </w:p>
        </w:tc>
        <w:tc>
          <w:tcPr>
            <w:tcW w:w="1008" w:type="dxa"/>
            <w:tcBorders>
              <w:bottom w:val="single" w:sz="4" w:space="0" w:color="000000"/>
            </w:tcBorders>
          </w:tcPr>
          <w:p>
            <w:pPr>
              <w:pStyle w:val="TableParagraph"/>
              <w:spacing w:line="229" w:lineRule="exact"/>
              <w:ind w:right="179"/>
              <w:jc w:val="right"/>
              <w:rPr>
                <w:sz w:val="22"/>
              </w:rPr>
            </w:pPr>
            <w:r>
              <w:rPr>
                <w:sz w:val="22"/>
              </w:rPr>
              <w:t>P-</w:t>
            </w:r>
            <w:r>
              <w:rPr>
                <w:spacing w:val="-2"/>
                <w:sz w:val="22"/>
              </w:rPr>
              <w:t>value</w:t>
            </w:r>
          </w:p>
        </w:tc>
        <w:tc>
          <w:tcPr>
            <w:tcW w:w="773" w:type="dxa"/>
            <w:tcBorders>
              <w:bottom w:val="single" w:sz="4" w:space="0" w:color="000000"/>
            </w:tcBorders>
          </w:tcPr>
          <w:p>
            <w:pPr>
              <w:pStyle w:val="TableParagraph"/>
              <w:spacing w:line="225" w:lineRule="exact"/>
              <w:ind w:left="7" w:right="71"/>
              <w:jc w:val="center"/>
              <w:rPr>
                <w:sz w:val="22"/>
              </w:rPr>
            </w:pPr>
            <w:r>
              <w:rPr>
                <w:spacing w:val="-5"/>
                <w:sz w:val="22"/>
              </w:rPr>
              <w:t>LOS</w:t>
            </w:r>
          </w:p>
        </w:tc>
      </w:tr>
      <w:tr>
        <w:trPr>
          <w:trHeight w:val="306" w:hRule="atLeast"/>
        </w:trPr>
        <w:tc>
          <w:tcPr>
            <w:tcW w:w="1642" w:type="dxa"/>
            <w:tcBorders>
              <w:top w:val="single" w:sz="4" w:space="0" w:color="000000"/>
            </w:tcBorders>
          </w:tcPr>
          <w:p>
            <w:pPr>
              <w:pStyle w:val="TableParagraph"/>
              <w:rPr>
                <w:rFonts w:ascii="Times New Roman"/>
                <w:sz w:val="22"/>
              </w:rPr>
            </w:pPr>
          </w:p>
        </w:tc>
        <w:tc>
          <w:tcPr>
            <w:tcW w:w="1372" w:type="dxa"/>
            <w:tcBorders>
              <w:top w:val="single" w:sz="4" w:space="0" w:color="000000"/>
            </w:tcBorders>
          </w:tcPr>
          <w:p>
            <w:pPr>
              <w:pStyle w:val="TableParagraph"/>
              <w:spacing w:line="265" w:lineRule="exact"/>
              <w:ind w:left="2" w:right="117"/>
              <w:jc w:val="center"/>
              <w:rPr>
                <w:sz w:val="22"/>
              </w:rPr>
            </w:pPr>
            <w:r>
              <w:rPr>
                <w:sz w:val="22"/>
              </w:rPr>
              <w:t>H:L;</w:t>
            </w:r>
            <w:r>
              <w:rPr>
                <w:spacing w:val="-5"/>
                <w:sz w:val="22"/>
              </w:rPr>
              <w:t> </w:t>
            </w:r>
            <w:r>
              <w:rPr>
                <w:spacing w:val="-2"/>
                <w:sz w:val="22"/>
              </w:rPr>
              <w:t>10:50</w:t>
            </w:r>
          </w:p>
        </w:tc>
        <w:tc>
          <w:tcPr>
            <w:tcW w:w="1545" w:type="dxa"/>
            <w:tcBorders>
              <w:top w:val="single" w:sz="4" w:space="0" w:color="000000"/>
            </w:tcBorders>
          </w:tcPr>
          <w:p>
            <w:pPr>
              <w:pStyle w:val="TableParagraph"/>
              <w:spacing w:line="265" w:lineRule="exact"/>
              <w:ind w:left="107" w:right="107"/>
              <w:jc w:val="center"/>
              <w:rPr>
                <w:sz w:val="22"/>
              </w:rPr>
            </w:pPr>
            <w:r>
              <w:rPr>
                <w:spacing w:val="-2"/>
                <w:sz w:val="22"/>
              </w:rPr>
              <w:t>20.500±0.314</w:t>
            </w:r>
          </w:p>
        </w:tc>
        <w:tc>
          <w:tcPr>
            <w:tcW w:w="1008" w:type="dxa"/>
            <w:tcBorders>
              <w:top w:val="single" w:sz="4" w:space="0" w:color="000000"/>
            </w:tcBorders>
          </w:tcPr>
          <w:p>
            <w:pPr>
              <w:pStyle w:val="TableParagraph"/>
              <w:spacing w:line="265" w:lineRule="exact"/>
              <w:ind w:right="176"/>
              <w:jc w:val="right"/>
              <w:rPr>
                <w:sz w:val="22"/>
              </w:rPr>
            </w:pPr>
            <w:r>
              <w:rPr>
                <w:spacing w:val="-2"/>
                <w:sz w:val="22"/>
              </w:rPr>
              <w:t>0.678</w:t>
            </w:r>
          </w:p>
        </w:tc>
        <w:tc>
          <w:tcPr>
            <w:tcW w:w="773" w:type="dxa"/>
            <w:tcBorders>
              <w:top w:val="single" w:sz="4" w:space="0" w:color="000000"/>
            </w:tcBorders>
          </w:tcPr>
          <w:p>
            <w:pPr>
              <w:pStyle w:val="TableParagraph"/>
              <w:spacing w:line="265" w:lineRule="exact"/>
              <w:ind w:left="3" w:right="71"/>
              <w:jc w:val="center"/>
              <w:rPr>
                <w:sz w:val="22"/>
              </w:rPr>
            </w:pPr>
            <w:r>
              <w:rPr>
                <w:spacing w:val="-5"/>
                <w:sz w:val="22"/>
              </w:rPr>
              <w:t>NS</w:t>
            </w:r>
          </w:p>
        </w:tc>
      </w:tr>
      <w:tr>
        <w:trPr>
          <w:trHeight w:val="595" w:hRule="atLeast"/>
        </w:trPr>
        <w:tc>
          <w:tcPr>
            <w:tcW w:w="1642" w:type="dxa"/>
          </w:tcPr>
          <w:p>
            <w:pPr>
              <w:pStyle w:val="TableParagraph"/>
              <w:spacing w:before="1"/>
              <w:ind w:left="108"/>
              <w:rPr>
                <w:sz w:val="22"/>
              </w:rPr>
            </w:pPr>
            <w:r>
              <w:rPr>
                <w:sz w:val="22"/>
              </w:rPr>
              <w:t>Honey</w:t>
            </w:r>
            <w:r>
              <w:rPr>
                <w:spacing w:val="-4"/>
                <w:sz w:val="22"/>
              </w:rPr>
              <w:t> </w:t>
            </w:r>
            <w:r>
              <w:rPr>
                <w:spacing w:val="-2"/>
                <w:sz w:val="22"/>
              </w:rPr>
              <w:t>(100%)</w:t>
            </w:r>
          </w:p>
          <w:p>
            <w:pPr>
              <w:pStyle w:val="TableParagraph"/>
              <w:spacing w:before="15"/>
              <w:ind w:left="108"/>
              <w:rPr>
                <w:sz w:val="22"/>
              </w:rPr>
            </w:pPr>
            <w:r>
              <w:rPr/>
              <mc:AlternateContent>
                <mc:Choice Requires="wps">
                  <w:drawing>
                    <wp:anchor distT="0" distB="0" distL="0" distR="0" allowOverlap="1" layoutInCell="1" locked="0" behindDoc="0" simplePos="0" relativeHeight="15821824">
                      <wp:simplePos x="0" y="0"/>
                      <wp:positionH relativeFrom="column">
                        <wp:posOffset>0</wp:posOffset>
                      </wp:positionH>
                      <wp:positionV relativeFrom="paragraph">
                        <wp:posOffset>493314</wp:posOffset>
                      </wp:positionV>
                      <wp:extent cx="1085850" cy="6350"/>
                      <wp:effectExtent l="0" t="0" r="0" b="0"/>
                      <wp:wrapNone/>
                      <wp:docPr id="503" name="Group 503"/>
                      <wp:cNvGraphicFramePr>
                        <a:graphicFrameLocks/>
                      </wp:cNvGraphicFramePr>
                      <a:graphic>
                        <a:graphicData uri="http://schemas.microsoft.com/office/word/2010/wordprocessingGroup">
                          <wpg:wgp>
                            <wpg:cNvPr id="503" name="Group 503"/>
                            <wpg:cNvGrpSpPr/>
                            <wpg:grpSpPr>
                              <a:xfrm>
                                <a:off x="0" y="0"/>
                                <a:ext cx="1085850" cy="6350"/>
                                <a:chExt cx="1085850" cy="6350"/>
                              </a:xfrm>
                            </wpg:grpSpPr>
                            <wps:wsp>
                              <wps:cNvPr id="504" name="Graphic 504"/>
                              <wps:cNvSpPr/>
                              <wps:spPr>
                                <a:xfrm>
                                  <a:off x="0" y="0"/>
                                  <a:ext cx="1085850" cy="6350"/>
                                </a:xfrm>
                                <a:custGeom>
                                  <a:avLst/>
                                  <a:gdLst/>
                                  <a:ahLst/>
                                  <a:cxnLst/>
                                  <a:rect l="l" t="t" r="r" b="b"/>
                                  <a:pathLst>
                                    <a:path w="1085850" h="6350">
                                      <a:moveTo>
                                        <a:pt x="1085392" y="0"/>
                                      </a:moveTo>
                                      <a:lnTo>
                                        <a:pt x="0" y="0"/>
                                      </a:lnTo>
                                      <a:lnTo>
                                        <a:pt x="0" y="6095"/>
                                      </a:lnTo>
                                      <a:lnTo>
                                        <a:pt x="1085392" y="6095"/>
                                      </a:lnTo>
                                      <a:lnTo>
                                        <a:pt x="10853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38.843651pt;width:85.5pt;height:.5pt;mso-position-horizontal-relative:column;mso-position-vertical-relative:paragraph;z-index:15821824" id="docshapegroup448" coordorigin="0,777" coordsize="1710,10">
                      <v:rect style="position:absolute;left:0;top:776;width:1710;height:10" id="docshape449" filled="true" fillcolor="#000000" stroked="false">
                        <v:fill type="solid"/>
                      </v:rect>
                      <w10:wrap type="none"/>
                    </v:group>
                  </w:pict>
                </mc:Fallback>
              </mc:AlternateContent>
            </w:r>
            <w:r>
              <w:rPr>
                <w:spacing w:val="-2"/>
                <w:sz w:val="22"/>
              </w:rPr>
              <w:t>(22.167±1.325)</w:t>
            </w:r>
          </w:p>
        </w:tc>
        <w:tc>
          <w:tcPr>
            <w:tcW w:w="1372" w:type="dxa"/>
          </w:tcPr>
          <w:p>
            <w:pPr>
              <w:pStyle w:val="TableParagraph"/>
              <w:spacing w:before="143"/>
              <w:ind w:left="2" w:right="117"/>
              <w:jc w:val="center"/>
              <w:rPr>
                <w:sz w:val="22"/>
              </w:rPr>
            </w:pPr>
            <w:r>
              <w:rPr>
                <w:sz w:val="22"/>
              </w:rPr>
              <w:t>H:L;</w:t>
            </w:r>
            <w:r>
              <w:rPr>
                <w:spacing w:val="-5"/>
                <w:sz w:val="22"/>
              </w:rPr>
              <w:t> </w:t>
            </w:r>
            <w:r>
              <w:rPr>
                <w:spacing w:val="-2"/>
                <w:sz w:val="22"/>
              </w:rPr>
              <w:t>20:50</w:t>
            </w:r>
          </w:p>
        </w:tc>
        <w:tc>
          <w:tcPr>
            <w:tcW w:w="1545" w:type="dxa"/>
          </w:tcPr>
          <w:p>
            <w:pPr>
              <w:pStyle w:val="TableParagraph"/>
              <w:spacing w:before="143"/>
              <w:ind w:left="107" w:right="107"/>
              <w:jc w:val="center"/>
              <w:rPr>
                <w:sz w:val="22"/>
              </w:rPr>
            </w:pPr>
            <w:r>
              <w:rPr>
                <w:spacing w:val="-2"/>
                <w:sz w:val="22"/>
              </w:rPr>
              <w:t>21.750±0.329</w:t>
            </w:r>
          </w:p>
        </w:tc>
        <w:tc>
          <w:tcPr>
            <w:tcW w:w="1008" w:type="dxa"/>
          </w:tcPr>
          <w:p>
            <w:pPr>
              <w:pStyle w:val="TableParagraph"/>
              <w:spacing w:before="143"/>
              <w:ind w:right="176"/>
              <w:jc w:val="right"/>
              <w:rPr>
                <w:sz w:val="22"/>
              </w:rPr>
            </w:pPr>
            <w:r>
              <w:rPr>
                <w:spacing w:val="-2"/>
                <w:sz w:val="22"/>
              </w:rPr>
              <w:t>1.000</w:t>
            </w:r>
          </w:p>
        </w:tc>
        <w:tc>
          <w:tcPr>
            <w:tcW w:w="773" w:type="dxa"/>
          </w:tcPr>
          <w:p>
            <w:pPr>
              <w:pStyle w:val="TableParagraph"/>
              <w:spacing w:before="143"/>
              <w:ind w:left="3" w:right="71"/>
              <w:jc w:val="center"/>
              <w:rPr>
                <w:sz w:val="22"/>
              </w:rPr>
            </w:pPr>
            <w:r>
              <w:rPr>
                <w:spacing w:val="-5"/>
                <w:sz w:val="22"/>
              </w:rPr>
              <w:t>NS</w:t>
            </w:r>
          </w:p>
        </w:tc>
      </w:tr>
      <w:tr>
        <w:trPr>
          <w:trHeight w:val="461" w:hRule="atLeast"/>
        </w:trPr>
        <w:tc>
          <w:tcPr>
            <w:tcW w:w="1642" w:type="dxa"/>
          </w:tcPr>
          <w:p>
            <w:pPr>
              <w:pStyle w:val="TableParagraph"/>
              <w:rPr>
                <w:rFonts w:ascii="Times New Roman"/>
                <w:sz w:val="22"/>
              </w:rPr>
            </w:pPr>
          </w:p>
        </w:tc>
        <w:tc>
          <w:tcPr>
            <w:tcW w:w="1372" w:type="dxa"/>
          </w:tcPr>
          <w:p>
            <w:pPr>
              <w:pStyle w:val="TableParagraph"/>
              <w:spacing w:before="1"/>
              <w:ind w:left="2" w:right="117"/>
              <w:jc w:val="center"/>
              <w:rPr>
                <w:sz w:val="22"/>
              </w:rPr>
            </w:pPr>
            <w:r>
              <w:rPr>
                <w:sz w:val="22"/>
              </w:rPr>
              <w:t>H:L;</w:t>
            </w:r>
            <w:r>
              <w:rPr>
                <w:spacing w:val="-5"/>
                <w:sz w:val="22"/>
              </w:rPr>
              <w:t> </w:t>
            </w:r>
            <w:r>
              <w:rPr>
                <w:spacing w:val="-2"/>
                <w:sz w:val="22"/>
              </w:rPr>
              <w:t>30:50</w:t>
            </w:r>
          </w:p>
        </w:tc>
        <w:tc>
          <w:tcPr>
            <w:tcW w:w="1545" w:type="dxa"/>
          </w:tcPr>
          <w:p>
            <w:pPr>
              <w:pStyle w:val="TableParagraph"/>
              <w:spacing w:before="1"/>
              <w:ind w:left="107" w:right="107"/>
              <w:jc w:val="center"/>
              <w:rPr>
                <w:sz w:val="22"/>
              </w:rPr>
            </w:pPr>
            <w:r>
              <w:rPr>
                <w:spacing w:val="-2"/>
                <w:sz w:val="22"/>
              </w:rPr>
              <w:t>21.417±0.621</w:t>
            </w:r>
          </w:p>
        </w:tc>
        <w:tc>
          <w:tcPr>
            <w:tcW w:w="1008" w:type="dxa"/>
          </w:tcPr>
          <w:p>
            <w:pPr>
              <w:pStyle w:val="TableParagraph"/>
              <w:spacing w:before="1"/>
              <w:ind w:right="176"/>
              <w:jc w:val="right"/>
              <w:rPr>
                <w:sz w:val="22"/>
              </w:rPr>
            </w:pPr>
            <w:r>
              <w:rPr>
                <w:spacing w:val="-2"/>
                <w:sz w:val="22"/>
              </w:rPr>
              <w:t>0.994</w:t>
            </w:r>
          </w:p>
        </w:tc>
        <w:tc>
          <w:tcPr>
            <w:tcW w:w="773" w:type="dxa"/>
          </w:tcPr>
          <w:p>
            <w:pPr>
              <w:pStyle w:val="TableParagraph"/>
              <w:spacing w:before="1"/>
              <w:ind w:left="3" w:right="71"/>
              <w:jc w:val="center"/>
              <w:rPr>
                <w:sz w:val="22"/>
              </w:rPr>
            </w:pPr>
            <w:r>
              <w:rPr>
                <w:spacing w:val="-5"/>
                <w:sz w:val="22"/>
              </w:rPr>
              <w:t>NS</w:t>
            </w:r>
          </w:p>
        </w:tc>
      </w:tr>
    </w:tbl>
    <w:p>
      <w:pPr>
        <w:spacing w:after="0"/>
        <w:jc w:val="center"/>
        <w:rPr>
          <w:sz w:val="22"/>
        </w:rPr>
        <w:sectPr>
          <w:pgSz w:w="11910" w:h="16840"/>
          <w:pgMar w:header="0" w:footer="1055" w:top="1920" w:bottom="1706" w:left="1060" w:right="460"/>
        </w:sect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9"/>
        <w:gridCol w:w="1238"/>
        <w:gridCol w:w="1694"/>
        <w:gridCol w:w="950"/>
        <w:gridCol w:w="749"/>
      </w:tblGrid>
      <w:tr>
        <w:trPr>
          <w:trHeight w:val="378" w:hRule="atLeast"/>
        </w:trPr>
        <w:tc>
          <w:tcPr>
            <w:tcW w:w="1709" w:type="dxa"/>
            <w:tcBorders>
              <w:top w:val="single" w:sz="4" w:space="0" w:color="000000"/>
            </w:tcBorders>
          </w:tcPr>
          <w:p>
            <w:pPr>
              <w:pStyle w:val="TableParagraph"/>
              <w:rPr>
                <w:rFonts w:ascii="Times New Roman"/>
                <w:sz w:val="22"/>
              </w:rPr>
            </w:pPr>
          </w:p>
        </w:tc>
        <w:tc>
          <w:tcPr>
            <w:tcW w:w="1238" w:type="dxa"/>
          </w:tcPr>
          <w:p>
            <w:pPr>
              <w:pStyle w:val="TableParagraph"/>
              <w:spacing w:line="265" w:lineRule="exact"/>
              <w:ind w:left="108"/>
              <w:rPr>
                <w:sz w:val="22"/>
              </w:rPr>
            </w:pPr>
            <w:r>
              <w:rPr>
                <w:sz w:val="22"/>
              </w:rPr>
              <w:t>H:L;</w:t>
            </w:r>
            <w:r>
              <w:rPr>
                <w:spacing w:val="-5"/>
                <w:sz w:val="22"/>
              </w:rPr>
              <w:t> </w:t>
            </w:r>
            <w:r>
              <w:rPr>
                <w:spacing w:val="-2"/>
                <w:sz w:val="22"/>
              </w:rPr>
              <w:t>40:50</w:t>
            </w:r>
          </w:p>
        </w:tc>
        <w:tc>
          <w:tcPr>
            <w:tcW w:w="1694" w:type="dxa"/>
          </w:tcPr>
          <w:p>
            <w:pPr>
              <w:pStyle w:val="TableParagraph"/>
              <w:spacing w:line="265" w:lineRule="exact"/>
              <w:ind w:left="1" w:right="14"/>
              <w:jc w:val="center"/>
              <w:rPr>
                <w:sz w:val="22"/>
              </w:rPr>
            </w:pPr>
            <w:r>
              <w:rPr>
                <w:spacing w:val="-2"/>
                <w:sz w:val="22"/>
              </w:rPr>
              <w:t>21.833±0.366</w:t>
            </w:r>
          </w:p>
        </w:tc>
        <w:tc>
          <w:tcPr>
            <w:tcW w:w="950" w:type="dxa"/>
          </w:tcPr>
          <w:p>
            <w:pPr>
              <w:pStyle w:val="TableParagraph"/>
              <w:spacing w:line="265" w:lineRule="exact"/>
              <w:ind w:left="41"/>
              <w:jc w:val="center"/>
              <w:rPr>
                <w:sz w:val="22"/>
              </w:rPr>
            </w:pPr>
            <w:r>
              <w:rPr>
                <w:spacing w:val="-2"/>
                <w:sz w:val="22"/>
              </w:rPr>
              <w:t>1.000</w:t>
            </w:r>
          </w:p>
        </w:tc>
        <w:tc>
          <w:tcPr>
            <w:tcW w:w="749" w:type="dxa"/>
          </w:tcPr>
          <w:p>
            <w:pPr>
              <w:pStyle w:val="TableParagraph"/>
              <w:spacing w:line="265" w:lineRule="exact"/>
              <w:ind w:left="206"/>
              <w:rPr>
                <w:sz w:val="22"/>
              </w:rPr>
            </w:pPr>
            <w:r>
              <w:rPr>
                <w:spacing w:val="-5"/>
                <w:sz w:val="22"/>
              </w:rPr>
              <w:t>NS</w:t>
            </w:r>
          </w:p>
        </w:tc>
      </w:tr>
      <w:tr>
        <w:trPr>
          <w:trHeight w:val="521" w:hRule="atLeast"/>
        </w:trPr>
        <w:tc>
          <w:tcPr>
            <w:tcW w:w="1709" w:type="dxa"/>
            <w:tcBorders>
              <w:bottom w:val="single" w:sz="4" w:space="0" w:color="000000"/>
            </w:tcBorders>
          </w:tcPr>
          <w:p>
            <w:pPr>
              <w:pStyle w:val="TableParagraph"/>
              <w:rPr>
                <w:rFonts w:ascii="Times New Roman"/>
                <w:sz w:val="22"/>
              </w:rPr>
            </w:pPr>
          </w:p>
        </w:tc>
        <w:tc>
          <w:tcPr>
            <w:tcW w:w="1238" w:type="dxa"/>
            <w:tcBorders>
              <w:bottom w:val="single" w:sz="4" w:space="0" w:color="000000"/>
            </w:tcBorders>
          </w:tcPr>
          <w:p>
            <w:pPr>
              <w:pStyle w:val="TableParagraph"/>
              <w:spacing w:before="72"/>
              <w:ind w:left="108"/>
              <w:rPr>
                <w:sz w:val="22"/>
              </w:rPr>
            </w:pPr>
            <w:r>
              <w:rPr>
                <w:sz w:val="22"/>
              </w:rPr>
              <w:t>H:L;</w:t>
            </w:r>
            <w:r>
              <w:rPr>
                <w:spacing w:val="-5"/>
                <w:sz w:val="22"/>
              </w:rPr>
              <w:t> </w:t>
            </w:r>
            <w:r>
              <w:rPr>
                <w:spacing w:val="-2"/>
                <w:sz w:val="22"/>
              </w:rPr>
              <w:t>50:50</w:t>
            </w:r>
          </w:p>
        </w:tc>
        <w:tc>
          <w:tcPr>
            <w:tcW w:w="1694" w:type="dxa"/>
            <w:tcBorders>
              <w:bottom w:val="single" w:sz="4" w:space="0" w:color="000000"/>
            </w:tcBorders>
          </w:tcPr>
          <w:p>
            <w:pPr>
              <w:pStyle w:val="TableParagraph"/>
              <w:spacing w:before="72"/>
              <w:ind w:left="1" w:right="14"/>
              <w:jc w:val="center"/>
              <w:rPr>
                <w:sz w:val="22"/>
              </w:rPr>
            </w:pPr>
            <w:r>
              <w:rPr>
                <w:spacing w:val="-2"/>
                <w:sz w:val="22"/>
              </w:rPr>
              <w:t>23.667±0.376</w:t>
            </w:r>
          </w:p>
        </w:tc>
        <w:tc>
          <w:tcPr>
            <w:tcW w:w="950" w:type="dxa"/>
            <w:tcBorders>
              <w:bottom w:val="single" w:sz="4" w:space="0" w:color="000000"/>
            </w:tcBorders>
          </w:tcPr>
          <w:p>
            <w:pPr>
              <w:pStyle w:val="TableParagraph"/>
              <w:spacing w:before="72"/>
              <w:ind w:left="41"/>
              <w:jc w:val="center"/>
              <w:rPr>
                <w:sz w:val="22"/>
              </w:rPr>
            </w:pPr>
            <w:r>
              <w:rPr>
                <w:spacing w:val="-2"/>
                <w:sz w:val="22"/>
              </w:rPr>
              <w:t>0.782</w:t>
            </w:r>
          </w:p>
        </w:tc>
        <w:tc>
          <w:tcPr>
            <w:tcW w:w="749" w:type="dxa"/>
            <w:tcBorders>
              <w:bottom w:val="single" w:sz="4" w:space="0" w:color="000000"/>
            </w:tcBorders>
          </w:tcPr>
          <w:p>
            <w:pPr>
              <w:pStyle w:val="TableParagraph"/>
              <w:spacing w:before="72"/>
              <w:ind w:left="206"/>
              <w:rPr>
                <w:sz w:val="22"/>
              </w:rPr>
            </w:pPr>
            <w:r>
              <w:rPr>
                <w:spacing w:val="-5"/>
                <w:sz w:val="22"/>
              </w:rPr>
              <w:t>NS</w:t>
            </w:r>
          </w:p>
        </w:tc>
      </w:tr>
      <w:tr>
        <w:trPr>
          <w:trHeight w:val="377" w:hRule="atLeast"/>
        </w:trPr>
        <w:tc>
          <w:tcPr>
            <w:tcW w:w="1709" w:type="dxa"/>
            <w:tcBorders>
              <w:top w:val="single" w:sz="4" w:space="0" w:color="000000"/>
            </w:tcBorders>
          </w:tcPr>
          <w:p>
            <w:pPr>
              <w:pStyle w:val="TableParagraph"/>
              <w:rPr>
                <w:rFonts w:ascii="Times New Roman"/>
                <w:sz w:val="22"/>
              </w:rPr>
            </w:pPr>
          </w:p>
        </w:tc>
        <w:tc>
          <w:tcPr>
            <w:tcW w:w="1238" w:type="dxa"/>
            <w:tcBorders>
              <w:top w:val="single" w:sz="4" w:space="0" w:color="000000"/>
            </w:tcBorders>
          </w:tcPr>
          <w:p>
            <w:pPr>
              <w:pStyle w:val="TableParagraph"/>
              <w:spacing w:line="265" w:lineRule="exact"/>
              <w:ind w:left="108"/>
              <w:rPr>
                <w:sz w:val="22"/>
              </w:rPr>
            </w:pPr>
            <w:r>
              <w:rPr>
                <w:sz w:val="22"/>
              </w:rPr>
              <w:t>H:L;</w:t>
            </w:r>
            <w:r>
              <w:rPr>
                <w:spacing w:val="-5"/>
                <w:sz w:val="22"/>
              </w:rPr>
              <w:t> </w:t>
            </w:r>
            <w:r>
              <w:rPr>
                <w:spacing w:val="-2"/>
                <w:sz w:val="22"/>
              </w:rPr>
              <w:t>10:50</w:t>
            </w:r>
          </w:p>
        </w:tc>
        <w:tc>
          <w:tcPr>
            <w:tcW w:w="1694" w:type="dxa"/>
            <w:tcBorders>
              <w:top w:val="single" w:sz="4" w:space="0" w:color="000000"/>
            </w:tcBorders>
          </w:tcPr>
          <w:p>
            <w:pPr>
              <w:pStyle w:val="TableParagraph"/>
              <w:spacing w:line="265" w:lineRule="exact"/>
              <w:ind w:left="1" w:right="14"/>
              <w:jc w:val="center"/>
              <w:rPr>
                <w:sz w:val="22"/>
              </w:rPr>
            </w:pPr>
            <w:r>
              <w:rPr>
                <w:spacing w:val="-2"/>
                <w:sz w:val="22"/>
              </w:rPr>
              <w:t>20.500±0.314</w:t>
            </w:r>
          </w:p>
        </w:tc>
        <w:tc>
          <w:tcPr>
            <w:tcW w:w="950" w:type="dxa"/>
            <w:tcBorders>
              <w:top w:val="single" w:sz="4" w:space="0" w:color="000000"/>
            </w:tcBorders>
          </w:tcPr>
          <w:p>
            <w:pPr>
              <w:pStyle w:val="TableParagraph"/>
              <w:spacing w:line="265" w:lineRule="exact"/>
              <w:ind w:left="41"/>
              <w:jc w:val="center"/>
              <w:rPr>
                <w:sz w:val="22"/>
              </w:rPr>
            </w:pPr>
            <w:r>
              <w:rPr>
                <w:spacing w:val="-2"/>
                <w:sz w:val="22"/>
              </w:rPr>
              <w:t>0.254</w:t>
            </w:r>
          </w:p>
        </w:tc>
        <w:tc>
          <w:tcPr>
            <w:tcW w:w="749" w:type="dxa"/>
            <w:tcBorders>
              <w:top w:val="single" w:sz="4" w:space="0" w:color="000000"/>
            </w:tcBorders>
          </w:tcPr>
          <w:p>
            <w:pPr>
              <w:pStyle w:val="TableParagraph"/>
              <w:spacing w:line="265" w:lineRule="exact"/>
              <w:ind w:left="206"/>
              <w:rPr>
                <w:sz w:val="22"/>
              </w:rPr>
            </w:pPr>
            <w:r>
              <w:rPr>
                <w:spacing w:val="-5"/>
                <w:sz w:val="22"/>
              </w:rPr>
              <w:t>NS</w:t>
            </w:r>
          </w:p>
        </w:tc>
      </w:tr>
      <w:tr>
        <w:trPr>
          <w:trHeight w:val="382" w:hRule="atLeast"/>
        </w:trPr>
        <w:tc>
          <w:tcPr>
            <w:tcW w:w="1709" w:type="dxa"/>
          </w:tcPr>
          <w:p>
            <w:pPr>
              <w:pStyle w:val="TableParagraph"/>
              <w:rPr>
                <w:rFonts w:ascii="Times New Roman"/>
                <w:sz w:val="22"/>
              </w:rPr>
            </w:pPr>
          </w:p>
        </w:tc>
        <w:tc>
          <w:tcPr>
            <w:tcW w:w="1238" w:type="dxa"/>
          </w:tcPr>
          <w:p>
            <w:pPr>
              <w:pStyle w:val="TableParagraph"/>
              <w:spacing w:before="72"/>
              <w:ind w:left="108"/>
              <w:rPr>
                <w:sz w:val="22"/>
              </w:rPr>
            </w:pPr>
            <w:r>
              <w:rPr>
                <w:sz w:val="22"/>
              </w:rPr>
              <w:t>H:L;</w:t>
            </w:r>
            <w:r>
              <w:rPr>
                <w:spacing w:val="-5"/>
                <w:sz w:val="22"/>
              </w:rPr>
              <w:t> </w:t>
            </w:r>
            <w:r>
              <w:rPr>
                <w:spacing w:val="-2"/>
                <w:sz w:val="22"/>
              </w:rPr>
              <w:t>20:50</w:t>
            </w:r>
          </w:p>
        </w:tc>
        <w:tc>
          <w:tcPr>
            <w:tcW w:w="1694" w:type="dxa"/>
          </w:tcPr>
          <w:p>
            <w:pPr>
              <w:pStyle w:val="TableParagraph"/>
              <w:spacing w:before="72"/>
              <w:ind w:left="1" w:right="14"/>
              <w:jc w:val="center"/>
              <w:rPr>
                <w:sz w:val="22"/>
              </w:rPr>
            </w:pPr>
            <w:r>
              <w:rPr>
                <w:spacing w:val="-2"/>
                <w:sz w:val="22"/>
              </w:rPr>
              <w:t>21.750±0.329</w:t>
            </w:r>
          </w:p>
        </w:tc>
        <w:tc>
          <w:tcPr>
            <w:tcW w:w="950" w:type="dxa"/>
          </w:tcPr>
          <w:p>
            <w:pPr>
              <w:pStyle w:val="TableParagraph"/>
              <w:spacing w:before="72"/>
              <w:ind w:left="41"/>
              <w:jc w:val="center"/>
              <w:rPr>
                <w:sz w:val="22"/>
              </w:rPr>
            </w:pPr>
            <w:r>
              <w:rPr>
                <w:spacing w:val="-2"/>
                <w:sz w:val="22"/>
              </w:rPr>
              <w:t>0.009</w:t>
            </w:r>
          </w:p>
        </w:tc>
        <w:tc>
          <w:tcPr>
            <w:tcW w:w="749" w:type="dxa"/>
          </w:tcPr>
          <w:p>
            <w:pPr>
              <w:pStyle w:val="TableParagraph"/>
              <w:spacing w:before="72"/>
              <w:ind w:left="225"/>
              <w:rPr>
                <w:sz w:val="22"/>
              </w:rPr>
            </w:pPr>
            <w:r>
              <w:rPr>
                <w:spacing w:val="-5"/>
                <w:sz w:val="22"/>
              </w:rPr>
              <w:t>SF</w:t>
            </w:r>
          </w:p>
        </w:tc>
      </w:tr>
      <w:tr>
        <w:trPr>
          <w:trHeight w:val="595" w:hRule="atLeast"/>
        </w:trPr>
        <w:tc>
          <w:tcPr>
            <w:tcW w:w="1709" w:type="dxa"/>
          </w:tcPr>
          <w:p>
            <w:pPr>
              <w:pStyle w:val="TableParagraph"/>
              <w:spacing w:before="1"/>
              <w:ind w:left="108"/>
              <w:rPr>
                <w:sz w:val="22"/>
              </w:rPr>
            </w:pPr>
            <w:r>
              <w:rPr>
                <w:sz w:val="22"/>
              </w:rPr>
              <w:t>Honey</w:t>
            </w:r>
            <w:r>
              <w:rPr>
                <w:spacing w:val="-2"/>
                <w:sz w:val="22"/>
              </w:rPr>
              <w:t> (50%)</w:t>
            </w:r>
          </w:p>
          <w:p>
            <w:pPr>
              <w:pStyle w:val="TableParagraph"/>
              <w:spacing w:before="15"/>
              <w:ind w:left="108"/>
              <w:rPr>
                <w:sz w:val="22"/>
              </w:rPr>
            </w:pPr>
            <w:r>
              <w:rPr>
                <w:spacing w:val="-2"/>
                <w:sz w:val="22"/>
              </w:rPr>
              <w:t>(18.167±0.991)</w:t>
            </w:r>
          </w:p>
        </w:tc>
        <w:tc>
          <w:tcPr>
            <w:tcW w:w="1238" w:type="dxa"/>
          </w:tcPr>
          <w:p>
            <w:pPr>
              <w:pStyle w:val="TableParagraph"/>
              <w:spacing w:before="143"/>
              <w:ind w:left="108"/>
              <w:rPr>
                <w:sz w:val="22"/>
              </w:rPr>
            </w:pPr>
            <w:r>
              <w:rPr>
                <w:sz w:val="22"/>
              </w:rPr>
              <w:t>H:L;</w:t>
            </w:r>
            <w:r>
              <w:rPr>
                <w:spacing w:val="-5"/>
                <w:sz w:val="22"/>
              </w:rPr>
              <w:t> </w:t>
            </w:r>
            <w:r>
              <w:rPr>
                <w:spacing w:val="-2"/>
                <w:sz w:val="22"/>
              </w:rPr>
              <w:t>30:50</w:t>
            </w:r>
          </w:p>
        </w:tc>
        <w:tc>
          <w:tcPr>
            <w:tcW w:w="1694" w:type="dxa"/>
          </w:tcPr>
          <w:p>
            <w:pPr>
              <w:pStyle w:val="TableParagraph"/>
              <w:spacing w:before="143"/>
              <w:ind w:left="1" w:right="14"/>
              <w:jc w:val="center"/>
              <w:rPr>
                <w:sz w:val="22"/>
              </w:rPr>
            </w:pPr>
            <w:r>
              <w:rPr>
                <w:spacing w:val="-2"/>
                <w:sz w:val="22"/>
              </w:rPr>
              <w:t>21.417±0.621</w:t>
            </w:r>
          </w:p>
        </w:tc>
        <w:tc>
          <w:tcPr>
            <w:tcW w:w="950" w:type="dxa"/>
          </w:tcPr>
          <w:p>
            <w:pPr>
              <w:pStyle w:val="TableParagraph"/>
              <w:spacing w:before="143"/>
              <w:ind w:left="41"/>
              <w:jc w:val="center"/>
              <w:rPr>
                <w:sz w:val="22"/>
              </w:rPr>
            </w:pPr>
            <w:r>
              <w:rPr>
                <w:spacing w:val="-2"/>
                <w:sz w:val="22"/>
              </w:rPr>
              <w:t>0.026</w:t>
            </w:r>
          </w:p>
        </w:tc>
        <w:tc>
          <w:tcPr>
            <w:tcW w:w="749" w:type="dxa"/>
          </w:tcPr>
          <w:p>
            <w:pPr>
              <w:pStyle w:val="TableParagraph"/>
              <w:spacing w:before="143"/>
              <w:ind w:left="225"/>
              <w:rPr>
                <w:sz w:val="22"/>
              </w:rPr>
            </w:pPr>
            <w:r>
              <w:rPr>
                <w:spacing w:val="-5"/>
                <w:sz w:val="22"/>
              </w:rPr>
              <w:t>SF</w:t>
            </w:r>
          </w:p>
        </w:tc>
      </w:tr>
      <w:tr>
        <w:trPr>
          <w:trHeight w:val="383" w:hRule="atLeast"/>
        </w:trPr>
        <w:tc>
          <w:tcPr>
            <w:tcW w:w="1709" w:type="dxa"/>
          </w:tcPr>
          <w:p>
            <w:pPr>
              <w:pStyle w:val="TableParagraph"/>
              <w:rPr>
                <w:rFonts w:ascii="Times New Roman"/>
                <w:sz w:val="22"/>
              </w:rPr>
            </w:pPr>
          </w:p>
        </w:tc>
        <w:tc>
          <w:tcPr>
            <w:tcW w:w="1238" w:type="dxa"/>
          </w:tcPr>
          <w:p>
            <w:pPr>
              <w:pStyle w:val="TableParagraph"/>
              <w:spacing w:before="1"/>
              <w:ind w:left="108"/>
              <w:rPr>
                <w:sz w:val="22"/>
              </w:rPr>
            </w:pPr>
            <w:r>
              <w:rPr>
                <w:sz w:val="22"/>
              </w:rPr>
              <w:t>H:L;</w:t>
            </w:r>
            <w:r>
              <w:rPr>
                <w:spacing w:val="-5"/>
                <w:sz w:val="22"/>
              </w:rPr>
              <w:t> </w:t>
            </w:r>
            <w:r>
              <w:rPr>
                <w:spacing w:val="-2"/>
                <w:sz w:val="22"/>
              </w:rPr>
              <w:t>40:50</w:t>
            </w:r>
          </w:p>
        </w:tc>
        <w:tc>
          <w:tcPr>
            <w:tcW w:w="1694" w:type="dxa"/>
          </w:tcPr>
          <w:p>
            <w:pPr>
              <w:pStyle w:val="TableParagraph"/>
              <w:spacing w:before="1"/>
              <w:ind w:left="1" w:right="14"/>
              <w:jc w:val="center"/>
              <w:rPr>
                <w:sz w:val="22"/>
              </w:rPr>
            </w:pPr>
            <w:r>
              <w:rPr>
                <w:spacing w:val="-2"/>
                <w:sz w:val="22"/>
              </w:rPr>
              <w:t>21.833±0.366</w:t>
            </w:r>
          </w:p>
        </w:tc>
        <w:tc>
          <w:tcPr>
            <w:tcW w:w="950" w:type="dxa"/>
          </w:tcPr>
          <w:p>
            <w:pPr>
              <w:pStyle w:val="TableParagraph"/>
              <w:spacing w:before="1"/>
              <w:ind w:left="41"/>
              <w:jc w:val="center"/>
              <w:rPr>
                <w:sz w:val="22"/>
              </w:rPr>
            </w:pPr>
            <w:r>
              <w:rPr>
                <w:spacing w:val="-2"/>
                <w:sz w:val="22"/>
              </w:rPr>
              <w:t>0.007</w:t>
            </w:r>
          </w:p>
        </w:tc>
        <w:tc>
          <w:tcPr>
            <w:tcW w:w="749" w:type="dxa"/>
          </w:tcPr>
          <w:p>
            <w:pPr>
              <w:pStyle w:val="TableParagraph"/>
              <w:spacing w:before="1"/>
              <w:ind w:left="225"/>
              <w:rPr>
                <w:sz w:val="22"/>
              </w:rPr>
            </w:pPr>
            <w:r>
              <w:rPr>
                <w:spacing w:val="-5"/>
                <w:sz w:val="22"/>
              </w:rPr>
              <w:t>SF</w:t>
            </w:r>
          </w:p>
        </w:tc>
      </w:tr>
      <w:tr>
        <w:trPr>
          <w:trHeight w:val="520" w:hRule="atLeast"/>
        </w:trPr>
        <w:tc>
          <w:tcPr>
            <w:tcW w:w="1709" w:type="dxa"/>
            <w:tcBorders>
              <w:bottom w:val="single" w:sz="4" w:space="0" w:color="000000"/>
            </w:tcBorders>
          </w:tcPr>
          <w:p>
            <w:pPr>
              <w:pStyle w:val="TableParagraph"/>
              <w:rPr>
                <w:rFonts w:ascii="Times New Roman"/>
                <w:sz w:val="22"/>
              </w:rPr>
            </w:pPr>
          </w:p>
        </w:tc>
        <w:tc>
          <w:tcPr>
            <w:tcW w:w="1238" w:type="dxa"/>
            <w:tcBorders>
              <w:bottom w:val="single" w:sz="4" w:space="0" w:color="000000"/>
            </w:tcBorders>
          </w:tcPr>
          <w:p>
            <w:pPr>
              <w:pStyle w:val="TableParagraph"/>
              <w:spacing w:before="73"/>
              <w:ind w:left="108"/>
              <w:rPr>
                <w:sz w:val="22"/>
              </w:rPr>
            </w:pPr>
            <w:r>
              <w:rPr>
                <w:sz w:val="22"/>
              </w:rPr>
              <w:t>H:L;</w:t>
            </w:r>
            <w:r>
              <w:rPr>
                <w:spacing w:val="-5"/>
                <w:sz w:val="22"/>
              </w:rPr>
              <w:t> </w:t>
            </w:r>
            <w:r>
              <w:rPr>
                <w:spacing w:val="-2"/>
                <w:sz w:val="22"/>
              </w:rPr>
              <w:t>50:50</w:t>
            </w:r>
          </w:p>
        </w:tc>
        <w:tc>
          <w:tcPr>
            <w:tcW w:w="1694" w:type="dxa"/>
            <w:tcBorders>
              <w:bottom w:val="single" w:sz="4" w:space="0" w:color="000000"/>
            </w:tcBorders>
          </w:tcPr>
          <w:p>
            <w:pPr>
              <w:pStyle w:val="TableParagraph"/>
              <w:spacing w:before="73"/>
              <w:ind w:left="1" w:right="14"/>
              <w:jc w:val="center"/>
              <w:rPr>
                <w:sz w:val="22"/>
              </w:rPr>
            </w:pPr>
            <w:r>
              <w:rPr>
                <w:spacing w:val="-2"/>
                <w:sz w:val="22"/>
              </w:rPr>
              <w:t>23.667±0.376</w:t>
            </w:r>
          </w:p>
        </w:tc>
        <w:tc>
          <w:tcPr>
            <w:tcW w:w="950" w:type="dxa"/>
            <w:tcBorders>
              <w:bottom w:val="single" w:sz="4" w:space="0" w:color="000000"/>
            </w:tcBorders>
          </w:tcPr>
          <w:p>
            <w:pPr>
              <w:pStyle w:val="TableParagraph"/>
              <w:spacing w:before="73"/>
              <w:ind w:left="41"/>
              <w:jc w:val="center"/>
              <w:rPr>
                <w:sz w:val="22"/>
              </w:rPr>
            </w:pPr>
            <w:r>
              <w:rPr>
                <w:spacing w:val="-2"/>
                <w:sz w:val="22"/>
              </w:rPr>
              <w:t>0.000</w:t>
            </w:r>
          </w:p>
        </w:tc>
        <w:tc>
          <w:tcPr>
            <w:tcW w:w="749" w:type="dxa"/>
            <w:tcBorders>
              <w:bottom w:val="single" w:sz="4" w:space="0" w:color="000000"/>
            </w:tcBorders>
          </w:tcPr>
          <w:p>
            <w:pPr>
              <w:pStyle w:val="TableParagraph"/>
              <w:spacing w:before="73"/>
              <w:ind w:left="225"/>
              <w:rPr>
                <w:sz w:val="22"/>
              </w:rPr>
            </w:pPr>
            <w:r>
              <w:rPr>
                <w:spacing w:val="-5"/>
                <w:sz w:val="22"/>
              </w:rPr>
              <w:t>SF</w:t>
            </w:r>
          </w:p>
        </w:tc>
      </w:tr>
      <w:tr>
        <w:trPr>
          <w:trHeight w:val="378" w:hRule="atLeast"/>
        </w:trPr>
        <w:tc>
          <w:tcPr>
            <w:tcW w:w="1709" w:type="dxa"/>
            <w:tcBorders>
              <w:top w:val="single" w:sz="4" w:space="0" w:color="000000"/>
            </w:tcBorders>
          </w:tcPr>
          <w:p>
            <w:pPr>
              <w:pStyle w:val="TableParagraph"/>
              <w:rPr>
                <w:rFonts w:ascii="Times New Roman"/>
                <w:sz w:val="22"/>
              </w:rPr>
            </w:pPr>
          </w:p>
        </w:tc>
        <w:tc>
          <w:tcPr>
            <w:tcW w:w="1238" w:type="dxa"/>
            <w:tcBorders>
              <w:top w:val="single" w:sz="4" w:space="0" w:color="000000"/>
            </w:tcBorders>
          </w:tcPr>
          <w:p>
            <w:pPr>
              <w:pStyle w:val="TableParagraph"/>
              <w:spacing w:line="265" w:lineRule="exact"/>
              <w:ind w:left="108"/>
              <w:rPr>
                <w:sz w:val="22"/>
              </w:rPr>
            </w:pPr>
            <w:r>
              <w:rPr>
                <w:sz w:val="22"/>
              </w:rPr>
              <w:t>H:L;</w:t>
            </w:r>
            <w:r>
              <w:rPr>
                <w:spacing w:val="-5"/>
                <w:sz w:val="22"/>
              </w:rPr>
              <w:t> </w:t>
            </w:r>
            <w:r>
              <w:rPr>
                <w:spacing w:val="-2"/>
                <w:sz w:val="22"/>
              </w:rPr>
              <w:t>10:50</w:t>
            </w:r>
          </w:p>
        </w:tc>
        <w:tc>
          <w:tcPr>
            <w:tcW w:w="1694" w:type="dxa"/>
            <w:tcBorders>
              <w:top w:val="single" w:sz="4" w:space="0" w:color="000000"/>
            </w:tcBorders>
          </w:tcPr>
          <w:p>
            <w:pPr>
              <w:pStyle w:val="TableParagraph"/>
              <w:spacing w:line="265" w:lineRule="exact"/>
              <w:ind w:left="1" w:right="14"/>
              <w:jc w:val="center"/>
              <w:rPr>
                <w:sz w:val="22"/>
              </w:rPr>
            </w:pPr>
            <w:r>
              <w:rPr>
                <w:spacing w:val="-2"/>
                <w:sz w:val="22"/>
              </w:rPr>
              <w:t>20.500±0.314</w:t>
            </w:r>
          </w:p>
        </w:tc>
        <w:tc>
          <w:tcPr>
            <w:tcW w:w="950" w:type="dxa"/>
            <w:tcBorders>
              <w:top w:val="single" w:sz="4" w:space="0" w:color="000000"/>
            </w:tcBorders>
          </w:tcPr>
          <w:p>
            <w:pPr>
              <w:pStyle w:val="TableParagraph"/>
              <w:spacing w:line="265" w:lineRule="exact"/>
              <w:ind w:left="41"/>
              <w:jc w:val="center"/>
              <w:rPr>
                <w:sz w:val="22"/>
              </w:rPr>
            </w:pPr>
            <w:r>
              <w:rPr>
                <w:spacing w:val="-2"/>
                <w:sz w:val="22"/>
              </w:rPr>
              <w:t>0.000</w:t>
            </w:r>
          </w:p>
        </w:tc>
        <w:tc>
          <w:tcPr>
            <w:tcW w:w="749" w:type="dxa"/>
            <w:tcBorders>
              <w:top w:val="single" w:sz="4" w:space="0" w:color="000000"/>
            </w:tcBorders>
          </w:tcPr>
          <w:p>
            <w:pPr>
              <w:pStyle w:val="TableParagraph"/>
              <w:spacing w:line="265" w:lineRule="exact"/>
              <w:ind w:left="225"/>
              <w:rPr>
                <w:sz w:val="22"/>
              </w:rPr>
            </w:pPr>
            <w:r>
              <w:rPr>
                <w:spacing w:val="-5"/>
                <w:sz w:val="22"/>
              </w:rPr>
              <w:t>SF</w:t>
            </w:r>
          </w:p>
        </w:tc>
      </w:tr>
      <w:tr>
        <w:trPr>
          <w:trHeight w:val="383" w:hRule="atLeast"/>
        </w:trPr>
        <w:tc>
          <w:tcPr>
            <w:tcW w:w="1709" w:type="dxa"/>
          </w:tcPr>
          <w:p>
            <w:pPr>
              <w:pStyle w:val="TableParagraph"/>
              <w:rPr>
                <w:rFonts w:ascii="Times New Roman"/>
                <w:sz w:val="22"/>
              </w:rPr>
            </w:pPr>
          </w:p>
        </w:tc>
        <w:tc>
          <w:tcPr>
            <w:tcW w:w="1238" w:type="dxa"/>
          </w:tcPr>
          <w:p>
            <w:pPr>
              <w:pStyle w:val="TableParagraph"/>
              <w:spacing w:before="73"/>
              <w:ind w:left="108"/>
              <w:rPr>
                <w:sz w:val="22"/>
              </w:rPr>
            </w:pPr>
            <w:r>
              <w:rPr>
                <w:sz w:val="22"/>
              </w:rPr>
              <w:t>H:L;</w:t>
            </w:r>
            <w:r>
              <w:rPr>
                <w:spacing w:val="-5"/>
                <w:sz w:val="22"/>
              </w:rPr>
              <w:t> </w:t>
            </w:r>
            <w:r>
              <w:rPr>
                <w:spacing w:val="-2"/>
                <w:sz w:val="22"/>
              </w:rPr>
              <w:t>20:50</w:t>
            </w:r>
          </w:p>
        </w:tc>
        <w:tc>
          <w:tcPr>
            <w:tcW w:w="1694" w:type="dxa"/>
          </w:tcPr>
          <w:p>
            <w:pPr>
              <w:pStyle w:val="TableParagraph"/>
              <w:spacing w:before="73"/>
              <w:ind w:left="1" w:right="14"/>
              <w:jc w:val="center"/>
              <w:rPr>
                <w:sz w:val="22"/>
              </w:rPr>
            </w:pPr>
            <w:r>
              <w:rPr>
                <w:spacing w:val="-2"/>
                <w:sz w:val="22"/>
              </w:rPr>
              <w:t>21.750±0.329</w:t>
            </w:r>
          </w:p>
        </w:tc>
        <w:tc>
          <w:tcPr>
            <w:tcW w:w="950" w:type="dxa"/>
          </w:tcPr>
          <w:p>
            <w:pPr>
              <w:pStyle w:val="TableParagraph"/>
              <w:spacing w:before="73"/>
              <w:ind w:left="41"/>
              <w:jc w:val="center"/>
              <w:rPr>
                <w:sz w:val="22"/>
              </w:rPr>
            </w:pPr>
            <w:r>
              <w:rPr>
                <w:spacing w:val="-2"/>
                <w:sz w:val="22"/>
              </w:rPr>
              <w:t>0.000</w:t>
            </w:r>
          </w:p>
        </w:tc>
        <w:tc>
          <w:tcPr>
            <w:tcW w:w="749" w:type="dxa"/>
          </w:tcPr>
          <w:p>
            <w:pPr>
              <w:pStyle w:val="TableParagraph"/>
              <w:spacing w:before="73"/>
              <w:ind w:left="225"/>
              <w:rPr>
                <w:sz w:val="22"/>
              </w:rPr>
            </w:pPr>
            <w:r>
              <w:rPr>
                <w:spacing w:val="-5"/>
                <w:sz w:val="22"/>
              </w:rPr>
              <w:t>SF</w:t>
            </w:r>
          </w:p>
        </w:tc>
      </w:tr>
      <w:tr>
        <w:trPr>
          <w:trHeight w:val="597" w:hRule="atLeast"/>
        </w:trPr>
        <w:tc>
          <w:tcPr>
            <w:tcW w:w="1709" w:type="dxa"/>
          </w:tcPr>
          <w:p>
            <w:pPr>
              <w:pStyle w:val="TableParagraph"/>
              <w:spacing w:before="1"/>
              <w:ind w:left="108"/>
              <w:rPr>
                <w:sz w:val="22"/>
              </w:rPr>
            </w:pPr>
            <w:r>
              <w:rPr>
                <w:sz w:val="22"/>
              </w:rPr>
              <w:t>Honey</w:t>
            </w:r>
            <w:r>
              <w:rPr>
                <w:spacing w:val="-2"/>
                <w:sz w:val="22"/>
              </w:rPr>
              <w:t> (25%)</w:t>
            </w:r>
          </w:p>
          <w:p>
            <w:pPr>
              <w:pStyle w:val="TableParagraph"/>
              <w:spacing w:before="17"/>
              <w:ind w:left="108"/>
              <w:rPr>
                <w:sz w:val="22"/>
              </w:rPr>
            </w:pPr>
            <w:r>
              <w:rPr>
                <w:spacing w:val="-2"/>
                <w:sz w:val="22"/>
              </w:rPr>
              <w:t>(12.583±0.417)</w:t>
            </w:r>
          </w:p>
        </w:tc>
        <w:tc>
          <w:tcPr>
            <w:tcW w:w="1238" w:type="dxa"/>
          </w:tcPr>
          <w:p>
            <w:pPr>
              <w:pStyle w:val="TableParagraph"/>
              <w:spacing w:before="143"/>
              <w:ind w:left="108"/>
              <w:rPr>
                <w:sz w:val="22"/>
              </w:rPr>
            </w:pPr>
            <w:r>
              <w:rPr>
                <w:sz w:val="22"/>
              </w:rPr>
              <w:t>H:L;</w:t>
            </w:r>
            <w:r>
              <w:rPr>
                <w:spacing w:val="-5"/>
                <w:sz w:val="22"/>
              </w:rPr>
              <w:t> </w:t>
            </w:r>
            <w:r>
              <w:rPr>
                <w:spacing w:val="-2"/>
                <w:sz w:val="22"/>
              </w:rPr>
              <w:t>30:50</w:t>
            </w:r>
          </w:p>
        </w:tc>
        <w:tc>
          <w:tcPr>
            <w:tcW w:w="1694" w:type="dxa"/>
          </w:tcPr>
          <w:p>
            <w:pPr>
              <w:pStyle w:val="TableParagraph"/>
              <w:spacing w:before="143"/>
              <w:ind w:left="1" w:right="14"/>
              <w:jc w:val="center"/>
              <w:rPr>
                <w:sz w:val="22"/>
              </w:rPr>
            </w:pPr>
            <w:r>
              <w:rPr>
                <w:spacing w:val="-2"/>
                <w:sz w:val="22"/>
              </w:rPr>
              <w:t>21.417±0.621</w:t>
            </w:r>
          </w:p>
        </w:tc>
        <w:tc>
          <w:tcPr>
            <w:tcW w:w="950" w:type="dxa"/>
          </w:tcPr>
          <w:p>
            <w:pPr>
              <w:pStyle w:val="TableParagraph"/>
              <w:spacing w:before="143"/>
              <w:ind w:left="41"/>
              <w:jc w:val="center"/>
              <w:rPr>
                <w:sz w:val="22"/>
              </w:rPr>
            </w:pPr>
            <w:r>
              <w:rPr>
                <w:spacing w:val="-2"/>
                <w:sz w:val="22"/>
              </w:rPr>
              <w:t>0.000</w:t>
            </w:r>
          </w:p>
        </w:tc>
        <w:tc>
          <w:tcPr>
            <w:tcW w:w="749" w:type="dxa"/>
          </w:tcPr>
          <w:p>
            <w:pPr>
              <w:pStyle w:val="TableParagraph"/>
              <w:spacing w:before="143"/>
              <w:ind w:left="225"/>
              <w:rPr>
                <w:sz w:val="22"/>
              </w:rPr>
            </w:pPr>
            <w:r>
              <w:rPr>
                <w:spacing w:val="-5"/>
                <w:sz w:val="22"/>
              </w:rPr>
              <w:t>SF</w:t>
            </w:r>
          </w:p>
        </w:tc>
      </w:tr>
      <w:tr>
        <w:trPr>
          <w:trHeight w:val="382" w:hRule="atLeast"/>
        </w:trPr>
        <w:tc>
          <w:tcPr>
            <w:tcW w:w="1709" w:type="dxa"/>
          </w:tcPr>
          <w:p>
            <w:pPr>
              <w:pStyle w:val="TableParagraph"/>
              <w:rPr>
                <w:rFonts w:ascii="Times New Roman"/>
                <w:sz w:val="22"/>
              </w:rPr>
            </w:pPr>
          </w:p>
        </w:tc>
        <w:tc>
          <w:tcPr>
            <w:tcW w:w="1238" w:type="dxa"/>
          </w:tcPr>
          <w:p>
            <w:pPr>
              <w:pStyle w:val="TableParagraph"/>
              <w:spacing w:before="1"/>
              <w:ind w:left="108"/>
              <w:rPr>
                <w:sz w:val="22"/>
              </w:rPr>
            </w:pPr>
            <w:r>
              <w:rPr>
                <w:sz w:val="22"/>
              </w:rPr>
              <w:t>H:L;</w:t>
            </w:r>
            <w:r>
              <w:rPr>
                <w:spacing w:val="-5"/>
                <w:sz w:val="22"/>
              </w:rPr>
              <w:t> </w:t>
            </w:r>
            <w:r>
              <w:rPr>
                <w:spacing w:val="-2"/>
                <w:sz w:val="22"/>
              </w:rPr>
              <w:t>40:50</w:t>
            </w:r>
          </w:p>
        </w:tc>
        <w:tc>
          <w:tcPr>
            <w:tcW w:w="1694" w:type="dxa"/>
          </w:tcPr>
          <w:p>
            <w:pPr>
              <w:pStyle w:val="TableParagraph"/>
              <w:spacing w:before="1"/>
              <w:ind w:left="1" w:right="14"/>
              <w:jc w:val="center"/>
              <w:rPr>
                <w:sz w:val="22"/>
              </w:rPr>
            </w:pPr>
            <w:r>
              <w:rPr>
                <w:spacing w:val="-2"/>
                <w:sz w:val="22"/>
              </w:rPr>
              <w:t>21.833±0.366</w:t>
            </w:r>
          </w:p>
        </w:tc>
        <w:tc>
          <w:tcPr>
            <w:tcW w:w="950" w:type="dxa"/>
          </w:tcPr>
          <w:p>
            <w:pPr>
              <w:pStyle w:val="TableParagraph"/>
              <w:spacing w:before="1"/>
              <w:ind w:left="41"/>
              <w:jc w:val="center"/>
              <w:rPr>
                <w:sz w:val="22"/>
              </w:rPr>
            </w:pPr>
            <w:r>
              <w:rPr>
                <w:spacing w:val="-2"/>
                <w:sz w:val="22"/>
              </w:rPr>
              <w:t>0.000</w:t>
            </w:r>
          </w:p>
        </w:tc>
        <w:tc>
          <w:tcPr>
            <w:tcW w:w="749" w:type="dxa"/>
          </w:tcPr>
          <w:p>
            <w:pPr>
              <w:pStyle w:val="TableParagraph"/>
              <w:spacing w:before="1"/>
              <w:ind w:left="225"/>
              <w:rPr>
                <w:sz w:val="22"/>
              </w:rPr>
            </w:pPr>
            <w:r>
              <w:rPr>
                <w:spacing w:val="-5"/>
                <w:sz w:val="22"/>
              </w:rPr>
              <w:t>SF</w:t>
            </w:r>
          </w:p>
        </w:tc>
      </w:tr>
      <w:tr>
        <w:trPr>
          <w:trHeight w:val="519" w:hRule="atLeast"/>
        </w:trPr>
        <w:tc>
          <w:tcPr>
            <w:tcW w:w="1709" w:type="dxa"/>
            <w:tcBorders>
              <w:bottom w:val="single" w:sz="4" w:space="0" w:color="000000"/>
            </w:tcBorders>
          </w:tcPr>
          <w:p>
            <w:pPr>
              <w:pStyle w:val="TableParagraph"/>
              <w:rPr>
                <w:rFonts w:ascii="Times New Roman"/>
                <w:sz w:val="22"/>
              </w:rPr>
            </w:pPr>
          </w:p>
        </w:tc>
        <w:tc>
          <w:tcPr>
            <w:tcW w:w="1238" w:type="dxa"/>
            <w:tcBorders>
              <w:bottom w:val="single" w:sz="4" w:space="0" w:color="000000"/>
            </w:tcBorders>
          </w:tcPr>
          <w:p>
            <w:pPr>
              <w:pStyle w:val="TableParagraph"/>
              <w:spacing w:before="72"/>
              <w:ind w:left="108"/>
              <w:rPr>
                <w:sz w:val="22"/>
              </w:rPr>
            </w:pPr>
            <w:r>
              <w:rPr>
                <w:sz w:val="22"/>
              </w:rPr>
              <w:t>H:L;</w:t>
            </w:r>
            <w:r>
              <w:rPr>
                <w:spacing w:val="-5"/>
                <w:sz w:val="22"/>
              </w:rPr>
              <w:t> </w:t>
            </w:r>
            <w:r>
              <w:rPr>
                <w:spacing w:val="-2"/>
                <w:sz w:val="22"/>
              </w:rPr>
              <w:t>50:50</w:t>
            </w:r>
          </w:p>
        </w:tc>
        <w:tc>
          <w:tcPr>
            <w:tcW w:w="1694" w:type="dxa"/>
            <w:tcBorders>
              <w:bottom w:val="single" w:sz="4" w:space="0" w:color="000000"/>
            </w:tcBorders>
          </w:tcPr>
          <w:p>
            <w:pPr>
              <w:pStyle w:val="TableParagraph"/>
              <w:spacing w:before="72"/>
              <w:ind w:left="1" w:right="14"/>
              <w:jc w:val="center"/>
              <w:rPr>
                <w:sz w:val="22"/>
              </w:rPr>
            </w:pPr>
            <w:r>
              <w:rPr>
                <w:spacing w:val="-2"/>
                <w:sz w:val="22"/>
              </w:rPr>
              <w:t>23.667±0.376</w:t>
            </w:r>
          </w:p>
        </w:tc>
        <w:tc>
          <w:tcPr>
            <w:tcW w:w="950" w:type="dxa"/>
            <w:tcBorders>
              <w:bottom w:val="single" w:sz="4" w:space="0" w:color="000000"/>
            </w:tcBorders>
          </w:tcPr>
          <w:p>
            <w:pPr>
              <w:pStyle w:val="TableParagraph"/>
              <w:spacing w:before="72"/>
              <w:ind w:left="41"/>
              <w:jc w:val="center"/>
              <w:rPr>
                <w:sz w:val="22"/>
              </w:rPr>
            </w:pPr>
            <w:r>
              <w:rPr>
                <w:spacing w:val="-2"/>
                <w:sz w:val="22"/>
              </w:rPr>
              <w:t>0.000</w:t>
            </w:r>
          </w:p>
        </w:tc>
        <w:tc>
          <w:tcPr>
            <w:tcW w:w="749" w:type="dxa"/>
            <w:tcBorders>
              <w:bottom w:val="single" w:sz="4" w:space="0" w:color="000000"/>
            </w:tcBorders>
          </w:tcPr>
          <w:p>
            <w:pPr>
              <w:pStyle w:val="TableParagraph"/>
              <w:spacing w:before="72"/>
              <w:ind w:left="225"/>
              <w:rPr>
                <w:sz w:val="22"/>
              </w:rPr>
            </w:pPr>
            <w:r>
              <w:rPr>
                <w:spacing w:val="-5"/>
                <w:sz w:val="22"/>
              </w:rPr>
              <w:t>SF</w:t>
            </w:r>
          </w:p>
        </w:tc>
      </w:tr>
    </w:tbl>
    <w:p>
      <w:pPr>
        <w:pStyle w:val="BodyText"/>
        <w:spacing w:line="259" w:lineRule="auto" w:before="24"/>
        <w:ind w:left="380" w:right="975"/>
      </w:pPr>
      <w:r>
        <w:rPr>
          <w:b/>
        </w:rPr>
        <w:t>Key:</w:t>
      </w:r>
      <w:r>
        <w:rPr>
          <w:b/>
          <w:spacing w:val="34"/>
        </w:rPr>
        <w:t> </w:t>
      </w:r>
      <w:r>
        <w:rPr/>
        <w:t>LOS=Level</w:t>
      </w:r>
      <w:r>
        <w:rPr>
          <w:spacing w:val="32"/>
        </w:rPr>
        <w:t> </w:t>
      </w:r>
      <w:r>
        <w:rPr/>
        <w:t>of</w:t>
      </w:r>
      <w:r>
        <w:rPr>
          <w:spacing w:val="32"/>
        </w:rPr>
        <w:t> </w:t>
      </w:r>
      <w:r>
        <w:rPr/>
        <w:t>significance;</w:t>
      </w:r>
      <w:r>
        <w:rPr>
          <w:spacing w:val="38"/>
        </w:rPr>
        <w:t> </w:t>
      </w:r>
      <w:r>
        <w:rPr/>
        <w:t>NS=Not</w:t>
      </w:r>
      <w:r>
        <w:rPr>
          <w:spacing w:val="33"/>
        </w:rPr>
        <w:t> </w:t>
      </w:r>
      <w:r>
        <w:rPr/>
        <w:t>significantly</w:t>
      </w:r>
      <w:r>
        <w:rPr>
          <w:spacing w:val="33"/>
        </w:rPr>
        <w:t> </w:t>
      </w:r>
      <w:r>
        <w:rPr/>
        <w:t>different;</w:t>
      </w:r>
      <w:r>
        <w:rPr>
          <w:spacing w:val="35"/>
        </w:rPr>
        <w:t> </w:t>
      </w:r>
      <w:r>
        <w:rPr/>
        <w:t>SF=Significantly</w:t>
      </w:r>
      <w:r>
        <w:rPr>
          <w:spacing w:val="33"/>
        </w:rPr>
        <w:t> </w:t>
      </w:r>
      <w:r>
        <w:rPr/>
        <w:t>different;</w:t>
      </w:r>
      <w:r>
        <w:rPr>
          <w:spacing w:val="35"/>
        </w:rPr>
        <w:t> </w:t>
      </w:r>
      <w:r>
        <w:rPr/>
        <w:t>H=Honey and L=Lemon juice.</w:t>
      </w:r>
    </w:p>
    <w:p>
      <w:pPr>
        <w:spacing w:after="0" w:line="259" w:lineRule="auto"/>
        <w:sectPr>
          <w:type w:val="continuous"/>
          <w:pgSz w:w="11910" w:h="16840"/>
          <w:pgMar w:header="0" w:footer="1055" w:top="1400" w:bottom="1240" w:left="1060" w:right="460"/>
        </w:sectPr>
      </w:pPr>
    </w:p>
    <w:p>
      <w:pPr>
        <w:pStyle w:val="BodyText"/>
      </w:pPr>
    </w:p>
    <w:p>
      <w:pPr>
        <w:pStyle w:val="BodyText"/>
      </w:pPr>
    </w:p>
    <w:p>
      <w:pPr>
        <w:pStyle w:val="BodyText"/>
      </w:pPr>
    </w:p>
    <w:p>
      <w:pPr>
        <w:pStyle w:val="BodyText"/>
        <w:spacing w:before="224"/>
      </w:pPr>
    </w:p>
    <w:p>
      <w:pPr>
        <w:pStyle w:val="Heading3"/>
        <w:spacing w:line="400" w:lineRule="auto"/>
        <w:ind w:right="3107"/>
      </w:pPr>
      <w:r>
        <w:rPr/>
        <w:t>Comparing</w:t>
      </w:r>
      <w:r>
        <w:rPr>
          <w:spacing w:val="-5"/>
        </w:rPr>
        <w:t> </w:t>
      </w:r>
      <w:r>
        <w:rPr/>
        <w:t>the</w:t>
      </w:r>
      <w:r>
        <w:rPr>
          <w:spacing w:val="-4"/>
        </w:rPr>
        <w:t> </w:t>
      </w:r>
      <w:r>
        <w:rPr/>
        <w:t>mean</w:t>
      </w:r>
      <w:r>
        <w:rPr>
          <w:spacing w:val="-4"/>
        </w:rPr>
        <w:t> </w:t>
      </w:r>
      <w:r>
        <w:rPr/>
        <w:t>zones</w:t>
      </w:r>
      <w:r>
        <w:rPr>
          <w:spacing w:val="-3"/>
        </w:rPr>
        <w:t> </w:t>
      </w:r>
      <w:r>
        <w:rPr/>
        <w:t>of</w:t>
      </w:r>
      <w:r>
        <w:rPr>
          <w:spacing w:val="-3"/>
        </w:rPr>
        <w:t> </w:t>
      </w:r>
      <w:r>
        <w:rPr/>
        <w:t>inhibition</w:t>
      </w:r>
      <w:r>
        <w:rPr>
          <w:spacing w:val="-4"/>
        </w:rPr>
        <w:t> </w:t>
      </w:r>
      <w:r>
        <w:rPr/>
        <w:t>of</w:t>
      </w:r>
      <w:r>
        <w:rPr>
          <w:spacing w:val="-3"/>
        </w:rPr>
        <w:t> </w:t>
      </w:r>
      <w:r>
        <w:rPr/>
        <w:t>Honey</w:t>
      </w:r>
      <w:r>
        <w:rPr>
          <w:spacing w:val="-3"/>
        </w:rPr>
        <w:t> </w:t>
      </w:r>
      <w:r>
        <w:rPr/>
        <w:t>and</w:t>
      </w:r>
      <w:r>
        <w:rPr>
          <w:spacing w:val="-4"/>
        </w:rPr>
        <w:t> </w:t>
      </w:r>
      <w:r>
        <w:rPr/>
        <w:t>the</w:t>
      </w:r>
      <w:r>
        <w:rPr>
          <w:spacing w:val="-4"/>
        </w:rPr>
        <w:t> </w:t>
      </w:r>
      <w:r>
        <w:rPr/>
        <w:t>mixture of Honey and Lemon juice against </w:t>
      </w:r>
      <w:r>
        <w:rPr>
          <w:i/>
        </w:rPr>
        <w:t>Streptococcus pneumoniae</w:t>
      </w:r>
      <w:r>
        <w:rPr/>
        <w:t>.</w:t>
      </w:r>
    </w:p>
    <w:p>
      <w:pPr>
        <w:pStyle w:val="BodyText"/>
        <w:spacing w:before="187"/>
        <w:rPr>
          <w:b/>
          <w:sz w:val="20"/>
        </w:rPr>
      </w:pPr>
      <w:r>
        <w:rPr/>
        <mc:AlternateContent>
          <mc:Choice Requires="wps">
            <w:drawing>
              <wp:anchor distT="0" distB="0" distL="0" distR="0" allowOverlap="1" layoutInCell="1" locked="0" behindDoc="1" simplePos="0" relativeHeight="487681536">
                <wp:simplePos x="0" y="0"/>
                <wp:positionH relativeFrom="page">
                  <wp:posOffset>1461770</wp:posOffset>
                </wp:positionH>
                <wp:positionV relativeFrom="paragraph">
                  <wp:posOffset>289311</wp:posOffset>
                </wp:positionV>
                <wp:extent cx="4027804" cy="6350"/>
                <wp:effectExtent l="0" t="0" r="0" b="0"/>
                <wp:wrapTopAndBottom/>
                <wp:docPr id="505" name="Graphic 505"/>
                <wp:cNvGraphicFramePr>
                  <a:graphicFrameLocks/>
                </wp:cNvGraphicFramePr>
                <a:graphic>
                  <a:graphicData uri="http://schemas.microsoft.com/office/word/2010/wordprocessingShape">
                    <wps:wsp>
                      <wps:cNvPr id="505" name="Graphic 505"/>
                      <wps:cNvSpPr/>
                      <wps:spPr>
                        <a:xfrm>
                          <a:off x="0" y="0"/>
                          <a:ext cx="4027804" cy="6350"/>
                        </a:xfrm>
                        <a:custGeom>
                          <a:avLst/>
                          <a:gdLst/>
                          <a:ahLst/>
                          <a:cxnLst/>
                          <a:rect l="l" t="t" r="r" b="b"/>
                          <a:pathLst>
                            <a:path w="4027804" h="6350">
                              <a:moveTo>
                                <a:pt x="1085392" y="0"/>
                              </a:moveTo>
                              <a:lnTo>
                                <a:pt x="0" y="0"/>
                              </a:lnTo>
                              <a:lnTo>
                                <a:pt x="0" y="6096"/>
                              </a:lnTo>
                              <a:lnTo>
                                <a:pt x="1085392" y="6096"/>
                              </a:lnTo>
                              <a:lnTo>
                                <a:pt x="1085392" y="0"/>
                              </a:lnTo>
                              <a:close/>
                            </a:path>
                            <a:path w="4027804" h="6350">
                              <a:moveTo>
                                <a:pt x="1091552" y="0"/>
                              </a:moveTo>
                              <a:lnTo>
                                <a:pt x="1085469" y="0"/>
                              </a:lnTo>
                              <a:lnTo>
                                <a:pt x="1085469" y="6096"/>
                              </a:lnTo>
                              <a:lnTo>
                                <a:pt x="1091552" y="6096"/>
                              </a:lnTo>
                              <a:lnTo>
                                <a:pt x="1091552" y="0"/>
                              </a:lnTo>
                              <a:close/>
                            </a:path>
                            <a:path w="4027804" h="6350">
                              <a:moveTo>
                                <a:pt x="1952612" y="0"/>
                              </a:moveTo>
                              <a:lnTo>
                                <a:pt x="1946529" y="0"/>
                              </a:lnTo>
                              <a:lnTo>
                                <a:pt x="1091565" y="0"/>
                              </a:lnTo>
                              <a:lnTo>
                                <a:pt x="1091565" y="6096"/>
                              </a:lnTo>
                              <a:lnTo>
                                <a:pt x="1946529" y="6096"/>
                              </a:lnTo>
                              <a:lnTo>
                                <a:pt x="1952612" y="6096"/>
                              </a:lnTo>
                              <a:lnTo>
                                <a:pt x="1952612" y="0"/>
                              </a:lnTo>
                              <a:close/>
                            </a:path>
                            <a:path w="4027804" h="6350">
                              <a:moveTo>
                                <a:pt x="3489375" y="0"/>
                              </a:moveTo>
                              <a:lnTo>
                                <a:pt x="2935859" y="0"/>
                              </a:lnTo>
                              <a:lnTo>
                                <a:pt x="2929813" y="0"/>
                              </a:lnTo>
                              <a:lnTo>
                                <a:pt x="1952625" y="0"/>
                              </a:lnTo>
                              <a:lnTo>
                                <a:pt x="1952625" y="6096"/>
                              </a:lnTo>
                              <a:lnTo>
                                <a:pt x="2929763" y="6096"/>
                              </a:lnTo>
                              <a:lnTo>
                                <a:pt x="2935859" y="6096"/>
                              </a:lnTo>
                              <a:lnTo>
                                <a:pt x="3489375" y="6096"/>
                              </a:lnTo>
                              <a:lnTo>
                                <a:pt x="3489375" y="0"/>
                              </a:lnTo>
                              <a:close/>
                            </a:path>
                            <a:path w="4027804" h="6350">
                              <a:moveTo>
                                <a:pt x="3495535" y="0"/>
                              </a:moveTo>
                              <a:lnTo>
                                <a:pt x="3489452" y="0"/>
                              </a:lnTo>
                              <a:lnTo>
                                <a:pt x="3489452" y="6096"/>
                              </a:lnTo>
                              <a:lnTo>
                                <a:pt x="3495535" y="6096"/>
                              </a:lnTo>
                              <a:lnTo>
                                <a:pt x="3495535" y="0"/>
                              </a:lnTo>
                              <a:close/>
                            </a:path>
                            <a:path w="4027804" h="6350">
                              <a:moveTo>
                                <a:pt x="4027411" y="0"/>
                              </a:moveTo>
                              <a:lnTo>
                                <a:pt x="3495548" y="0"/>
                              </a:lnTo>
                              <a:lnTo>
                                <a:pt x="3495548" y="6096"/>
                              </a:lnTo>
                              <a:lnTo>
                                <a:pt x="4027411" y="6096"/>
                              </a:lnTo>
                              <a:lnTo>
                                <a:pt x="40274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5.100006pt;margin-top:22.780401pt;width:317.150pt;height:.5pt;mso-position-horizontal-relative:page;mso-position-vertical-relative:paragraph;z-index:-15634944;mso-wrap-distance-left:0;mso-wrap-distance-right:0" id="docshape450" coordorigin="2302,456" coordsize="6343,10" path="m4011,456l2302,456,2302,465,4011,465,4011,456xm4021,456l4011,456,4011,465,4021,465,4021,456xm5377,456l5367,456,4021,456,4021,465,5367,465,5377,465,5377,456xm7797,456l6925,456,6916,456,6916,456,5377,456,5377,465,6916,465,6916,465,6925,465,7797,465,7797,456xm7807,456l7797,456,7797,465,7807,465,7807,456xm8644,456l7807,456,7807,465,8644,465,8644,456xe" filled="true" fillcolor="#000000" stroked="false">
                <v:path arrowok="t"/>
                <v:fill type="solid"/>
                <w10:wrap type="topAndBottom"/>
              </v:shape>
            </w:pict>
          </mc:Fallback>
        </mc:AlternateContent>
      </w:r>
    </w:p>
    <w:p>
      <w:pPr>
        <w:pStyle w:val="BodyText"/>
        <w:spacing w:before="236"/>
        <w:rPr>
          <w:b/>
          <w:sz w:val="20"/>
        </w:r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gridCol w:w="1372"/>
        <w:gridCol w:w="1546"/>
        <w:gridCol w:w="1008"/>
        <w:gridCol w:w="773"/>
      </w:tblGrid>
      <w:tr>
        <w:trPr>
          <w:trHeight w:val="858" w:hRule="atLeast"/>
        </w:trPr>
        <w:tc>
          <w:tcPr>
            <w:tcW w:w="1642" w:type="dxa"/>
            <w:tcBorders>
              <w:bottom w:val="single" w:sz="4" w:space="0" w:color="000000"/>
            </w:tcBorders>
          </w:tcPr>
          <w:p>
            <w:pPr>
              <w:pStyle w:val="TableParagraph"/>
              <w:spacing w:line="229" w:lineRule="exact"/>
              <w:ind w:left="108"/>
              <w:rPr>
                <w:sz w:val="22"/>
              </w:rPr>
            </w:pPr>
            <w:r>
              <w:rPr>
                <w:sz w:val="22"/>
              </w:rPr>
              <w:t>(I)</w:t>
            </w:r>
            <w:r>
              <w:rPr>
                <w:spacing w:val="-2"/>
                <w:sz w:val="22"/>
              </w:rPr>
              <w:t> Group_5</w:t>
            </w:r>
          </w:p>
        </w:tc>
        <w:tc>
          <w:tcPr>
            <w:tcW w:w="1372" w:type="dxa"/>
            <w:tcBorders>
              <w:bottom w:val="single" w:sz="4" w:space="0" w:color="000000"/>
            </w:tcBorders>
          </w:tcPr>
          <w:p>
            <w:pPr>
              <w:pStyle w:val="TableParagraph"/>
              <w:spacing w:line="229" w:lineRule="exact"/>
              <w:ind w:left="175"/>
              <w:rPr>
                <w:sz w:val="22"/>
              </w:rPr>
            </w:pPr>
            <w:r>
              <w:rPr>
                <w:sz w:val="22"/>
              </w:rPr>
              <w:t>(J)</w:t>
            </w:r>
            <w:r>
              <w:rPr>
                <w:spacing w:val="-2"/>
                <w:sz w:val="22"/>
              </w:rPr>
              <w:t> Group_5</w:t>
            </w:r>
          </w:p>
        </w:tc>
        <w:tc>
          <w:tcPr>
            <w:tcW w:w="1546" w:type="dxa"/>
            <w:tcBorders>
              <w:bottom w:val="single" w:sz="4" w:space="0" w:color="000000"/>
            </w:tcBorders>
          </w:tcPr>
          <w:p>
            <w:pPr>
              <w:pStyle w:val="TableParagraph"/>
              <w:spacing w:line="229" w:lineRule="exact"/>
              <w:ind w:left="107" w:right="1"/>
              <w:jc w:val="center"/>
              <w:rPr>
                <w:sz w:val="22"/>
              </w:rPr>
            </w:pPr>
            <w:r>
              <w:rPr>
                <w:spacing w:val="-2"/>
                <w:sz w:val="22"/>
              </w:rPr>
              <w:t>Mean±SEM</w:t>
            </w:r>
          </w:p>
        </w:tc>
        <w:tc>
          <w:tcPr>
            <w:tcW w:w="1008" w:type="dxa"/>
            <w:tcBorders>
              <w:bottom w:val="single" w:sz="4" w:space="0" w:color="000000"/>
            </w:tcBorders>
          </w:tcPr>
          <w:p>
            <w:pPr>
              <w:pStyle w:val="TableParagraph"/>
              <w:spacing w:line="229" w:lineRule="exact"/>
              <w:ind w:right="180"/>
              <w:jc w:val="right"/>
              <w:rPr>
                <w:sz w:val="22"/>
              </w:rPr>
            </w:pPr>
            <w:r>
              <w:rPr>
                <w:sz w:val="22"/>
              </w:rPr>
              <w:t>P-</w:t>
            </w:r>
            <w:r>
              <w:rPr>
                <w:spacing w:val="-2"/>
                <w:sz w:val="22"/>
              </w:rPr>
              <w:t>value</w:t>
            </w:r>
          </w:p>
        </w:tc>
        <w:tc>
          <w:tcPr>
            <w:tcW w:w="773" w:type="dxa"/>
            <w:tcBorders>
              <w:bottom w:val="single" w:sz="4" w:space="0" w:color="000000"/>
            </w:tcBorders>
          </w:tcPr>
          <w:p>
            <w:pPr>
              <w:pStyle w:val="TableParagraph"/>
              <w:spacing w:line="225" w:lineRule="exact"/>
              <w:ind w:left="5" w:right="71"/>
              <w:jc w:val="center"/>
              <w:rPr>
                <w:sz w:val="22"/>
              </w:rPr>
            </w:pPr>
            <w:r>
              <w:rPr>
                <w:spacing w:val="-5"/>
                <w:sz w:val="22"/>
              </w:rPr>
              <w:t>LOS</w:t>
            </w:r>
          </w:p>
        </w:tc>
      </w:tr>
      <w:tr>
        <w:trPr>
          <w:trHeight w:val="377" w:hRule="atLeast"/>
        </w:trPr>
        <w:tc>
          <w:tcPr>
            <w:tcW w:w="1642" w:type="dxa"/>
            <w:tcBorders>
              <w:top w:val="single" w:sz="4" w:space="0" w:color="000000"/>
            </w:tcBorders>
          </w:tcPr>
          <w:p>
            <w:pPr>
              <w:pStyle w:val="TableParagraph"/>
              <w:rPr>
                <w:rFonts w:ascii="Times New Roman"/>
                <w:sz w:val="22"/>
              </w:rPr>
            </w:pPr>
          </w:p>
        </w:tc>
        <w:tc>
          <w:tcPr>
            <w:tcW w:w="1372" w:type="dxa"/>
            <w:tcBorders>
              <w:top w:val="single" w:sz="4" w:space="0" w:color="000000"/>
            </w:tcBorders>
          </w:tcPr>
          <w:p>
            <w:pPr>
              <w:pStyle w:val="TableParagraph"/>
              <w:spacing w:line="265" w:lineRule="exact"/>
              <w:ind w:left="2" w:right="117"/>
              <w:jc w:val="center"/>
              <w:rPr>
                <w:sz w:val="22"/>
              </w:rPr>
            </w:pPr>
            <w:r>
              <w:rPr>
                <w:sz w:val="22"/>
              </w:rPr>
              <w:t>H:L;</w:t>
            </w:r>
            <w:r>
              <w:rPr>
                <w:spacing w:val="-5"/>
                <w:sz w:val="22"/>
              </w:rPr>
              <w:t> </w:t>
            </w:r>
            <w:r>
              <w:rPr>
                <w:spacing w:val="-2"/>
                <w:sz w:val="22"/>
              </w:rPr>
              <w:t>10:50</w:t>
            </w:r>
          </w:p>
        </w:tc>
        <w:tc>
          <w:tcPr>
            <w:tcW w:w="1546" w:type="dxa"/>
            <w:tcBorders>
              <w:top w:val="single" w:sz="4" w:space="0" w:color="000000"/>
            </w:tcBorders>
          </w:tcPr>
          <w:p>
            <w:pPr>
              <w:pStyle w:val="TableParagraph"/>
              <w:spacing w:line="265" w:lineRule="exact"/>
              <w:ind w:left="106" w:right="107"/>
              <w:jc w:val="center"/>
              <w:rPr>
                <w:sz w:val="22"/>
              </w:rPr>
            </w:pPr>
            <w:r>
              <w:rPr>
                <w:spacing w:val="-2"/>
                <w:sz w:val="22"/>
              </w:rPr>
              <w:t>23.143±0.769</w:t>
            </w:r>
          </w:p>
        </w:tc>
        <w:tc>
          <w:tcPr>
            <w:tcW w:w="1008" w:type="dxa"/>
            <w:tcBorders>
              <w:top w:val="single" w:sz="4" w:space="0" w:color="000000"/>
            </w:tcBorders>
          </w:tcPr>
          <w:p>
            <w:pPr>
              <w:pStyle w:val="TableParagraph"/>
              <w:spacing w:line="265" w:lineRule="exact"/>
              <w:ind w:right="177"/>
              <w:jc w:val="right"/>
              <w:rPr>
                <w:sz w:val="22"/>
              </w:rPr>
            </w:pPr>
            <w:r>
              <w:rPr>
                <w:spacing w:val="-2"/>
                <w:sz w:val="22"/>
              </w:rPr>
              <w:t>0.020</w:t>
            </w:r>
          </w:p>
        </w:tc>
        <w:tc>
          <w:tcPr>
            <w:tcW w:w="773" w:type="dxa"/>
            <w:tcBorders>
              <w:top w:val="single" w:sz="4" w:space="0" w:color="000000"/>
            </w:tcBorders>
          </w:tcPr>
          <w:p>
            <w:pPr>
              <w:pStyle w:val="TableParagraph"/>
              <w:spacing w:line="265" w:lineRule="exact"/>
              <w:ind w:right="71"/>
              <w:jc w:val="center"/>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372" w:type="dxa"/>
          </w:tcPr>
          <w:p>
            <w:pPr>
              <w:pStyle w:val="TableParagraph"/>
              <w:spacing w:before="72"/>
              <w:ind w:left="2" w:right="117"/>
              <w:jc w:val="center"/>
              <w:rPr>
                <w:sz w:val="22"/>
              </w:rPr>
            </w:pPr>
            <w:r>
              <w:rPr>
                <w:sz w:val="22"/>
              </w:rPr>
              <w:t>H:L;</w:t>
            </w:r>
            <w:r>
              <w:rPr>
                <w:spacing w:val="-5"/>
                <w:sz w:val="22"/>
              </w:rPr>
              <w:t> </w:t>
            </w:r>
            <w:r>
              <w:rPr>
                <w:spacing w:val="-2"/>
                <w:sz w:val="22"/>
              </w:rPr>
              <w:t>20:50</w:t>
            </w:r>
          </w:p>
        </w:tc>
        <w:tc>
          <w:tcPr>
            <w:tcW w:w="1546" w:type="dxa"/>
          </w:tcPr>
          <w:p>
            <w:pPr>
              <w:pStyle w:val="TableParagraph"/>
              <w:spacing w:before="72"/>
              <w:ind w:left="106" w:right="107"/>
              <w:jc w:val="center"/>
              <w:rPr>
                <w:sz w:val="22"/>
              </w:rPr>
            </w:pPr>
            <w:r>
              <w:rPr>
                <w:spacing w:val="-2"/>
                <w:sz w:val="22"/>
              </w:rPr>
              <w:t>23.286±0.522</w:t>
            </w:r>
          </w:p>
        </w:tc>
        <w:tc>
          <w:tcPr>
            <w:tcW w:w="1008" w:type="dxa"/>
          </w:tcPr>
          <w:p>
            <w:pPr>
              <w:pStyle w:val="TableParagraph"/>
              <w:spacing w:before="72"/>
              <w:ind w:right="177"/>
              <w:jc w:val="right"/>
              <w:rPr>
                <w:sz w:val="22"/>
              </w:rPr>
            </w:pPr>
            <w:r>
              <w:rPr>
                <w:spacing w:val="-2"/>
                <w:sz w:val="22"/>
              </w:rPr>
              <w:t>0.014</w:t>
            </w:r>
          </w:p>
        </w:tc>
        <w:tc>
          <w:tcPr>
            <w:tcW w:w="773" w:type="dxa"/>
          </w:tcPr>
          <w:p>
            <w:pPr>
              <w:pStyle w:val="TableParagraph"/>
              <w:spacing w:before="72"/>
              <w:ind w:right="71"/>
              <w:jc w:val="center"/>
              <w:rPr>
                <w:sz w:val="22"/>
              </w:rPr>
            </w:pPr>
            <w:r>
              <w:rPr>
                <w:spacing w:val="-5"/>
                <w:sz w:val="22"/>
              </w:rPr>
              <w:t>SF</w:t>
            </w:r>
          </w:p>
        </w:tc>
      </w:tr>
      <w:tr>
        <w:trPr>
          <w:trHeight w:val="596" w:hRule="atLeast"/>
        </w:trPr>
        <w:tc>
          <w:tcPr>
            <w:tcW w:w="1642" w:type="dxa"/>
          </w:tcPr>
          <w:p>
            <w:pPr>
              <w:pStyle w:val="TableParagraph"/>
              <w:spacing w:before="1"/>
              <w:ind w:left="108"/>
              <w:rPr>
                <w:sz w:val="22"/>
              </w:rPr>
            </w:pPr>
            <w:r>
              <w:rPr>
                <w:sz w:val="22"/>
              </w:rPr>
              <w:t>Honey</w:t>
            </w:r>
            <w:r>
              <w:rPr>
                <w:spacing w:val="-4"/>
                <w:sz w:val="22"/>
              </w:rPr>
              <w:t> </w:t>
            </w:r>
            <w:r>
              <w:rPr>
                <w:spacing w:val="-2"/>
                <w:sz w:val="22"/>
              </w:rPr>
              <w:t>(100%)</w:t>
            </w:r>
          </w:p>
          <w:p>
            <w:pPr>
              <w:pStyle w:val="TableParagraph"/>
              <w:spacing w:before="15"/>
              <w:ind w:left="108"/>
              <w:rPr>
                <w:sz w:val="22"/>
              </w:rPr>
            </w:pPr>
            <w:r>
              <w:rPr>
                <w:spacing w:val="-2"/>
                <w:sz w:val="22"/>
              </w:rPr>
              <w:t>(19.714±0.808)</w:t>
            </w:r>
          </w:p>
        </w:tc>
        <w:tc>
          <w:tcPr>
            <w:tcW w:w="1372" w:type="dxa"/>
          </w:tcPr>
          <w:p>
            <w:pPr>
              <w:pStyle w:val="TableParagraph"/>
              <w:spacing w:before="143"/>
              <w:ind w:left="2" w:right="117"/>
              <w:jc w:val="center"/>
              <w:rPr>
                <w:sz w:val="22"/>
              </w:rPr>
            </w:pPr>
            <w:r>
              <w:rPr>
                <w:sz w:val="22"/>
              </w:rPr>
              <w:t>H:L;</w:t>
            </w:r>
            <w:r>
              <w:rPr>
                <w:spacing w:val="-5"/>
                <w:sz w:val="22"/>
              </w:rPr>
              <w:t> </w:t>
            </w:r>
            <w:r>
              <w:rPr>
                <w:spacing w:val="-2"/>
                <w:sz w:val="22"/>
              </w:rPr>
              <w:t>30:50</w:t>
            </w:r>
          </w:p>
        </w:tc>
        <w:tc>
          <w:tcPr>
            <w:tcW w:w="1546" w:type="dxa"/>
          </w:tcPr>
          <w:p>
            <w:pPr>
              <w:pStyle w:val="TableParagraph"/>
              <w:spacing w:before="143"/>
              <w:ind w:left="106" w:right="107"/>
              <w:jc w:val="center"/>
              <w:rPr>
                <w:sz w:val="22"/>
              </w:rPr>
            </w:pPr>
            <w:r>
              <w:rPr>
                <w:spacing w:val="-2"/>
                <w:sz w:val="22"/>
              </w:rPr>
              <w:t>22.143±0.553</w:t>
            </w:r>
          </w:p>
        </w:tc>
        <w:tc>
          <w:tcPr>
            <w:tcW w:w="1008" w:type="dxa"/>
          </w:tcPr>
          <w:p>
            <w:pPr>
              <w:pStyle w:val="TableParagraph"/>
              <w:spacing w:before="143"/>
              <w:ind w:right="177"/>
              <w:jc w:val="right"/>
              <w:rPr>
                <w:sz w:val="22"/>
              </w:rPr>
            </w:pPr>
            <w:r>
              <w:rPr>
                <w:spacing w:val="-2"/>
                <w:sz w:val="22"/>
              </w:rPr>
              <w:t>0.226</w:t>
            </w:r>
          </w:p>
        </w:tc>
        <w:tc>
          <w:tcPr>
            <w:tcW w:w="773" w:type="dxa"/>
          </w:tcPr>
          <w:p>
            <w:pPr>
              <w:pStyle w:val="TableParagraph"/>
              <w:spacing w:before="143"/>
              <w:ind w:left="1" w:right="71"/>
              <w:jc w:val="center"/>
              <w:rPr>
                <w:sz w:val="22"/>
              </w:rPr>
            </w:pPr>
            <w:r>
              <w:rPr>
                <w:spacing w:val="-5"/>
                <w:sz w:val="22"/>
              </w:rPr>
              <w:t>NS</w:t>
            </w:r>
          </w:p>
        </w:tc>
      </w:tr>
      <w:tr>
        <w:trPr>
          <w:trHeight w:val="383" w:hRule="atLeast"/>
        </w:trPr>
        <w:tc>
          <w:tcPr>
            <w:tcW w:w="1642" w:type="dxa"/>
          </w:tcPr>
          <w:p>
            <w:pPr>
              <w:pStyle w:val="TableParagraph"/>
              <w:rPr>
                <w:rFonts w:ascii="Times New Roman"/>
                <w:sz w:val="22"/>
              </w:rPr>
            </w:pPr>
          </w:p>
        </w:tc>
        <w:tc>
          <w:tcPr>
            <w:tcW w:w="1372" w:type="dxa"/>
          </w:tcPr>
          <w:p>
            <w:pPr>
              <w:pStyle w:val="TableParagraph"/>
              <w:spacing w:before="3"/>
              <w:ind w:left="2" w:right="117"/>
              <w:jc w:val="center"/>
              <w:rPr>
                <w:sz w:val="22"/>
              </w:rPr>
            </w:pPr>
            <w:r>
              <w:rPr>
                <w:sz w:val="22"/>
              </w:rPr>
              <w:t>H:L;</w:t>
            </w:r>
            <w:r>
              <w:rPr>
                <w:spacing w:val="-5"/>
                <w:sz w:val="22"/>
              </w:rPr>
              <w:t> </w:t>
            </w:r>
            <w:r>
              <w:rPr>
                <w:spacing w:val="-2"/>
                <w:sz w:val="22"/>
              </w:rPr>
              <w:t>40:50</w:t>
            </w:r>
          </w:p>
        </w:tc>
        <w:tc>
          <w:tcPr>
            <w:tcW w:w="1546" w:type="dxa"/>
          </w:tcPr>
          <w:p>
            <w:pPr>
              <w:pStyle w:val="TableParagraph"/>
              <w:spacing w:before="3"/>
              <w:ind w:left="106" w:right="107"/>
              <w:jc w:val="center"/>
              <w:rPr>
                <w:sz w:val="22"/>
              </w:rPr>
            </w:pPr>
            <w:r>
              <w:rPr>
                <w:spacing w:val="-2"/>
                <w:sz w:val="22"/>
              </w:rPr>
              <w:t>23.143±0.800</w:t>
            </w:r>
          </w:p>
        </w:tc>
        <w:tc>
          <w:tcPr>
            <w:tcW w:w="1008" w:type="dxa"/>
          </w:tcPr>
          <w:p>
            <w:pPr>
              <w:pStyle w:val="TableParagraph"/>
              <w:spacing w:before="3"/>
              <w:ind w:right="177"/>
              <w:jc w:val="right"/>
              <w:rPr>
                <w:sz w:val="22"/>
              </w:rPr>
            </w:pPr>
            <w:r>
              <w:rPr>
                <w:spacing w:val="-2"/>
                <w:sz w:val="22"/>
              </w:rPr>
              <w:t>0.020</w:t>
            </w:r>
          </w:p>
        </w:tc>
        <w:tc>
          <w:tcPr>
            <w:tcW w:w="773" w:type="dxa"/>
          </w:tcPr>
          <w:p>
            <w:pPr>
              <w:pStyle w:val="TableParagraph"/>
              <w:spacing w:before="3"/>
              <w:ind w:right="71"/>
              <w:jc w:val="center"/>
              <w:rPr>
                <w:sz w:val="22"/>
              </w:rPr>
            </w:pPr>
            <w:r>
              <w:rPr>
                <w:spacing w:val="-5"/>
                <w:sz w:val="22"/>
              </w:rPr>
              <w:t>SF</w:t>
            </w:r>
          </w:p>
        </w:tc>
      </w:tr>
      <w:tr>
        <w:trPr>
          <w:trHeight w:val="519" w:hRule="atLeast"/>
        </w:trPr>
        <w:tc>
          <w:tcPr>
            <w:tcW w:w="1642" w:type="dxa"/>
            <w:tcBorders>
              <w:bottom w:val="single" w:sz="4" w:space="0" w:color="000000"/>
            </w:tcBorders>
          </w:tcPr>
          <w:p>
            <w:pPr>
              <w:pStyle w:val="TableParagraph"/>
              <w:rPr>
                <w:rFonts w:ascii="Times New Roman"/>
                <w:sz w:val="22"/>
              </w:rPr>
            </w:pPr>
          </w:p>
        </w:tc>
        <w:tc>
          <w:tcPr>
            <w:tcW w:w="1372" w:type="dxa"/>
            <w:tcBorders>
              <w:bottom w:val="single" w:sz="4" w:space="0" w:color="000000"/>
            </w:tcBorders>
          </w:tcPr>
          <w:p>
            <w:pPr>
              <w:pStyle w:val="TableParagraph"/>
              <w:spacing w:before="72"/>
              <w:ind w:left="2" w:right="117"/>
              <w:jc w:val="center"/>
              <w:rPr>
                <w:sz w:val="22"/>
              </w:rPr>
            </w:pPr>
            <w:r>
              <w:rPr>
                <w:sz w:val="22"/>
              </w:rPr>
              <w:t>H:L;</w:t>
            </w:r>
            <w:r>
              <w:rPr>
                <w:spacing w:val="-5"/>
                <w:sz w:val="22"/>
              </w:rPr>
              <w:t> </w:t>
            </w:r>
            <w:r>
              <w:rPr>
                <w:spacing w:val="-2"/>
                <w:sz w:val="22"/>
              </w:rPr>
              <w:t>50:50</w:t>
            </w:r>
          </w:p>
        </w:tc>
        <w:tc>
          <w:tcPr>
            <w:tcW w:w="1546" w:type="dxa"/>
            <w:tcBorders>
              <w:bottom w:val="single" w:sz="4" w:space="0" w:color="000000"/>
            </w:tcBorders>
          </w:tcPr>
          <w:p>
            <w:pPr>
              <w:pStyle w:val="TableParagraph"/>
              <w:spacing w:before="72"/>
              <w:ind w:left="106" w:right="107"/>
              <w:jc w:val="center"/>
              <w:rPr>
                <w:sz w:val="22"/>
              </w:rPr>
            </w:pPr>
            <w:r>
              <w:rPr>
                <w:spacing w:val="-2"/>
                <w:sz w:val="22"/>
              </w:rPr>
              <w:t>24.571±0.783</w:t>
            </w:r>
          </w:p>
        </w:tc>
        <w:tc>
          <w:tcPr>
            <w:tcW w:w="1008" w:type="dxa"/>
            <w:tcBorders>
              <w:bottom w:val="single" w:sz="4" w:space="0" w:color="000000"/>
            </w:tcBorders>
          </w:tcPr>
          <w:p>
            <w:pPr>
              <w:pStyle w:val="TableParagraph"/>
              <w:spacing w:before="72"/>
              <w:ind w:right="177"/>
              <w:jc w:val="right"/>
              <w:rPr>
                <w:sz w:val="22"/>
              </w:rPr>
            </w:pPr>
            <w:r>
              <w:rPr>
                <w:spacing w:val="-2"/>
                <w:sz w:val="22"/>
              </w:rPr>
              <w:t>0.000</w:t>
            </w:r>
          </w:p>
        </w:tc>
        <w:tc>
          <w:tcPr>
            <w:tcW w:w="773" w:type="dxa"/>
            <w:tcBorders>
              <w:bottom w:val="single" w:sz="4" w:space="0" w:color="000000"/>
            </w:tcBorders>
          </w:tcPr>
          <w:p>
            <w:pPr>
              <w:pStyle w:val="TableParagraph"/>
              <w:spacing w:before="72"/>
              <w:ind w:right="71"/>
              <w:jc w:val="center"/>
              <w:rPr>
                <w:sz w:val="22"/>
              </w:rPr>
            </w:pPr>
            <w:r>
              <w:rPr>
                <w:spacing w:val="-5"/>
                <w:sz w:val="22"/>
              </w:rPr>
              <w:t>SF</w:t>
            </w:r>
          </w:p>
        </w:tc>
      </w:tr>
      <w:tr>
        <w:trPr>
          <w:trHeight w:val="378" w:hRule="atLeast"/>
        </w:trPr>
        <w:tc>
          <w:tcPr>
            <w:tcW w:w="1642" w:type="dxa"/>
            <w:tcBorders>
              <w:top w:val="single" w:sz="4" w:space="0" w:color="000000"/>
            </w:tcBorders>
          </w:tcPr>
          <w:p>
            <w:pPr>
              <w:pStyle w:val="TableParagraph"/>
              <w:rPr>
                <w:rFonts w:ascii="Times New Roman"/>
                <w:sz w:val="22"/>
              </w:rPr>
            </w:pPr>
          </w:p>
        </w:tc>
        <w:tc>
          <w:tcPr>
            <w:tcW w:w="1372" w:type="dxa"/>
            <w:tcBorders>
              <w:top w:val="single" w:sz="4" w:space="0" w:color="000000"/>
            </w:tcBorders>
          </w:tcPr>
          <w:p>
            <w:pPr>
              <w:pStyle w:val="TableParagraph"/>
              <w:spacing w:line="266" w:lineRule="exact"/>
              <w:ind w:left="2" w:right="117"/>
              <w:jc w:val="center"/>
              <w:rPr>
                <w:sz w:val="22"/>
              </w:rPr>
            </w:pPr>
            <w:r>
              <w:rPr>
                <w:sz w:val="22"/>
              </w:rPr>
              <w:t>H:L;</w:t>
            </w:r>
            <w:r>
              <w:rPr>
                <w:spacing w:val="-5"/>
                <w:sz w:val="22"/>
              </w:rPr>
              <w:t> </w:t>
            </w:r>
            <w:r>
              <w:rPr>
                <w:spacing w:val="-2"/>
                <w:sz w:val="22"/>
              </w:rPr>
              <w:t>10:50</w:t>
            </w:r>
          </w:p>
        </w:tc>
        <w:tc>
          <w:tcPr>
            <w:tcW w:w="1546" w:type="dxa"/>
            <w:tcBorders>
              <w:top w:val="single" w:sz="4" w:space="0" w:color="000000"/>
            </w:tcBorders>
          </w:tcPr>
          <w:p>
            <w:pPr>
              <w:pStyle w:val="TableParagraph"/>
              <w:spacing w:line="266" w:lineRule="exact"/>
              <w:ind w:left="106" w:right="107"/>
              <w:jc w:val="center"/>
              <w:rPr>
                <w:sz w:val="22"/>
              </w:rPr>
            </w:pPr>
            <w:r>
              <w:rPr>
                <w:spacing w:val="-2"/>
                <w:sz w:val="22"/>
              </w:rPr>
              <w:t>23.143±0.769</w:t>
            </w:r>
          </w:p>
        </w:tc>
        <w:tc>
          <w:tcPr>
            <w:tcW w:w="1008" w:type="dxa"/>
            <w:tcBorders>
              <w:top w:val="single" w:sz="4" w:space="0" w:color="000000"/>
            </w:tcBorders>
          </w:tcPr>
          <w:p>
            <w:pPr>
              <w:pStyle w:val="TableParagraph"/>
              <w:spacing w:line="266" w:lineRule="exact"/>
              <w:ind w:right="177"/>
              <w:jc w:val="right"/>
              <w:rPr>
                <w:sz w:val="22"/>
              </w:rPr>
            </w:pPr>
            <w:r>
              <w:rPr>
                <w:spacing w:val="-2"/>
                <w:sz w:val="22"/>
              </w:rPr>
              <w:t>0.000</w:t>
            </w:r>
          </w:p>
        </w:tc>
        <w:tc>
          <w:tcPr>
            <w:tcW w:w="773" w:type="dxa"/>
            <w:tcBorders>
              <w:top w:val="single" w:sz="4" w:space="0" w:color="000000"/>
            </w:tcBorders>
          </w:tcPr>
          <w:p>
            <w:pPr>
              <w:pStyle w:val="TableParagraph"/>
              <w:spacing w:line="266" w:lineRule="exact"/>
              <w:ind w:right="71"/>
              <w:jc w:val="center"/>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372" w:type="dxa"/>
          </w:tcPr>
          <w:p>
            <w:pPr>
              <w:pStyle w:val="TableParagraph"/>
              <w:spacing w:before="72"/>
              <w:ind w:left="2" w:right="117"/>
              <w:jc w:val="center"/>
              <w:rPr>
                <w:sz w:val="22"/>
              </w:rPr>
            </w:pPr>
            <w:r>
              <w:rPr>
                <w:sz w:val="22"/>
              </w:rPr>
              <w:t>H:L;</w:t>
            </w:r>
            <w:r>
              <w:rPr>
                <w:spacing w:val="-5"/>
                <w:sz w:val="22"/>
              </w:rPr>
              <w:t> </w:t>
            </w:r>
            <w:r>
              <w:rPr>
                <w:spacing w:val="-2"/>
                <w:sz w:val="22"/>
              </w:rPr>
              <w:t>20:50</w:t>
            </w:r>
          </w:p>
        </w:tc>
        <w:tc>
          <w:tcPr>
            <w:tcW w:w="1546" w:type="dxa"/>
          </w:tcPr>
          <w:p>
            <w:pPr>
              <w:pStyle w:val="TableParagraph"/>
              <w:spacing w:before="72"/>
              <w:ind w:left="106" w:right="107"/>
              <w:jc w:val="center"/>
              <w:rPr>
                <w:sz w:val="22"/>
              </w:rPr>
            </w:pPr>
            <w:r>
              <w:rPr>
                <w:spacing w:val="-2"/>
                <w:sz w:val="22"/>
              </w:rPr>
              <w:t>23.286±0.522</w:t>
            </w:r>
          </w:p>
        </w:tc>
        <w:tc>
          <w:tcPr>
            <w:tcW w:w="1008" w:type="dxa"/>
          </w:tcPr>
          <w:p>
            <w:pPr>
              <w:pStyle w:val="TableParagraph"/>
              <w:spacing w:before="72"/>
              <w:ind w:right="177"/>
              <w:jc w:val="right"/>
              <w:rPr>
                <w:sz w:val="22"/>
              </w:rPr>
            </w:pPr>
            <w:r>
              <w:rPr>
                <w:spacing w:val="-2"/>
                <w:sz w:val="22"/>
              </w:rPr>
              <w:t>0.000</w:t>
            </w:r>
          </w:p>
        </w:tc>
        <w:tc>
          <w:tcPr>
            <w:tcW w:w="773" w:type="dxa"/>
          </w:tcPr>
          <w:p>
            <w:pPr>
              <w:pStyle w:val="TableParagraph"/>
              <w:spacing w:before="72"/>
              <w:ind w:right="71"/>
              <w:jc w:val="center"/>
              <w:rPr>
                <w:sz w:val="22"/>
              </w:rPr>
            </w:pPr>
            <w:r>
              <w:rPr>
                <w:spacing w:val="-5"/>
                <w:sz w:val="22"/>
              </w:rPr>
              <w:t>SF</w:t>
            </w:r>
          </w:p>
        </w:tc>
      </w:tr>
      <w:tr>
        <w:trPr>
          <w:trHeight w:val="597" w:hRule="atLeast"/>
        </w:trPr>
        <w:tc>
          <w:tcPr>
            <w:tcW w:w="1642" w:type="dxa"/>
          </w:tcPr>
          <w:p>
            <w:pPr>
              <w:pStyle w:val="TableParagraph"/>
              <w:spacing w:before="1"/>
              <w:ind w:left="108"/>
              <w:rPr>
                <w:sz w:val="22"/>
              </w:rPr>
            </w:pPr>
            <w:r>
              <w:rPr>
                <w:sz w:val="22"/>
              </w:rPr>
              <w:t>Honey</w:t>
            </w:r>
            <w:r>
              <w:rPr>
                <w:spacing w:val="-2"/>
                <w:sz w:val="22"/>
              </w:rPr>
              <w:t> (50%)</w:t>
            </w:r>
          </w:p>
          <w:p>
            <w:pPr>
              <w:pStyle w:val="TableParagraph"/>
              <w:spacing w:before="17"/>
              <w:ind w:left="108"/>
              <w:rPr>
                <w:sz w:val="22"/>
              </w:rPr>
            </w:pPr>
            <w:r>
              <w:rPr>
                <w:spacing w:val="-2"/>
                <w:sz w:val="22"/>
              </w:rPr>
              <w:t>(15.429±0.528)</w:t>
            </w:r>
          </w:p>
        </w:tc>
        <w:tc>
          <w:tcPr>
            <w:tcW w:w="1372" w:type="dxa"/>
          </w:tcPr>
          <w:p>
            <w:pPr>
              <w:pStyle w:val="TableParagraph"/>
              <w:spacing w:before="145"/>
              <w:ind w:left="2" w:right="117"/>
              <w:jc w:val="center"/>
              <w:rPr>
                <w:sz w:val="22"/>
              </w:rPr>
            </w:pPr>
            <w:r>
              <w:rPr>
                <w:sz w:val="22"/>
              </w:rPr>
              <w:t>H:L;</w:t>
            </w:r>
            <w:r>
              <w:rPr>
                <w:spacing w:val="-5"/>
                <w:sz w:val="22"/>
              </w:rPr>
              <w:t> </w:t>
            </w:r>
            <w:r>
              <w:rPr>
                <w:spacing w:val="-2"/>
                <w:sz w:val="22"/>
              </w:rPr>
              <w:t>30:50</w:t>
            </w:r>
          </w:p>
        </w:tc>
        <w:tc>
          <w:tcPr>
            <w:tcW w:w="1546" w:type="dxa"/>
          </w:tcPr>
          <w:p>
            <w:pPr>
              <w:pStyle w:val="TableParagraph"/>
              <w:spacing w:before="145"/>
              <w:ind w:left="106" w:right="107"/>
              <w:jc w:val="center"/>
              <w:rPr>
                <w:sz w:val="22"/>
              </w:rPr>
            </w:pPr>
            <w:r>
              <w:rPr>
                <w:spacing w:val="-2"/>
                <w:sz w:val="22"/>
              </w:rPr>
              <w:t>22.143±0.553</w:t>
            </w:r>
          </w:p>
        </w:tc>
        <w:tc>
          <w:tcPr>
            <w:tcW w:w="1008" w:type="dxa"/>
          </w:tcPr>
          <w:p>
            <w:pPr>
              <w:pStyle w:val="TableParagraph"/>
              <w:spacing w:before="145"/>
              <w:ind w:right="177"/>
              <w:jc w:val="right"/>
              <w:rPr>
                <w:sz w:val="22"/>
              </w:rPr>
            </w:pPr>
            <w:r>
              <w:rPr>
                <w:spacing w:val="-2"/>
                <w:sz w:val="22"/>
              </w:rPr>
              <w:t>0.000</w:t>
            </w:r>
          </w:p>
        </w:tc>
        <w:tc>
          <w:tcPr>
            <w:tcW w:w="773" w:type="dxa"/>
          </w:tcPr>
          <w:p>
            <w:pPr>
              <w:pStyle w:val="TableParagraph"/>
              <w:spacing w:before="145"/>
              <w:ind w:right="71"/>
              <w:jc w:val="center"/>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372" w:type="dxa"/>
          </w:tcPr>
          <w:p>
            <w:pPr>
              <w:pStyle w:val="TableParagraph"/>
              <w:spacing w:before="1"/>
              <w:ind w:left="2" w:right="117"/>
              <w:jc w:val="center"/>
              <w:rPr>
                <w:sz w:val="22"/>
              </w:rPr>
            </w:pPr>
            <w:r>
              <w:rPr>
                <w:sz w:val="22"/>
              </w:rPr>
              <w:t>H:L;</w:t>
            </w:r>
            <w:r>
              <w:rPr>
                <w:spacing w:val="-5"/>
                <w:sz w:val="22"/>
              </w:rPr>
              <w:t> </w:t>
            </w:r>
            <w:r>
              <w:rPr>
                <w:spacing w:val="-2"/>
                <w:sz w:val="22"/>
              </w:rPr>
              <w:t>40:50</w:t>
            </w:r>
          </w:p>
        </w:tc>
        <w:tc>
          <w:tcPr>
            <w:tcW w:w="1546" w:type="dxa"/>
          </w:tcPr>
          <w:p>
            <w:pPr>
              <w:pStyle w:val="TableParagraph"/>
              <w:spacing w:before="1"/>
              <w:ind w:left="106" w:right="107"/>
              <w:jc w:val="center"/>
              <w:rPr>
                <w:sz w:val="22"/>
              </w:rPr>
            </w:pPr>
            <w:r>
              <w:rPr>
                <w:spacing w:val="-2"/>
                <w:sz w:val="22"/>
              </w:rPr>
              <w:t>23.143±0.800</w:t>
            </w:r>
          </w:p>
        </w:tc>
        <w:tc>
          <w:tcPr>
            <w:tcW w:w="1008" w:type="dxa"/>
          </w:tcPr>
          <w:p>
            <w:pPr>
              <w:pStyle w:val="TableParagraph"/>
              <w:spacing w:before="1"/>
              <w:ind w:right="177"/>
              <w:jc w:val="right"/>
              <w:rPr>
                <w:sz w:val="22"/>
              </w:rPr>
            </w:pPr>
            <w:r>
              <w:rPr>
                <w:spacing w:val="-2"/>
                <w:sz w:val="22"/>
              </w:rPr>
              <w:t>0.000</w:t>
            </w:r>
          </w:p>
        </w:tc>
        <w:tc>
          <w:tcPr>
            <w:tcW w:w="773" w:type="dxa"/>
          </w:tcPr>
          <w:p>
            <w:pPr>
              <w:pStyle w:val="TableParagraph"/>
              <w:spacing w:before="1"/>
              <w:ind w:right="71"/>
              <w:jc w:val="center"/>
              <w:rPr>
                <w:sz w:val="22"/>
              </w:rPr>
            </w:pPr>
            <w:r>
              <w:rPr>
                <w:spacing w:val="-5"/>
                <w:sz w:val="22"/>
              </w:rPr>
              <w:t>SF</w:t>
            </w:r>
          </w:p>
        </w:tc>
      </w:tr>
      <w:tr>
        <w:trPr>
          <w:trHeight w:val="519" w:hRule="atLeast"/>
        </w:trPr>
        <w:tc>
          <w:tcPr>
            <w:tcW w:w="1642" w:type="dxa"/>
            <w:tcBorders>
              <w:bottom w:val="single" w:sz="4" w:space="0" w:color="000000"/>
            </w:tcBorders>
          </w:tcPr>
          <w:p>
            <w:pPr>
              <w:pStyle w:val="TableParagraph"/>
              <w:rPr>
                <w:rFonts w:ascii="Times New Roman"/>
                <w:sz w:val="22"/>
              </w:rPr>
            </w:pPr>
          </w:p>
        </w:tc>
        <w:tc>
          <w:tcPr>
            <w:tcW w:w="1372" w:type="dxa"/>
            <w:tcBorders>
              <w:bottom w:val="single" w:sz="4" w:space="0" w:color="000000"/>
            </w:tcBorders>
          </w:tcPr>
          <w:p>
            <w:pPr>
              <w:pStyle w:val="TableParagraph"/>
              <w:spacing w:before="72"/>
              <w:ind w:left="2" w:right="117"/>
              <w:jc w:val="center"/>
              <w:rPr>
                <w:sz w:val="22"/>
              </w:rPr>
            </w:pPr>
            <w:r>
              <w:rPr>
                <w:sz w:val="22"/>
              </w:rPr>
              <w:t>H:L;</w:t>
            </w:r>
            <w:r>
              <w:rPr>
                <w:spacing w:val="-5"/>
                <w:sz w:val="22"/>
              </w:rPr>
              <w:t> </w:t>
            </w:r>
            <w:r>
              <w:rPr>
                <w:spacing w:val="-2"/>
                <w:sz w:val="22"/>
              </w:rPr>
              <w:t>50:50</w:t>
            </w:r>
          </w:p>
        </w:tc>
        <w:tc>
          <w:tcPr>
            <w:tcW w:w="1546" w:type="dxa"/>
            <w:tcBorders>
              <w:bottom w:val="single" w:sz="4" w:space="0" w:color="000000"/>
            </w:tcBorders>
          </w:tcPr>
          <w:p>
            <w:pPr>
              <w:pStyle w:val="TableParagraph"/>
              <w:spacing w:before="72"/>
              <w:ind w:left="106" w:right="107"/>
              <w:jc w:val="center"/>
              <w:rPr>
                <w:sz w:val="22"/>
              </w:rPr>
            </w:pPr>
            <w:r>
              <w:rPr>
                <w:spacing w:val="-2"/>
                <w:sz w:val="22"/>
              </w:rPr>
              <w:t>24.571±0.783</w:t>
            </w:r>
          </w:p>
        </w:tc>
        <w:tc>
          <w:tcPr>
            <w:tcW w:w="1008" w:type="dxa"/>
            <w:tcBorders>
              <w:bottom w:val="single" w:sz="4" w:space="0" w:color="000000"/>
            </w:tcBorders>
          </w:tcPr>
          <w:p>
            <w:pPr>
              <w:pStyle w:val="TableParagraph"/>
              <w:spacing w:before="72"/>
              <w:ind w:right="177"/>
              <w:jc w:val="right"/>
              <w:rPr>
                <w:sz w:val="22"/>
              </w:rPr>
            </w:pPr>
            <w:r>
              <w:rPr>
                <w:spacing w:val="-2"/>
                <w:sz w:val="22"/>
              </w:rPr>
              <w:t>0.000</w:t>
            </w:r>
          </w:p>
        </w:tc>
        <w:tc>
          <w:tcPr>
            <w:tcW w:w="773" w:type="dxa"/>
            <w:tcBorders>
              <w:bottom w:val="single" w:sz="4" w:space="0" w:color="000000"/>
            </w:tcBorders>
          </w:tcPr>
          <w:p>
            <w:pPr>
              <w:pStyle w:val="TableParagraph"/>
              <w:spacing w:before="72"/>
              <w:ind w:right="71"/>
              <w:jc w:val="center"/>
              <w:rPr>
                <w:sz w:val="22"/>
              </w:rPr>
            </w:pPr>
            <w:r>
              <w:rPr>
                <w:spacing w:val="-5"/>
                <w:sz w:val="22"/>
              </w:rPr>
              <w:t>SF</w:t>
            </w:r>
          </w:p>
        </w:tc>
      </w:tr>
      <w:tr>
        <w:trPr>
          <w:trHeight w:val="378" w:hRule="atLeast"/>
        </w:trPr>
        <w:tc>
          <w:tcPr>
            <w:tcW w:w="1642" w:type="dxa"/>
            <w:tcBorders>
              <w:top w:val="single" w:sz="4" w:space="0" w:color="000000"/>
            </w:tcBorders>
          </w:tcPr>
          <w:p>
            <w:pPr>
              <w:pStyle w:val="TableParagraph"/>
              <w:rPr>
                <w:rFonts w:ascii="Times New Roman"/>
                <w:sz w:val="22"/>
              </w:rPr>
            </w:pPr>
          </w:p>
        </w:tc>
        <w:tc>
          <w:tcPr>
            <w:tcW w:w="1372" w:type="dxa"/>
            <w:tcBorders>
              <w:top w:val="single" w:sz="4" w:space="0" w:color="000000"/>
            </w:tcBorders>
          </w:tcPr>
          <w:p>
            <w:pPr>
              <w:pStyle w:val="TableParagraph"/>
              <w:spacing w:line="265" w:lineRule="exact"/>
              <w:ind w:left="2" w:right="117"/>
              <w:jc w:val="center"/>
              <w:rPr>
                <w:sz w:val="22"/>
              </w:rPr>
            </w:pPr>
            <w:r>
              <w:rPr>
                <w:sz w:val="22"/>
              </w:rPr>
              <w:t>H:L;</w:t>
            </w:r>
            <w:r>
              <w:rPr>
                <w:spacing w:val="-5"/>
                <w:sz w:val="22"/>
              </w:rPr>
              <w:t> </w:t>
            </w:r>
            <w:r>
              <w:rPr>
                <w:spacing w:val="-2"/>
                <w:sz w:val="22"/>
              </w:rPr>
              <w:t>10:50</w:t>
            </w:r>
          </w:p>
        </w:tc>
        <w:tc>
          <w:tcPr>
            <w:tcW w:w="1546" w:type="dxa"/>
            <w:tcBorders>
              <w:top w:val="single" w:sz="4" w:space="0" w:color="000000"/>
            </w:tcBorders>
          </w:tcPr>
          <w:p>
            <w:pPr>
              <w:pStyle w:val="TableParagraph"/>
              <w:spacing w:line="265" w:lineRule="exact"/>
              <w:ind w:left="106" w:right="107"/>
              <w:jc w:val="center"/>
              <w:rPr>
                <w:sz w:val="22"/>
              </w:rPr>
            </w:pPr>
            <w:r>
              <w:rPr>
                <w:spacing w:val="-2"/>
                <w:sz w:val="22"/>
              </w:rPr>
              <w:t>23.143±0.769</w:t>
            </w:r>
          </w:p>
        </w:tc>
        <w:tc>
          <w:tcPr>
            <w:tcW w:w="1008" w:type="dxa"/>
            <w:tcBorders>
              <w:top w:val="single" w:sz="4" w:space="0" w:color="000000"/>
            </w:tcBorders>
          </w:tcPr>
          <w:p>
            <w:pPr>
              <w:pStyle w:val="TableParagraph"/>
              <w:spacing w:line="265" w:lineRule="exact"/>
              <w:ind w:right="177"/>
              <w:jc w:val="right"/>
              <w:rPr>
                <w:sz w:val="22"/>
              </w:rPr>
            </w:pPr>
            <w:r>
              <w:rPr>
                <w:spacing w:val="-2"/>
                <w:sz w:val="22"/>
              </w:rPr>
              <w:t>0.000</w:t>
            </w:r>
          </w:p>
        </w:tc>
        <w:tc>
          <w:tcPr>
            <w:tcW w:w="773" w:type="dxa"/>
            <w:tcBorders>
              <w:top w:val="single" w:sz="4" w:space="0" w:color="000000"/>
            </w:tcBorders>
          </w:tcPr>
          <w:p>
            <w:pPr>
              <w:pStyle w:val="TableParagraph"/>
              <w:spacing w:line="265" w:lineRule="exact"/>
              <w:ind w:right="71"/>
              <w:jc w:val="center"/>
              <w:rPr>
                <w:sz w:val="22"/>
              </w:rPr>
            </w:pPr>
            <w:r>
              <w:rPr>
                <w:spacing w:val="-5"/>
                <w:sz w:val="22"/>
              </w:rPr>
              <w:t>SF</w:t>
            </w:r>
          </w:p>
        </w:tc>
      </w:tr>
      <w:tr>
        <w:trPr>
          <w:trHeight w:val="384" w:hRule="atLeast"/>
        </w:trPr>
        <w:tc>
          <w:tcPr>
            <w:tcW w:w="1642" w:type="dxa"/>
          </w:tcPr>
          <w:p>
            <w:pPr>
              <w:pStyle w:val="TableParagraph"/>
              <w:rPr>
                <w:rFonts w:ascii="Times New Roman"/>
                <w:sz w:val="22"/>
              </w:rPr>
            </w:pPr>
          </w:p>
        </w:tc>
        <w:tc>
          <w:tcPr>
            <w:tcW w:w="1372" w:type="dxa"/>
          </w:tcPr>
          <w:p>
            <w:pPr>
              <w:pStyle w:val="TableParagraph"/>
              <w:spacing w:before="73"/>
              <w:ind w:left="2" w:right="117"/>
              <w:jc w:val="center"/>
              <w:rPr>
                <w:sz w:val="22"/>
              </w:rPr>
            </w:pPr>
            <w:r>
              <w:rPr>
                <w:sz w:val="22"/>
              </w:rPr>
              <w:t>H:L;</w:t>
            </w:r>
            <w:r>
              <w:rPr>
                <w:spacing w:val="-5"/>
                <w:sz w:val="22"/>
              </w:rPr>
              <w:t> </w:t>
            </w:r>
            <w:r>
              <w:rPr>
                <w:spacing w:val="-2"/>
                <w:sz w:val="22"/>
              </w:rPr>
              <w:t>20:50</w:t>
            </w:r>
          </w:p>
        </w:tc>
        <w:tc>
          <w:tcPr>
            <w:tcW w:w="1546" w:type="dxa"/>
          </w:tcPr>
          <w:p>
            <w:pPr>
              <w:pStyle w:val="TableParagraph"/>
              <w:spacing w:before="73"/>
              <w:ind w:left="106" w:right="107"/>
              <w:jc w:val="center"/>
              <w:rPr>
                <w:sz w:val="22"/>
              </w:rPr>
            </w:pPr>
            <w:r>
              <w:rPr>
                <w:spacing w:val="-2"/>
                <w:sz w:val="22"/>
              </w:rPr>
              <w:t>23.286±0.522</w:t>
            </w:r>
          </w:p>
        </w:tc>
        <w:tc>
          <w:tcPr>
            <w:tcW w:w="1008" w:type="dxa"/>
          </w:tcPr>
          <w:p>
            <w:pPr>
              <w:pStyle w:val="TableParagraph"/>
              <w:spacing w:before="73"/>
              <w:ind w:right="177"/>
              <w:jc w:val="right"/>
              <w:rPr>
                <w:sz w:val="22"/>
              </w:rPr>
            </w:pPr>
            <w:r>
              <w:rPr>
                <w:spacing w:val="-2"/>
                <w:sz w:val="22"/>
              </w:rPr>
              <w:t>0.000</w:t>
            </w:r>
          </w:p>
        </w:tc>
        <w:tc>
          <w:tcPr>
            <w:tcW w:w="773" w:type="dxa"/>
          </w:tcPr>
          <w:p>
            <w:pPr>
              <w:pStyle w:val="TableParagraph"/>
              <w:spacing w:before="73"/>
              <w:ind w:right="71"/>
              <w:jc w:val="center"/>
              <w:rPr>
                <w:sz w:val="22"/>
              </w:rPr>
            </w:pPr>
            <w:r>
              <w:rPr>
                <w:spacing w:val="-5"/>
                <w:sz w:val="22"/>
              </w:rPr>
              <w:t>SF</w:t>
            </w:r>
          </w:p>
        </w:tc>
      </w:tr>
      <w:tr>
        <w:trPr>
          <w:trHeight w:val="595" w:hRule="atLeast"/>
        </w:trPr>
        <w:tc>
          <w:tcPr>
            <w:tcW w:w="1642" w:type="dxa"/>
          </w:tcPr>
          <w:p>
            <w:pPr>
              <w:pStyle w:val="TableParagraph"/>
              <w:spacing w:before="1"/>
              <w:ind w:left="108"/>
              <w:rPr>
                <w:sz w:val="22"/>
              </w:rPr>
            </w:pPr>
            <w:r>
              <w:rPr>
                <w:sz w:val="22"/>
              </w:rPr>
              <w:t>Honey</w:t>
            </w:r>
            <w:r>
              <w:rPr>
                <w:spacing w:val="-2"/>
                <w:sz w:val="22"/>
              </w:rPr>
              <w:t> (25%)</w:t>
            </w:r>
          </w:p>
          <w:p>
            <w:pPr>
              <w:pStyle w:val="TableParagraph"/>
              <w:spacing w:before="16"/>
              <w:ind w:left="108"/>
              <w:rPr>
                <w:sz w:val="22"/>
              </w:rPr>
            </w:pPr>
            <w:r>
              <w:rPr>
                <w:spacing w:val="-2"/>
                <w:sz w:val="22"/>
              </w:rPr>
              <w:t>(11.286±0.680)</w:t>
            </w:r>
          </w:p>
        </w:tc>
        <w:tc>
          <w:tcPr>
            <w:tcW w:w="1372" w:type="dxa"/>
          </w:tcPr>
          <w:p>
            <w:pPr>
              <w:pStyle w:val="TableParagraph"/>
              <w:spacing w:before="143"/>
              <w:ind w:left="2" w:right="117"/>
              <w:jc w:val="center"/>
              <w:rPr>
                <w:sz w:val="22"/>
              </w:rPr>
            </w:pPr>
            <w:r>
              <w:rPr>
                <w:sz w:val="22"/>
              </w:rPr>
              <w:t>H:L;</w:t>
            </w:r>
            <w:r>
              <w:rPr>
                <w:spacing w:val="-5"/>
                <w:sz w:val="22"/>
              </w:rPr>
              <w:t> </w:t>
            </w:r>
            <w:r>
              <w:rPr>
                <w:spacing w:val="-2"/>
                <w:sz w:val="22"/>
              </w:rPr>
              <w:t>30:50</w:t>
            </w:r>
          </w:p>
        </w:tc>
        <w:tc>
          <w:tcPr>
            <w:tcW w:w="1546" w:type="dxa"/>
          </w:tcPr>
          <w:p>
            <w:pPr>
              <w:pStyle w:val="TableParagraph"/>
              <w:spacing w:before="143"/>
              <w:ind w:left="106" w:right="107"/>
              <w:jc w:val="center"/>
              <w:rPr>
                <w:sz w:val="22"/>
              </w:rPr>
            </w:pPr>
            <w:r>
              <w:rPr>
                <w:spacing w:val="-2"/>
                <w:sz w:val="22"/>
              </w:rPr>
              <w:t>22.143±0.553</w:t>
            </w:r>
          </w:p>
        </w:tc>
        <w:tc>
          <w:tcPr>
            <w:tcW w:w="1008" w:type="dxa"/>
          </w:tcPr>
          <w:p>
            <w:pPr>
              <w:pStyle w:val="TableParagraph"/>
              <w:spacing w:before="143"/>
              <w:ind w:right="177"/>
              <w:jc w:val="right"/>
              <w:rPr>
                <w:sz w:val="22"/>
              </w:rPr>
            </w:pPr>
            <w:r>
              <w:rPr>
                <w:spacing w:val="-2"/>
                <w:sz w:val="22"/>
              </w:rPr>
              <w:t>0.000</w:t>
            </w:r>
          </w:p>
        </w:tc>
        <w:tc>
          <w:tcPr>
            <w:tcW w:w="773" w:type="dxa"/>
          </w:tcPr>
          <w:p>
            <w:pPr>
              <w:pStyle w:val="TableParagraph"/>
              <w:spacing w:before="143"/>
              <w:ind w:right="71"/>
              <w:jc w:val="center"/>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372" w:type="dxa"/>
          </w:tcPr>
          <w:p>
            <w:pPr>
              <w:pStyle w:val="TableParagraph"/>
              <w:spacing w:before="1"/>
              <w:ind w:left="2" w:right="117"/>
              <w:jc w:val="center"/>
              <w:rPr>
                <w:sz w:val="22"/>
              </w:rPr>
            </w:pPr>
            <w:r>
              <w:rPr>
                <w:sz w:val="22"/>
              </w:rPr>
              <w:t>H:L;</w:t>
            </w:r>
            <w:r>
              <w:rPr>
                <w:spacing w:val="-2"/>
                <w:sz w:val="22"/>
              </w:rPr>
              <w:t> 40:50</w:t>
            </w:r>
          </w:p>
        </w:tc>
        <w:tc>
          <w:tcPr>
            <w:tcW w:w="1546" w:type="dxa"/>
          </w:tcPr>
          <w:p>
            <w:pPr>
              <w:pStyle w:val="TableParagraph"/>
              <w:spacing w:before="1"/>
              <w:ind w:left="106" w:right="107"/>
              <w:jc w:val="center"/>
              <w:rPr>
                <w:sz w:val="22"/>
              </w:rPr>
            </w:pPr>
            <w:r>
              <w:rPr>
                <w:spacing w:val="-2"/>
                <w:sz w:val="22"/>
              </w:rPr>
              <w:t>23.143±0.800</w:t>
            </w:r>
          </w:p>
        </w:tc>
        <w:tc>
          <w:tcPr>
            <w:tcW w:w="1008" w:type="dxa"/>
          </w:tcPr>
          <w:p>
            <w:pPr>
              <w:pStyle w:val="TableParagraph"/>
              <w:spacing w:before="1"/>
              <w:ind w:right="177"/>
              <w:jc w:val="right"/>
              <w:rPr>
                <w:sz w:val="22"/>
              </w:rPr>
            </w:pPr>
            <w:r>
              <w:rPr>
                <w:spacing w:val="-2"/>
                <w:sz w:val="22"/>
              </w:rPr>
              <w:t>0.000</w:t>
            </w:r>
          </w:p>
        </w:tc>
        <w:tc>
          <w:tcPr>
            <w:tcW w:w="773" w:type="dxa"/>
          </w:tcPr>
          <w:p>
            <w:pPr>
              <w:pStyle w:val="TableParagraph"/>
              <w:spacing w:before="1"/>
              <w:ind w:right="71"/>
              <w:jc w:val="center"/>
              <w:rPr>
                <w:sz w:val="22"/>
              </w:rPr>
            </w:pPr>
            <w:r>
              <w:rPr>
                <w:spacing w:val="-5"/>
                <w:sz w:val="22"/>
              </w:rPr>
              <w:t>SF</w:t>
            </w:r>
          </w:p>
        </w:tc>
      </w:tr>
      <w:tr>
        <w:trPr>
          <w:trHeight w:val="521" w:hRule="atLeast"/>
        </w:trPr>
        <w:tc>
          <w:tcPr>
            <w:tcW w:w="1642" w:type="dxa"/>
            <w:tcBorders>
              <w:bottom w:val="single" w:sz="4" w:space="0" w:color="000000"/>
            </w:tcBorders>
          </w:tcPr>
          <w:p>
            <w:pPr>
              <w:pStyle w:val="TableParagraph"/>
              <w:rPr>
                <w:rFonts w:ascii="Times New Roman"/>
                <w:sz w:val="22"/>
              </w:rPr>
            </w:pPr>
          </w:p>
        </w:tc>
        <w:tc>
          <w:tcPr>
            <w:tcW w:w="1372" w:type="dxa"/>
            <w:tcBorders>
              <w:bottom w:val="single" w:sz="4" w:space="0" w:color="000000"/>
            </w:tcBorders>
          </w:tcPr>
          <w:p>
            <w:pPr>
              <w:pStyle w:val="TableParagraph"/>
              <w:spacing w:before="72"/>
              <w:ind w:left="2" w:right="117"/>
              <w:jc w:val="center"/>
              <w:rPr>
                <w:sz w:val="22"/>
              </w:rPr>
            </w:pPr>
            <w:r>
              <w:rPr>
                <w:sz w:val="22"/>
              </w:rPr>
              <w:t>H:L;</w:t>
            </w:r>
            <w:r>
              <w:rPr>
                <w:spacing w:val="-5"/>
                <w:sz w:val="22"/>
              </w:rPr>
              <w:t> </w:t>
            </w:r>
            <w:r>
              <w:rPr>
                <w:spacing w:val="-2"/>
                <w:sz w:val="22"/>
              </w:rPr>
              <w:t>50:50</w:t>
            </w:r>
          </w:p>
        </w:tc>
        <w:tc>
          <w:tcPr>
            <w:tcW w:w="1546" w:type="dxa"/>
            <w:tcBorders>
              <w:bottom w:val="single" w:sz="4" w:space="0" w:color="000000"/>
            </w:tcBorders>
          </w:tcPr>
          <w:p>
            <w:pPr>
              <w:pStyle w:val="TableParagraph"/>
              <w:spacing w:before="72"/>
              <w:ind w:left="106" w:right="107"/>
              <w:jc w:val="center"/>
              <w:rPr>
                <w:sz w:val="22"/>
              </w:rPr>
            </w:pPr>
            <w:r>
              <w:rPr>
                <w:spacing w:val="-2"/>
                <w:sz w:val="22"/>
              </w:rPr>
              <w:t>24.571±0.783</w:t>
            </w:r>
          </w:p>
        </w:tc>
        <w:tc>
          <w:tcPr>
            <w:tcW w:w="1008" w:type="dxa"/>
            <w:tcBorders>
              <w:bottom w:val="single" w:sz="4" w:space="0" w:color="000000"/>
            </w:tcBorders>
          </w:tcPr>
          <w:p>
            <w:pPr>
              <w:pStyle w:val="TableParagraph"/>
              <w:spacing w:before="72"/>
              <w:ind w:right="177"/>
              <w:jc w:val="right"/>
              <w:rPr>
                <w:sz w:val="22"/>
              </w:rPr>
            </w:pPr>
            <w:r>
              <w:rPr>
                <w:spacing w:val="-2"/>
                <w:sz w:val="22"/>
              </w:rPr>
              <w:t>0.000</w:t>
            </w:r>
          </w:p>
        </w:tc>
        <w:tc>
          <w:tcPr>
            <w:tcW w:w="773" w:type="dxa"/>
            <w:tcBorders>
              <w:bottom w:val="single" w:sz="4" w:space="0" w:color="000000"/>
            </w:tcBorders>
          </w:tcPr>
          <w:p>
            <w:pPr>
              <w:pStyle w:val="TableParagraph"/>
              <w:spacing w:before="72"/>
              <w:ind w:right="71"/>
              <w:jc w:val="center"/>
              <w:rPr>
                <w:sz w:val="22"/>
              </w:rPr>
            </w:pPr>
            <w:r>
              <w:rPr>
                <w:spacing w:val="-5"/>
                <w:sz w:val="22"/>
              </w:rPr>
              <w:t>SF</w:t>
            </w:r>
          </w:p>
        </w:tc>
      </w:tr>
    </w:tbl>
    <w:p>
      <w:pPr>
        <w:pStyle w:val="BodyText"/>
        <w:spacing w:line="256" w:lineRule="auto" w:before="12"/>
        <w:ind w:left="380" w:right="975"/>
      </w:pPr>
      <w:r>
        <w:rPr>
          <w:b/>
        </w:rPr>
        <w:t>Key:</w:t>
      </w:r>
      <w:r>
        <w:rPr>
          <w:b/>
          <w:spacing w:val="34"/>
        </w:rPr>
        <w:t> </w:t>
      </w:r>
      <w:r>
        <w:rPr/>
        <w:t>LOS=Level</w:t>
      </w:r>
      <w:r>
        <w:rPr>
          <w:spacing w:val="32"/>
        </w:rPr>
        <w:t> </w:t>
      </w:r>
      <w:r>
        <w:rPr/>
        <w:t>of</w:t>
      </w:r>
      <w:r>
        <w:rPr>
          <w:spacing w:val="32"/>
        </w:rPr>
        <w:t> </w:t>
      </w:r>
      <w:r>
        <w:rPr/>
        <w:t>significance;</w:t>
      </w:r>
      <w:r>
        <w:rPr>
          <w:spacing w:val="38"/>
        </w:rPr>
        <w:t> </w:t>
      </w:r>
      <w:r>
        <w:rPr/>
        <w:t>NS=Not</w:t>
      </w:r>
      <w:r>
        <w:rPr>
          <w:spacing w:val="33"/>
        </w:rPr>
        <w:t> </w:t>
      </w:r>
      <w:r>
        <w:rPr/>
        <w:t>significantly</w:t>
      </w:r>
      <w:r>
        <w:rPr>
          <w:spacing w:val="33"/>
        </w:rPr>
        <w:t> </w:t>
      </w:r>
      <w:r>
        <w:rPr/>
        <w:t>different;</w:t>
      </w:r>
      <w:r>
        <w:rPr>
          <w:spacing w:val="35"/>
        </w:rPr>
        <w:t> </w:t>
      </w:r>
      <w:r>
        <w:rPr/>
        <w:t>SF=Significantly</w:t>
      </w:r>
      <w:r>
        <w:rPr>
          <w:spacing w:val="33"/>
        </w:rPr>
        <w:t> </w:t>
      </w:r>
      <w:r>
        <w:rPr/>
        <w:t>different;</w:t>
      </w:r>
      <w:r>
        <w:rPr>
          <w:spacing w:val="35"/>
        </w:rPr>
        <w:t> </w:t>
      </w:r>
      <w:r>
        <w:rPr/>
        <w:t>H=Honey and L=Lemon juice.</w:t>
      </w:r>
    </w:p>
    <w:p>
      <w:pPr>
        <w:spacing w:after="0" w:line="256"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3"/>
      </w:pPr>
    </w:p>
    <w:p>
      <w:pPr>
        <w:pStyle w:val="Heading3"/>
        <w:spacing w:line="403" w:lineRule="auto" w:before="1"/>
        <w:ind w:right="3107"/>
      </w:pPr>
      <w:r>
        <w:rPr/>
        <w:t>Comparing</w:t>
      </w:r>
      <w:r>
        <w:rPr>
          <w:spacing w:val="-5"/>
        </w:rPr>
        <w:t> </w:t>
      </w:r>
      <w:r>
        <w:rPr/>
        <w:t>the</w:t>
      </w:r>
      <w:r>
        <w:rPr>
          <w:spacing w:val="-4"/>
        </w:rPr>
        <w:t> </w:t>
      </w:r>
      <w:r>
        <w:rPr/>
        <w:t>mean</w:t>
      </w:r>
      <w:r>
        <w:rPr>
          <w:spacing w:val="-4"/>
        </w:rPr>
        <w:t> </w:t>
      </w:r>
      <w:r>
        <w:rPr/>
        <w:t>zones</w:t>
      </w:r>
      <w:r>
        <w:rPr>
          <w:spacing w:val="-3"/>
        </w:rPr>
        <w:t> </w:t>
      </w:r>
      <w:r>
        <w:rPr/>
        <w:t>of</w:t>
      </w:r>
      <w:r>
        <w:rPr>
          <w:spacing w:val="-3"/>
        </w:rPr>
        <w:t> </w:t>
      </w:r>
      <w:r>
        <w:rPr/>
        <w:t>inhibition</w:t>
      </w:r>
      <w:r>
        <w:rPr>
          <w:spacing w:val="-4"/>
        </w:rPr>
        <w:t> </w:t>
      </w:r>
      <w:r>
        <w:rPr/>
        <w:t>of</w:t>
      </w:r>
      <w:r>
        <w:rPr>
          <w:spacing w:val="-3"/>
        </w:rPr>
        <w:t> </w:t>
      </w:r>
      <w:r>
        <w:rPr/>
        <w:t>Honey</w:t>
      </w:r>
      <w:r>
        <w:rPr>
          <w:spacing w:val="-3"/>
        </w:rPr>
        <w:t> </w:t>
      </w:r>
      <w:r>
        <w:rPr/>
        <w:t>and</w:t>
      </w:r>
      <w:r>
        <w:rPr>
          <w:spacing w:val="-1"/>
        </w:rPr>
        <w:t> </w:t>
      </w:r>
      <w:r>
        <w:rPr/>
        <w:t>the</w:t>
      </w:r>
      <w:r>
        <w:rPr>
          <w:spacing w:val="-4"/>
        </w:rPr>
        <w:t> </w:t>
      </w:r>
      <w:r>
        <w:rPr/>
        <w:t>mixture of Honey and Lemon juice against </w:t>
      </w:r>
      <w:r>
        <w:rPr>
          <w:i/>
        </w:rPr>
        <w:t>Streptococcus pyogenes</w:t>
      </w:r>
      <w:r>
        <w:rPr/>
        <w:t>.</w:t>
      </w:r>
    </w:p>
    <w:p>
      <w:pPr>
        <w:pStyle w:val="BodyText"/>
        <w:spacing w:before="181"/>
        <w:rPr>
          <w:b/>
          <w:sz w:val="20"/>
        </w:rPr>
      </w:pPr>
      <w:r>
        <w:rPr/>
        <mc:AlternateContent>
          <mc:Choice Requires="wps">
            <w:drawing>
              <wp:anchor distT="0" distB="0" distL="0" distR="0" allowOverlap="1" layoutInCell="1" locked="0" behindDoc="1" simplePos="0" relativeHeight="487682048">
                <wp:simplePos x="0" y="0"/>
                <wp:positionH relativeFrom="page">
                  <wp:posOffset>1461770</wp:posOffset>
                </wp:positionH>
                <wp:positionV relativeFrom="paragraph">
                  <wp:posOffset>285403</wp:posOffset>
                </wp:positionV>
                <wp:extent cx="4027804" cy="6350"/>
                <wp:effectExtent l="0" t="0" r="0" b="0"/>
                <wp:wrapTopAndBottom/>
                <wp:docPr id="506" name="Graphic 506"/>
                <wp:cNvGraphicFramePr>
                  <a:graphicFrameLocks/>
                </wp:cNvGraphicFramePr>
                <a:graphic>
                  <a:graphicData uri="http://schemas.microsoft.com/office/word/2010/wordprocessingShape">
                    <wps:wsp>
                      <wps:cNvPr id="506" name="Graphic 506"/>
                      <wps:cNvSpPr/>
                      <wps:spPr>
                        <a:xfrm>
                          <a:off x="0" y="0"/>
                          <a:ext cx="4027804" cy="6350"/>
                        </a:xfrm>
                        <a:custGeom>
                          <a:avLst/>
                          <a:gdLst/>
                          <a:ahLst/>
                          <a:cxnLst/>
                          <a:rect l="l" t="t" r="r" b="b"/>
                          <a:pathLst>
                            <a:path w="4027804" h="6350">
                              <a:moveTo>
                                <a:pt x="1085392" y="0"/>
                              </a:moveTo>
                              <a:lnTo>
                                <a:pt x="0" y="0"/>
                              </a:lnTo>
                              <a:lnTo>
                                <a:pt x="0" y="6083"/>
                              </a:lnTo>
                              <a:lnTo>
                                <a:pt x="1085392" y="6083"/>
                              </a:lnTo>
                              <a:lnTo>
                                <a:pt x="1085392" y="0"/>
                              </a:lnTo>
                              <a:close/>
                            </a:path>
                            <a:path w="4027804" h="6350">
                              <a:moveTo>
                                <a:pt x="1091552" y="0"/>
                              </a:moveTo>
                              <a:lnTo>
                                <a:pt x="1085469" y="0"/>
                              </a:lnTo>
                              <a:lnTo>
                                <a:pt x="1085469" y="6083"/>
                              </a:lnTo>
                              <a:lnTo>
                                <a:pt x="1091552" y="6083"/>
                              </a:lnTo>
                              <a:lnTo>
                                <a:pt x="1091552" y="0"/>
                              </a:lnTo>
                              <a:close/>
                            </a:path>
                            <a:path w="4027804" h="6350">
                              <a:moveTo>
                                <a:pt x="1952612" y="0"/>
                              </a:moveTo>
                              <a:lnTo>
                                <a:pt x="1946529" y="0"/>
                              </a:lnTo>
                              <a:lnTo>
                                <a:pt x="1091565" y="0"/>
                              </a:lnTo>
                              <a:lnTo>
                                <a:pt x="1091565" y="6083"/>
                              </a:lnTo>
                              <a:lnTo>
                                <a:pt x="1946529" y="6083"/>
                              </a:lnTo>
                              <a:lnTo>
                                <a:pt x="1952612" y="6083"/>
                              </a:lnTo>
                              <a:lnTo>
                                <a:pt x="1952612" y="0"/>
                              </a:lnTo>
                              <a:close/>
                            </a:path>
                            <a:path w="4027804" h="6350">
                              <a:moveTo>
                                <a:pt x="3489375" y="0"/>
                              </a:moveTo>
                              <a:lnTo>
                                <a:pt x="2935859" y="0"/>
                              </a:lnTo>
                              <a:lnTo>
                                <a:pt x="2929813" y="0"/>
                              </a:lnTo>
                              <a:lnTo>
                                <a:pt x="1952625" y="0"/>
                              </a:lnTo>
                              <a:lnTo>
                                <a:pt x="1952625" y="6083"/>
                              </a:lnTo>
                              <a:lnTo>
                                <a:pt x="2929763" y="6083"/>
                              </a:lnTo>
                              <a:lnTo>
                                <a:pt x="2935859" y="6083"/>
                              </a:lnTo>
                              <a:lnTo>
                                <a:pt x="3489375" y="6083"/>
                              </a:lnTo>
                              <a:lnTo>
                                <a:pt x="3489375" y="0"/>
                              </a:lnTo>
                              <a:close/>
                            </a:path>
                            <a:path w="4027804" h="6350">
                              <a:moveTo>
                                <a:pt x="3495535" y="0"/>
                              </a:moveTo>
                              <a:lnTo>
                                <a:pt x="3489452" y="0"/>
                              </a:lnTo>
                              <a:lnTo>
                                <a:pt x="3489452" y="6083"/>
                              </a:lnTo>
                              <a:lnTo>
                                <a:pt x="3495535" y="6083"/>
                              </a:lnTo>
                              <a:lnTo>
                                <a:pt x="3495535" y="0"/>
                              </a:lnTo>
                              <a:close/>
                            </a:path>
                            <a:path w="4027804" h="6350">
                              <a:moveTo>
                                <a:pt x="4027411" y="0"/>
                              </a:moveTo>
                              <a:lnTo>
                                <a:pt x="3495548" y="0"/>
                              </a:lnTo>
                              <a:lnTo>
                                <a:pt x="3495548" y="6083"/>
                              </a:lnTo>
                              <a:lnTo>
                                <a:pt x="4027411" y="6083"/>
                              </a:lnTo>
                              <a:lnTo>
                                <a:pt x="40274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5.100006pt;margin-top:22.472704pt;width:317.150pt;height:.5pt;mso-position-horizontal-relative:page;mso-position-vertical-relative:paragraph;z-index:-15634432;mso-wrap-distance-left:0;mso-wrap-distance-right:0" id="docshape451" coordorigin="2302,449" coordsize="6343,10" path="m4011,449l2302,449,2302,459,4011,459,4011,449xm4021,449l4011,449,4011,459,4021,459,4021,449xm5377,449l5367,449,4021,449,4021,459,5367,459,5377,459,5377,449xm7797,449l6925,449,6916,449,6916,449,5377,449,5377,459,6916,459,6916,459,6925,459,7797,459,7797,449xm7807,449l7797,449,7797,459,7807,459,7807,449xm8644,449l7807,449,7807,459,8644,459,8644,449xe" filled="true" fillcolor="#000000" stroked="false">
                <v:path arrowok="t"/>
                <v:fill type="solid"/>
                <w10:wrap type="topAndBottom"/>
              </v:shape>
            </w:pict>
          </mc:Fallback>
        </mc:AlternateContent>
      </w:r>
    </w:p>
    <w:p>
      <w:pPr>
        <w:pStyle w:val="BodyText"/>
        <w:spacing w:before="243"/>
        <w:rPr>
          <w:b/>
          <w:sz w:val="20"/>
        </w:r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gridCol w:w="1372"/>
        <w:gridCol w:w="1545"/>
        <w:gridCol w:w="1008"/>
        <w:gridCol w:w="773"/>
      </w:tblGrid>
      <w:tr>
        <w:trPr>
          <w:trHeight w:val="857" w:hRule="atLeast"/>
        </w:trPr>
        <w:tc>
          <w:tcPr>
            <w:tcW w:w="1642" w:type="dxa"/>
            <w:tcBorders>
              <w:bottom w:val="single" w:sz="4" w:space="0" w:color="000000"/>
            </w:tcBorders>
          </w:tcPr>
          <w:p>
            <w:pPr>
              <w:pStyle w:val="TableParagraph"/>
              <w:spacing w:line="229" w:lineRule="exact"/>
              <w:ind w:left="108"/>
              <w:rPr>
                <w:sz w:val="22"/>
              </w:rPr>
            </w:pPr>
            <w:r>
              <w:rPr>
                <w:sz w:val="22"/>
              </w:rPr>
              <w:t>(I)</w:t>
            </w:r>
            <w:r>
              <w:rPr>
                <w:spacing w:val="-2"/>
                <w:sz w:val="22"/>
              </w:rPr>
              <w:t> Group_6</w:t>
            </w:r>
          </w:p>
        </w:tc>
        <w:tc>
          <w:tcPr>
            <w:tcW w:w="1372" w:type="dxa"/>
            <w:tcBorders>
              <w:bottom w:val="single" w:sz="4" w:space="0" w:color="000000"/>
            </w:tcBorders>
          </w:tcPr>
          <w:p>
            <w:pPr>
              <w:pStyle w:val="TableParagraph"/>
              <w:spacing w:line="229" w:lineRule="exact"/>
              <w:ind w:left="175"/>
              <w:rPr>
                <w:sz w:val="22"/>
              </w:rPr>
            </w:pPr>
            <w:r>
              <w:rPr>
                <w:sz w:val="22"/>
              </w:rPr>
              <w:t>(J)</w:t>
            </w:r>
            <w:r>
              <w:rPr>
                <w:spacing w:val="-2"/>
                <w:sz w:val="22"/>
              </w:rPr>
              <w:t> Group_6</w:t>
            </w:r>
          </w:p>
        </w:tc>
        <w:tc>
          <w:tcPr>
            <w:tcW w:w="1545" w:type="dxa"/>
            <w:tcBorders>
              <w:bottom w:val="single" w:sz="4" w:space="0" w:color="000000"/>
            </w:tcBorders>
          </w:tcPr>
          <w:p>
            <w:pPr>
              <w:pStyle w:val="TableParagraph"/>
              <w:spacing w:line="229" w:lineRule="exact"/>
              <w:ind w:left="107"/>
              <w:jc w:val="center"/>
              <w:rPr>
                <w:sz w:val="22"/>
              </w:rPr>
            </w:pPr>
            <w:r>
              <w:rPr>
                <w:spacing w:val="-2"/>
                <w:sz w:val="22"/>
              </w:rPr>
              <w:t>Mean±SEM</w:t>
            </w:r>
          </w:p>
        </w:tc>
        <w:tc>
          <w:tcPr>
            <w:tcW w:w="1008" w:type="dxa"/>
            <w:tcBorders>
              <w:bottom w:val="single" w:sz="4" w:space="0" w:color="000000"/>
            </w:tcBorders>
          </w:tcPr>
          <w:p>
            <w:pPr>
              <w:pStyle w:val="TableParagraph"/>
              <w:spacing w:line="229" w:lineRule="exact"/>
              <w:ind w:right="179"/>
              <w:jc w:val="right"/>
              <w:rPr>
                <w:sz w:val="22"/>
              </w:rPr>
            </w:pPr>
            <w:r>
              <w:rPr>
                <w:sz w:val="22"/>
              </w:rPr>
              <w:t>P-</w:t>
            </w:r>
            <w:r>
              <w:rPr>
                <w:spacing w:val="-2"/>
                <w:sz w:val="22"/>
              </w:rPr>
              <w:t>value</w:t>
            </w:r>
          </w:p>
        </w:tc>
        <w:tc>
          <w:tcPr>
            <w:tcW w:w="773" w:type="dxa"/>
            <w:tcBorders>
              <w:bottom w:val="single" w:sz="4" w:space="0" w:color="000000"/>
            </w:tcBorders>
          </w:tcPr>
          <w:p>
            <w:pPr>
              <w:pStyle w:val="TableParagraph"/>
              <w:spacing w:line="225" w:lineRule="exact"/>
              <w:ind w:left="7" w:right="71"/>
              <w:jc w:val="center"/>
              <w:rPr>
                <w:sz w:val="22"/>
              </w:rPr>
            </w:pPr>
            <w:r>
              <w:rPr>
                <w:spacing w:val="-5"/>
                <w:sz w:val="22"/>
              </w:rPr>
              <w:t>LOS</w:t>
            </w:r>
          </w:p>
        </w:tc>
      </w:tr>
      <w:tr>
        <w:trPr>
          <w:trHeight w:val="377" w:hRule="atLeast"/>
        </w:trPr>
        <w:tc>
          <w:tcPr>
            <w:tcW w:w="1642" w:type="dxa"/>
            <w:tcBorders>
              <w:top w:val="single" w:sz="4" w:space="0" w:color="000000"/>
            </w:tcBorders>
          </w:tcPr>
          <w:p>
            <w:pPr>
              <w:pStyle w:val="TableParagraph"/>
              <w:rPr>
                <w:rFonts w:ascii="Times New Roman"/>
                <w:sz w:val="22"/>
              </w:rPr>
            </w:pPr>
          </w:p>
        </w:tc>
        <w:tc>
          <w:tcPr>
            <w:tcW w:w="1372" w:type="dxa"/>
            <w:tcBorders>
              <w:top w:val="single" w:sz="4" w:space="0" w:color="000000"/>
            </w:tcBorders>
          </w:tcPr>
          <w:p>
            <w:pPr>
              <w:pStyle w:val="TableParagraph"/>
              <w:spacing w:line="265" w:lineRule="exact"/>
              <w:ind w:left="2" w:right="117"/>
              <w:jc w:val="center"/>
              <w:rPr>
                <w:sz w:val="22"/>
              </w:rPr>
            </w:pPr>
            <w:r>
              <w:rPr>
                <w:sz w:val="22"/>
              </w:rPr>
              <w:t>H:L;</w:t>
            </w:r>
            <w:r>
              <w:rPr>
                <w:spacing w:val="-5"/>
                <w:sz w:val="22"/>
              </w:rPr>
              <w:t> </w:t>
            </w:r>
            <w:r>
              <w:rPr>
                <w:spacing w:val="-2"/>
                <w:sz w:val="22"/>
              </w:rPr>
              <w:t>10:50</w:t>
            </w:r>
          </w:p>
        </w:tc>
        <w:tc>
          <w:tcPr>
            <w:tcW w:w="1545" w:type="dxa"/>
            <w:tcBorders>
              <w:top w:val="single" w:sz="4" w:space="0" w:color="000000"/>
            </w:tcBorders>
          </w:tcPr>
          <w:p>
            <w:pPr>
              <w:pStyle w:val="TableParagraph"/>
              <w:spacing w:line="265" w:lineRule="exact"/>
              <w:ind w:left="107" w:right="107"/>
              <w:jc w:val="center"/>
              <w:rPr>
                <w:sz w:val="22"/>
              </w:rPr>
            </w:pPr>
            <w:r>
              <w:rPr>
                <w:spacing w:val="-2"/>
                <w:sz w:val="22"/>
              </w:rPr>
              <w:t>23.333±0.955</w:t>
            </w:r>
          </w:p>
        </w:tc>
        <w:tc>
          <w:tcPr>
            <w:tcW w:w="1008" w:type="dxa"/>
            <w:tcBorders>
              <w:top w:val="single" w:sz="4" w:space="0" w:color="000000"/>
            </w:tcBorders>
          </w:tcPr>
          <w:p>
            <w:pPr>
              <w:pStyle w:val="TableParagraph"/>
              <w:spacing w:line="265" w:lineRule="exact"/>
              <w:ind w:right="176"/>
              <w:jc w:val="right"/>
              <w:rPr>
                <w:sz w:val="22"/>
              </w:rPr>
            </w:pPr>
            <w:r>
              <w:rPr>
                <w:spacing w:val="-2"/>
                <w:sz w:val="22"/>
              </w:rPr>
              <w:t>0.008</w:t>
            </w:r>
          </w:p>
        </w:tc>
        <w:tc>
          <w:tcPr>
            <w:tcW w:w="773" w:type="dxa"/>
            <w:tcBorders>
              <w:top w:val="single" w:sz="4" w:space="0" w:color="000000"/>
            </w:tcBorders>
          </w:tcPr>
          <w:p>
            <w:pPr>
              <w:pStyle w:val="TableParagraph"/>
              <w:spacing w:line="265" w:lineRule="exact"/>
              <w:ind w:left="2" w:right="71"/>
              <w:jc w:val="center"/>
              <w:rPr>
                <w:sz w:val="22"/>
              </w:rPr>
            </w:pPr>
            <w:r>
              <w:rPr>
                <w:spacing w:val="-5"/>
                <w:sz w:val="22"/>
              </w:rPr>
              <w:t>SF</w:t>
            </w:r>
          </w:p>
        </w:tc>
      </w:tr>
      <w:tr>
        <w:trPr>
          <w:trHeight w:val="383" w:hRule="atLeast"/>
        </w:trPr>
        <w:tc>
          <w:tcPr>
            <w:tcW w:w="1642" w:type="dxa"/>
          </w:tcPr>
          <w:p>
            <w:pPr>
              <w:pStyle w:val="TableParagraph"/>
              <w:rPr>
                <w:rFonts w:ascii="Times New Roman"/>
                <w:sz w:val="22"/>
              </w:rPr>
            </w:pPr>
          </w:p>
        </w:tc>
        <w:tc>
          <w:tcPr>
            <w:tcW w:w="1372" w:type="dxa"/>
          </w:tcPr>
          <w:p>
            <w:pPr>
              <w:pStyle w:val="TableParagraph"/>
              <w:spacing w:before="72"/>
              <w:ind w:left="2" w:right="117"/>
              <w:jc w:val="center"/>
              <w:rPr>
                <w:sz w:val="22"/>
              </w:rPr>
            </w:pPr>
            <w:r>
              <w:rPr>
                <w:sz w:val="22"/>
              </w:rPr>
              <w:t>H:L;</w:t>
            </w:r>
            <w:r>
              <w:rPr>
                <w:spacing w:val="-5"/>
                <w:sz w:val="22"/>
              </w:rPr>
              <w:t> </w:t>
            </w:r>
            <w:r>
              <w:rPr>
                <w:spacing w:val="-2"/>
                <w:sz w:val="22"/>
              </w:rPr>
              <w:t>20:50</w:t>
            </w:r>
          </w:p>
        </w:tc>
        <w:tc>
          <w:tcPr>
            <w:tcW w:w="1545" w:type="dxa"/>
          </w:tcPr>
          <w:p>
            <w:pPr>
              <w:pStyle w:val="TableParagraph"/>
              <w:spacing w:before="72"/>
              <w:ind w:left="107" w:right="107"/>
              <w:jc w:val="center"/>
              <w:rPr>
                <w:sz w:val="22"/>
              </w:rPr>
            </w:pPr>
            <w:r>
              <w:rPr>
                <w:spacing w:val="-2"/>
                <w:sz w:val="22"/>
              </w:rPr>
              <w:t>23.833±0.872</w:t>
            </w:r>
          </w:p>
        </w:tc>
        <w:tc>
          <w:tcPr>
            <w:tcW w:w="1008" w:type="dxa"/>
          </w:tcPr>
          <w:p>
            <w:pPr>
              <w:pStyle w:val="TableParagraph"/>
              <w:spacing w:before="72"/>
              <w:ind w:right="176"/>
              <w:jc w:val="right"/>
              <w:rPr>
                <w:sz w:val="22"/>
              </w:rPr>
            </w:pPr>
            <w:r>
              <w:rPr>
                <w:spacing w:val="-2"/>
                <w:sz w:val="22"/>
              </w:rPr>
              <w:t>0.002</w:t>
            </w:r>
          </w:p>
        </w:tc>
        <w:tc>
          <w:tcPr>
            <w:tcW w:w="773" w:type="dxa"/>
          </w:tcPr>
          <w:p>
            <w:pPr>
              <w:pStyle w:val="TableParagraph"/>
              <w:spacing w:before="72"/>
              <w:ind w:left="2" w:right="71"/>
              <w:jc w:val="center"/>
              <w:rPr>
                <w:sz w:val="22"/>
              </w:rPr>
            </w:pPr>
            <w:r>
              <w:rPr>
                <w:spacing w:val="-5"/>
                <w:sz w:val="22"/>
              </w:rPr>
              <w:t>SF</w:t>
            </w:r>
          </w:p>
        </w:tc>
      </w:tr>
      <w:tr>
        <w:trPr>
          <w:trHeight w:val="596" w:hRule="atLeast"/>
        </w:trPr>
        <w:tc>
          <w:tcPr>
            <w:tcW w:w="1642" w:type="dxa"/>
          </w:tcPr>
          <w:p>
            <w:pPr>
              <w:pStyle w:val="TableParagraph"/>
              <w:spacing w:before="3"/>
              <w:ind w:left="108"/>
              <w:rPr>
                <w:sz w:val="22"/>
              </w:rPr>
            </w:pPr>
            <w:r>
              <w:rPr>
                <w:sz w:val="22"/>
              </w:rPr>
              <w:t>Honey</w:t>
            </w:r>
            <w:r>
              <w:rPr>
                <w:spacing w:val="-4"/>
                <w:sz w:val="22"/>
              </w:rPr>
              <w:t> </w:t>
            </w:r>
            <w:r>
              <w:rPr>
                <w:spacing w:val="-2"/>
                <w:sz w:val="22"/>
              </w:rPr>
              <w:t>(100%)</w:t>
            </w:r>
          </w:p>
          <w:p>
            <w:pPr>
              <w:pStyle w:val="TableParagraph"/>
              <w:spacing w:before="14"/>
              <w:ind w:left="108"/>
              <w:rPr>
                <w:sz w:val="22"/>
              </w:rPr>
            </w:pPr>
            <w:r>
              <w:rPr>
                <w:spacing w:val="-2"/>
                <w:sz w:val="22"/>
              </w:rPr>
              <w:t>(19.167±0.543)</w:t>
            </w:r>
          </w:p>
        </w:tc>
        <w:tc>
          <w:tcPr>
            <w:tcW w:w="1372" w:type="dxa"/>
          </w:tcPr>
          <w:p>
            <w:pPr>
              <w:pStyle w:val="TableParagraph"/>
              <w:spacing w:before="144"/>
              <w:ind w:left="2" w:right="117"/>
              <w:jc w:val="center"/>
              <w:rPr>
                <w:sz w:val="22"/>
              </w:rPr>
            </w:pPr>
            <w:r>
              <w:rPr>
                <w:sz w:val="22"/>
              </w:rPr>
              <w:t>H:L;</w:t>
            </w:r>
            <w:r>
              <w:rPr>
                <w:spacing w:val="-5"/>
                <w:sz w:val="22"/>
              </w:rPr>
              <w:t> </w:t>
            </w:r>
            <w:r>
              <w:rPr>
                <w:spacing w:val="-2"/>
                <w:sz w:val="22"/>
              </w:rPr>
              <w:t>30:50</w:t>
            </w:r>
          </w:p>
        </w:tc>
        <w:tc>
          <w:tcPr>
            <w:tcW w:w="1545" w:type="dxa"/>
          </w:tcPr>
          <w:p>
            <w:pPr>
              <w:pStyle w:val="TableParagraph"/>
              <w:spacing w:before="144"/>
              <w:ind w:left="107" w:right="107"/>
              <w:jc w:val="center"/>
              <w:rPr>
                <w:sz w:val="22"/>
              </w:rPr>
            </w:pPr>
            <w:r>
              <w:rPr>
                <w:spacing w:val="-2"/>
                <w:sz w:val="22"/>
              </w:rPr>
              <w:t>21.333±0.715</w:t>
            </w:r>
          </w:p>
        </w:tc>
        <w:tc>
          <w:tcPr>
            <w:tcW w:w="1008" w:type="dxa"/>
          </w:tcPr>
          <w:p>
            <w:pPr>
              <w:pStyle w:val="TableParagraph"/>
              <w:spacing w:before="144"/>
              <w:ind w:right="176"/>
              <w:jc w:val="right"/>
              <w:rPr>
                <w:sz w:val="22"/>
              </w:rPr>
            </w:pPr>
            <w:r>
              <w:rPr>
                <w:spacing w:val="-2"/>
                <w:sz w:val="22"/>
              </w:rPr>
              <w:t>0.483</w:t>
            </w:r>
          </w:p>
        </w:tc>
        <w:tc>
          <w:tcPr>
            <w:tcW w:w="773" w:type="dxa"/>
          </w:tcPr>
          <w:p>
            <w:pPr>
              <w:pStyle w:val="TableParagraph"/>
              <w:spacing w:before="144"/>
              <w:ind w:left="3" w:right="71"/>
              <w:jc w:val="center"/>
              <w:rPr>
                <w:sz w:val="22"/>
              </w:rPr>
            </w:pPr>
            <w:r>
              <w:rPr>
                <w:spacing w:val="-5"/>
                <w:sz w:val="22"/>
              </w:rPr>
              <w:t>NS</w:t>
            </w:r>
          </w:p>
        </w:tc>
      </w:tr>
      <w:tr>
        <w:trPr>
          <w:trHeight w:val="382" w:hRule="atLeast"/>
        </w:trPr>
        <w:tc>
          <w:tcPr>
            <w:tcW w:w="1642" w:type="dxa"/>
          </w:tcPr>
          <w:p>
            <w:pPr>
              <w:pStyle w:val="TableParagraph"/>
              <w:rPr>
                <w:rFonts w:ascii="Times New Roman"/>
                <w:sz w:val="22"/>
              </w:rPr>
            </w:pPr>
          </w:p>
        </w:tc>
        <w:tc>
          <w:tcPr>
            <w:tcW w:w="1372" w:type="dxa"/>
          </w:tcPr>
          <w:p>
            <w:pPr>
              <w:pStyle w:val="TableParagraph"/>
              <w:spacing w:before="1"/>
              <w:ind w:left="2" w:right="117"/>
              <w:jc w:val="center"/>
              <w:rPr>
                <w:sz w:val="22"/>
              </w:rPr>
            </w:pPr>
            <w:r>
              <w:rPr>
                <w:sz w:val="22"/>
              </w:rPr>
              <w:t>H:L;</w:t>
            </w:r>
            <w:r>
              <w:rPr>
                <w:spacing w:val="-5"/>
                <w:sz w:val="22"/>
              </w:rPr>
              <w:t> </w:t>
            </w:r>
            <w:r>
              <w:rPr>
                <w:spacing w:val="-2"/>
                <w:sz w:val="22"/>
              </w:rPr>
              <w:t>40:50</w:t>
            </w:r>
          </w:p>
        </w:tc>
        <w:tc>
          <w:tcPr>
            <w:tcW w:w="1545" w:type="dxa"/>
          </w:tcPr>
          <w:p>
            <w:pPr>
              <w:pStyle w:val="TableParagraph"/>
              <w:spacing w:before="1"/>
              <w:ind w:left="107" w:right="107"/>
              <w:jc w:val="center"/>
              <w:rPr>
                <w:sz w:val="22"/>
              </w:rPr>
            </w:pPr>
            <w:r>
              <w:rPr>
                <w:spacing w:val="-2"/>
                <w:sz w:val="22"/>
              </w:rPr>
              <w:t>23.833±0.703</w:t>
            </w:r>
          </w:p>
        </w:tc>
        <w:tc>
          <w:tcPr>
            <w:tcW w:w="1008" w:type="dxa"/>
          </w:tcPr>
          <w:p>
            <w:pPr>
              <w:pStyle w:val="TableParagraph"/>
              <w:spacing w:before="1"/>
              <w:ind w:right="176"/>
              <w:jc w:val="right"/>
              <w:rPr>
                <w:sz w:val="22"/>
              </w:rPr>
            </w:pPr>
            <w:r>
              <w:rPr>
                <w:spacing w:val="-2"/>
                <w:sz w:val="22"/>
              </w:rPr>
              <w:t>0.002</w:t>
            </w:r>
          </w:p>
        </w:tc>
        <w:tc>
          <w:tcPr>
            <w:tcW w:w="773" w:type="dxa"/>
          </w:tcPr>
          <w:p>
            <w:pPr>
              <w:pStyle w:val="TableParagraph"/>
              <w:spacing w:before="1"/>
              <w:ind w:left="2" w:right="71"/>
              <w:jc w:val="center"/>
              <w:rPr>
                <w:sz w:val="22"/>
              </w:rPr>
            </w:pPr>
            <w:r>
              <w:rPr>
                <w:spacing w:val="-5"/>
                <w:sz w:val="22"/>
              </w:rPr>
              <w:t>SF</w:t>
            </w:r>
          </w:p>
        </w:tc>
      </w:tr>
      <w:tr>
        <w:trPr>
          <w:trHeight w:val="519" w:hRule="atLeast"/>
        </w:trPr>
        <w:tc>
          <w:tcPr>
            <w:tcW w:w="1642" w:type="dxa"/>
            <w:tcBorders>
              <w:bottom w:val="single" w:sz="4" w:space="0" w:color="000000"/>
            </w:tcBorders>
          </w:tcPr>
          <w:p>
            <w:pPr>
              <w:pStyle w:val="TableParagraph"/>
              <w:rPr>
                <w:rFonts w:ascii="Times New Roman"/>
                <w:sz w:val="22"/>
              </w:rPr>
            </w:pPr>
          </w:p>
        </w:tc>
        <w:tc>
          <w:tcPr>
            <w:tcW w:w="1372" w:type="dxa"/>
            <w:tcBorders>
              <w:bottom w:val="single" w:sz="4" w:space="0" w:color="000000"/>
            </w:tcBorders>
          </w:tcPr>
          <w:p>
            <w:pPr>
              <w:pStyle w:val="TableParagraph"/>
              <w:spacing w:before="72"/>
              <w:ind w:left="2" w:right="117"/>
              <w:jc w:val="center"/>
              <w:rPr>
                <w:sz w:val="22"/>
              </w:rPr>
            </w:pPr>
            <w:r>
              <w:rPr>
                <w:sz w:val="22"/>
              </w:rPr>
              <w:t>H:L;</w:t>
            </w:r>
            <w:r>
              <w:rPr>
                <w:spacing w:val="-5"/>
                <w:sz w:val="22"/>
              </w:rPr>
              <w:t> </w:t>
            </w:r>
            <w:r>
              <w:rPr>
                <w:spacing w:val="-2"/>
                <w:sz w:val="22"/>
              </w:rPr>
              <w:t>50:50</w:t>
            </w:r>
          </w:p>
        </w:tc>
        <w:tc>
          <w:tcPr>
            <w:tcW w:w="1545" w:type="dxa"/>
            <w:tcBorders>
              <w:bottom w:val="single" w:sz="4" w:space="0" w:color="000000"/>
            </w:tcBorders>
          </w:tcPr>
          <w:p>
            <w:pPr>
              <w:pStyle w:val="TableParagraph"/>
              <w:spacing w:before="72"/>
              <w:ind w:left="107" w:right="107"/>
              <w:jc w:val="center"/>
              <w:rPr>
                <w:sz w:val="22"/>
              </w:rPr>
            </w:pPr>
            <w:r>
              <w:rPr>
                <w:spacing w:val="-2"/>
                <w:sz w:val="22"/>
              </w:rPr>
              <w:t>25.833±1.014</w:t>
            </w:r>
          </w:p>
        </w:tc>
        <w:tc>
          <w:tcPr>
            <w:tcW w:w="1008" w:type="dxa"/>
            <w:tcBorders>
              <w:bottom w:val="single" w:sz="4" w:space="0" w:color="000000"/>
            </w:tcBorders>
          </w:tcPr>
          <w:p>
            <w:pPr>
              <w:pStyle w:val="TableParagraph"/>
              <w:spacing w:before="72"/>
              <w:ind w:right="176"/>
              <w:jc w:val="right"/>
              <w:rPr>
                <w:sz w:val="22"/>
              </w:rPr>
            </w:pPr>
            <w:r>
              <w:rPr>
                <w:spacing w:val="-2"/>
                <w:sz w:val="22"/>
              </w:rPr>
              <w:t>0.000</w:t>
            </w:r>
          </w:p>
        </w:tc>
        <w:tc>
          <w:tcPr>
            <w:tcW w:w="773" w:type="dxa"/>
            <w:tcBorders>
              <w:bottom w:val="single" w:sz="4" w:space="0" w:color="000000"/>
            </w:tcBorders>
          </w:tcPr>
          <w:p>
            <w:pPr>
              <w:pStyle w:val="TableParagraph"/>
              <w:spacing w:before="72"/>
              <w:ind w:left="2" w:right="71"/>
              <w:jc w:val="center"/>
              <w:rPr>
                <w:sz w:val="22"/>
              </w:rPr>
            </w:pPr>
            <w:r>
              <w:rPr>
                <w:spacing w:val="-5"/>
                <w:sz w:val="22"/>
              </w:rPr>
              <w:t>SF</w:t>
            </w:r>
          </w:p>
        </w:tc>
      </w:tr>
      <w:tr>
        <w:trPr>
          <w:trHeight w:val="380" w:hRule="atLeast"/>
        </w:trPr>
        <w:tc>
          <w:tcPr>
            <w:tcW w:w="1642" w:type="dxa"/>
            <w:vMerge w:val="restart"/>
            <w:tcBorders>
              <w:top w:val="single" w:sz="4" w:space="0" w:color="000000"/>
            </w:tcBorders>
          </w:tcPr>
          <w:p>
            <w:pPr>
              <w:pStyle w:val="TableParagraph"/>
              <w:spacing w:before="83"/>
              <w:ind w:left="108"/>
              <w:rPr>
                <w:sz w:val="22"/>
              </w:rPr>
            </w:pPr>
            <w:r>
              <w:rPr>
                <w:sz w:val="22"/>
              </w:rPr>
              <w:t>Honey</w:t>
            </w:r>
            <w:r>
              <w:rPr>
                <w:spacing w:val="-2"/>
                <w:sz w:val="22"/>
              </w:rPr>
              <w:t> (50%)</w:t>
            </w:r>
          </w:p>
          <w:p>
            <w:pPr>
              <w:pStyle w:val="TableParagraph"/>
              <w:spacing w:before="14"/>
              <w:ind w:left="108"/>
              <w:rPr>
                <w:sz w:val="22"/>
              </w:rPr>
            </w:pPr>
            <w:r>
              <w:rPr/>
              <mc:AlternateContent>
                <mc:Choice Requires="wps">
                  <w:drawing>
                    <wp:anchor distT="0" distB="0" distL="0" distR="0" allowOverlap="1" layoutInCell="1" locked="0" behindDoc="0" simplePos="0" relativeHeight="15823360">
                      <wp:simplePos x="0" y="0"/>
                      <wp:positionH relativeFrom="column">
                        <wp:posOffset>0</wp:posOffset>
                      </wp:positionH>
                      <wp:positionV relativeFrom="paragraph">
                        <wp:posOffset>347899</wp:posOffset>
                      </wp:positionV>
                      <wp:extent cx="1085850" cy="6350"/>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1085850" cy="6350"/>
                                <a:chExt cx="1085850" cy="6350"/>
                              </a:xfrm>
                            </wpg:grpSpPr>
                            <wps:wsp>
                              <wps:cNvPr id="508" name="Graphic 508"/>
                              <wps:cNvSpPr/>
                              <wps:spPr>
                                <a:xfrm>
                                  <a:off x="0" y="0"/>
                                  <a:ext cx="1085850" cy="6350"/>
                                </a:xfrm>
                                <a:custGeom>
                                  <a:avLst/>
                                  <a:gdLst/>
                                  <a:ahLst/>
                                  <a:cxnLst/>
                                  <a:rect l="l" t="t" r="r" b="b"/>
                                  <a:pathLst>
                                    <a:path w="1085850" h="6350">
                                      <a:moveTo>
                                        <a:pt x="1085392" y="0"/>
                                      </a:moveTo>
                                      <a:lnTo>
                                        <a:pt x="0" y="0"/>
                                      </a:lnTo>
                                      <a:lnTo>
                                        <a:pt x="0" y="6095"/>
                                      </a:lnTo>
                                      <a:lnTo>
                                        <a:pt x="1085392" y="6095"/>
                                      </a:lnTo>
                                      <a:lnTo>
                                        <a:pt x="10853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27.393654pt;width:85.5pt;height:.5pt;mso-position-horizontal-relative:column;mso-position-vertical-relative:paragraph;z-index:15823360" id="docshapegroup452" coordorigin="0,548" coordsize="1710,10">
                      <v:rect style="position:absolute;left:0;top:547;width:1710;height:10" id="docshape453" filled="true" fillcolor="#000000" stroked="false">
                        <v:fill type="solid"/>
                      </v:rect>
                      <w10:wrap type="none"/>
                    </v:group>
                  </w:pict>
                </mc:Fallback>
              </mc:AlternateContent>
            </w:r>
            <w:r>
              <w:rPr>
                <w:spacing w:val="-2"/>
                <w:sz w:val="22"/>
              </w:rPr>
              <w:t>(15.833±0.477)</w:t>
            </w:r>
          </w:p>
        </w:tc>
        <w:tc>
          <w:tcPr>
            <w:tcW w:w="1372" w:type="dxa"/>
            <w:tcBorders>
              <w:top w:val="single" w:sz="4" w:space="0" w:color="000000"/>
            </w:tcBorders>
          </w:tcPr>
          <w:p>
            <w:pPr>
              <w:pStyle w:val="TableParagraph"/>
              <w:spacing w:line="268" w:lineRule="exact"/>
              <w:ind w:left="2" w:right="117"/>
              <w:jc w:val="center"/>
              <w:rPr>
                <w:sz w:val="22"/>
              </w:rPr>
            </w:pPr>
            <w:r>
              <w:rPr>
                <w:sz w:val="22"/>
              </w:rPr>
              <w:t>H:L;</w:t>
            </w:r>
            <w:r>
              <w:rPr>
                <w:spacing w:val="-5"/>
                <w:sz w:val="22"/>
              </w:rPr>
              <w:t> </w:t>
            </w:r>
            <w:r>
              <w:rPr>
                <w:spacing w:val="-2"/>
                <w:sz w:val="22"/>
              </w:rPr>
              <w:t>10:50</w:t>
            </w:r>
          </w:p>
        </w:tc>
        <w:tc>
          <w:tcPr>
            <w:tcW w:w="1545" w:type="dxa"/>
            <w:tcBorders>
              <w:top w:val="single" w:sz="4" w:space="0" w:color="000000"/>
            </w:tcBorders>
          </w:tcPr>
          <w:p>
            <w:pPr>
              <w:pStyle w:val="TableParagraph"/>
              <w:spacing w:line="268" w:lineRule="exact"/>
              <w:ind w:left="107" w:right="107"/>
              <w:jc w:val="center"/>
              <w:rPr>
                <w:sz w:val="22"/>
              </w:rPr>
            </w:pPr>
            <w:r>
              <w:rPr>
                <w:spacing w:val="-2"/>
                <w:sz w:val="22"/>
              </w:rPr>
              <w:t>23.333±0.955</w:t>
            </w:r>
          </w:p>
        </w:tc>
        <w:tc>
          <w:tcPr>
            <w:tcW w:w="1008" w:type="dxa"/>
            <w:tcBorders>
              <w:top w:val="single" w:sz="4" w:space="0" w:color="000000"/>
            </w:tcBorders>
          </w:tcPr>
          <w:p>
            <w:pPr>
              <w:pStyle w:val="TableParagraph"/>
              <w:spacing w:line="268" w:lineRule="exact"/>
              <w:ind w:right="176"/>
              <w:jc w:val="right"/>
              <w:rPr>
                <w:sz w:val="22"/>
              </w:rPr>
            </w:pPr>
            <w:r>
              <w:rPr>
                <w:spacing w:val="-2"/>
                <w:sz w:val="22"/>
              </w:rPr>
              <w:t>0.000</w:t>
            </w:r>
          </w:p>
        </w:tc>
        <w:tc>
          <w:tcPr>
            <w:tcW w:w="773" w:type="dxa"/>
            <w:tcBorders>
              <w:top w:val="single" w:sz="4" w:space="0" w:color="000000"/>
            </w:tcBorders>
          </w:tcPr>
          <w:p>
            <w:pPr>
              <w:pStyle w:val="TableParagraph"/>
              <w:spacing w:line="268" w:lineRule="exact"/>
              <w:ind w:left="2" w:right="71"/>
              <w:jc w:val="center"/>
              <w:rPr>
                <w:sz w:val="22"/>
              </w:rPr>
            </w:pPr>
            <w:r>
              <w:rPr>
                <w:spacing w:val="-5"/>
                <w:sz w:val="22"/>
              </w:rPr>
              <w:t>SF</w:t>
            </w:r>
          </w:p>
        </w:tc>
      </w:tr>
      <w:tr>
        <w:trPr>
          <w:trHeight w:val="529" w:hRule="atLeast"/>
        </w:trPr>
        <w:tc>
          <w:tcPr>
            <w:tcW w:w="1642" w:type="dxa"/>
            <w:vMerge/>
            <w:tcBorders>
              <w:top w:val="nil"/>
            </w:tcBorders>
          </w:tcPr>
          <w:p>
            <w:pPr>
              <w:rPr>
                <w:sz w:val="2"/>
                <w:szCs w:val="2"/>
              </w:rPr>
            </w:pPr>
          </w:p>
        </w:tc>
        <w:tc>
          <w:tcPr>
            <w:tcW w:w="1372" w:type="dxa"/>
          </w:tcPr>
          <w:p>
            <w:pPr>
              <w:pStyle w:val="TableParagraph"/>
              <w:spacing w:before="72"/>
              <w:ind w:left="2" w:right="117"/>
              <w:jc w:val="center"/>
              <w:rPr>
                <w:sz w:val="22"/>
              </w:rPr>
            </w:pPr>
            <w:r>
              <w:rPr>
                <w:sz w:val="22"/>
              </w:rPr>
              <w:t>H:L;</w:t>
            </w:r>
            <w:r>
              <w:rPr>
                <w:spacing w:val="-5"/>
                <w:sz w:val="22"/>
              </w:rPr>
              <w:t> </w:t>
            </w:r>
            <w:r>
              <w:rPr>
                <w:spacing w:val="-2"/>
                <w:sz w:val="22"/>
              </w:rPr>
              <w:t>20:50</w:t>
            </w:r>
          </w:p>
        </w:tc>
        <w:tc>
          <w:tcPr>
            <w:tcW w:w="1545" w:type="dxa"/>
          </w:tcPr>
          <w:p>
            <w:pPr>
              <w:pStyle w:val="TableParagraph"/>
              <w:spacing w:before="72"/>
              <w:ind w:left="107" w:right="107"/>
              <w:jc w:val="center"/>
              <w:rPr>
                <w:sz w:val="22"/>
              </w:rPr>
            </w:pPr>
            <w:r>
              <w:rPr>
                <w:spacing w:val="-2"/>
                <w:sz w:val="22"/>
              </w:rPr>
              <w:t>23.833±0.872</w:t>
            </w:r>
          </w:p>
        </w:tc>
        <w:tc>
          <w:tcPr>
            <w:tcW w:w="1008" w:type="dxa"/>
          </w:tcPr>
          <w:p>
            <w:pPr>
              <w:pStyle w:val="TableParagraph"/>
              <w:spacing w:before="72"/>
              <w:ind w:right="176"/>
              <w:jc w:val="right"/>
              <w:rPr>
                <w:sz w:val="22"/>
              </w:rPr>
            </w:pPr>
            <w:r>
              <w:rPr>
                <w:spacing w:val="-2"/>
                <w:sz w:val="22"/>
              </w:rPr>
              <w:t>0.000</w:t>
            </w:r>
          </w:p>
        </w:tc>
        <w:tc>
          <w:tcPr>
            <w:tcW w:w="773" w:type="dxa"/>
          </w:tcPr>
          <w:p>
            <w:pPr>
              <w:pStyle w:val="TableParagraph"/>
              <w:spacing w:before="72"/>
              <w:ind w:left="2" w:right="71"/>
              <w:jc w:val="center"/>
              <w:rPr>
                <w:sz w:val="22"/>
              </w:rPr>
            </w:pPr>
            <w:r>
              <w:rPr>
                <w:spacing w:val="-5"/>
                <w:sz w:val="22"/>
              </w:rPr>
              <w:t>SF</w:t>
            </w:r>
          </w:p>
        </w:tc>
      </w:tr>
    </w:tbl>
    <w:p>
      <w:pPr>
        <w:spacing w:after="0"/>
        <w:jc w:val="center"/>
        <w:rPr>
          <w:sz w:val="22"/>
        </w:rPr>
        <w:sectPr>
          <w:pgSz w:w="11910" w:h="16840"/>
          <w:pgMar w:header="0" w:footer="1055" w:top="1920" w:bottom="1692" w:left="1060" w:right="460"/>
        </w:sect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9"/>
        <w:gridCol w:w="1238"/>
        <w:gridCol w:w="1695"/>
        <w:gridCol w:w="961"/>
        <w:gridCol w:w="740"/>
      </w:tblGrid>
      <w:tr>
        <w:trPr>
          <w:trHeight w:val="378" w:hRule="atLeast"/>
        </w:trPr>
        <w:tc>
          <w:tcPr>
            <w:tcW w:w="1709" w:type="dxa"/>
            <w:tcBorders>
              <w:top w:val="single" w:sz="4" w:space="0" w:color="000000"/>
            </w:tcBorders>
          </w:tcPr>
          <w:p>
            <w:pPr>
              <w:pStyle w:val="TableParagraph"/>
              <w:rPr>
                <w:rFonts w:ascii="Times New Roman"/>
                <w:sz w:val="22"/>
              </w:rPr>
            </w:pPr>
          </w:p>
        </w:tc>
        <w:tc>
          <w:tcPr>
            <w:tcW w:w="1238" w:type="dxa"/>
          </w:tcPr>
          <w:p>
            <w:pPr>
              <w:pStyle w:val="TableParagraph"/>
              <w:spacing w:line="265" w:lineRule="exact"/>
              <w:ind w:left="108"/>
              <w:rPr>
                <w:sz w:val="22"/>
              </w:rPr>
            </w:pPr>
            <w:r>
              <w:rPr>
                <w:sz w:val="22"/>
              </w:rPr>
              <w:t>H:L;</w:t>
            </w:r>
            <w:r>
              <w:rPr>
                <w:spacing w:val="-5"/>
                <w:sz w:val="22"/>
              </w:rPr>
              <w:t> </w:t>
            </w:r>
            <w:r>
              <w:rPr>
                <w:spacing w:val="-2"/>
                <w:sz w:val="22"/>
              </w:rPr>
              <w:t>30:50</w:t>
            </w:r>
          </w:p>
        </w:tc>
        <w:tc>
          <w:tcPr>
            <w:tcW w:w="1695" w:type="dxa"/>
          </w:tcPr>
          <w:p>
            <w:pPr>
              <w:pStyle w:val="TableParagraph"/>
              <w:spacing w:line="265" w:lineRule="exact"/>
              <w:ind w:right="14"/>
              <w:jc w:val="center"/>
              <w:rPr>
                <w:sz w:val="22"/>
              </w:rPr>
            </w:pPr>
            <w:r>
              <w:rPr>
                <w:spacing w:val="-2"/>
                <w:sz w:val="22"/>
              </w:rPr>
              <w:t>21.333±0.715</w:t>
            </w:r>
          </w:p>
        </w:tc>
        <w:tc>
          <w:tcPr>
            <w:tcW w:w="961" w:type="dxa"/>
          </w:tcPr>
          <w:p>
            <w:pPr>
              <w:pStyle w:val="TableParagraph"/>
              <w:spacing w:line="265" w:lineRule="exact"/>
              <w:ind w:left="28"/>
              <w:jc w:val="center"/>
              <w:rPr>
                <w:sz w:val="22"/>
              </w:rPr>
            </w:pPr>
            <w:r>
              <w:rPr>
                <w:spacing w:val="-2"/>
                <w:sz w:val="22"/>
              </w:rPr>
              <w:t>0.000</w:t>
            </w:r>
          </w:p>
        </w:tc>
        <w:tc>
          <w:tcPr>
            <w:tcW w:w="740" w:type="dxa"/>
          </w:tcPr>
          <w:p>
            <w:pPr>
              <w:pStyle w:val="TableParagraph"/>
              <w:spacing w:line="265" w:lineRule="exact"/>
              <w:ind w:left="213"/>
              <w:rPr>
                <w:sz w:val="22"/>
              </w:rPr>
            </w:pPr>
            <w:r>
              <w:rPr>
                <w:spacing w:val="-5"/>
                <w:sz w:val="22"/>
              </w:rPr>
              <w:t>SF</w:t>
            </w:r>
          </w:p>
        </w:tc>
      </w:tr>
      <w:tr>
        <w:trPr>
          <w:trHeight w:val="455" w:hRule="atLeast"/>
        </w:trPr>
        <w:tc>
          <w:tcPr>
            <w:tcW w:w="1709" w:type="dxa"/>
          </w:tcPr>
          <w:p>
            <w:pPr>
              <w:pStyle w:val="TableParagraph"/>
              <w:rPr>
                <w:rFonts w:ascii="Times New Roman"/>
                <w:sz w:val="22"/>
              </w:rPr>
            </w:pPr>
          </w:p>
        </w:tc>
        <w:tc>
          <w:tcPr>
            <w:tcW w:w="1238" w:type="dxa"/>
          </w:tcPr>
          <w:p>
            <w:pPr>
              <w:pStyle w:val="TableParagraph"/>
              <w:spacing w:before="72"/>
              <w:ind w:left="108"/>
              <w:rPr>
                <w:sz w:val="22"/>
              </w:rPr>
            </w:pPr>
            <w:r>
              <w:rPr>
                <w:sz w:val="22"/>
              </w:rPr>
              <w:t>H:L;</w:t>
            </w:r>
            <w:r>
              <w:rPr>
                <w:spacing w:val="-5"/>
                <w:sz w:val="22"/>
              </w:rPr>
              <w:t> </w:t>
            </w:r>
            <w:r>
              <w:rPr>
                <w:spacing w:val="-2"/>
                <w:sz w:val="22"/>
              </w:rPr>
              <w:t>40:50</w:t>
            </w:r>
          </w:p>
        </w:tc>
        <w:tc>
          <w:tcPr>
            <w:tcW w:w="1695" w:type="dxa"/>
          </w:tcPr>
          <w:p>
            <w:pPr>
              <w:pStyle w:val="TableParagraph"/>
              <w:spacing w:before="72"/>
              <w:ind w:right="14"/>
              <w:jc w:val="center"/>
              <w:rPr>
                <w:sz w:val="22"/>
              </w:rPr>
            </w:pPr>
            <w:r>
              <w:rPr>
                <w:spacing w:val="-2"/>
                <w:sz w:val="22"/>
              </w:rPr>
              <w:t>23.833±0.703</w:t>
            </w:r>
          </w:p>
        </w:tc>
        <w:tc>
          <w:tcPr>
            <w:tcW w:w="961" w:type="dxa"/>
          </w:tcPr>
          <w:p>
            <w:pPr>
              <w:pStyle w:val="TableParagraph"/>
              <w:spacing w:before="72"/>
              <w:ind w:left="28"/>
              <w:jc w:val="center"/>
              <w:rPr>
                <w:sz w:val="22"/>
              </w:rPr>
            </w:pPr>
            <w:r>
              <w:rPr>
                <w:spacing w:val="-2"/>
                <w:sz w:val="22"/>
              </w:rPr>
              <w:t>0.000</w:t>
            </w:r>
          </w:p>
        </w:tc>
        <w:tc>
          <w:tcPr>
            <w:tcW w:w="740" w:type="dxa"/>
          </w:tcPr>
          <w:p>
            <w:pPr>
              <w:pStyle w:val="TableParagraph"/>
              <w:spacing w:before="72"/>
              <w:ind w:left="213"/>
              <w:rPr>
                <w:sz w:val="22"/>
              </w:rPr>
            </w:pPr>
            <w:r>
              <w:rPr>
                <w:spacing w:val="-5"/>
                <w:sz w:val="22"/>
              </w:rPr>
              <w:t>SF</w:t>
            </w:r>
          </w:p>
        </w:tc>
      </w:tr>
      <w:tr>
        <w:trPr>
          <w:trHeight w:val="520" w:hRule="atLeast"/>
        </w:trPr>
        <w:tc>
          <w:tcPr>
            <w:tcW w:w="1709" w:type="dxa"/>
            <w:tcBorders>
              <w:bottom w:val="single" w:sz="4" w:space="0" w:color="000000"/>
            </w:tcBorders>
          </w:tcPr>
          <w:p>
            <w:pPr>
              <w:pStyle w:val="TableParagraph"/>
              <w:rPr>
                <w:rFonts w:ascii="Times New Roman"/>
                <w:sz w:val="22"/>
              </w:rPr>
            </w:pPr>
          </w:p>
        </w:tc>
        <w:tc>
          <w:tcPr>
            <w:tcW w:w="1238" w:type="dxa"/>
            <w:tcBorders>
              <w:bottom w:val="single" w:sz="4" w:space="0" w:color="000000"/>
            </w:tcBorders>
          </w:tcPr>
          <w:p>
            <w:pPr>
              <w:pStyle w:val="TableParagraph"/>
              <w:spacing w:before="73"/>
              <w:ind w:left="108"/>
              <w:rPr>
                <w:sz w:val="22"/>
              </w:rPr>
            </w:pPr>
            <w:r>
              <w:rPr>
                <w:sz w:val="22"/>
              </w:rPr>
              <w:t>H:L;</w:t>
            </w:r>
            <w:r>
              <w:rPr>
                <w:spacing w:val="-5"/>
                <w:sz w:val="22"/>
              </w:rPr>
              <w:t> </w:t>
            </w:r>
            <w:r>
              <w:rPr>
                <w:spacing w:val="-2"/>
                <w:sz w:val="22"/>
              </w:rPr>
              <w:t>50:50</w:t>
            </w:r>
          </w:p>
        </w:tc>
        <w:tc>
          <w:tcPr>
            <w:tcW w:w="1695" w:type="dxa"/>
            <w:tcBorders>
              <w:bottom w:val="single" w:sz="4" w:space="0" w:color="000000"/>
            </w:tcBorders>
          </w:tcPr>
          <w:p>
            <w:pPr>
              <w:pStyle w:val="TableParagraph"/>
              <w:spacing w:before="73"/>
              <w:ind w:right="14"/>
              <w:jc w:val="center"/>
              <w:rPr>
                <w:sz w:val="22"/>
              </w:rPr>
            </w:pPr>
            <w:r>
              <w:rPr>
                <w:spacing w:val="-2"/>
                <w:sz w:val="22"/>
              </w:rPr>
              <w:t>25.833±1.014</w:t>
            </w:r>
          </w:p>
        </w:tc>
        <w:tc>
          <w:tcPr>
            <w:tcW w:w="961" w:type="dxa"/>
            <w:tcBorders>
              <w:bottom w:val="single" w:sz="4" w:space="0" w:color="000000"/>
            </w:tcBorders>
          </w:tcPr>
          <w:p>
            <w:pPr>
              <w:pStyle w:val="TableParagraph"/>
              <w:spacing w:before="73"/>
              <w:ind w:left="28"/>
              <w:jc w:val="center"/>
              <w:rPr>
                <w:sz w:val="22"/>
              </w:rPr>
            </w:pPr>
            <w:r>
              <w:rPr>
                <w:spacing w:val="-2"/>
                <w:sz w:val="22"/>
              </w:rPr>
              <w:t>0.000</w:t>
            </w:r>
          </w:p>
        </w:tc>
        <w:tc>
          <w:tcPr>
            <w:tcW w:w="740" w:type="dxa"/>
            <w:tcBorders>
              <w:bottom w:val="single" w:sz="4" w:space="0" w:color="000000"/>
            </w:tcBorders>
          </w:tcPr>
          <w:p>
            <w:pPr>
              <w:pStyle w:val="TableParagraph"/>
              <w:spacing w:before="73"/>
              <w:ind w:left="213"/>
              <w:rPr>
                <w:sz w:val="22"/>
              </w:rPr>
            </w:pPr>
            <w:r>
              <w:rPr>
                <w:spacing w:val="-5"/>
                <w:sz w:val="22"/>
              </w:rPr>
              <w:t>SF</w:t>
            </w:r>
          </w:p>
        </w:tc>
      </w:tr>
      <w:tr>
        <w:trPr>
          <w:trHeight w:val="377" w:hRule="atLeast"/>
        </w:trPr>
        <w:tc>
          <w:tcPr>
            <w:tcW w:w="1709" w:type="dxa"/>
            <w:tcBorders>
              <w:top w:val="single" w:sz="4" w:space="0" w:color="000000"/>
            </w:tcBorders>
          </w:tcPr>
          <w:p>
            <w:pPr>
              <w:pStyle w:val="TableParagraph"/>
              <w:rPr>
                <w:rFonts w:ascii="Times New Roman"/>
                <w:sz w:val="22"/>
              </w:rPr>
            </w:pPr>
          </w:p>
        </w:tc>
        <w:tc>
          <w:tcPr>
            <w:tcW w:w="1238" w:type="dxa"/>
            <w:tcBorders>
              <w:top w:val="single" w:sz="4" w:space="0" w:color="000000"/>
            </w:tcBorders>
          </w:tcPr>
          <w:p>
            <w:pPr>
              <w:pStyle w:val="TableParagraph"/>
              <w:spacing w:line="265" w:lineRule="exact"/>
              <w:ind w:left="108"/>
              <w:rPr>
                <w:sz w:val="22"/>
              </w:rPr>
            </w:pPr>
            <w:r>
              <w:rPr>
                <w:sz w:val="22"/>
              </w:rPr>
              <w:t>H:L;</w:t>
            </w:r>
            <w:r>
              <w:rPr>
                <w:spacing w:val="-5"/>
                <w:sz w:val="22"/>
              </w:rPr>
              <w:t> </w:t>
            </w:r>
            <w:r>
              <w:rPr>
                <w:spacing w:val="-2"/>
                <w:sz w:val="22"/>
              </w:rPr>
              <w:t>10:50</w:t>
            </w:r>
          </w:p>
        </w:tc>
        <w:tc>
          <w:tcPr>
            <w:tcW w:w="1695" w:type="dxa"/>
            <w:tcBorders>
              <w:top w:val="single" w:sz="4" w:space="0" w:color="000000"/>
            </w:tcBorders>
          </w:tcPr>
          <w:p>
            <w:pPr>
              <w:pStyle w:val="TableParagraph"/>
              <w:spacing w:line="265" w:lineRule="exact"/>
              <w:ind w:right="14"/>
              <w:jc w:val="center"/>
              <w:rPr>
                <w:sz w:val="22"/>
              </w:rPr>
            </w:pPr>
            <w:r>
              <w:rPr>
                <w:spacing w:val="-2"/>
                <w:sz w:val="22"/>
              </w:rPr>
              <w:t>23.333±0.955</w:t>
            </w:r>
          </w:p>
        </w:tc>
        <w:tc>
          <w:tcPr>
            <w:tcW w:w="961" w:type="dxa"/>
            <w:tcBorders>
              <w:top w:val="single" w:sz="4" w:space="0" w:color="000000"/>
            </w:tcBorders>
          </w:tcPr>
          <w:p>
            <w:pPr>
              <w:pStyle w:val="TableParagraph"/>
              <w:spacing w:line="265" w:lineRule="exact"/>
              <w:ind w:left="28"/>
              <w:jc w:val="center"/>
              <w:rPr>
                <w:sz w:val="22"/>
              </w:rPr>
            </w:pPr>
            <w:r>
              <w:rPr>
                <w:spacing w:val="-2"/>
                <w:sz w:val="22"/>
              </w:rPr>
              <w:t>0.000</w:t>
            </w:r>
          </w:p>
        </w:tc>
        <w:tc>
          <w:tcPr>
            <w:tcW w:w="740" w:type="dxa"/>
            <w:tcBorders>
              <w:top w:val="single" w:sz="4" w:space="0" w:color="000000"/>
            </w:tcBorders>
          </w:tcPr>
          <w:p>
            <w:pPr>
              <w:pStyle w:val="TableParagraph"/>
              <w:spacing w:line="265" w:lineRule="exact"/>
              <w:ind w:left="213"/>
              <w:rPr>
                <w:sz w:val="22"/>
              </w:rPr>
            </w:pPr>
            <w:r>
              <w:rPr>
                <w:spacing w:val="-5"/>
                <w:sz w:val="22"/>
              </w:rPr>
              <w:t>SF</w:t>
            </w:r>
          </w:p>
        </w:tc>
      </w:tr>
      <w:tr>
        <w:trPr>
          <w:trHeight w:val="382" w:hRule="atLeast"/>
        </w:trPr>
        <w:tc>
          <w:tcPr>
            <w:tcW w:w="1709" w:type="dxa"/>
          </w:tcPr>
          <w:p>
            <w:pPr>
              <w:pStyle w:val="TableParagraph"/>
              <w:rPr>
                <w:rFonts w:ascii="Times New Roman"/>
                <w:sz w:val="22"/>
              </w:rPr>
            </w:pPr>
          </w:p>
        </w:tc>
        <w:tc>
          <w:tcPr>
            <w:tcW w:w="1238" w:type="dxa"/>
          </w:tcPr>
          <w:p>
            <w:pPr>
              <w:pStyle w:val="TableParagraph"/>
              <w:spacing w:before="72"/>
              <w:ind w:left="108"/>
              <w:rPr>
                <w:sz w:val="22"/>
              </w:rPr>
            </w:pPr>
            <w:r>
              <w:rPr>
                <w:sz w:val="22"/>
              </w:rPr>
              <w:t>H:L;</w:t>
            </w:r>
            <w:r>
              <w:rPr>
                <w:spacing w:val="-5"/>
                <w:sz w:val="22"/>
              </w:rPr>
              <w:t> </w:t>
            </w:r>
            <w:r>
              <w:rPr>
                <w:spacing w:val="-2"/>
                <w:sz w:val="22"/>
              </w:rPr>
              <w:t>20:50</w:t>
            </w:r>
          </w:p>
        </w:tc>
        <w:tc>
          <w:tcPr>
            <w:tcW w:w="1695" w:type="dxa"/>
          </w:tcPr>
          <w:p>
            <w:pPr>
              <w:pStyle w:val="TableParagraph"/>
              <w:spacing w:before="72"/>
              <w:ind w:right="14"/>
              <w:jc w:val="center"/>
              <w:rPr>
                <w:sz w:val="22"/>
              </w:rPr>
            </w:pPr>
            <w:r>
              <w:rPr>
                <w:spacing w:val="-2"/>
                <w:sz w:val="22"/>
              </w:rPr>
              <w:t>23.833±0.872</w:t>
            </w:r>
          </w:p>
        </w:tc>
        <w:tc>
          <w:tcPr>
            <w:tcW w:w="961" w:type="dxa"/>
          </w:tcPr>
          <w:p>
            <w:pPr>
              <w:pStyle w:val="TableParagraph"/>
              <w:spacing w:before="72"/>
              <w:ind w:left="28"/>
              <w:jc w:val="center"/>
              <w:rPr>
                <w:sz w:val="22"/>
              </w:rPr>
            </w:pPr>
            <w:r>
              <w:rPr>
                <w:spacing w:val="-2"/>
                <w:sz w:val="22"/>
              </w:rPr>
              <w:t>0.000</w:t>
            </w:r>
          </w:p>
        </w:tc>
        <w:tc>
          <w:tcPr>
            <w:tcW w:w="740" w:type="dxa"/>
          </w:tcPr>
          <w:p>
            <w:pPr>
              <w:pStyle w:val="TableParagraph"/>
              <w:spacing w:before="72"/>
              <w:ind w:left="213"/>
              <w:rPr>
                <w:sz w:val="22"/>
              </w:rPr>
            </w:pPr>
            <w:r>
              <w:rPr>
                <w:spacing w:val="-5"/>
                <w:sz w:val="22"/>
              </w:rPr>
              <w:t>SF</w:t>
            </w:r>
          </w:p>
        </w:tc>
      </w:tr>
      <w:tr>
        <w:trPr>
          <w:trHeight w:val="597" w:hRule="atLeast"/>
        </w:trPr>
        <w:tc>
          <w:tcPr>
            <w:tcW w:w="1709" w:type="dxa"/>
          </w:tcPr>
          <w:p>
            <w:pPr>
              <w:pStyle w:val="TableParagraph"/>
              <w:spacing w:before="1"/>
              <w:ind w:left="108"/>
              <w:rPr>
                <w:sz w:val="22"/>
              </w:rPr>
            </w:pPr>
            <w:r>
              <w:rPr>
                <w:sz w:val="22"/>
              </w:rPr>
              <w:t>Honey</w:t>
            </w:r>
            <w:r>
              <w:rPr>
                <w:spacing w:val="-2"/>
                <w:sz w:val="22"/>
              </w:rPr>
              <w:t> (25%)</w:t>
            </w:r>
          </w:p>
          <w:p>
            <w:pPr>
              <w:pStyle w:val="TableParagraph"/>
              <w:spacing w:before="17"/>
              <w:ind w:left="108"/>
              <w:rPr>
                <w:sz w:val="22"/>
              </w:rPr>
            </w:pPr>
            <w:r>
              <w:rPr>
                <w:spacing w:val="-2"/>
                <w:sz w:val="22"/>
              </w:rPr>
              <w:t>(11.500±0.619)</w:t>
            </w:r>
          </w:p>
        </w:tc>
        <w:tc>
          <w:tcPr>
            <w:tcW w:w="1238" w:type="dxa"/>
          </w:tcPr>
          <w:p>
            <w:pPr>
              <w:pStyle w:val="TableParagraph"/>
              <w:spacing w:before="143"/>
              <w:ind w:left="108"/>
              <w:rPr>
                <w:sz w:val="22"/>
              </w:rPr>
            </w:pPr>
            <w:r>
              <w:rPr>
                <w:sz w:val="22"/>
              </w:rPr>
              <w:t>H:L;</w:t>
            </w:r>
            <w:r>
              <w:rPr>
                <w:spacing w:val="-5"/>
                <w:sz w:val="22"/>
              </w:rPr>
              <w:t> </w:t>
            </w:r>
            <w:r>
              <w:rPr>
                <w:spacing w:val="-2"/>
                <w:sz w:val="22"/>
              </w:rPr>
              <w:t>30:50</w:t>
            </w:r>
          </w:p>
        </w:tc>
        <w:tc>
          <w:tcPr>
            <w:tcW w:w="1695" w:type="dxa"/>
          </w:tcPr>
          <w:p>
            <w:pPr>
              <w:pStyle w:val="TableParagraph"/>
              <w:spacing w:before="143"/>
              <w:ind w:right="14"/>
              <w:jc w:val="center"/>
              <w:rPr>
                <w:sz w:val="22"/>
              </w:rPr>
            </w:pPr>
            <w:r>
              <w:rPr>
                <w:spacing w:val="-2"/>
                <w:sz w:val="22"/>
              </w:rPr>
              <w:t>21.333±0.715</w:t>
            </w:r>
          </w:p>
        </w:tc>
        <w:tc>
          <w:tcPr>
            <w:tcW w:w="961" w:type="dxa"/>
          </w:tcPr>
          <w:p>
            <w:pPr>
              <w:pStyle w:val="TableParagraph"/>
              <w:spacing w:before="143"/>
              <w:ind w:left="28"/>
              <w:jc w:val="center"/>
              <w:rPr>
                <w:sz w:val="22"/>
              </w:rPr>
            </w:pPr>
            <w:r>
              <w:rPr>
                <w:spacing w:val="-2"/>
                <w:sz w:val="22"/>
              </w:rPr>
              <w:t>0.000</w:t>
            </w:r>
          </w:p>
        </w:tc>
        <w:tc>
          <w:tcPr>
            <w:tcW w:w="740" w:type="dxa"/>
          </w:tcPr>
          <w:p>
            <w:pPr>
              <w:pStyle w:val="TableParagraph"/>
              <w:spacing w:before="143"/>
              <w:ind w:left="213"/>
              <w:rPr>
                <w:sz w:val="22"/>
              </w:rPr>
            </w:pPr>
            <w:r>
              <w:rPr>
                <w:spacing w:val="-5"/>
                <w:sz w:val="22"/>
              </w:rPr>
              <w:t>SF</w:t>
            </w:r>
          </w:p>
        </w:tc>
      </w:tr>
      <w:tr>
        <w:trPr>
          <w:trHeight w:val="382" w:hRule="atLeast"/>
        </w:trPr>
        <w:tc>
          <w:tcPr>
            <w:tcW w:w="1709" w:type="dxa"/>
          </w:tcPr>
          <w:p>
            <w:pPr>
              <w:pStyle w:val="TableParagraph"/>
              <w:rPr>
                <w:rFonts w:ascii="Times New Roman"/>
                <w:sz w:val="22"/>
              </w:rPr>
            </w:pPr>
          </w:p>
        </w:tc>
        <w:tc>
          <w:tcPr>
            <w:tcW w:w="1238" w:type="dxa"/>
          </w:tcPr>
          <w:p>
            <w:pPr>
              <w:pStyle w:val="TableParagraph"/>
              <w:spacing w:before="1"/>
              <w:ind w:left="108"/>
              <w:rPr>
                <w:sz w:val="22"/>
              </w:rPr>
            </w:pPr>
            <w:r>
              <w:rPr>
                <w:sz w:val="22"/>
              </w:rPr>
              <w:t>H:L;</w:t>
            </w:r>
            <w:r>
              <w:rPr>
                <w:spacing w:val="-5"/>
                <w:sz w:val="22"/>
              </w:rPr>
              <w:t> </w:t>
            </w:r>
            <w:r>
              <w:rPr>
                <w:spacing w:val="-2"/>
                <w:sz w:val="22"/>
              </w:rPr>
              <w:t>40:50</w:t>
            </w:r>
          </w:p>
        </w:tc>
        <w:tc>
          <w:tcPr>
            <w:tcW w:w="1695" w:type="dxa"/>
          </w:tcPr>
          <w:p>
            <w:pPr>
              <w:pStyle w:val="TableParagraph"/>
              <w:spacing w:before="1"/>
              <w:ind w:right="14"/>
              <w:jc w:val="center"/>
              <w:rPr>
                <w:sz w:val="22"/>
              </w:rPr>
            </w:pPr>
            <w:r>
              <w:rPr>
                <w:spacing w:val="-2"/>
                <w:sz w:val="22"/>
              </w:rPr>
              <w:t>23.833±0.703</w:t>
            </w:r>
          </w:p>
        </w:tc>
        <w:tc>
          <w:tcPr>
            <w:tcW w:w="961" w:type="dxa"/>
          </w:tcPr>
          <w:p>
            <w:pPr>
              <w:pStyle w:val="TableParagraph"/>
              <w:spacing w:before="1"/>
              <w:ind w:left="28"/>
              <w:jc w:val="center"/>
              <w:rPr>
                <w:sz w:val="22"/>
              </w:rPr>
            </w:pPr>
            <w:r>
              <w:rPr>
                <w:spacing w:val="-2"/>
                <w:sz w:val="22"/>
              </w:rPr>
              <w:t>0.000</w:t>
            </w:r>
          </w:p>
        </w:tc>
        <w:tc>
          <w:tcPr>
            <w:tcW w:w="740" w:type="dxa"/>
          </w:tcPr>
          <w:p>
            <w:pPr>
              <w:pStyle w:val="TableParagraph"/>
              <w:spacing w:before="1"/>
              <w:ind w:left="213"/>
              <w:rPr>
                <w:sz w:val="22"/>
              </w:rPr>
            </w:pPr>
            <w:r>
              <w:rPr>
                <w:spacing w:val="-5"/>
                <w:sz w:val="22"/>
              </w:rPr>
              <w:t>SF</w:t>
            </w:r>
          </w:p>
        </w:tc>
      </w:tr>
      <w:tr>
        <w:trPr>
          <w:trHeight w:val="519" w:hRule="atLeast"/>
        </w:trPr>
        <w:tc>
          <w:tcPr>
            <w:tcW w:w="1709" w:type="dxa"/>
            <w:tcBorders>
              <w:bottom w:val="single" w:sz="4" w:space="0" w:color="000000"/>
            </w:tcBorders>
          </w:tcPr>
          <w:p>
            <w:pPr>
              <w:pStyle w:val="TableParagraph"/>
              <w:rPr>
                <w:rFonts w:ascii="Times New Roman"/>
                <w:sz w:val="22"/>
              </w:rPr>
            </w:pPr>
          </w:p>
        </w:tc>
        <w:tc>
          <w:tcPr>
            <w:tcW w:w="1238" w:type="dxa"/>
            <w:tcBorders>
              <w:bottom w:val="single" w:sz="4" w:space="0" w:color="000000"/>
            </w:tcBorders>
          </w:tcPr>
          <w:p>
            <w:pPr>
              <w:pStyle w:val="TableParagraph"/>
              <w:spacing w:before="72"/>
              <w:ind w:left="108"/>
              <w:rPr>
                <w:sz w:val="22"/>
              </w:rPr>
            </w:pPr>
            <w:r>
              <w:rPr>
                <w:sz w:val="22"/>
              </w:rPr>
              <w:t>H:L;</w:t>
            </w:r>
            <w:r>
              <w:rPr>
                <w:spacing w:val="-5"/>
                <w:sz w:val="22"/>
              </w:rPr>
              <w:t> </w:t>
            </w:r>
            <w:r>
              <w:rPr>
                <w:spacing w:val="-2"/>
                <w:sz w:val="22"/>
              </w:rPr>
              <w:t>50:50</w:t>
            </w:r>
          </w:p>
        </w:tc>
        <w:tc>
          <w:tcPr>
            <w:tcW w:w="1695" w:type="dxa"/>
            <w:tcBorders>
              <w:bottom w:val="single" w:sz="4" w:space="0" w:color="000000"/>
            </w:tcBorders>
          </w:tcPr>
          <w:p>
            <w:pPr>
              <w:pStyle w:val="TableParagraph"/>
              <w:spacing w:before="72"/>
              <w:ind w:right="14"/>
              <w:jc w:val="center"/>
              <w:rPr>
                <w:sz w:val="22"/>
              </w:rPr>
            </w:pPr>
            <w:r>
              <w:rPr>
                <w:spacing w:val="-2"/>
                <w:sz w:val="22"/>
              </w:rPr>
              <w:t>25.833±1.014</w:t>
            </w:r>
          </w:p>
        </w:tc>
        <w:tc>
          <w:tcPr>
            <w:tcW w:w="961" w:type="dxa"/>
            <w:tcBorders>
              <w:bottom w:val="single" w:sz="4" w:space="0" w:color="000000"/>
            </w:tcBorders>
          </w:tcPr>
          <w:p>
            <w:pPr>
              <w:pStyle w:val="TableParagraph"/>
              <w:spacing w:before="72"/>
              <w:ind w:left="28"/>
              <w:jc w:val="center"/>
              <w:rPr>
                <w:sz w:val="22"/>
              </w:rPr>
            </w:pPr>
            <w:r>
              <w:rPr>
                <w:spacing w:val="-2"/>
                <w:sz w:val="22"/>
              </w:rPr>
              <w:t>0.000</w:t>
            </w:r>
          </w:p>
        </w:tc>
        <w:tc>
          <w:tcPr>
            <w:tcW w:w="740" w:type="dxa"/>
            <w:tcBorders>
              <w:bottom w:val="single" w:sz="4" w:space="0" w:color="000000"/>
            </w:tcBorders>
          </w:tcPr>
          <w:p>
            <w:pPr>
              <w:pStyle w:val="TableParagraph"/>
              <w:spacing w:before="72"/>
              <w:ind w:left="213"/>
              <w:rPr>
                <w:sz w:val="22"/>
              </w:rPr>
            </w:pPr>
            <w:r>
              <w:rPr>
                <w:spacing w:val="-5"/>
                <w:sz w:val="22"/>
              </w:rPr>
              <w:t>SF</w:t>
            </w:r>
          </w:p>
        </w:tc>
      </w:tr>
    </w:tbl>
    <w:p>
      <w:pPr>
        <w:pStyle w:val="BodyText"/>
        <w:spacing w:line="259" w:lineRule="auto" w:before="22"/>
        <w:ind w:left="380" w:right="975"/>
      </w:pPr>
      <w:r>
        <w:rPr>
          <w:b/>
        </w:rPr>
        <w:t>Key:</w:t>
      </w:r>
      <w:r>
        <w:rPr>
          <w:b/>
          <w:spacing w:val="34"/>
        </w:rPr>
        <w:t> </w:t>
      </w:r>
      <w:r>
        <w:rPr/>
        <w:t>LOS=Level</w:t>
      </w:r>
      <w:r>
        <w:rPr>
          <w:spacing w:val="32"/>
        </w:rPr>
        <w:t> </w:t>
      </w:r>
      <w:r>
        <w:rPr/>
        <w:t>of</w:t>
      </w:r>
      <w:r>
        <w:rPr>
          <w:spacing w:val="32"/>
        </w:rPr>
        <w:t> </w:t>
      </w:r>
      <w:r>
        <w:rPr/>
        <w:t>significance;</w:t>
      </w:r>
      <w:r>
        <w:rPr>
          <w:spacing w:val="38"/>
        </w:rPr>
        <w:t> </w:t>
      </w:r>
      <w:r>
        <w:rPr/>
        <w:t>NS=Not</w:t>
      </w:r>
      <w:r>
        <w:rPr>
          <w:spacing w:val="33"/>
        </w:rPr>
        <w:t> </w:t>
      </w:r>
      <w:r>
        <w:rPr/>
        <w:t>significantly</w:t>
      </w:r>
      <w:r>
        <w:rPr>
          <w:spacing w:val="33"/>
        </w:rPr>
        <w:t> </w:t>
      </w:r>
      <w:r>
        <w:rPr/>
        <w:t>different;</w:t>
      </w:r>
      <w:r>
        <w:rPr>
          <w:spacing w:val="35"/>
        </w:rPr>
        <w:t> </w:t>
      </w:r>
      <w:r>
        <w:rPr/>
        <w:t>SF=Significantly</w:t>
      </w:r>
      <w:r>
        <w:rPr>
          <w:spacing w:val="33"/>
        </w:rPr>
        <w:t> </w:t>
      </w:r>
      <w:r>
        <w:rPr/>
        <w:t>different;</w:t>
      </w:r>
      <w:r>
        <w:rPr>
          <w:spacing w:val="35"/>
        </w:rPr>
        <w:t> </w:t>
      </w:r>
      <w:r>
        <w:rPr/>
        <w:t>H=Honey and L=Lemon juice.</w:t>
      </w:r>
    </w:p>
    <w:p>
      <w:pPr>
        <w:spacing w:after="0" w:line="259" w:lineRule="auto"/>
        <w:sectPr>
          <w:type w:val="continuous"/>
          <w:pgSz w:w="11910" w:h="16840"/>
          <w:pgMar w:header="0" w:footer="1055" w:top="1400" w:bottom="1240" w:left="1060" w:right="460"/>
        </w:sectPr>
      </w:pPr>
    </w:p>
    <w:p>
      <w:pPr>
        <w:pStyle w:val="Heading3"/>
        <w:tabs>
          <w:tab w:pos="1801" w:val="left" w:leader="none"/>
          <w:tab w:pos="7989" w:val="left" w:leader="none"/>
        </w:tabs>
        <w:spacing w:line="259" w:lineRule="auto" w:before="38"/>
        <w:ind w:left="2082" w:right="1089" w:hanging="1702"/>
      </w:pPr>
      <w:r>
        <w:rPr/>
        <w:t>Appendix IV:</w:t>
        <w:tab/>
        <w:t>Comparing the mean zones of inhibition of Lemon juice and</w:t>
        <w:tab/>
      </w:r>
      <w:r>
        <w:rPr>
          <w:spacing w:val="-2"/>
        </w:rPr>
        <w:t>Honey/Lemon mixture</w:t>
      </w:r>
    </w:p>
    <w:p>
      <w:pPr>
        <w:pStyle w:val="BodyText"/>
        <w:rPr>
          <w:b/>
        </w:rPr>
      </w:pPr>
    </w:p>
    <w:p>
      <w:pPr>
        <w:pStyle w:val="BodyText"/>
        <w:spacing w:before="74"/>
        <w:rPr>
          <w:b/>
        </w:rPr>
      </w:pPr>
    </w:p>
    <w:p>
      <w:pPr>
        <w:spacing w:line="400" w:lineRule="auto" w:before="0"/>
        <w:ind w:left="1100" w:right="2617" w:firstLine="0"/>
        <w:jc w:val="left"/>
        <w:rPr>
          <w:b/>
          <w:sz w:val="22"/>
        </w:rPr>
      </w:pPr>
      <w:r>
        <w:rPr>
          <w:b/>
          <w:sz w:val="22"/>
        </w:rPr>
        <w:t>Comparing</w:t>
      </w:r>
      <w:r>
        <w:rPr>
          <w:b/>
          <w:spacing w:val="-4"/>
          <w:sz w:val="22"/>
        </w:rPr>
        <w:t> </w:t>
      </w:r>
      <w:r>
        <w:rPr>
          <w:b/>
          <w:sz w:val="22"/>
        </w:rPr>
        <w:t>the</w:t>
      </w:r>
      <w:r>
        <w:rPr>
          <w:b/>
          <w:spacing w:val="-3"/>
          <w:sz w:val="22"/>
        </w:rPr>
        <w:t> </w:t>
      </w:r>
      <w:r>
        <w:rPr>
          <w:b/>
          <w:sz w:val="22"/>
        </w:rPr>
        <w:t>mean</w:t>
      </w:r>
      <w:r>
        <w:rPr>
          <w:b/>
          <w:spacing w:val="-3"/>
          <w:sz w:val="22"/>
        </w:rPr>
        <w:t> </w:t>
      </w:r>
      <w:r>
        <w:rPr>
          <w:b/>
          <w:sz w:val="22"/>
        </w:rPr>
        <w:t>zones</w:t>
      </w:r>
      <w:r>
        <w:rPr>
          <w:b/>
          <w:spacing w:val="-3"/>
          <w:sz w:val="22"/>
        </w:rPr>
        <w:t> </w:t>
      </w:r>
      <w:r>
        <w:rPr>
          <w:b/>
          <w:sz w:val="22"/>
        </w:rPr>
        <w:t>of</w:t>
      </w:r>
      <w:r>
        <w:rPr>
          <w:b/>
          <w:spacing w:val="-3"/>
          <w:sz w:val="22"/>
        </w:rPr>
        <w:t> </w:t>
      </w:r>
      <w:r>
        <w:rPr>
          <w:b/>
          <w:sz w:val="22"/>
        </w:rPr>
        <w:t>inhibition</w:t>
      </w:r>
      <w:r>
        <w:rPr>
          <w:b/>
          <w:spacing w:val="-3"/>
          <w:sz w:val="22"/>
        </w:rPr>
        <w:t> </w:t>
      </w:r>
      <w:r>
        <w:rPr>
          <w:b/>
          <w:sz w:val="22"/>
        </w:rPr>
        <w:t>of</w:t>
      </w:r>
      <w:r>
        <w:rPr>
          <w:b/>
          <w:spacing w:val="-3"/>
          <w:sz w:val="22"/>
        </w:rPr>
        <w:t> </w:t>
      </w:r>
      <w:r>
        <w:rPr>
          <w:b/>
          <w:sz w:val="22"/>
        </w:rPr>
        <w:t>Lemon</w:t>
      </w:r>
      <w:r>
        <w:rPr>
          <w:b/>
          <w:spacing w:val="-3"/>
          <w:sz w:val="22"/>
        </w:rPr>
        <w:t> </w:t>
      </w:r>
      <w:r>
        <w:rPr>
          <w:b/>
          <w:sz w:val="22"/>
        </w:rPr>
        <w:t>juice</w:t>
      </w:r>
      <w:r>
        <w:rPr>
          <w:b/>
          <w:spacing w:val="-3"/>
          <w:sz w:val="22"/>
        </w:rPr>
        <w:t> </w:t>
      </w:r>
      <w:r>
        <w:rPr>
          <w:b/>
          <w:sz w:val="22"/>
        </w:rPr>
        <w:t>and</w:t>
      </w:r>
      <w:r>
        <w:rPr>
          <w:b/>
          <w:spacing w:val="-3"/>
          <w:sz w:val="22"/>
        </w:rPr>
        <w:t> </w:t>
      </w:r>
      <w:r>
        <w:rPr>
          <w:b/>
          <w:sz w:val="22"/>
        </w:rPr>
        <w:t>the</w:t>
      </w:r>
      <w:r>
        <w:rPr>
          <w:b/>
          <w:spacing w:val="-3"/>
          <w:sz w:val="22"/>
        </w:rPr>
        <w:t> </w:t>
      </w:r>
      <w:r>
        <w:rPr>
          <w:b/>
          <w:sz w:val="22"/>
        </w:rPr>
        <w:t>mixture of Honey and Lemon juice against </w:t>
      </w:r>
      <w:r>
        <w:rPr>
          <w:b/>
          <w:i/>
          <w:sz w:val="22"/>
        </w:rPr>
        <w:t>Klebsiella pneumoniae</w:t>
      </w:r>
      <w:r>
        <w:rPr>
          <w:b/>
          <w:sz w:val="22"/>
        </w:rPr>
        <w:t>.</w:t>
      </w:r>
    </w:p>
    <w:p>
      <w:pPr>
        <w:pStyle w:val="BodyText"/>
        <w:spacing w:before="186"/>
        <w:rPr>
          <w:b/>
          <w:sz w:val="20"/>
        </w:rPr>
      </w:pPr>
      <w:r>
        <w:rPr/>
        <mc:AlternateContent>
          <mc:Choice Requires="wps">
            <w:drawing>
              <wp:anchor distT="0" distB="0" distL="0" distR="0" allowOverlap="1" layoutInCell="1" locked="0" behindDoc="1" simplePos="0" relativeHeight="487683072">
                <wp:simplePos x="0" y="0"/>
                <wp:positionH relativeFrom="page">
                  <wp:posOffset>1461770</wp:posOffset>
                </wp:positionH>
                <wp:positionV relativeFrom="paragraph">
                  <wp:posOffset>288949</wp:posOffset>
                </wp:positionV>
                <wp:extent cx="4027804" cy="6350"/>
                <wp:effectExtent l="0" t="0" r="0" b="0"/>
                <wp:wrapTopAndBottom/>
                <wp:docPr id="509" name="Graphic 509"/>
                <wp:cNvGraphicFramePr>
                  <a:graphicFrameLocks/>
                </wp:cNvGraphicFramePr>
                <a:graphic>
                  <a:graphicData uri="http://schemas.microsoft.com/office/word/2010/wordprocessingShape">
                    <wps:wsp>
                      <wps:cNvPr id="509" name="Graphic 509"/>
                      <wps:cNvSpPr/>
                      <wps:spPr>
                        <a:xfrm>
                          <a:off x="0" y="0"/>
                          <a:ext cx="4027804" cy="6350"/>
                        </a:xfrm>
                        <a:custGeom>
                          <a:avLst/>
                          <a:gdLst/>
                          <a:ahLst/>
                          <a:cxnLst/>
                          <a:rect l="l" t="t" r="r" b="b"/>
                          <a:pathLst>
                            <a:path w="4027804" h="6350">
                              <a:moveTo>
                                <a:pt x="1085392" y="0"/>
                              </a:moveTo>
                              <a:lnTo>
                                <a:pt x="0" y="0"/>
                              </a:lnTo>
                              <a:lnTo>
                                <a:pt x="0" y="6096"/>
                              </a:lnTo>
                              <a:lnTo>
                                <a:pt x="1085392" y="6096"/>
                              </a:lnTo>
                              <a:lnTo>
                                <a:pt x="1085392" y="0"/>
                              </a:lnTo>
                              <a:close/>
                            </a:path>
                            <a:path w="4027804" h="6350">
                              <a:moveTo>
                                <a:pt x="1091552" y="0"/>
                              </a:moveTo>
                              <a:lnTo>
                                <a:pt x="1085469" y="0"/>
                              </a:lnTo>
                              <a:lnTo>
                                <a:pt x="1085469" y="6096"/>
                              </a:lnTo>
                              <a:lnTo>
                                <a:pt x="1091552" y="6096"/>
                              </a:lnTo>
                              <a:lnTo>
                                <a:pt x="1091552" y="0"/>
                              </a:lnTo>
                              <a:close/>
                            </a:path>
                            <a:path w="4027804" h="6350">
                              <a:moveTo>
                                <a:pt x="1952612" y="0"/>
                              </a:moveTo>
                              <a:lnTo>
                                <a:pt x="1946529" y="0"/>
                              </a:lnTo>
                              <a:lnTo>
                                <a:pt x="1091565" y="0"/>
                              </a:lnTo>
                              <a:lnTo>
                                <a:pt x="1091565" y="6096"/>
                              </a:lnTo>
                              <a:lnTo>
                                <a:pt x="1946529" y="6096"/>
                              </a:lnTo>
                              <a:lnTo>
                                <a:pt x="1952612" y="6096"/>
                              </a:lnTo>
                              <a:lnTo>
                                <a:pt x="1952612" y="0"/>
                              </a:lnTo>
                              <a:close/>
                            </a:path>
                            <a:path w="4027804" h="6350">
                              <a:moveTo>
                                <a:pt x="3489375" y="0"/>
                              </a:moveTo>
                              <a:lnTo>
                                <a:pt x="2935859" y="0"/>
                              </a:lnTo>
                              <a:lnTo>
                                <a:pt x="2929813" y="0"/>
                              </a:lnTo>
                              <a:lnTo>
                                <a:pt x="1952625" y="0"/>
                              </a:lnTo>
                              <a:lnTo>
                                <a:pt x="1952625" y="6096"/>
                              </a:lnTo>
                              <a:lnTo>
                                <a:pt x="2929763" y="6096"/>
                              </a:lnTo>
                              <a:lnTo>
                                <a:pt x="2935859" y="6096"/>
                              </a:lnTo>
                              <a:lnTo>
                                <a:pt x="3489375" y="6096"/>
                              </a:lnTo>
                              <a:lnTo>
                                <a:pt x="3489375" y="0"/>
                              </a:lnTo>
                              <a:close/>
                            </a:path>
                            <a:path w="4027804" h="6350">
                              <a:moveTo>
                                <a:pt x="3495535" y="0"/>
                              </a:moveTo>
                              <a:lnTo>
                                <a:pt x="3489452" y="0"/>
                              </a:lnTo>
                              <a:lnTo>
                                <a:pt x="3489452" y="6096"/>
                              </a:lnTo>
                              <a:lnTo>
                                <a:pt x="3495535" y="6096"/>
                              </a:lnTo>
                              <a:lnTo>
                                <a:pt x="3495535" y="0"/>
                              </a:lnTo>
                              <a:close/>
                            </a:path>
                            <a:path w="4027804" h="6350">
                              <a:moveTo>
                                <a:pt x="4027411" y="0"/>
                              </a:moveTo>
                              <a:lnTo>
                                <a:pt x="3495548" y="0"/>
                              </a:lnTo>
                              <a:lnTo>
                                <a:pt x="3495548" y="6096"/>
                              </a:lnTo>
                              <a:lnTo>
                                <a:pt x="4027411" y="6096"/>
                              </a:lnTo>
                              <a:lnTo>
                                <a:pt x="40274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5.100006pt;margin-top:22.751961pt;width:317.150pt;height:.5pt;mso-position-horizontal-relative:page;mso-position-vertical-relative:paragraph;z-index:-15633408;mso-wrap-distance-left:0;mso-wrap-distance-right:0" id="docshape454" coordorigin="2302,455" coordsize="6343,10" path="m4011,455l2302,455,2302,465,4011,465,4011,455xm4021,455l4011,455,4011,465,4021,465,4021,455xm5377,455l5367,455,4021,455,4021,465,5367,465,5377,465,5377,455xm7797,455l6925,455,6916,455,6916,455,5377,455,5377,465,6916,465,6916,465,6925,465,7797,465,7797,455xm7807,455l7797,455,7797,465,7807,465,7807,455xm8644,455l7807,455,7807,465,8644,465,8644,455xe" filled="true" fillcolor="#000000" stroked="false">
                <v:path arrowok="t"/>
                <v:fill type="solid"/>
                <w10:wrap type="topAndBottom"/>
              </v:shape>
            </w:pict>
          </mc:Fallback>
        </mc:AlternateContent>
      </w:r>
    </w:p>
    <w:p>
      <w:pPr>
        <w:pStyle w:val="BodyText"/>
        <w:spacing w:before="235" w:after="1"/>
        <w:rPr>
          <w:b/>
          <w:sz w:val="20"/>
        </w:r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gridCol w:w="1372"/>
        <w:gridCol w:w="1546"/>
        <w:gridCol w:w="1008"/>
        <w:gridCol w:w="773"/>
      </w:tblGrid>
      <w:tr>
        <w:trPr>
          <w:trHeight w:val="857" w:hRule="atLeast"/>
        </w:trPr>
        <w:tc>
          <w:tcPr>
            <w:tcW w:w="1642" w:type="dxa"/>
            <w:tcBorders>
              <w:bottom w:val="single" w:sz="4" w:space="0" w:color="000000"/>
            </w:tcBorders>
          </w:tcPr>
          <w:p>
            <w:pPr>
              <w:pStyle w:val="TableParagraph"/>
              <w:spacing w:line="229" w:lineRule="exact"/>
              <w:ind w:left="108"/>
              <w:rPr>
                <w:sz w:val="22"/>
              </w:rPr>
            </w:pPr>
            <w:r>
              <w:rPr>
                <w:sz w:val="22"/>
              </w:rPr>
              <w:t>(I)</w:t>
            </w:r>
            <w:r>
              <w:rPr>
                <w:spacing w:val="-2"/>
                <w:sz w:val="22"/>
              </w:rPr>
              <w:t> Group_7</w:t>
            </w:r>
          </w:p>
        </w:tc>
        <w:tc>
          <w:tcPr>
            <w:tcW w:w="1372" w:type="dxa"/>
            <w:tcBorders>
              <w:bottom w:val="single" w:sz="4" w:space="0" w:color="000000"/>
            </w:tcBorders>
          </w:tcPr>
          <w:p>
            <w:pPr>
              <w:pStyle w:val="TableParagraph"/>
              <w:spacing w:line="229" w:lineRule="exact"/>
              <w:ind w:left="175"/>
              <w:rPr>
                <w:sz w:val="22"/>
              </w:rPr>
            </w:pPr>
            <w:r>
              <w:rPr>
                <w:sz w:val="22"/>
              </w:rPr>
              <w:t>(J)</w:t>
            </w:r>
            <w:r>
              <w:rPr>
                <w:spacing w:val="-2"/>
                <w:sz w:val="22"/>
              </w:rPr>
              <w:t> Group_7</w:t>
            </w:r>
          </w:p>
        </w:tc>
        <w:tc>
          <w:tcPr>
            <w:tcW w:w="1546" w:type="dxa"/>
            <w:tcBorders>
              <w:bottom w:val="single" w:sz="4" w:space="0" w:color="000000"/>
            </w:tcBorders>
          </w:tcPr>
          <w:p>
            <w:pPr>
              <w:pStyle w:val="TableParagraph"/>
              <w:spacing w:line="229" w:lineRule="exact"/>
              <w:ind w:left="107" w:right="1"/>
              <w:jc w:val="center"/>
              <w:rPr>
                <w:sz w:val="22"/>
              </w:rPr>
            </w:pPr>
            <w:r>
              <w:rPr>
                <w:spacing w:val="-2"/>
                <w:sz w:val="22"/>
              </w:rPr>
              <w:t>Mean±SEM</w:t>
            </w:r>
          </w:p>
        </w:tc>
        <w:tc>
          <w:tcPr>
            <w:tcW w:w="1008" w:type="dxa"/>
            <w:tcBorders>
              <w:bottom w:val="single" w:sz="4" w:space="0" w:color="000000"/>
            </w:tcBorders>
          </w:tcPr>
          <w:p>
            <w:pPr>
              <w:pStyle w:val="TableParagraph"/>
              <w:spacing w:line="229" w:lineRule="exact"/>
              <w:ind w:right="180"/>
              <w:jc w:val="right"/>
              <w:rPr>
                <w:sz w:val="22"/>
              </w:rPr>
            </w:pPr>
            <w:r>
              <w:rPr>
                <w:sz w:val="22"/>
              </w:rPr>
              <w:t>P-</w:t>
            </w:r>
            <w:r>
              <w:rPr>
                <w:spacing w:val="-2"/>
                <w:sz w:val="22"/>
              </w:rPr>
              <w:t>value</w:t>
            </w:r>
          </w:p>
        </w:tc>
        <w:tc>
          <w:tcPr>
            <w:tcW w:w="773" w:type="dxa"/>
            <w:tcBorders>
              <w:bottom w:val="single" w:sz="4" w:space="0" w:color="000000"/>
            </w:tcBorders>
          </w:tcPr>
          <w:p>
            <w:pPr>
              <w:pStyle w:val="TableParagraph"/>
              <w:spacing w:line="225" w:lineRule="exact"/>
              <w:ind w:left="5" w:right="71"/>
              <w:jc w:val="center"/>
              <w:rPr>
                <w:sz w:val="22"/>
              </w:rPr>
            </w:pPr>
            <w:r>
              <w:rPr>
                <w:spacing w:val="-5"/>
                <w:sz w:val="22"/>
              </w:rPr>
              <w:t>LOS</w:t>
            </w:r>
          </w:p>
        </w:tc>
      </w:tr>
      <w:tr>
        <w:trPr>
          <w:trHeight w:val="380" w:hRule="atLeast"/>
        </w:trPr>
        <w:tc>
          <w:tcPr>
            <w:tcW w:w="1642" w:type="dxa"/>
            <w:tcBorders>
              <w:top w:val="single" w:sz="4" w:space="0" w:color="000000"/>
            </w:tcBorders>
          </w:tcPr>
          <w:p>
            <w:pPr>
              <w:pStyle w:val="TableParagraph"/>
              <w:rPr>
                <w:rFonts w:ascii="Times New Roman"/>
                <w:sz w:val="22"/>
              </w:rPr>
            </w:pPr>
          </w:p>
        </w:tc>
        <w:tc>
          <w:tcPr>
            <w:tcW w:w="1372" w:type="dxa"/>
            <w:tcBorders>
              <w:top w:val="single" w:sz="4" w:space="0" w:color="000000"/>
            </w:tcBorders>
          </w:tcPr>
          <w:p>
            <w:pPr>
              <w:pStyle w:val="TableParagraph"/>
              <w:spacing w:line="268" w:lineRule="exact"/>
              <w:ind w:left="2" w:right="117"/>
              <w:jc w:val="center"/>
              <w:rPr>
                <w:sz w:val="22"/>
              </w:rPr>
            </w:pPr>
            <w:r>
              <w:rPr>
                <w:sz w:val="22"/>
              </w:rPr>
              <w:t>H:L;</w:t>
            </w:r>
            <w:r>
              <w:rPr>
                <w:spacing w:val="-5"/>
                <w:sz w:val="22"/>
              </w:rPr>
              <w:t> </w:t>
            </w:r>
            <w:r>
              <w:rPr>
                <w:spacing w:val="-2"/>
                <w:sz w:val="22"/>
              </w:rPr>
              <w:t>10:50</w:t>
            </w:r>
          </w:p>
        </w:tc>
        <w:tc>
          <w:tcPr>
            <w:tcW w:w="1546" w:type="dxa"/>
            <w:tcBorders>
              <w:top w:val="single" w:sz="4" w:space="0" w:color="000000"/>
            </w:tcBorders>
          </w:tcPr>
          <w:p>
            <w:pPr>
              <w:pStyle w:val="TableParagraph"/>
              <w:spacing w:line="268" w:lineRule="exact"/>
              <w:ind w:left="106" w:right="107"/>
              <w:jc w:val="center"/>
              <w:rPr>
                <w:sz w:val="22"/>
              </w:rPr>
            </w:pPr>
            <w:r>
              <w:rPr>
                <w:spacing w:val="-2"/>
                <w:sz w:val="22"/>
              </w:rPr>
              <w:t>20.867±0.696</w:t>
            </w:r>
          </w:p>
        </w:tc>
        <w:tc>
          <w:tcPr>
            <w:tcW w:w="1008" w:type="dxa"/>
            <w:tcBorders>
              <w:top w:val="single" w:sz="4" w:space="0" w:color="000000"/>
            </w:tcBorders>
          </w:tcPr>
          <w:p>
            <w:pPr>
              <w:pStyle w:val="TableParagraph"/>
              <w:spacing w:line="268" w:lineRule="exact"/>
              <w:ind w:right="177"/>
              <w:jc w:val="right"/>
              <w:rPr>
                <w:sz w:val="22"/>
              </w:rPr>
            </w:pPr>
            <w:r>
              <w:rPr>
                <w:spacing w:val="-2"/>
                <w:sz w:val="22"/>
              </w:rPr>
              <w:t>0.998</w:t>
            </w:r>
          </w:p>
        </w:tc>
        <w:tc>
          <w:tcPr>
            <w:tcW w:w="773" w:type="dxa"/>
            <w:tcBorders>
              <w:top w:val="single" w:sz="4" w:space="0" w:color="000000"/>
            </w:tcBorders>
          </w:tcPr>
          <w:p>
            <w:pPr>
              <w:pStyle w:val="TableParagraph"/>
              <w:spacing w:line="268" w:lineRule="exact"/>
              <w:ind w:left="1" w:right="71"/>
              <w:jc w:val="center"/>
              <w:rPr>
                <w:sz w:val="22"/>
              </w:rPr>
            </w:pPr>
            <w:r>
              <w:rPr>
                <w:spacing w:val="-5"/>
                <w:sz w:val="22"/>
              </w:rPr>
              <w:t>NS</w:t>
            </w:r>
          </w:p>
        </w:tc>
      </w:tr>
      <w:tr>
        <w:trPr>
          <w:trHeight w:val="382" w:hRule="atLeast"/>
        </w:trPr>
        <w:tc>
          <w:tcPr>
            <w:tcW w:w="1642" w:type="dxa"/>
          </w:tcPr>
          <w:p>
            <w:pPr>
              <w:pStyle w:val="TableParagraph"/>
              <w:rPr>
                <w:rFonts w:ascii="Times New Roman"/>
                <w:sz w:val="22"/>
              </w:rPr>
            </w:pPr>
          </w:p>
        </w:tc>
        <w:tc>
          <w:tcPr>
            <w:tcW w:w="1372" w:type="dxa"/>
          </w:tcPr>
          <w:p>
            <w:pPr>
              <w:pStyle w:val="TableParagraph"/>
              <w:spacing w:before="72"/>
              <w:ind w:left="2" w:right="117"/>
              <w:jc w:val="center"/>
              <w:rPr>
                <w:sz w:val="22"/>
              </w:rPr>
            </w:pPr>
            <w:r>
              <w:rPr>
                <w:sz w:val="22"/>
              </w:rPr>
              <w:t>H:L;</w:t>
            </w:r>
            <w:r>
              <w:rPr>
                <w:spacing w:val="-5"/>
                <w:sz w:val="22"/>
              </w:rPr>
              <w:t> </w:t>
            </w:r>
            <w:r>
              <w:rPr>
                <w:spacing w:val="-2"/>
                <w:sz w:val="22"/>
              </w:rPr>
              <w:t>20:50</w:t>
            </w:r>
          </w:p>
        </w:tc>
        <w:tc>
          <w:tcPr>
            <w:tcW w:w="1546" w:type="dxa"/>
          </w:tcPr>
          <w:p>
            <w:pPr>
              <w:pStyle w:val="TableParagraph"/>
              <w:spacing w:before="72"/>
              <w:ind w:left="106" w:right="107"/>
              <w:jc w:val="center"/>
              <w:rPr>
                <w:sz w:val="22"/>
              </w:rPr>
            </w:pPr>
            <w:r>
              <w:rPr>
                <w:spacing w:val="-2"/>
                <w:sz w:val="22"/>
              </w:rPr>
              <w:t>21.000±0.586</w:t>
            </w:r>
          </w:p>
        </w:tc>
        <w:tc>
          <w:tcPr>
            <w:tcW w:w="1008" w:type="dxa"/>
          </w:tcPr>
          <w:p>
            <w:pPr>
              <w:pStyle w:val="TableParagraph"/>
              <w:spacing w:before="72"/>
              <w:ind w:right="177"/>
              <w:jc w:val="right"/>
              <w:rPr>
                <w:sz w:val="22"/>
              </w:rPr>
            </w:pPr>
            <w:r>
              <w:rPr>
                <w:spacing w:val="-2"/>
                <w:sz w:val="22"/>
              </w:rPr>
              <w:t>1.000</w:t>
            </w:r>
          </w:p>
        </w:tc>
        <w:tc>
          <w:tcPr>
            <w:tcW w:w="773" w:type="dxa"/>
          </w:tcPr>
          <w:p>
            <w:pPr>
              <w:pStyle w:val="TableParagraph"/>
              <w:spacing w:before="72"/>
              <w:ind w:left="1" w:right="71"/>
              <w:jc w:val="center"/>
              <w:rPr>
                <w:sz w:val="22"/>
              </w:rPr>
            </w:pPr>
            <w:r>
              <w:rPr>
                <w:spacing w:val="-5"/>
                <w:sz w:val="22"/>
              </w:rPr>
              <w:t>NS</w:t>
            </w:r>
          </w:p>
        </w:tc>
      </w:tr>
      <w:tr>
        <w:trPr>
          <w:trHeight w:val="595" w:hRule="atLeast"/>
        </w:trPr>
        <w:tc>
          <w:tcPr>
            <w:tcW w:w="1642" w:type="dxa"/>
          </w:tcPr>
          <w:p>
            <w:pPr>
              <w:pStyle w:val="TableParagraph"/>
              <w:spacing w:before="1"/>
              <w:ind w:left="108"/>
              <w:rPr>
                <w:sz w:val="22"/>
              </w:rPr>
            </w:pPr>
            <w:r>
              <w:rPr>
                <w:sz w:val="22"/>
              </w:rPr>
              <w:t>Lemon</w:t>
            </w:r>
            <w:r>
              <w:rPr>
                <w:spacing w:val="-6"/>
                <w:sz w:val="22"/>
              </w:rPr>
              <w:t> </w:t>
            </w:r>
            <w:r>
              <w:rPr>
                <w:spacing w:val="-2"/>
                <w:sz w:val="22"/>
              </w:rPr>
              <w:t>(100%)</w:t>
            </w:r>
          </w:p>
          <w:p>
            <w:pPr>
              <w:pStyle w:val="TableParagraph"/>
              <w:spacing w:before="15"/>
              <w:ind w:left="108"/>
              <w:rPr>
                <w:sz w:val="22"/>
              </w:rPr>
            </w:pPr>
            <w:r>
              <w:rPr>
                <w:spacing w:val="-2"/>
                <w:sz w:val="22"/>
              </w:rPr>
              <w:t>(21.333±0.374)</w:t>
            </w:r>
          </w:p>
        </w:tc>
        <w:tc>
          <w:tcPr>
            <w:tcW w:w="1372" w:type="dxa"/>
          </w:tcPr>
          <w:p>
            <w:pPr>
              <w:pStyle w:val="TableParagraph"/>
              <w:spacing w:before="143"/>
              <w:ind w:left="2" w:right="117"/>
              <w:jc w:val="center"/>
              <w:rPr>
                <w:sz w:val="22"/>
              </w:rPr>
            </w:pPr>
            <w:r>
              <w:rPr>
                <w:sz w:val="22"/>
              </w:rPr>
              <w:t>H:L;</w:t>
            </w:r>
            <w:r>
              <w:rPr>
                <w:spacing w:val="-5"/>
                <w:sz w:val="22"/>
              </w:rPr>
              <w:t> </w:t>
            </w:r>
            <w:r>
              <w:rPr>
                <w:spacing w:val="-2"/>
                <w:sz w:val="22"/>
              </w:rPr>
              <w:t>30:50</w:t>
            </w:r>
          </w:p>
        </w:tc>
        <w:tc>
          <w:tcPr>
            <w:tcW w:w="1546" w:type="dxa"/>
          </w:tcPr>
          <w:p>
            <w:pPr>
              <w:pStyle w:val="TableParagraph"/>
              <w:spacing w:before="143"/>
              <w:ind w:left="106" w:right="106"/>
              <w:jc w:val="center"/>
              <w:rPr>
                <w:sz w:val="22"/>
              </w:rPr>
            </w:pPr>
            <w:r>
              <w:rPr>
                <w:spacing w:val="-2"/>
                <w:sz w:val="22"/>
              </w:rPr>
              <w:t>21.933±0.331</w:t>
            </w:r>
          </w:p>
        </w:tc>
        <w:tc>
          <w:tcPr>
            <w:tcW w:w="1008" w:type="dxa"/>
          </w:tcPr>
          <w:p>
            <w:pPr>
              <w:pStyle w:val="TableParagraph"/>
              <w:spacing w:before="143"/>
              <w:ind w:right="177"/>
              <w:jc w:val="right"/>
              <w:rPr>
                <w:sz w:val="22"/>
              </w:rPr>
            </w:pPr>
            <w:r>
              <w:rPr>
                <w:spacing w:val="-2"/>
                <w:sz w:val="22"/>
              </w:rPr>
              <w:t>0.989</w:t>
            </w:r>
          </w:p>
        </w:tc>
        <w:tc>
          <w:tcPr>
            <w:tcW w:w="773" w:type="dxa"/>
          </w:tcPr>
          <w:p>
            <w:pPr>
              <w:pStyle w:val="TableParagraph"/>
              <w:spacing w:before="143"/>
              <w:ind w:left="1" w:right="71"/>
              <w:jc w:val="center"/>
              <w:rPr>
                <w:sz w:val="22"/>
              </w:rPr>
            </w:pPr>
            <w:r>
              <w:rPr>
                <w:spacing w:val="-5"/>
                <w:sz w:val="22"/>
              </w:rPr>
              <w:t>NS</w:t>
            </w:r>
          </w:p>
        </w:tc>
      </w:tr>
      <w:tr>
        <w:trPr>
          <w:trHeight w:val="383" w:hRule="atLeast"/>
        </w:trPr>
        <w:tc>
          <w:tcPr>
            <w:tcW w:w="1642" w:type="dxa"/>
          </w:tcPr>
          <w:p>
            <w:pPr>
              <w:pStyle w:val="TableParagraph"/>
              <w:rPr>
                <w:rFonts w:ascii="Times New Roman"/>
                <w:sz w:val="22"/>
              </w:rPr>
            </w:pPr>
          </w:p>
        </w:tc>
        <w:tc>
          <w:tcPr>
            <w:tcW w:w="1372" w:type="dxa"/>
          </w:tcPr>
          <w:p>
            <w:pPr>
              <w:pStyle w:val="TableParagraph"/>
              <w:spacing w:before="1"/>
              <w:ind w:left="2" w:right="117"/>
              <w:jc w:val="center"/>
              <w:rPr>
                <w:sz w:val="22"/>
              </w:rPr>
            </w:pPr>
            <w:r>
              <w:rPr>
                <w:sz w:val="22"/>
              </w:rPr>
              <w:t>H:L;</w:t>
            </w:r>
            <w:r>
              <w:rPr>
                <w:spacing w:val="-5"/>
                <w:sz w:val="22"/>
              </w:rPr>
              <w:t> </w:t>
            </w:r>
            <w:r>
              <w:rPr>
                <w:spacing w:val="-2"/>
                <w:sz w:val="22"/>
              </w:rPr>
              <w:t>40:50</w:t>
            </w:r>
          </w:p>
        </w:tc>
        <w:tc>
          <w:tcPr>
            <w:tcW w:w="1546" w:type="dxa"/>
          </w:tcPr>
          <w:p>
            <w:pPr>
              <w:pStyle w:val="TableParagraph"/>
              <w:spacing w:before="1"/>
              <w:ind w:left="106" w:right="107"/>
              <w:jc w:val="center"/>
              <w:rPr>
                <w:sz w:val="22"/>
              </w:rPr>
            </w:pPr>
            <w:r>
              <w:rPr>
                <w:spacing w:val="-2"/>
                <w:sz w:val="22"/>
              </w:rPr>
              <w:t>21.533±0.467</w:t>
            </w:r>
          </w:p>
        </w:tc>
        <w:tc>
          <w:tcPr>
            <w:tcW w:w="1008" w:type="dxa"/>
          </w:tcPr>
          <w:p>
            <w:pPr>
              <w:pStyle w:val="TableParagraph"/>
              <w:spacing w:before="1"/>
              <w:ind w:right="177"/>
              <w:jc w:val="right"/>
              <w:rPr>
                <w:sz w:val="22"/>
              </w:rPr>
            </w:pPr>
            <w:r>
              <w:rPr>
                <w:spacing w:val="-2"/>
                <w:sz w:val="22"/>
              </w:rPr>
              <w:t>1.000</w:t>
            </w:r>
          </w:p>
        </w:tc>
        <w:tc>
          <w:tcPr>
            <w:tcW w:w="773" w:type="dxa"/>
          </w:tcPr>
          <w:p>
            <w:pPr>
              <w:pStyle w:val="TableParagraph"/>
              <w:spacing w:before="1"/>
              <w:ind w:left="1" w:right="71"/>
              <w:jc w:val="center"/>
              <w:rPr>
                <w:sz w:val="22"/>
              </w:rPr>
            </w:pPr>
            <w:r>
              <w:rPr>
                <w:spacing w:val="-5"/>
                <w:sz w:val="22"/>
              </w:rPr>
              <w:t>NS</w:t>
            </w:r>
          </w:p>
        </w:tc>
      </w:tr>
      <w:tr>
        <w:trPr>
          <w:trHeight w:val="520" w:hRule="atLeast"/>
        </w:trPr>
        <w:tc>
          <w:tcPr>
            <w:tcW w:w="1642" w:type="dxa"/>
            <w:tcBorders>
              <w:bottom w:val="single" w:sz="4" w:space="0" w:color="000000"/>
            </w:tcBorders>
          </w:tcPr>
          <w:p>
            <w:pPr>
              <w:pStyle w:val="TableParagraph"/>
              <w:rPr>
                <w:rFonts w:ascii="Times New Roman"/>
                <w:sz w:val="22"/>
              </w:rPr>
            </w:pPr>
          </w:p>
        </w:tc>
        <w:tc>
          <w:tcPr>
            <w:tcW w:w="1372" w:type="dxa"/>
            <w:tcBorders>
              <w:bottom w:val="single" w:sz="4" w:space="0" w:color="000000"/>
            </w:tcBorders>
          </w:tcPr>
          <w:p>
            <w:pPr>
              <w:pStyle w:val="TableParagraph"/>
              <w:spacing w:before="73"/>
              <w:ind w:left="2" w:right="117"/>
              <w:jc w:val="center"/>
              <w:rPr>
                <w:sz w:val="22"/>
              </w:rPr>
            </w:pPr>
            <w:r>
              <w:rPr>
                <w:sz w:val="22"/>
              </w:rPr>
              <w:t>H:L;</w:t>
            </w:r>
            <w:r>
              <w:rPr>
                <w:spacing w:val="-5"/>
                <w:sz w:val="22"/>
              </w:rPr>
              <w:t> </w:t>
            </w:r>
            <w:r>
              <w:rPr>
                <w:spacing w:val="-2"/>
                <w:sz w:val="22"/>
              </w:rPr>
              <w:t>50:50</w:t>
            </w:r>
          </w:p>
        </w:tc>
        <w:tc>
          <w:tcPr>
            <w:tcW w:w="1546" w:type="dxa"/>
            <w:tcBorders>
              <w:bottom w:val="single" w:sz="4" w:space="0" w:color="000000"/>
            </w:tcBorders>
          </w:tcPr>
          <w:p>
            <w:pPr>
              <w:pStyle w:val="TableParagraph"/>
              <w:spacing w:before="73"/>
              <w:ind w:left="106" w:right="107"/>
              <w:jc w:val="center"/>
              <w:rPr>
                <w:sz w:val="22"/>
              </w:rPr>
            </w:pPr>
            <w:r>
              <w:rPr>
                <w:spacing w:val="-2"/>
                <w:sz w:val="22"/>
              </w:rPr>
              <w:t>22.800±0.571</w:t>
            </w:r>
          </w:p>
        </w:tc>
        <w:tc>
          <w:tcPr>
            <w:tcW w:w="1008" w:type="dxa"/>
            <w:tcBorders>
              <w:bottom w:val="single" w:sz="4" w:space="0" w:color="000000"/>
            </w:tcBorders>
          </w:tcPr>
          <w:p>
            <w:pPr>
              <w:pStyle w:val="TableParagraph"/>
              <w:spacing w:before="73"/>
              <w:ind w:right="177"/>
              <w:jc w:val="right"/>
              <w:rPr>
                <w:sz w:val="22"/>
              </w:rPr>
            </w:pPr>
            <w:r>
              <w:rPr>
                <w:spacing w:val="-2"/>
                <w:sz w:val="22"/>
              </w:rPr>
              <w:t>0.421</w:t>
            </w:r>
          </w:p>
        </w:tc>
        <w:tc>
          <w:tcPr>
            <w:tcW w:w="773" w:type="dxa"/>
            <w:tcBorders>
              <w:bottom w:val="single" w:sz="4" w:space="0" w:color="000000"/>
            </w:tcBorders>
          </w:tcPr>
          <w:p>
            <w:pPr>
              <w:pStyle w:val="TableParagraph"/>
              <w:spacing w:before="73"/>
              <w:ind w:left="1" w:right="71"/>
              <w:jc w:val="center"/>
              <w:rPr>
                <w:sz w:val="22"/>
              </w:rPr>
            </w:pPr>
            <w:r>
              <w:rPr>
                <w:spacing w:val="-5"/>
                <w:sz w:val="22"/>
              </w:rPr>
              <w:t>NS</w:t>
            </w:r>
          </w:p>
        </w:tc>
      </w:tr>
      <w:tr>
        <w:trPr>
          <w:trHeight w:val="377" w:hRule="atLeast"/>
        </w:trPr>
        <w:tc>
          <w:tcPr>
            <w:tcW w:w="1642" w:type="dxa"/>
            <w:tcBorders>
              <w:top w:val="single" w:sz="4" w:space="0" w:color="000000"/>
            </w:tcBorders>
          </w:tcPr>
          <w:p>
            <w:pPr>
              <w:pStyle w:val="TableParagraph"/>
              <w:rPr>
                <w:rFonts w:ascii="Times New Roman"/>
                <w:sz w:val="22"/>
              </w:rPr>
            </w:pPr>
          </w:p>
        </w:tc>
        <w:tc>
          <w:tcPr>
            <w:tcW w:w="1372" w:type="dxa"/>
            <w:tcBorders>
              <w:top w:val="single" w:sz="4" w:space="0" w:color="000000"/>
            </w:tcBorders>
          </w:tcPr>
          <w:p>
            <w:pPr>
              <w:pStyle w:val="TableParagraph"/>
              <w:spacing w:line="265" w:lineRule="exact"/>
              <w:ind w:left="2" w:right="117"/>
              <w:jc w:val="center"/>
              <w:rPr>
                <w:sz w:val="22"/>
              </w:rPr>
            </w:pPr>
            <w:r>
              <w:rPr>
                <w:sz w:val="22"/>
              </w:rPr>
              <w:t>H:L;</w:t>
            </w:r>
            <w:r>
              <w:rPr>
                <w:spacing w:val="-5"/>
                <w:sz w:val="22"/>
              </w:rPr>
              <w:t> </w:t>
            </w:r>
            <w:r>
              <w:rPr>
                <w:spacing w:val="-2"/>
                <w:sz w:val="22"/>
              </w:rPr>
              <w:t>10:50</w:t>
            </w:r>
          </w:p>
        </w:tc>
        <w:tc>
          <w:tcPr>
            <w:tcW w:w="1546" w:type="dxa"/>
            <w:tcBorders>
              <w:top w:val="single" w:sz="4" w:space="0" w:color="000000"/>
            </w:tcBorders>
          </w:tcPr>
          <w:p>
            <w:pPr>
              <w:pStyle w:val="TableParagraph"/>
              <w:spacing w:line="265" w:lineRule="exact"/>
              <w:ind w:left="106" w:right="107"/>
              <w:jc w:val="center"/>
              <w:rPr>
                <w:sz w:val="22"/>
              </w:rPr>
            </w:pPr>
            <w:r>
              <w:rPr>
                <w:spacing w:val="-2"/>
                <w:sz w:val="22"/>
              </w:rPr>
              <w:t>20.867±0.696</w:t>
            </w:r>
          </w:p>
        </w:tc>
        <w:tc>
          <w:tcPr>
            <w:tcW w:w="1008" w:type="dxa"/>
            <w:tcBorders>
              <w:top w:val="single" w:sz="4" w:space="0" w:color="000000"/>
            </w:tcBorders>
          </w:tcPr>
          <w:p>
            <w:pPr>
              <w:pStyle w:val="TableParagraph"/>
              <w:spacing w:line="265" w:lineRule="exact"/>
              <w:ind w:right="177"/>
              <w:jc w:val="right"/>
              <w:rPr>
                <w:sz w:val="22"/>
              </w:rPr>
            </w:pPr>
            <w:r>
              <w:rPr>
                <w:spacing w:val="-2"/>
                <w:sz w:val="22"/>
              </w:rPr>
              <w:t>0.010</w:t>
            </w:r>
          </w:p>
        </w:tc>
        <w:tc>
          <w:tcPr>
            <w:tcW w:w="773" w:type="dxa"/>
            <w:tcBorders>
              <w:top w:val="single" w:sz="4" w:space="0" w:color="000000"/>
            </w:tcBorders>
          </w:tcPr>
          <w:p>
            <w:pPr>
              <w:pStyle w:val="TableParagraph"/>
              <w:spacing w:line="265" w:lineRule="exact"/>
              <w:ind w:right="71"/>
              <w:jc w:val="center"/>
              <w:rPr>
                <w:sz w:val="22"/>
              </w:rPr>
            </w:pPr>
            <w:r>
              <w:rPr>
                <w:spacing w:val="-5"/>
                <w:sz w:val="22"/>
              </w:rPr>
              <w:t>SF</w:t>
            </w:r>
          </w:p>
        </w:tc>
      </w:tr>
      <w:tr>
        <w:trPr>
          <w:trHeight w:val="383" w:hRule="atLeast"/>
        </w:trPr>
        <w:tc>
          <w:tcPr>
            <w:tcW w:w="1642" w:type="dxa"/>
          </w:tcPr>
          <w:p>
            <w:pPr>
              <w:pStyle w:val="TableParagraph"/>
              <w:rPr>
                <w:rFonts w:ascii="Times New Roman"/>
                <w:sz w:val="22"/>
              </w:rPr>
            </w:pPr>
          </w:p>
        </w:tc>
        <w:tc>
          <w:tcPr>
            <w:tcW w:w="1372" w:type="dxa"/>
          </w:tcPr>
          <w:p>
            <w:pPr>
              <w:pStyle w:val="TableParagraph"/>
              <w:spacing w:before="72"/>
              <w:ind w:left="2" w:right="117"/>
              <w:jc w:val="center"/>
              <w:rPr>
                <w:sz w:val="22"/>
              </w:rPr>
            </w:pPr>
            <w:r>
              <w:rPr>
                <w:sz w:val="22"/>
              </w:rPr>
              <w:t>H:L;</w:t>
            </w:r>
            <w:r>
              <w:rPr>
                <w:spacing w:val="-5"/>
                <w:sz w:val="22"/>
              </w:rPr>
              <w:t> </w:t>
            </w:r>
            <w:r>
              <w:rPr>
                <w:spacing w:val="-2"/>
                <w:sz w:val="22"/>
              </w:rPr>
              <w:t>20:50</w:t>
            </w:r>
          </w:p>
        </w:tc>
        <w:tc>
          <w:tcPr>
            <w:tcW w:w="1546" w:type="dxa"/>
          </w:tcPr>
          <w:p>
            <w:pPr>
              <w:pStyle w:val="TableParagraph"/>
              <w:spacing w:before="72"/>
              <w:ind w:left="106" w:right="107"/>
              <w:jc w:val="center"/>
              <w:rPr>
                <w:sz w:val="22"/>
              </w:rPr>
            </w:pPr>
            <w:r>
              <w:rPr>
                <w:spacing w:val="-2"/>
                <w:sz w:val="22"/>
              </w:rPr>
              <w:t>21.000±0.586</w:t>
            </w:r>
          </w:p>
        </w:tc>
        <w:tc>
          <w:tcPr>
            <w:tcW w:w="1008" w:type="dxa"/>
          </w:tcPr>
          <w:p>
            <w:pPr>
              <w:pStyle w:val="TableParagraph"/>
              <w:spacing w:before="72"/>
              <w:ind w:right="177"/>
              <w:jc w:val="right"/>
              <w:rPr>
                <w:sz w:val="22"/>
              </w:rPr>
            </w:pPr>
            <w:r>
              <w:rPr>
                <w:spacing w:val="-2"/>
                <w:sz w:val="22"/>
              </w:rPr>
              <w:t>0.005</w:t>
            </w:r>
          </w:p>
        </w:tc>
        <w:tc>
          <w:tcPr>
            <w:tcW w:w="773" w:type="dxa"/>
          </w:tcPr>
          <w:p>
            <w:pPr>
              <w:pStyle w:val="TableParagraph"/>
              <w:spacing w:before="72"/>
              <w:ind w:right="71"/>
              <w:jc w:val="center"/>
              <w:rPr>
                <w:sz w:val="22"/>
              </w:rPr>
            </w:pPr>
            <w:r>
              <w:rPr>
                <w:spacing w:val="-5"/>
                <w:sz w:val="22"/>
              </w:rPr>
              <w:t>SF</w:t>
            </w:r>
          </w:p>
        </w:tc>
      </w:tr>
      <w:tr>
        <w:trPr>
          <w:trHeight w:val="597" w:hRule="atLeast"/>
        </w:trPr>
        <w:tc>
          <w:tcPr>
            <w:tcW w:w="1642" w:type="dxa"/>
          </w:tcPr>
          <w:p>
            <w:pPr>
              <w:pStyle w:val="TableParagraph"/>
              <w:spacing w:before="2"/>
              <w:ind w:left="108"/>
              <w:rPr>
                <w:sz w:val="22"/>
              </w:rPr>
            </w:pPr>
            <w:r>
              <w:rPr>
                <w:sz w:val="22"/>
              </w:rPr>
              <w:t>Lemon</w:t>
            </w:r>
            <w:r>
              <w:rPr>
                <w:spacing w:val="-4"/>
                <w:sz w:val="22"/>
              </w:rPr>
              <w:t> </w:t>
            </w:r>
            <w:r>
              <w:rPr>
                <w:spacing w:val="-2"/>
                <w:sz w:val="22"/>
              </w:rPr>
              <w:t>(50%)</w:t>
            </w:r>
          </w:p>
          <w:p>
            <w:pPr>
              <w:pStyle w:val="TableParagraph"/>
              <w:spacing w:before="17"/>
              <w:ind w:left="108"/>
              <w:rPr>
                <w:sz w:val="22"/>
              </w:rPr>
            </w:pPr>
            <w:r>
              <w:rPr>
                <w:spacing w:val="-2"/>
                <w:sz w:val="22"/>
              </w:rPr>
              <w:t>(18.333±0.374)</w:t>
            </w:r>
          </w:p>
        </w:tc>
        <w:tc>
          <w:tcPr>
            <w:tcW w:w="1372" w:type="dxa"/>
          </w:tcPr>
          <w:p>
            <w:pPr>
              <w:pStyle w:val="TableParagraph"/>
              <w:spacing w:before="143"/>
              <w:ind w:left="2" w:right="117"/>
              <w:jc w:val="center"/>
              <w:rPr>
                <w:sz w:val="22"/>
              </w:rPr>
            </w:pPr>
            <w:r>
              <w:rPr>
                <w:sz w:val="22"/>
              </w:rPr>
              <w:t>H:L;</w:t>
            </w:r>
            <w:r>
              <w:rPr>
                <w:spacing w:val="-5"/>
                <w:sz w:val="22"/>
              </w:rPr>
              <w:t> </w:t>
            </w:r>
            <w:r>
              <w:rPr>
                <w:spacing w:val="-2"/>
                <w:sz w:val="22"/>
              </w:rPr>
              <w:t>30:50</w:t>
            </w:r>
          </w:p>
        </w:tc>
        <w:tc>
          <w:tcPr>
            <w:tcW w:w="1546" w:type="dxa"/>
          </w:tcPr>
          <w:p>
            <w:pPr>
              <w:pStyle w:val="TableParagraph"/>
              <w:spacing w:before="143"/>
              <w:ind w:left="106" w:right="107"/>
              <w:jc w:val="center"/>
              <w:rPr>
                <w:sz w:val="22"/>
              </w:rPr>
            </w:pPr>
            <w:r>
              <w:rPr>
                <w:spacing w:val="-2"/>
                <w:sz w:val="22"/>
              </w:rPr>
              <w:t>21.933±0.331</w:t>
            </w:r>
          </w:p>
        </w:tc>
        <w:tc>
          <w:tcPr>
            <w:tcW w:w="1008" w:type="dxa"/>
          </w:tcPr>
          <w:p>
            <w:pPr>
              <w:pStyle w:val="TableParagraph"/>
              <w:spacing w:before="143"/>
              <w:ind w:right="177"/>
              <w:jc w:val="right"/>
              <w:rPr>
                <w:sz w:val="22"/>
              </w:rPr>
            </w:pPr>
            <w:r>
              <w:rPr>
                <w:spacing w:val="-2"/>
                <w:sz w:val="22"/>
              </w:rPr>
              <w:t>0.000</w:t>
            </w:r>
          </w:p>
        </w:tc>
        <w:tc>
          <w:tcPr>
            <w:tcW w:w="773" w:type="dxa"/>
          </w:tcPr>
          <w:p>
            <w:pPr>
              <w:pStyle w:val="TableParagraph"/>
              <w:spacing w:before="143"/>
              <w:ind w:right="71"/>
              <w:jc w:val="center"/>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372" w:type="dxa"/>
          </w:tcPr>
          <w:p>
            <w:pPr>
              <w:pStyle w:val="TableParagraph"/>
              <w:spacing w:before="1"/>
              <w:ind w:left="2" w:right="117"/>
              <w:jc w:val="center"/>
              <w:rPr>
                <w:sz w:val="22"/>
              </w:rPr>
            </w:pPr>
            <w:r>
              <w:rPr>
                <w:sz w:val="22"/>
              </w:rPr>
              <w:t>H:L;</w:t>
            </w:r>
            <w:r>
              <w:rPr>
                <w:spacing w:val="-5"/>
                <w:sz w:val="22"/>
              </w:rPr>
              <w:t> </w:t>
            </w:r>
            <w:r>
              <w:rPr>
                <w:spacing w:val="-2"/>
                <w:sz w:val="22"/>
              </w:rPr>
              <w:t>40:50</w:t>
            </w:r>
          </w:p>
        </w:tc>
        <w:tc>
          <w:tcPr>
            <w:tcW w:w="1546" w:type="dxa"/>
          </w:tcPr>
          <w:p>
            <w:pPr>
              <w:pStyle w:val="TableParagraph"/>
              <w:spacing w:before="1"/>
              <w:ind w:left="106" w:right="107"/>
              <w:jc w:val="center"/>
              <w:rPr>
                <w:sz w:val="22"/>
              </w:rPr>
            </w:pPr>
            <w:r>
              <w:rPr>
                <w:spacing w:val="-2"/>
                <w:sz w:val="22"/>
              </w:rPr>
              <w:t>21.533±0.467</w:t>
            </w:r>
          </w:p>
        </w:tc>
        <w:tc>
          <w:tcPr>
            <w:tcW w:w="1008" w:type="dxa"/>
          </w:tcPr>
          <w:p>
            <w:pPr>
              <w:pStyle w:val="TableParagraph"/>
              <w:spacing w:before="1"/>
              <w:ind w:right="177"/>
              <w:jc w:val="right"/>
              <w:rPr>
                <w:sz w:val="22"/>
              </w:rPr>
            </w:pPr>
            <w:r>
              <w:rPr>
                <w:spacing w:val="-2"/>
                <w:sz w:val="22"/>
              </w:rPr>
              <w:t>0.000</w:t>
            </w:r>
          </w:p>
        </w:tc>
        <w:tc>
          <w:tcPr>
            <w:tcW w:w="773" w:type="dxa"/>
          </w:tcPr>
          <w:p>
            <w:pPr>
              <w:pStyle w:val="TableParagraph"/>
              <w:spacing w:before="1"/>
              <w:ind w:right="71"/>
              <w:jc w:val="center"/>
              <w:rPr>
                <w:sz w:val="22"/>
              </w:rPr>
            </w:pPr>
            <w:r>
              <w:rPr>
                <w:spacing w:val="-5"/>
                <w:sz w:val="22"/>
              </w:rPr>
              <w:t>SF</w:t>
            </w:r>
          </w:p>
        </w:tc>
      </w:tr>
      <w:tr>
        <w:trPr>
          <w:trHeight w:val="519" w:hRule="atLeast"/>
        </w:trPr>
        <w:tc>
          <w:tcPr>
            <w:tcW w:w="1642" w:type="dxa"/>
            <w:tcBorders>
              <w:bottom w:val="single" w:sz="4" w:space="0" w:color="000000"/>
            </w:tcBorders>
          </w:tcPr>
          <w:p>
            <w:pPr>
              <w:pStyle w:val="TableParagraph"/>
              <w:rPr>
                <w:rFonts w:ascii="Times New Roman"/>
                <w:sz w:val="22"/>
              </w:rPr>
            </w:pPr>
          </w:p>
        </w:tc>
        <w:tc>
          <w:tcPr>
            <w:tcW w:w="1372" w:type="dxa"/>
            <w:tcBorders>
              <w:bottom w:val="single" w:sz="4" w:space="0" w:color="000000"/>
            </w:tcBorders>
          </w:tcPr>
          <w:p>
            <w:pPr>
              <w:pStyle w:val="TableParagraph"/>
              <w:spacing w:before="72"/>
              <w:ind w:left="2" w:right="117"/>
              <w:jc w:val="center"/>
              <w:rPr>
                <w:sz w:val="22"/>
              </w:rPr>
            </w:pPr>
            <w:r>
              <w:rPr>
                <w:sz w:val="22"/>
              </w:rPr>
              <w:t>H:L;</w:t>
            </w:r>
            <w:r>
              <w:rPr>
                <w:spacing w:val="-5"/>
                <w:sz w:val="22"/>
              </w:rPr>
              <w:t> </w:t>
            </w:r>
            <w:r>
              <w:rPr>
                <w:spacing w:val="-2"/>
                <w:sz w:val="22"/>
              </w:rPr>
              <w:t>50:50</w:t>
            </w:r>
          </w:p>
        </w:tc>
        <w:tc>
          <w:tcPr>
            <w:tcW w:w="1546" w:type="dxa"/>
            <w:tcBorders>
              <w:bottom w:val="single" w:sz="4" w:space="0" w:color="000000"/>
            </w:tcBorders>
          </w:tcPr>
          <w:p>
            <w:pPr>
              <w:pStyle w:val="TableParagraph"/>
              <w:spacing w:before="72"/>
              <w:ind w:left="106" w:right="107"/>
              <w:jc w:val="center"/>
              <w:rPr>
                <w:sz w:val="22"/>
              </w:rPr>
            </w:pPr>
            <w:r>
              <w:rPr>
                <w:spacing w:val="-2"/>
                <w:sz w:val="22"/>
              </w:rPr>
              <w:t>22.800±0.571</w:t>
            </w:r>
          </w:p>
        </w:tc>
        <w:tc>
          <w:tcPr>
            <w:tcW w:w="1008" w:type="dxa"/>
            <w:tcBorders>
              <w:bottom w:val="single" w:sz="4" w:space="0" w:color="000000"/>
            </w:tcBorders>
          </w:tcPr>
          <w:p>
            <w:pPr>
              <w:pStyle w:val="TableParagraph"/>
              <w:spacing w:before="72"/>
              <w:ind w:right="177"/>
              <w:jc w:val="right"/>
              <w:rPr>
                <w:sz w:val="22"/>
              </w:rPr>
            </w:pPr>
            <w:r>
              <w:rPr>
                <w:spacing w:val="-2"/>
                <w:sz w:val="22"/>
              </w:rPr>
              <w:t>0.000</w:t>
            </w:r>
          </w:p>
        </w:tc>
        <w:tc>
          <w:tcPr>
            <w:tcW w:w="773" w:type="dxa"/>
            <w:tcBorders>
              <w:bottom w:val="single" w:sz="4" w:space="0" w:color="000000"/>
            </w:tcBorders>
          </w:tcPr>
          <w:p>
            <w:pPr>
              <w:pStyle w:val="TableParagraph"/>
              <w:spacing w:before="72"/>
              <w:ind w:right="71"/>
              <w:jc w:val="center"/>
              <w:rPr>
                <w:sz w:val="22"/>
              </w:rPr>
            </w:pPr>
            <w:r>
              <w:rPr>
                <w:spacing w:val="-5"/>
                <w:sz w:val="22"/>
              </w:rPr>
              <w:t>SF</w:t>
            </w:r>
          </w:p>
        </w:tc>
      </w:tr>
      <w:tr>
        <w:trPr>
          <w:trHeight w:val="377" w:hRule="atLeast"/>
        </w:trPr>
        <w:tc>
          <w:tcPr>
            <w:tcW w:w="1642" w:type="dxa"/>
            <w:tcBorders>
              <w:top w:val="single" w:sz="4" w:space="0" w:color="000000"/>
            </w:tcBorders>
          </w:tcPr>
          <w:p>
            <w:pPr>
              <w:pStyle w:val="TableParagraph"/>
              <w:rPr>
                <w:rFonts w:ascii="Times New Roman"/>
                <w:sz w:val="22"/>
              </w:rPr>
            </w:pPr>
          </w:p>
        </w:tc>
        <w:tc>
          <w:tcPr>
            <w:tcW w:w="1372" w:type="dxa"/>
            <w:tcBorders>
              <w:top w:val="single" w:sz="4" w:space="0" w:color="000000"/>
            </w:tcBorders>
          </w:tcPr>
          <w:p>
            <w:pPr>
              <w:pStyle w:val="TableParagraph"/>
              <w:spacing w:line="265" w:lineRule="exact"/>
              <w:ind w:left="2" w:right="117"/>
              <w:jc w:val="center"/>
              <w:rPr>
                <w:sz w:val="22"/>
              </w:rPr>
            </w:pPr>
            <w:r>
              <w:rPr>
                <w:sz w:val="22"/>
              </w:rPr>
              <w:t>H:L;</w:t>
            </w:r>
            <w:r>
              <w:rPr>
                <w:spacing w:val="-5"/>
                <w:sz w:val="22"/>
              </w:rPr>
              <w:t> </w:t>
            </w:r>
            <w:r>
              <w:rPr>
                <w:spacing w:val="-2"/>
                <w:sz w:val="22"/>
              </w:rPr>
              <w:t>10:50</w:t>
            </w:r>
          </w:p>
        </w:tc>
        <w:tc>
          <w:tcPr>
            <w:tcW w:w="1546" w:type="dxa"/>
            <w:tcBorders>
              <w:top w:val="single" w:sz="4" w:space="0" w:color="000000"/>
            </w:tcBorders>
          </w:tcPr>
          <w:p>
            <w:pPr>
              <w:pStyle w:val="TableParagraph"/>
              <w:spacing w:line="265" w:lineRule="exact"/>
              <w:ind w:left="106" w:right="107"/>
              <w:jc w:val="center"/>
              <w:rPr>
                <w:sz w:val="22"/>
              </w:rPr>
            </w:pPr>
            <w:r>
              <w:rPr>
                <w:spacing w:val="-2"/>
                <w:sz w:val="22"/>
              </w:rPr>
              <w:t>20.867±0.696</w:t>
            </w:r>
          </w:p>
        </w:tc>
        <w:tc>
          <w:tcPr>
            <w:tcW w:w="1008" w:type="dxa"/>
            <w:tcBorders>
              <w:top w:val="single" w:sz="4" w:space="0" w:color="000000"/>
            </w:tcBorders>
          </w:tcPr>
          <w:p>
            <w:pPr>
              <w:pStyle w:val="TableParagraph"/>
              <w:spacing w:line="265" w:lineRule="exact"/>
              <w:ind w:right="177"/>
              <w:jc w:val="right"/>
              <w:rPr>
                <w:sz w:val="22"/>
              </w:rPr>
            </w:pPr>
            <w:r>
              <w:rPr>
                <w:spacing w:val="-2"/>
                <w:sz w:val="22"/>
              </w:rPr>
              <w:t>0.000</w:t>
            </w:r>
          </w:p>
        </w:tc>
        <w:tc>
          <w:tcPr>
            <w:tcW w:w="773" w:type="dxa"/>
            <w:tcBorders>
              <w:top w:val="single" w:sz="4" w:space="0" w:color="000000"/>
            </w:tcBorders>
          </w:tcPr>
          <w:p>
            <w:pPr>
              <w:pStyle w:val="TableParagraph"/>
              <w:spacing w:line="265" w:lineRule="exact"/>
              <w:ind w:right="71"/>
              <w:jc w:val="center"/>
              <w:rPr>
                <w:sz w:val="22"/>
              </w:rPr>
            </w:pPr>
            <w:r>
              <w:rPr>
                <w:spacing w:val="-5"/>
                <w:sz w:val="22"/>
              </w:rPr>
              <w:t>SF</w:t>
            </w:r>
          </w:p>
        </w:tc>
      </w:tr>
      <w:tr>
        <w:trPr>
          <w:trHeight w:val="383" w:hRule="atLeast"/>
        </w:trPr>
        <w:tc>
          <w:tcPr>
            <w:tcW w:w="1642" w:type="dxa"/>
          </w:tcPr>
          <w:p>
            <w:pPr>
              <w:pStyle w:val="TableParagraph"/>
              <w:rPr>
                <w:rFonts w:ascii="Times New Roman"/>
                <w:sz w:val="22"/>
              </w:rPr>
            </w:pPr>
          </w:p>
        </w:tc>
        <w:tc>
          <w:tcPr>
            <w:tcW w:w="1372" w:type="dxa"/>
          </w:tcPr>
          <w:p>
            <w:pPr>
              <w:pStyle w:val="TableParagraph"/>
              <w:spacing w:before="72"/>
              <w:ind w:left="2" w:right="117"/>
              <w:jc w:val="center"/>
              <w:rPr>
                <w:sz w:val="22"/>
              </w:rPr>
            </w:pPr>
            <w:r>
              <w:rPr>
                <w:sz w:val="22"/>
              </w:rPr>
              <w:t>H:L;</w:t>
            </w:r>
            <w:r>
              <w:rPr>
                <w:spacing w:val="-5"/>
                <w:sz w:val="22"/>
              </w:rPr>
              <w:t> </w:t>
            </w:r>
            <w:r>
              <w:rPr>
                <w:spacing w:val="-2"/>
                <w:sz w:val="22"/>
              </w:rPr>
              <w:t>20:50</w:t>
            </w:r>
          </w:p>
        </w:tc>
        <w:tc>
          <w:tcPr>
            <w:tcW w:w="1546" w:type="dxa"/>
          </w:tcPr>
          <w:p>
            <w:pPr>
              <w:pStyle w:val="TableParagraph"/>
              <w:spacing w:before="72"/>
              <w:ind w:left="106" w:right="107"/>
              <w:jc w:val="center"/>
              <w:rPr>
                <w:sz w:val="22"/>
              </w:rPr>
            </w:pPr>
            <w:r>
              <w:rPr>
                <w:spacing w:val="-2"/>
                <w:sz w:val="22"/>
              </w:rPr>
              <w:t>21.000±0.586</w:t>
            </w:r>
          </w:p>
        </w:tc>
        <w:tc>
          <w:tcPr>
            <w:tcW w:w="1008" w:type="dxa"/>
          </w:tcPr>
          <w:p>
            <w:pPr>
              <w:pStyle w:val="TableParagraph"/>
              <w:spacing w:before="72"/>
              <w:ind w:right="177"/>
              <w:jc w:val="right"/>
              <w:rPr>
                <w:sz w:val="22"/>
              </w:rPr>
            </w:pPr>
            <w:r>
              <w:rPr>
                <w:spacing w:val="-2"/>
                <w:sz w:val="22"/>
              </w:rPr>
              <w:t>0.000</w:t>
            </w:r>
          </w:p>
        </w:tc>
        <w:tc>
          <w:tcPr>
            <w:tcW w:w="773" w:type="dxa"/>
          </w:tcPr>
          <w:p>
            <w:pPr>
              <w:pStyle w:val="TableParagraph"/>
              <w:spacing w:before="72"/>
              <w:ind w:right="71"/>
              <w:jc w:val="center"/>
              <w:rPr>
                <w:sz w:val="22"/>
              </w:rPr>
            </w:pPr>
            <w:r>
              <w:rPr>
                <w:spacing w:val="-5"/>
                <w:sz w:val="22"/>
              </w:rPr>
              <w:t>SF</w:t>
            </w:r>
          </w:p>
        </w:tc>
      </w:tr>
      <w:tr>
        <w:trPr>
          <w:trHeight w:val="596" w:hRule="atLeast"/>
        </w:trPr>
        <w:tc>
          <w:tcPr>
            <w:tcW w:w="1642" w:type="dxa"/>
          </w:tcPr>
          <w:p>
            <w:pPr>
              <w:pStyle w:val="TableParagraph"/>
              <w:spacing w:before="3"/>
              <w:ind w:left="108"/>
              <w:rPr>
                <w:sz w:val="22"/>
              </w:rPr>
            </w:pPr>
            <w:r>
              <w:rPr>
                <w:sz w:val="22"/>
              </w:rPr>
              <w:t>Lemon</w:t>
            </w:r>
            <w:r>
              <w:rPr>
                <w:spacing w:val="-4"/>
                <w:sz w:val="22"/>
              </w:rPr>
              <w:t> </w:t>
            </w:r>
            <w:r>
              <w:rPr>
                <w:spacing w:val="-2"/>
                <w:sz w:val="22"/>
              </w:rPr>
              <w:t>(25%)</w:t>
            </w:r>
          </w:p>
          <w:p>
            <w:pPr>
              <w:pStyle w:val="TableParagraph"/>
              <w:spacing w:before="14"/>
              <w:ind w:left="108"/>
              <w:rPr>
                <w:sz w:val="22"/>
              </w:rPr>
            </w:pPr>
            <w:r>
              <w:rPr>
                <w:spacing w:val="-2"/>
                <w:sz w:val="22"/>
              </w:rPr>
              <w:t>(15.133±0.435)</w:t>
            </w:r>
          </w:p>
        </w:tc>
        <w:tc>
          <w:tcPr>
            <w:tcW w:w="1372" w:type="dxa"/>
          </w:tcPr>
          <w:p>
            <w:pPr>
              <w:pStyle w:val="TableParagraph"/>
              <w:spacing w:before="144"/>
              <w:ind w:left="2" w:right="117"/>
              <w:jc w:val="center"/>
              <w:rPr>
                <w:sz w:val="22"/>
              </w:rPr>
            </w:pPr>
            <w:r>
              <w:rPr>
                <w:sz w:val="22"/>
              </w:rPr>
              <w:t>H:L;</w:t>
            </w:r>
            <w:r>
              <w:rPr>
                <w:spacing w:val="-5"/>
                <w:sz w:val="22"/>
              </w:rPr>
              <w:t> </w:t>
            </w:r>
            <w:r>
              <w:rPr>
                <w:spacing w:val="-2"/>
                <w:sz w:val="22"/>
              </w:rPr>
              <w:t>30:50</w:t>
            </w:r>
          </w:p>
        </w:tc>
        <w:tc>
          <w:tcPr>
            <w:tcW w:w="1546" w:type="dxa"/>
          </w:tcPr>
          <w:p>
            <w:pPr>
              <w:pStyle w:val="TableParagraph"/>
              <w:spacing w:before="144"/>
              <w:ind w:left="106" w:right="107"/>
              <w:jc w:val="center"/>
              <w:rPr>
                <w:sz w:val="22"/>
              </w:rPr>
            </w:pPr>
            <w:r>
              <w:rPr>
                <w:spacing w:val="-2"/>
                <w:sz w:val="22"/>
              </w:rPr>
              <w:t>21.933±0.331</w:t>
            </w:r>
          </w:p>
        </w:tc>
        <w:tc>
          <w:tcPr>
            <w:tcW w:w="1008" w:type="dxa"/>
          </w:tcPr>
          <w:p>
            <w:pPr>
              <w:pStyle w:val="TableParagraph"/>
              <w:spacing w:before="144"/>
              <w:ind w:right="177"/>
              <w:jc w:val="right"/>
              <w:rPr>
                <w:sz w:val="22"/>
              </w:rPr>
            </w:pPr>
            <w:r>
              <w:rPr>
                <w:spacing w:val="-2"/>
                <w:sz w:val="22"/>
              </w:rPr>
              <w:t>0.000</w:t>
            </w:r>
          </w:p>
        </w:tc>
        <w:tc>
          <w:tcPr>
            <w:tcW w:w="773" w:type="dxa"/>
          </w:tcPr>
          <w:p>
            <w:pPr>
              <w:pStyle w:val="TableParagraph"/>
              <w:spacing w:before="144"/>
              <w:ind w:right="71"/>
              <w:jc w:val="center"/>
              <w:rPr>
                <w:sz w:val="22"/>
              </w:rPr>
            </w:pPr>
            <w:r>
              <w:rPr>
                <w:spacing w:val="-5"/>
                <w:sz w:val="22"/>
              </w:rPr>
              <w:t>SF</w:t>
            </w:r>
          </w:p>
        </w:tc>
      </w:tr>
      <w:tr>
        <w:trPr>
          <w:trHeight w:val="383" w:hRule="atLeast"/>
        </w:trPr>
        <w:tc>
          <w:tcPr>
            <w:tcW w:w="1642" w:type="dxa"/>
          </w:tcPr>
          <w:p>
            <w:pPr>
              <w:pStyle w:val="TableParagraph"/>
              <w:rPr>
                <w:rFonts w:ascii="Times New Roman"/>
                <w:sz w:val="22"/>
              </w:rPr>
            </w:pPr>
          </w:p>
        </w:tc>
        <w:tc>
          <w:tcPr>
            <w:tcW w:w="1372" w:type="dxa"/>
          </w:tcPr>
          <w:p>
            <w:pPr>
              <w:pStyle w:val="TableParagraph"/>
              <w:spacing w:before="1"/>
              <w:ind w:left="2" w:right="117"/>
              <w:jc w:val="center"/>
              <w:rPr>
                <w:sz w:val="22"/>
              </w:rPr>
            </w:pPr>
            <w:r>
              <w:rPr>
                <w:sz w:val="22"/>
              </w:rPr>
              <w:t>H:L;</w:t>
            </w:r>
            <w:r>
              <w:rPr>
                <w:spacing w:val="-5"/>
                <w:sz w:val="22"/>
              </w:rPr>
              <w:t> </w:t>
            </w:r>
            <w:r>
              <w:rPr>
                <w:spacing w:val="-2"/>
                <w:sz w:val="22"/>
              </w:rPr>
              <w:t>40:50</w:t>
            </w:r>
          </w:p>
        </w:tc>
        <w:tc>
          <w:tcPr>
            <w:tcW w:w="1546" w:type="dxa"/>
          </w:tcPr>
          <w:p>
            <w:pPr>
              <w:pStyle w:val="TableParagraph"/>
              <w:spacing w:before="1"/>
              <w:ind w:left="106" w:right="107"/>
              <w:jc w:val="center"/>
              <w:rPr>
                <w:sz w:val="22"/>
              </w:rPr>
            </w:pPr>
            <w:r>
              <w:rPr>
                <w:spacing w:val="-2"/>
                <w:sz w:val="22"/>
              </w:rPr>
              <w:t>21.533±0.467</w:t>
            </w:r>
          </w:p>
        </w:tc>
        <w:tc>
          <w:tcPr>
            <w:tcW w:w="1008" w:type="dxa"/>
          </w:tcPr>
          <w:p>
            <w:pPr>
              <w:pStyle w:val="TableParagraph"/>
              <w:spacing w:before="1"/>
              <w:ind w:right="177"/>
              <w:jc w:val="right"/>
              <w:rPr>
                <w:sz w:val="22"/>
              </w:rPr>
            </w:pPr>
            <w:r>
              <w:rPr>
                <w:spacing w:val="-2"/>
                <w:sz w:val="22"/>
              </w:rPr>
              <w:t>0.000</w:t>
            </w:r>
          </w:p>
        </w:tc>
        <w:tc>
          <w:tcPr>
            <w:tcW w:w="773" w:type="dxa"/>
          </w:tcPr>
          <w:p>
            <w:pPr>
              <w:pStyle w:val="TableParagraph"/>
              <w:spacing w:before="1"/>
              <w:ind w:right="71"/>
              <w:jc w:val="center"/>
              <w:rPr>
                <w:sz w:val="22"/>
              </w:rPr>
            </w:pPr>
            <w:r>
              <w:rPr>
                <w:spacing w:val="-5"/>
                <w:sz w:val="22"/>
              </w:rPr>
              <w:t>SF</w:t>
            </w:r>
          </w:p>
        </w:tc>
      </w:tr>
      <w:tr>
        <w:trPr>
          <w:trHeight w:val="522" w:hRule="atLeast"/>
        </w:trPr>
        <w:tc>
          <w:tcPr>
            <w:tcW w:w="1642" w:type="dxa"/>
            <w:tcBorders>
              <w:bottom w:val="single" w:sz="4" w:space="0" w:color="000000"/>
            </w:tcBorders>
          </w:tcPr>
          <w:p>
            <w:pPr>
              <w:pStyle w:val="TableParagraph"/>
              <w:rPr>
                <w:rFonts w:ascii="Times New Roman"/>
                <w:sz w:val="22"/>
              </w:rPr>
            </w:pPr>
          </w:p>
        </w:tc>
        <w:tc>
          <w:tcPr>
            <w:tcW w:w="1372" w:type="dxa"/>
            <w:tcBorders>
              <w:bottom w:val="single" w:sz="4" w:space="0" w:color="000000"/>
            </w:tcBorders>
          </w:tcPr>
          <w:p>
            <w:pPr>
              <w:pStyle w:val="TableParagraph"/>
              <w:spacing w:before="73"/>
              <w:ind w:left="2" w:right="117"/>
              <w:jc w:val="center"/>
              <w:rPr>
                <w:sz w:val="22"/>
              </w:rPr>
            </w:pPr>
            <w:r>
              <w:rPr>
                <w:sz w:val="22"/>
              </w:rPr>
              <w:t>H:L;</w:t>
            </w:r>
            <w:r>
              <w:rPr>
                <w:spacing w:val="-5"/>
                <w:sz w:val="22"/>
              </w:rPr>
              <w:t> </w:t>
            </w:r>
            <w:r>
              <w:rPr>
                <w:spacing w:val="-2"/>
                <w:sz w:val="22"/>
              </w:rPr>
              <w:t>50:50</w:t>
            </w:r>
          </w:p>
        </w:tc>
        <w:tc>
          <w:tcPr>
            <w:tcW w:w="1546" w:type="dxa"/>
            <w:tcBorders>
              <w:bottom w:val="single" w:sz="4" w:space="0" w:color="000000"/>
            </w:tcBorders>
          </w:tcPr>
          <w:p>
            <w:pPr>
              <w:pStyle w:val="TableParagraph"/>
              <w:spacing w:before="73"/>
              <w:ind w:left="106" w:right="107"/>
              <w:jc w:val="center"/>
              <w:rPr>
                <w:sz w:val="22"/>
              </w:rPr>
            </w:pPr>
            <w:r>
              <w:rPr>
                <w:spacing w:val="-2"/>
                <w:sz w:val="22"/>
              </w:rPr>
              <w:t>22.800±0.571</w:t>
            </w:r>
          </w:p>
        </w:tc>
        <w:tc>
          <w:tcPr>
            <w:tcW w:w="1008" w:type="dxa"/>
            <w:tcBorders>
              <w:bottom w:val="single" w:sz="4" w:space="0" w:color="000000"/>
            </w:tcBorders>
          </w:tcPr>
          <w:p>
            <w:pPr>
              <w:pStyle w:val="TableParagraph"/>
              <w:spacing w:before="73"/>
              <w:ind w:right="177"/>
              <w:jc w:val="right"/>
              <w:rPr>
                <w:sz w:val="22"/>
              </w:rPr>
            </w:pPr>
            <w:r>
              <w:rPr>
                <w:spacing w:val="-2"/>
                <w:sz w:val="22"/>
              </w:rPr>
              <w:t>0.000</w:t>
            </w:r>
          </w:p>
        </w:tc>
        <w:tc>
          <w:tcPr>
            <w:tcW w:w="773" w:type="dxa"/>
            <w:tcBorders>
              <w:bottom w:val="single" w:sz="4" w:space="0" w:color="000000"/>
            </w:tcBorders>
          </w:tcPr>
          <w:p>
            <w:pPr>
              <w:pStyle w:val="TableParagraph"/>
              <w:spacing w:before="73"/>
              <w:ind w:right="71"/>
              <w:jc w:val="center"/>
              <w:rPr>
                <w:sz w:val="22"/>
              </w:rPr>
            </w:pPr>
            <w:r>
              <w:rPr>
                <w:spacing w:val="-5"/>
                <w:sz w:val="22"/>
              </w:rPr>
              <w:t>SF</w:t>
            </w:r>
          </w:p>
        </w:tc>
      </w:tr>
    </w:tbl>
    <w:p>
      <w:pPr>
        <w:pStyle w:val="BodyText"/>
        <w:spacing w:line="256" w:lineRule="auto" w:before="9"/>
        <w:ind w:left="380" w:right="975"/>
      </w:pPr>
      <w:r>
        <w:rPr>
          <w:b/>
        </w:rPr>
        <w:t>Key:</w:t>
      </w:r>
      <w:r>
        <w:rPr>
          <w:b/>
          <w:spacing w:val="34"/>
        </w:rPr>
        <w:t> </w:t>
      </w:r>
      <w:r>
        <w:rPr/>
        <w:t>LOS=Level</w:t>
      </w:r>
      <w:r>
        <w:rPr>
          <w:spacing w:val="32"/>
        </w:rPr>
        <w:t> </w:t>
      </w:r>
      <w:r>
        <w:rPr/>
        <w:t>of</w:t>
      </w:r>
      <w:r>
        <w:rPr>
          <w:spacing w:val="32"/>
        </w:rPr>
        <w:t> </w:t>
      </w:r>
      <w:r>
        <w:rPr/>
        <w:t>significance;</w:t>
      </w:r>
      <w:r>
        <w:rPr>
          <w:spacing w:val="36"/>
        </w:rPr>
        <w:t> </w:t>
      </w:r>
      <w:r>
        <w:rPr/>
        <w:t>NS=Not</w:t>
      </w:r>
      <w:r>
        <w:rPr>
          <w:spacing w:val="33"/>
        </w:rPr>
        <w:t> </w:t>
      </w:r>
      <w:r>
        <w:rPr/>
        <w:t>significantly</w:t>
      </w:r>
      <w:r>
        <w:rPr>
          <w:spacing w:val="33"/>
        </w:rPr>
        <w:t> </w:t>
      </w:r>
      <w:r>
        <w:rPr/>
        <w:t>different;</w:t>
      </w:r>
      <w:r>
        <w:rPr>
          <w:spacing w:val="35"/>
        </w:rPr>
        <w:t> </w:t>
      </w:r>
      <w:r>
        <w:rPr/>
        <w:t>SF=Significantly</w:t>
      </w:r>
      <w:r>
        <w:rPr>
          <w:spacing w:val="33"/>
        </w:rPr>
        <w:t> </w:t>
      </w:r>
      <w:r>
        <w:rPr/>
        <w:t>different;</w:t>
      </w:r>
      <w:r>
        <w:rPr>
          <w:spacing w:val="35"/>
        </w:rPr>
        <w:t> </w:t>
      </w:r>
      <w:r>
        <w:rPr/>
        <w:t>H=Honey and L=Lemon juice.</w:t>
      </w:r>
    </w:p>
    <w:p>
      <w:pPr>
        <w:spacing w:after="0" w:line="256" w:lineRule="auto"/>
        <w:sectPr>
          <w:pgSz w:w="11910" w:h="16840"/>
          <w:pgMar w:header="0" w:footer="1055" w:top="138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3"/>
      </w:pPr>
    </w:p>
    <w:p>
      <w:pPr>
        <w:pStyle w:val="Heading3"/>
        <w:spacing w:line="403" w:lineRule="auto"/>
        <w:ind w:right="2617"/>
      </w:pPr>
      <w:r>
        <w:rPr/>
        <w:t>Comparing</w:t>
      </w:r>
      <w:r>
        <w:rPr>
          <w:spacing w:val="-5"/>
        </w:rPr>
        <w:t> </w:t>
      </w:r>
      <w:r>
        <w:rPr/>
        <w:t>the</w:t>
      </w:r>
      <w:r>
        <w:rPr>
          <w:spacing w:val="-4"/>
        </w:rPr>
        <w:t> </w:t>
      </w:r>
      <w:r>
        <w:rPr/>
        <w:t>mean</w:t>
      </w:r>
      <w:r>
        <w:rPr>
          <w:spacing w:val="-4"/>
        </w:rPr>
        <w:t> </w:t>
      </w:r>
      <w:r>
        <w:rPr/>
        <w:t>zones</w:t>
      </w:r>
      <w:r>
        <w:rPr>
          <w:spacing w:val="-3"/>
        </w:rPr>
        <w:t> </w:t>
      </w:r>
      <w:r>
        <w:rPr/>
        <w:t>of</w:t>
      </w:r>
      <w:r>
        <w:rPr>
          <w:spacing w:val="-3"/>
        </w:rPr>
        <w:t> </w:t>
      </w:r>
      <w:r>
        <w:rPr/>
        <w:t>inhibition</w:t>
      </w:r>
      <w:r>
        <w:rPr>
          <w:spacing w:val="-4"/>
        </w:rPr>
        <w:t> </w:t>
      </w:r>
      <w:r>
        <w:rPr/>
        <w:t>of</w:t>
      </w:r>
      <w:r>
        <w:rPr>
          <w:spacing w:val="-3"/>
        </w:rPr>
        <w:t> </w:t>
      </w:r>
      <w:r>
        <w:rPr/>
        <w:t>Lemon</w:t>
      </w:r>
      <w:r>
        <w:rPr>
          <w:spacing w:val="-1"/>
        </w:rPr>
        <w:t> </w:t>
      </w:r>
      <w:r>
        <w:rPr/>
        <w:t>juice</w:t>
      </w:r>
      <w:r>
        <w:rPr>
          <w:spacing w:val="-3"/>
        </w:rPr>
        <w:t> </w:t>
      </w:r>
      <w:r>
        <w:rPr/>
        <w:t>and</w:t>
      </w:r>
      <w:r>
        <w:rPr>
          <w:spacing w:val="-4"/>
        </w:rPr>
        <w:t> </w:t>
      </w:r>
      <w:r>
        <w:rPr/>
        <w:t>the</w:t>
      </w:r>
      <w:r>
        <w:rPr>
          <w:spacing w:val="-4"/>
        </w:rPr>
        <w:t> </w:t>
      </w:r>
      <w:r>
        <w:rPr/>
        <w:t>mixture of Honey and Lemon juice against </w:t>
      </w:r>
      <w:r>
        <w:rPr>
          <w:i/>
        </w:rPr>
        <w:t>Staphylococcus aureus</w:t>
      </w:r>
      <w:r>
        <w:rPr/>
        <w:t>.</w:t>
      </w:r>
    </w:p>
    <w:p>
      <w:pPr>
        <w:pStyle w:val="BodyText"/>
        <w:spacing w:before="184"/>
        <w:rPr>
          <w:b/>
          <w:sz w:val="20"/>
        </w:rPr>
      </w:pPr>
      <w:r>
        <w:rPr/>
        <mc:AlternateContent>
          <mc:Choice Requires="wps">
            <w:drawing>
              <wp:anchor distT="0" distB="0" distL="0" distR="0" allowOverlap="1" layoutInCell="1" locked="0" behindDoc="1" simplePos="0" relativeHeight="487683584">
                <wp:simplePos x="0" y="0"/>
                <wp:positionH relativeFrom="page">
                  <wp:posOffset>1461770</wp:posOffset>
                </wp:positionH>
                <wp:positionV relativeFrom="paragraph">
                  <wp:posOffset>287475</wp:posOffset>
                </wp:positionV>
                <wp:extent cx="4027804" cy="6350"/>
                <wp:effectExtent l="0" t="0" r="0" b="0"/>
                <wp:wrapTopAndBottom/>
                <wp:docPr id="510" name="Graphic 510"/>
                <wp:cNvGraphicFramePr>
                  <a:graphicFrameLocks/>
                </wp:cNvGraphicFramePr>
                <a:graphic>
                  <a:graphicData uri="http://schemas.microsoft.com/office/word/2010/wordprocessingShape">
                    <wps:wsp>
                      <wps:cNvPr id="510" name="Graphic 510"/>
                      <wps:cNvSpPr/>
                      <wps:spPr>
                        <a:xfrm>
                          <a:off x="0" y="0"/>
                          <a:ext cx="4027804" cy="6350"/>
                        </a:xfrm>
                        <a:custGeom>
                          <a:avLst/>
                          <a:gdLst/>
                          <a:ahLst/>
                          <a:cxnLst/>
                          <a:rect l="l" t="t" r="r" b="b"/>
                          <a:pathLst>
                            <a:path w="4027804" h="6350">
                              <a:moveTo>
                                <a:pt x="1085392" y="0"/>
                              </a:moveTo>
                              <a:lnTo>
                                <a:pt x="0" y="0"/>
                              </a:lnTo>
                              <a:lnTo>
                                <a:pt x="0" y="6096"/>
                              </a:lnTo>
                              <a:lnTo>
                                <a:pt x="1085392" y="6096"/>
                              </a:lnTo>
                              <a:lnTo>
                                <a:pt x="1085392" y="0"/>
                              </a:lnTo>
                              <a:close/>
                            </a:path>
                            <a:path w="4027804" h="6350">
                              <a:moveTo>
                                <a:pt x="1091552" y="0"/>
                              </a:moveTo>
                              <a:lnTo>
                                <a:pt x="1085469" y="0"/>
                              </a:lnTo>
                              <a:lnTo>
                                <a:pt x="1085469" y="6096"/>
                              </a:lnTo>
                              <a:lnTo>
                                <a:pt x="1091552" y="6096"/>
                              </a:lnTo>
                              <a:lnTo>
                                <a:pt x="1091552" y="0"/>
                              </a:lnTo>
                              <a:close/>
                            </a:path>
                            <a:path w="4027804" h="6350">
                              <a:moveTo>
                                <a:pt x="1952612" y="0"/>
                              </a:moveTo>
                              <a:lnTo>
                                <a:pt x="1946529" y="0"/>
                              </a:lnTo>
                              <a:lnTo>
                                <a:pt x="1091565" y="0"/>
                              </a:lnTo>
                              <a:lnTo>
                                <a:pt x="1091565" y="6096"/>
                              </a:lnTo>
                              <a:lnTo>
                                <a:pt x="1946529" y="6096"/>
                              </a:lnTo>
                              <a:lnTo>
                                <a:pt x="1952612" y="6096"/>
                              </a:lnTo>
                              <a:lnTo>
                                <a:pt x="1952612" y="0"/>
                              </a:lnTo>
                              <a:close/>
                            </a:path>
                            <a:path w="4027804" h="6350">
                              <a:moveTo>
                                <a:pt x="3489375" y="0"/>
                              </a:moveTo>
                              <a:lnTo>
                                <a:pt x="2935859" y="0"/>
                              </a:lnTo>
                              <a:lnTo>
                                <a:pt x="2929813" y="0"/>
                              </a:lnTo>
                              <a:lnTo>
                                <a:pt x="1952625" y="0"/>
                              </a:lnTo>
                              <a:lnTo>
                                <a:pt x="1952625" y="6096"/>
                              </a:lnTo>
                              <a:lnTo>
                                <a:pt x="2929763" y="6096"/>
                              </a:lnTo>
                              <a:lnTo>
                                <a:pt x="2935859" y="6096"/>
                              </a:lnTo>
                              <a:lnTo>
                                <a:pt x="3489375" y="6096"/>
                              </a:lnTo>
                              <a:lnTo>
                                <a:pt x="3489375" y="0"/>
                              </a:lnTo>
                              <a:close/>
                            </a:path>
                            <a:path w="4027804" h="6350">
                              <a:moveTo>
                                <a:pt x="3495535" y="0"/>
                              </a:moveTo>
                              <a:lnTo>
                                <a:pt x="3489452" y="0"/>
                              </a:lnTo>
                              <a:lnTo>
                                <a:pt x="3489452" y="6096"/>
                              </a:lnTo>
                              <a:lnTo>
                                <a:pt x="3495535" y="6096"/>
                              </a:lnTo>
                              <a:lnTo>
                                <a:pt x="3495535" y="0"/>
                              </a:lnTo>
                              <a:close/>
                            </a:path>
                            <a:path w="4027804" h="6350">
                              <a:moveTo>
                                <a:pt x="4027411" y="0"/>
                              </a:moveTo>
                              <a:lnTo>
                                <a:pt x="3495548" y="0"/>
                              </a:lnTo>
                              <a:lnTo>
                                <a:pt x="3495548" y="6096"/>
                              </a:lnTo>
                              <a:lnTo>
                                <a:pt x="4027411" y="6096"/>
                              </a:lnTo>
                              <a:lnTo>
                                <a:pt x="40274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5.100006pt;margin-top:22.635839pt;width:317.150pt;height:.5pt;mso-position-horizontal-relative:page;mso-position-vertical-relative:paragraph;z-index:-15632896;mso-wrap-distance-left:0;mso-wrap-distance-right:0" id="docshape455" coordorigin="2302,453" coordsize="6343,10" path="m4011,453l2302,453,2302,462,4011,462,4011,453xm4021,453l4011,453,4011,462,4021,462,4021,453xm5377,453l5367,453,4021,453,4021,462,5367,462,5377,462,5377,453xm7797,453l6925,453,6916,453,6916,453,5377,453,5377,462,6916,462,6916,462,6925,462,7797,462,7797,453xm7807,453l7797,453,7797,462,7807,462,7807,453xm8644,453l7807,453,7807,462,8644,462,8644,453xe" filled="true" fillcolor="#000000" stroked="false">
                <v:path arrowok="t"/>
                <v:fill type="solid"/>
                <w10:wrap type="topAndBottom"/>
              </v:shape>
            </w:pict>
          </mc:Fallback>
        </mc:AlternateContent>
      </w:r>
    </w:p>
    <w:p>
      <w:pPr>
        <w:pStyle w:val="BodyText"/>
        <w:spacing w:before="240"/>
        <w:rPr>
          <w:b/>
          <w:sz w:val="20"/>
        </w:r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3"/>
        <w:gridCol w:w="1372"/>
        <w:gridCol w:w="1545"/>
        <w:gridCol w:w="1008"/>
        <w:gridCol w:w="773"/>
      </w:tblGrid>
      <w:tr>
        <w:trPr>
          <w:trHeight w:val="856" w:hRule="atLeast"/>
        </w:trPr>
        <w:tc>
          <w:tcPr>
            <w:tcW w:w="1643" w:type="dxa"/>
            <w:tcBorders>
              <w:bottom w:val="single" w:sz="4" w:space="0" w:color="000000"/>
            </w:tcBorders>
          </w:tcPr>
          <w:p>
            <w:pPr>
              <w:pStyle w:val="TableParagraph"/>
              <w:spacing w:line="229" w:lineRule="exact"/>
              <w:ind w:left="108"/>
              <w:rPr>
                <w:sz w:val="22"/>
              </w:rPr>
            </w:pPr>
            <w:r>
              <w:rPr>
                <w:sz w:val="22"/>
              </w:rPr>
              <w:t>(I)</w:t>
            </w:r>
            <w:r>
              <w:rPr>
                <w:spacing w:val="-2"/>
                <w:sz w:val="22"/>
              </w:rPr>
              <w:t> Group_8</w:t>
            </w:r>
          </w:p>
        </w:tc>
        <w:tc>
          <w:tcPr>
            <w:tcW w:w="1372" w:type="dxa"/>
            <w:tcBorders>
              <w:bottom w:val="single" w:sz="4" w:space="0" w:color="000000"/>
            </w:tcBorders>
          </w:tcPr>
          <w:p>
            <w:pPr>
              <w:pStyle w:val="TableParagraph"/>
              <w:spacing w:line="229" w:lineRule="exact"/>
              <w:ind w:left="174"/>
              <w:rPr>
                <w:sz w:val="22"/>
              </w:rPr>
            </w:pPr>
            <w:r>
              <w:rPr>
                <w:sz w:val="22"/>
              </w:rPr>
              <w:t>(J)</w:t>
            </w:r>
            <w:r>
              <w:rPr>
                <w:spacing w:val="-2"/>
                <w:sz w:val="22"/>
              </w:rPr>
              <w:t> Group_8</w:t>
            </w:r>
          </w:p>
        </w:tc>
        <w:tc>
          <w:tcPr>
            <w:tcW w:w="1545" w:type="dxa"/>
            <w:tcBorders>
              <w:bottom w:val="single" w:sz="4" w:space="0" w:color="000000"/>
            </w:tcBorders>
          </w:tcPr>
          <w:p>
            <w:pPr>
              <w:pStyle w:val="TableParagraph"/>
              <w:spacing w:line="229" w:lineRule="exact"/>
              <w:ind w:left="107" w:right="2"/>
              <w:jc w:val="center"/>
              <w:rPr>
                <w:sz w:val="22"/>
              </w:rPr>
            </w:pPr>
            <w:r>
              <w:rPr>
                <w:spacing w:val="-2"/>
                <w:sz w:val="22"/>
              </w:rPr>
              <w:t>Mean±SEM</w:t>
            </w:r>
          </w:p>
        </w:tc>
        <w:tc>
          <w:tcPr>
            <w:tcW w:w="1008" w:type="dxa"/>
            <w:tcBorders>
              <w:bottom w:val="single" w:sz="4" w:space="0" w:color="000000"/>
            </w:tcBorders>
          </w:tcPr>
          <w:p>
            <w:pPr>
              <w:pStyle w:val="TableParagraph"/>
              <w:spacing w:line="229" w:lineRule="exact"/>
              <w:ind w:right="180"/>
              <w:jc w:val="right"/>
              <w:rPr>
                <w:sz w:val="22"/>
              </w:rPr>
            </w:pPr>
            <w:r>
              <w:rPr>
                <w:sz w:val="22"/>
              </w:rPr>
              <w:t>P-</w:t>
            </w:r>
            <w:r>
              <w:rPr>
                <w:spacing w:val="-2"/>
                <w:sz w:val="22"/>
              </w:rPr>
              <w:t>value</w:t>
            </w:r>
          </w:p>
        </w:tc>
        <w:tc>
          <w:tcPr>
            <w:tcW w:w="773" w:type="dxa"/>
            <w:tcBorders>
              <w:bottom w:val="single" w:sz="4" w:space="0" w:color="000000"/>
            </w:tcBorders>
          </w:tcPr>
          <w:p>
            <w:pPr>
              <w:pStyle w:val="TableParagraph"/>
              <w:spacing w:line="225" w:lineRule="exact"/>
              <w:ind w:left="5" w:right="71"/>
              <w:jc w:val="center"/>
              <w:rPr>
                <w:sz w:val="22"/>
              </w:rPr>
            </w:pPr>
            <w:r>
              <w:rPr>
                <w:spacing w:val="-5"/>
                <w:sz w:val="22"/>
              </w:rPr>
              <w:t>LOS</w:t>
            </w:r>
          </w:p>
        </w:tc>
      </w:tr>
      <w:tr>
        <w:trPr>
          <w:trHeight w:val="380" w:hRule="atLeast"/>
        </w:trPr>
        <w:tc>
          <w:tcPr>
            <w:tcW w:w="1643" w:type="dxa"/>
            <w:tcBorders>
              <w:top w:val="single" w:sz="4" w:space="0" w:color="000000"/>
            </w:tcBorders>
          </w:tcPr>
          <w:p>
            <w:pPr>
              <w:pStyle w:val="TableParagraph"/>
              <w:rPr>
                <w:rFonts w:ascii="Times New Roman"/>
                <w:sz w:val="22"/>
              </w:rPr>
            </w:pPr>
          </w:p>
        </w:tc>
        <w:tc>
          <w:tcPr>
            <w:tcW w:w="1372" w:type="dxa"/>
            <w:tcBorders>
              <w:top w:val="single" w:sz="4" w:space="0" w:color="000000"/>
            </w:tcBorders>
          </w:tcPr>
          <w:p>
            <w:pPr>
              <w:pStyle w:val="TableParagraph"/>
              <w:spacing w:line="268" w:lineRule="exact"/>
              <w:ind w:right="117"/>
              <w:jc w:val="center"/>
              <w:rPr>
                <w:sz w:val="22"/>
              </w:rPr>
            </w:pPr>
            <w:r>
              <w:rPr>
                <w:sz w:val="22"/>
              </w:rPr>
              <w:t>H:L;</w:t>
            </w:r>
            <w:r>
              <w:rPr>
                <w:spacing w:val="-5"/>
                <w:sz w:val="22"/>
              </w:rPr>
              <w:t> </w:t>
            </w:r>
            <w:r>
              <w:rPr>
                <w:spacing w:val="-2"/>
                <w:sz w:val="22"/>
              </w:rPr>
              <w:t>10:50</w:t>
            </w:r>
          </w:p>
        </w:tc>
        <w:tc>
          <w:tcPr>
            <w:tcW w:w="1545" w:type="dxa"/>
            <w:tcBorders>
              <w:top w:val="single" w:sz="4" w:space="0" w:color="000000"/>
            </w:tcBorders>
          </w:tcPr>
          <w:p>
            <w:pPr>
              <w:pStyle w:val="TableParagraph"/>
              <w:spacing w:line="268" w:lineRule="exact"/>
              <w:ind w:left="107" w:right="107"/>
              <w:jc w:val="center"/>
              <w:rPr>
                <w:sz w:val="22"/>
              </w:rPr>
            </w:pPr>
            <w:r>
              <w:rPr>
                <w:spacing w:val="-2"/>
                <w:sz w:val="22"/>
              </w:rPr>
              <w:t>22.071±0.529</w:t>
            </w:r>
          </w:p>
        </w:tc>
        <w:tc>
          <w:tcPr>
            <w:tcW w:w="1008" w:type="dxa"/>
            <w:tcBorders>
              <w:top w:val="single" w:sz="4" w:space="0" w:color="000000"/>
            </w:tcBorders>
          </w:tcPr>
          <w:p>
            <w:pPr>
              <w:pStyle w:val="TableParagraph"/>
              <w:spacing w:line="268" w:lineRule="exact"/>
              <w:ind w:right="177"/>
              <w:jc w:val="right"/>
              <w:rPr>
                <w:sz w:val="22"/>
              </w:rPr>
            </w:pPr>
            <w:r>
              <w:rPr>
                <w:spacing w:val="-2"/>
                <w:sz w:val="22"/>
              </w:rPr>
              <w:t>0.428</w:t>
            </w:r>
          </w:p>
        </w:tc>
        <w:tc>
          <w:tcPr>
            <w:tcW w:w="773" w:type="dxa"/>
            <w:tcBorders>
              <w:top w:val="single" w:sz="4" w:space="0" w:color="000000"/>
            </w:tcBorders>
          </w:tcPr>
          <w:p>
            <w:pPr>
              <w:pStyle w:val="TableParagraph"/>
              <w:spacing w:line="268" w:lineRule="exact"/>
              <w:ind w:left="1" w:right="71"/>
              <w:jc w:val="center"/>
              <w:rPr>
                <w:sz w:val="22"/>
              </w:rPr>
            </w:pPr>
            <w:r>
              <w:rPr>
                <w:spacing w:val="-5"/>
                <w:sz w:val="22"/>
              </w:rPr>
              <w:t>NS</w:t>
            </w:r>
          </w:p>
        </w:tc>
      </w:tr>
      <w:tr>
        <w:trPr>
          <w:trHeight w:val="382" w:hRule="atLeast"/>
        </w:trPr>
        <w:tc>
          <w:tcPr>
            <w:tcW w:w="1643" w:type="dxa"/>
          </w:tcPr>
          <w:p>
            <w:pPr>
              <w:pStyle w:val="TableParagraph"/>
              <w:rPr>
                <w:rFonts w:ascii="Times New Roman"/>
                <w:sz w:val="22"/>
              </w:rPr>
            </w:pPr>
          </w:p>
        </w:tc>
        <w:tc>
          <w:tcPr>
            <w:tcW w:w="1372" w:type="dxa"/>
          </w:tcPr>
          <w:p>
            <w:pPr>
              <w:pStyle w:val="TableParagraph"/>
              <w:spacing w:before="72"/>
              <w:ind w:right="117"/>
              <w:jc w:val="center"/>
              <w:rPr>
                <w:sz w:val="22"/>
              </w:rPr>
            </w:pPr>
            <w:r>
              <w:rPr>
                <w:sz w:val="22"/>
              </w:rPr>
              <w:t>H:L;</w:t>
            </w:r>
            <w:r>
              <w:rPr>
                <w:spacing w:val="-5"/>
                <w:sz w:val="22"/>
              </w:rPr>
              <w:t> </w:t>
            </w:r>
            <w:r>
              <w:rPr>
                <w:spacing w:val="-2"/>
                <w:sz w:val="22"/>
              </w:rPr>
              <w:t>20:50</w:t>
            </w:r>
          </w:p>
        </w:tc>
        <w:tc>
          <w:tcPr>
            <w:tcW w:w="1545" w:type="dxa"/>
          </w:tcPr>
          <w:p>
            <w:pPr>
              <w:pStyle w:val="TableParagraph"/>
              <w:spacing w:before="72"/>
              <w:ind w:left="107" w:right="107"/>
              <w:jc w:val="center"/>
              <w:rPr>
                <w:sz w:val="22"/>
              </w:rPr>
            </w:pPr>
            <w:r>
              <w:rPr>
                <w:spacing w:val="-2"/>
                <w:sz w:val="22"/>
              </w:rPr>
              <w:t>22.143±0.501</w:t>
            </w:r>
          </w:p>
        </w:tc>
        <w:tc>
          <w:tcPr>
            <w:tcW w:w="1008" w:type="dxa"/>
          </w:tcPr>
          <w:p>
            <w:pPr>
              <w:pStyle w:val="TableParagraph"/>
              <w:spacing w:before="72"/>
              <w:ind w:right="177"/>
              <w:jc w:val="right"/>
              <w:rPr>
                <w:sz w:val="22"/>
              </w:rPr>
            </w:pPr>
            <w:r>
              <w:rPr>
                <w:spacing w:val="-2"/>
                <w:sz w:val="22"/>
              </w:rPr>
              <w:t>0.381</w:t>
            </w:r>
          </w:p>
        </w:tc>
        <w:tc>
          <w:tcPr>
            <w:tcW w:w="773" w:type="dxa"/>
          </w:tcPr>
          <w:p>
            <w:pPr>
              <w:pStyle w:val="TableParagraph"/>
              <w:spacing w:before="72"/>
              <w:ind w:left="1" w:right="71"/>
              <w:jc w:val="center"/>
              <w:rPr>
                <w:sz w:val="22"/>
              </w:rPr>
            </w:pPr>
            <w:r>
              <w:rPr>
                <w:spacing w:val="-5"/>
                <w:sz w:val="22"/>
              </w:rPr>
              <w:t>NS</w:t>
            </w:r>
          </w:p>
        </w:tc>
      </w:tr>
      <w:tr>
        <w:trPr>
          <w:trHeight w:val="595" w:hRule="atLeast"/>
        </w:trPr>
        <w:tc>
          <w:tcPr>
            <w:tcW w:w="1643" w:type="dxa"/>
          </w:tcPr>
          <w:p>
            <w:pPr>
              <w:pStyle w:val="TableParagraph"/>
              <w:spacing w:before="1"/>
              <w:ind w:left="108"/>
              <w:rPr>
                <w:sz w:val="22"/>
              </w:rPr>
            </w:pPr>
            <w:r>
              <w:rPr>
                <w:sz w:val="22"/>
              </w:rPr>
              <w:t>Lemon</w:t>
            </w:r>
            <w:r>
              <w:rPr>
                <w:spacing w:val="-6"/>
                <w:sz w:val="22"/>
              </w:rPr>
              <w:t> </w:t>
            </w:r>
            <w:r>
              <w:rPr>
                <w:spacing w:val="-2"/>
                <w:sz w:val="22"/>
              </w:rPr>
              <w:t>(100%)</w:t>
            </w:r>
          </w:p>
          <w:p>
            <w:pPr>
              <w:pStyle w:val="TableParagraph"/>
              <w:spacing w:before="15"/>
              <w:ind w:left="108"/>
              <w:rPr>
                <w:sz w:val="22"/>
              </w:rPr>
            </w:pPr>
            <w:r>
              <w:rPr>
                <w:spacing w:val="-2"/>
                <w:sz w:val="22"/>
              </w:rPr>
              <w:t>(20.071±0.848)</w:t>
            </w:r>
          </w:p>
        </w:tc>
        <w:tc>
          <w:tcPr>
            <w:tcW w:w="1372" w:type="dxa"/>
          </w:tcPr>
          <w:p>
            <w:pPr>
              <w:pStyle w:val="TableParagraph"/>
              <w:spacing w:before="143"/>
              <w:ind w:right="117"/>
              <w:jc w:val="center"/>
              <w:rPr>
                <w:sz w:val="22"/>
              </w:rPr>
            </w:pPr>
            <w:r>
              <w:rPr>
                <w:sz w:val="22"/>
              </w:rPr>
              <w:t>H:L;</w:t>
            </w:r>
            <w:r>
              <w:rPr>
                <w:spacing w:val="-5"/>
                <w:sz w:val="22"/>
              </w:rPr>
              <w:t> </w:t>
            </w:r>
            <w:r>
              <w:rPr>
                <w:spacing w:val="-2"/>
                <w:sz w:val="22"/>
              </w:rPr>
              <w:t>30:50</w:t>
            </w:r>
          </w:p>
        </w:tc>
        <w:tc>
          <w:tcPr>
            <w:tcW w:w="1545" w:type="dxa"/>
          </w:tcPr>
          <w:p>
            <w:pPr>
              <w:pStyle w:val="TableParagraph"/>
              <w:spacing w:before="143"/>
              <w:ind w:left="107" w:right="107"/>
              <w:jc w:val="center"/>
              <w:rPr>
                <w:sz w:val="22"/>
              </w:rPr>
            </w:pPr>
            <w:r>
              <w:rPr>
                <w:spacing w:val="-2"/>
                <w:sz w:val="22"/>
              </w:rPr>
              <w:t>22.643±0.830</w:t>
            </w:r>
          </w:p>
        </w:tc>
        <w:tc>
          <w:tcPr>
            <w:tcW w:w="1008" w:type="dxa"/>
          </w:tcPr>
          <w:p>
            <w:pPr>
              <w:pStyle w:val="TableParagraph"/>
              <w:spacing w:before="143"/>
              <w:ind w:right="177"/>
              <w:jc w:val="right"/>
              <w:rPr>
                <w:sz w:val="22"/>
              </w:rPr>
            </w:pPr>
            <w:r>
              <w:rPr>
                <w:spacing w:val="-2"/>
                <w:sz w:val="22"/>
              </w:rPr>
              <w:t>0.138</w:t>
            </w:r>
          </w:p>
        </w:tc>
        <w:tc>
          <w:tcPr>
            <w:tcW w:w="773" w:type="dxa"/>
          </w:tcPr>
          <w:p>
            <w:pPr>
              <w:pStyle w:val="TableParagraph"/>
              <w:spacing w:before="143"/>
              <w:ind w:left="1" w:right="71"/>
              <w:jc w:val="center"/>
              <w:rPr>
                <w:sz w:val="22"/>
              </w:rPr>
            </w:pPr>
            <w:r>
              <w:rPr>
                <w:spacing w:val="-5"/>
                <w:sz w:val="22"/>
              </w:rPr>
              <w:t>NS</w:t>
            </w:r>
          </w:p>
        </w:tc>
      </w:tr>
      <w:tr>
        <w:trPr>
          <w:trHeight w:val="384" w:hRule="atLeast"/>
        </w:trPr>
        <w:tc>
          <w:tcPr>
            <w:tcW w:w="1643" w:type="dxa"/>
          </w:tcPr>
          <w:p>
            <w:pPr>
              <w:pStyle w:val="TableParagraph"/>
              <w:rPr>
                <w:rFonts w:ascii="Times New Roman"/>
                <w:sz w:val="22"/>
              </w:rPr>
            </w:pPr>
          </w:p>
        </w:tc>
        <w:tc>
          <w:tcPr>
            <w:tcW w:w="1372" w:type="dxa"/>
          </w:tcPr>
          <w:p>
            <w:pPr>
              <w:pStyle w:val="TableParagraph"/>
              <w:spacing w:before="1"/>
              <w:ind w:right="117"/>
              <w:jc w:val="center"/>
              <w:rPr>
                <w:sz w:val="22"/>
              </w:rPr>
            </w:pPr>
            <w:r>
              <w:rPr>
                <w:sz w:val="22"/>
              </w:rPr>
              <w:t>H:L;</w:t>
            </w:r>
            <w:r>
              <w:rPr>
                <w:spacing w:val="-5"/>
                <w:sz w:val="22"/>
              </w:rPr>
              <w:t> </w:t>
            </w:r>
            <w:r>
              <w:rPr>
                <w:spacing w:val="-2"/>
                <w:sz w:val="22"/>
              </w:rPr>
              <w:t>40:50</w:t>
            </w:r>
          </w:p>
        </w:tc>
        <w:tc>
          <w:tcPr>
            <w:tcW w:w="1545" w:type="dxa"/>
          </w:tcPr>
          <w:p>
            <w:pPr>
              <w:pStyle w:val="TableParagraph"/>
              <w:spacing w:before="1"/>
              <w:ind w:left="107" w:right="107"/>
              <w:jc w:val="center"/>
              <w:rPr>
                <w:sz w:val="22"/>
              </w:rPr>
            </w:pPr>
            <w:r>
              <w:rPr>
                <w:spacing w:val="-2"/>
                <w:sz w:val="22"/>
              </w:rPr>
              <w:t>22.429±0.511</w:t>
            </w:r>
          </w:p>
        </w:tc>
        <w:tc>
          <w:tcPr>
            <w:tcW w:w="1008" w:type="dxa"/>
          </w:tcPr>
          <w:p>
            <w:pPr>
              <w:pStyle w:val="TableParagraph"/>
              <w:spacing w:before="1"/>
              <w:ind w:right="177"/>
              <w:jc w:val="right"/>
              <w:rPr>
                <w:sz w:val="22"/>
              </w:rPr>
            </w:pPr>
            <w:r>
              <w:rPr>
                <w:spacing w:val="-2"/>
                <w:sz w:val="22"/>
              </w:rPr>
              <w:t>0.223</w:t>
            </w:r>
          </w:p>
        </w:tc>
        <w:tc>
          <w:tcPr>
            <w:tcW w:w="773" w:type="dxa"/>
          </w:tcPr>
          <w:p>
            <w:pPr>
              <w:pStyle w:val="TableParagraph"/>
              <w:spacing w:before="1"/>
              <w:ind w:left="1" w:right="71"/>
              <w:jc w:val="center"/>
              <w:rPr>
                <w:sz w:val="22"/>
              </w:rPr>
            </w:pPr>
            <w:r>
              <w:rPr>
                <w:spacing w:val="-5"/>
                <w:sz w:val="22"/>
              </w:rPr>
              <w:t>NS</w:t>
            </w:r>
          </w:p>
        </w:tc>
      </w:tr>
      <w:tr>
        <w:trPr>
          <w:trHeight w:val="520" w:hRule="atLeast"/>
        </w:trPr>
        <w:tc>
          <w:tcPr>
            <w:tcW w:w="1643" w:type="dxa"/>
            <w:tcBorders>
              <w:bottom w:val="single" w:sz="4" w:space="0" w:color="000000"/>
            </w:tcBorders>
          </w:tcPr>
          <w:p>
            <w:pPr>
              <w:pStyle w:val="TableParagraph"/>
              <w:rPr>
                <w:rFonts w:ascii="Times New Roman"/>
                <w:sz w:val="22"/>
              </w:rPr>
            </w:pPr>
          </w:p>
        </w:tc>
        <w:tc>
          <w:tcPr>
            <w:tcW w:w="1372" w:type="dxa"/>
            <w:tcBorders>
              <w:bottom w:val="single" w:sz="4" w:space="0" w:color="000000"/>
            </w:tcBorders>
          </w:tcPr>
          <w:p>
            <w:pPr>
              <w:pStyle w:val="TableParagraph"/>
              <w:spacing w:before="74"/>
              <w:ind w:right="117"/>
              <w:jc w:val="center"/>
              <w:rPr>
                <w:sz w:val="22"/>
              </w:rPr>
            </w:pPr>
            <w:r>
              <w:rPr>
                <w:sz w:val="22"/>
              </w:rPr>
              <w:t>H:L;</w:t>
            </w:r>
            <w:r>
              <w:rPr>
                <w:spacing w:val="-5"/>
                <w:sz w:val="22"/>
              </w:rPr>
              <w:t> </w:t>
            </w:r>
            <w:r>
              <w:rPr>
                <w:spacing w:val="-2"/>
                <w:sz w:val="22"/>
              </w:rPr>
              <w:t>50:50</w:t>
            </w:r>
          </w:p>
        </w:tc>
        <w:tc>
          <w:tcPr>
            <w:tcW w:w="1545" w:type="dxa"/>
            <w:tcBorders>
              <w:bottom w:val="single" w:sz="4" w:space="0" w:color="000000"/>
            </w:tcBorders>
          </w:tcPr>
          <w:p>
            <w:pPr>
              <w:pStyle w:val="TableParagraph"/>
              <w:spacing w:before="74"/>
              <w:ind w:left="107" w:right="107"/>
              <w:jc w:val="center"/>
              <w:rPr>
                <w:sz w:val="22"/>
              </w:rPr>
            </w:pPr>
            <w:r>
              <w:rPr>
                <w:spacing w:val="-2"/>
                <w:sz w:val="22"/>
              </w:rPr>
              <w:t>24.500±0.489</w:t>
            </w:r>
          </w:p>
        </w:tc>
        <w:tc>
          <w:tcPr>
            <w:tcW w:w="1008" w:type="dxa"/>
            <w:tcBorders>
              <w:bottom w:val="single" w:sz="4" w:space="0" w:color="000000"/>
            </w:tcBorders>
          </w:tcPr>
          <w:p>
            <w:pPr>
              <w:pStyle w:val="TableParagraph"/>
              <w:spacing w:before="74"/>
              <w:ind w:right="177"/>
              <w:jc w:val="right"/>
              <w:rPr>
                <w:sz w:val="22"/>
              </w:rPr>
            </w:pPr>
            <w:r>
              <w:rPr>
                <w:spacing w:val="-2"/>
                <w:sz w:val="22"/>
              </w:rPr>
              <w:t>0.000</w:t>
            </w:r>
          </w:p>
        </w:tc>
        <w:tc>
          <w:tcPr>
            <w:tcW w:w="773" w:type="dxa"/>
            <w:tcBorders>
              <w:bottom w:val="single" w:sz="4" w:space="0" w:color="000000"/>
            </w:tcBorders>
          </w:tcPr>
          <w:p>
            <w:pPr>
              <w:pStyle w:val="TableParagraph"/>
              <w:spacing w:before="74"/>
              <w:ind w:right="71"/>
              <w:jc w:val="center"/>
              <w:rPr>
                <w:sz w:val="22"/>
              </w:rPr>
            </w:pPr>
            <w:r>
              <w:rPr>
                <w:spacing w:val="-5"/>
                <w:sz w:val="22"/>
              </w:rPr>
              <w:t>SF</w:t>
            </w:r>
          </w:p>
        </w:tc>
      </w:tr>
      <w:tr>
        <w:trPr>
          <w:trHeight w:val="377" w:hRule="atLeast"/>
        </w:trPr>
        <w:tc>
          <w:tcPr>
            <w:tcW w:w="1643" w:type="dxa"/>
            <w:tcBorders>
              <w:top w:val="single" w:sz="4" w:space="0" w:color="000000"/>
            </w:tcBorders>
          </w:tcPr>
          <w:p>
            <w:pPr>
              <w:pStyle w:val="TableParagraph"/>
              <w:rPr>
                <w:rFonts w:ascii="Times New Roman"/>
                <w:sz w:val="22"/>
              </w:rPr>
            </w:pPr>
          </w:p>
        </w:tc>
        <w:tc>
          <w:tcPr>
            <w:tcW w:w="1372" w:type="dxa"/>
            <w:tcBorders>
              <w:top w:val="single" w:sz="4" w:space="0" w:color="000000"/>
            </w:tcBorders>
          </w:tcPr>
          <w:p>
            <w:pPr>
              <w:pStyle w:val="TableParagraph"/>
              <w:spacing w:line="265" w:lineRule="exact"/>
              <w:ind w:right="117"/>
              <w:jc w:val="center"/>
              <w:rPr>
                <w:sz w:val="22"/>
              </w:rPr>
            </w:pPr>
            <w:r>
              <w:rPr>
                <w:sz w:val="22"/>
              </w:rPr>
              <w:t>H:L;</w:t>
            </w:r>
            <w:r>
              <w:rPr>
                <w:spacing w:val="-5"/>
                <w:sz w:val="22"/>
              </w:rPr>
              <w:t> </w:t>
            </w:r>
            <w:r>
              <w:rPr>
                <w:spacing w:val="-2"/>
                <w:sz w:val="22"/>
              </w:rPr>
              <w:t>10:50</w:t>
            </w:r>
          </w:p>
        </w:tc>
        <w:tc>
          <w:tcPr>
            <w:tcW w:w="1545" w:type="dxa"/>
            <w:tcBorders>
              <w:top w:val="single" w:sz="4" w:space="0" w:color="000000"/>
            </w:tcBorders>
          </w:tcPr>
          <w:p>
            <w:pPr>
              <w:pStyle w:val="TableParagraph"/>
              <w:spacing w:line="265" w:lineRule="exact"/>
              <w:ind w:left="107" w:right="107"/>
              <w:jc w:val="center"/>
              <w:rPr>
                <w:sz w:val="22"/>
              </w:rPr>
            </w:pPr>
            <w:r>
              <w:rPr>
                <w:spacing w:val="-2"/>
                <w:sz w:val="22"/>
              </w:rPr>
              <w:t>22.071±0.529</w:t>
            </w:r>
          </w:p>
        </w:tc>
        <w:tc>
          <w:tcPr>
            <w:tcW w:w="1008" w:type="dxa"/>
            <w:tcBorders>
              <w:top w:val="single" w:sz="4" w:space="0" w:color="000000"/>
            </w:tcBorders>
          </w:tcPr>
          <w:p>
            <w:pPr>
              <w:pStyle w:val="TableParagraph"/>
              <w:spacing w:line="265" w:lineRule="exact"/>
              <w:ind w:right="177"/>
              <w:jc w:val="right"/>
              <w:rPr>
                <w:sz w:val="22"/>
              </w:rPr>
            </w:pPr>
            <w:r>
              <w:rPr>
                <w:spacing w:val="-2"/>
                <w:sz w:val="22"/>
              </w:rPr>
              <w:t>0.000</w:t>
            </w:r>
          </w:p>
        </w:tc>
        <w:tc>
          <w:tcPr>
            <w:tcW w:w="773" w:type="dxa"/>
            <w:tcBorders>
              <w:top w:val="single" w:sz="4" w:space="0" w:color="000000"/>
            </w:tcBorders>
          </w:tcPr>
          <w:p>
            <w:pPr>
              <w:pStyle w:val="TableParagraph"/>
              <w:spacing w:line="265" w:lineRule="exact"/>
              <w:ind w:right="71"/>
              <w:jc w:val="center"/>
              <w:rPr>
                <w:sz w:val="22"/>
              </w:rPr>
            </w:pPr>
            <w:r>
              <w:rPr>
                <w:spacing w:val="-5"/>
                <w:sz w:val="22"/>
              </w:rPr>
              <w:t>SF</w:t>
            </w:r>
          </w:p>
        </w:tc>
      </w:tr>
      <w:tr>
        <w:trPr>
          <w:trHeight w:val="382" w:hRule="atLeast"/>
        </w:trPr>
        <w:tc>
          <w:tcPr>
            <w:tcW w:w="1643" w:type="dxa"/>
          </w:tcPr>
          <w:p>
            <w:pPr>
              <w:pStyle w:val="TableParagraph"/>
              <w:rPr>
                <w:rFonts w:ascii="Times New Roman"/>
                <w:sz w:val="22"/>
              </w:rPr>
            </w:pPr>
          </w:p>
        </w:tc>
        <w:tc>
          <w:tcPr>
            <w:tcW w:w="1372" w:type="dxa"/>
          </w:tcPr>
          <w:p>
            <w:pPr>
              <w:pStyle w:val="TableParagraph"/>
              <w:spacing w:before="72"/>
              <w:ind w:right="117"/>
              <w:jc w:val="center"/>
              <w:rPr>
                <w:sz w:val="22"/>
              </w:rPr>
            </w:pPr>
            <w:r>
              <w:rPr>
                <w:sz w:val="22"/>
              </w:rPr>
              <w:t>H:L;</w:t>
            </w:r>
            <w:r>
              <w:rPr>
                <w:spacing w:val="-5"/>
                <w:sz w:val="22"/>
              </w:rPr>
              <w:t> </w:t>
            </w:r>
            <w:r>
              <w:rPr>
                <w:spacing w:val="-2"/>
                <w:sz w:val="22"/>
              </w:rPr>
              <w:t>20:50</w:t>
            </w:r>
          </w:p>
        </w:tc>
        <w:tc>
          <w:tcPr>
            <w:tcW w:w="1545" w:type="dxa"/>
          </w:tcPr>
          <w:p>
            <w:pPr>
              <w:pStyle w:val="TableParagraph"/>
              <w:spacing w:before="72"/>
              <w:ind w:left="107" w:right="107"/>
              <w:jc w:val="center"/>
              <w:rPr>
                <w:sz w:val="22"/>
              </w:rPr>
            </w:pPr>
            <w:r>
              <w:rPr>
                <w:spacing w:val="-2"/>
                <w:sz w:val="22"/>
              </w:rPr>
              <w:t>22.143±0.501</w:t>
            </w:r>
          </w:p>
        </w:tc>
        <w:tc>
          <w:tcPr>
            <w:tcW w:w="1008" w:type="dxa"/>
          </w:tcPr>
          <w:p>
            <w:pPr>
              <w:pStyle w:val="TableParagraph"/>
              <w:spacing w:before="72"/>
              <w:ind w:right="177"/>
              <w:jc w:val="right"/>
              <w:rPr>
                <w:sz w:val="22"/>
              </w:rPr>
            </w:pPr>
            <w:r>
              <w:rPr>
                <w:spacing w:val="-2"/>
                <w:sz w:val="22"/>
              </w:rPr>
              <w:t>0.000</w:t>
            </w:r>
          </w:p>
        </w:tc>
        <w:tc>
          <w:tcPr>
            <w:tcW w:w="773" w:type="dxa"/>
          </w:tcPr>
          <w:p>
            <w:pPr>
              <w:pStyle w:val="TableParagraph"/>
              <w:spacing w:before="72"/>
              <w:ind w:right="71"/>
              <w:jc w:val="center"/>
              <w:rPr>
                <w:sz w:val="22"/>
              </w:rPr>
            </w:pPr>
            <w:r>
              <w:rPr>
                <w:spacing w:val="-5"/>
                <w:sz w:val="22"/>
              </w:rPr>
              <w:t>SF</w:t>
            </w:r>
          </w:p>
        </w:tc>
      </w:tr>
      <w:tr>
        <w:trPr>
          <w:trHeight w:val="597" w:hRule="atLeast"/>
        </w:trPr>
        <w:tc>
          <w:tcPr>
            <w:tcW w:w="1643" w:type="dxa"/>
          </w:tcPr>
          <w:p>
            <w:pPr>
              <w:pStyle w:val="TableParagraph"/>
              <w:spacing w:before="1"/>
              <w:ind w:left="108"/>
              <w:rPr>
                <w:sz w:val="22"/>
              </w:rPr>
            </w:pPr>
            <w:r>
              <w:rPr>
                <w:sz w:val="22"/>
              </w:rPr>
              <w:t>Lemon</w:t>
            </w:r>
            <w:r>
              <w:rPr>
                <w:spacing w:val="-4"/>
                <w:sz w:val="22"/>
              </w:rPr>
              <w:t> </w:t>
            </w:r>
            <w:r>
              <w:rPr>
                <w:spacing w:val="-2"/>
                <w:sz w:val="22"/>
              </w:rPr>
              <w:t>(50%)</w:t>
            </w:r>
          </w:p>
          <w:p>
            <w:pPr>
              <w:pStyle w:val="TableParagraph"/>
              <w:spacing w:before="17"/>
              <w:ind w:left="108"/>
              <w:rPr>
                <w:sz w:val="22"/>
              </w:rPr>
            </w:pPr>
            <w:r>
              <w:rPr>
                <w:spacing w:val="-2"/>
                <w:sz w:val="22"/>
              </w:rPr>
              <w:t>(17.500±0.918)</w:t>
            </w:r>
          </w:p>
        </w:tc>
        <w:tc>
          <w:tcPr>
            <w:tcW w:w="1372" w:type="dxa"/>
          </w:tcPr>
          <w:p>
            <w:pPr>
              <w:pStyle w:val="TableParagraph"/>
              <w:spacing w:before="143"/>
              <w:ind w:right="117"/>
              <w:jc w:val="center"/>
              <w:rPr>
                <w:sz w:val="22"/>
              </w:rPr>
            </w:pPr>
            <w:r>
              <w:rPr>
                <w:sz w:val="22"/>
              </w:rPr>
              <w:t>H:L;</w:t>
            </w:r>
            <w:r>
              <w:rPr>
                <w:spacing w:val="-5"/>
                <w:sz w:val="22"/>
              </w:rPr>
              <w:t> </w:t>
            </w:r>
            <w:r>
              <w:rPr>
                <w:spacing w:val="-2"/>
                <w:sz w:val="22"/>
              </w:rPr>
              <w:t>30:50</w:t>
            </w:r>
          </w:p>
        </w:tc>
        <w:tc>
          <w:tcPr>
            <w:tcW w:w="1545" w:type="dxa"/>
          </w:tcPr>
          <w:p>
            <w:pPr>
              <w:pStyle w:val="TableParagraph"/>
              <w:spacing w:before="143"/>
              <w:ind w:left="107" w:right="107"/>
              <w:jc w:val="center"/>
              <w:rPr>
                <w:sz w:val="22"/>
              </w:rPr>
            </w:pPr>
            <w:r>
              <w:rPr>
                <w:spacing w:val="-2"/>
                <w:sz w:val="22"/>
              </w:rPr>
              <w:t>22.643±0.830</w:t>
            </w:r>
          </w:p>
        </w:tc>
        <w:tc>
          <w:tcPr>
            <w:tcW w:w="1008" w:type="dxa"/>
          </w:tcPr>
          <w:p>
            <w:pPr>
              <w:pStyle w:val="TableParagraph"/>
              <w:spacing w:before="143"/>
              <w:ind w:right="177"/>
              <w:jc w:val="right"/>
              <w:rPr>
                <w:sz w:val="22"/>
              </w:rPr>
            </w:pPr>
            <w:r>
              <w:rPr>
                <w:spacing w:val="-2"/>
                <w:sz w:val="22"/>
              </w:rPr>
              <w:t>0.000</w:t>
            </w:r>
          </w:p>
        </w:tc>
        <w:tc>
          <w:tcPr>
            <w:tcW w:w="773" w:type="dxa"/>
          </w:tcPr>
          <w:p>
            <w:pPr>
              <w:pStyle w:val="TableParagraph"/>
              <w:spacing w:before="143"/>
              <w:ind w:right="71"/>
              <w:jc w:val="center"/>
              <w:rPr>
                <w:sz w:val="22"/>
              </w:rPr>
            </w:pPr>
            <w:r>
              <w:rPr>
                <w:spacing w:val="-5"/>
                <w:sz w:val="22"/>
              </w:rPr>
              <w:t>SF</w:t>
            </w:r>
          </w:p>
        </w:tc>
      </w:tr>
      <w:tr>
        <w:trPr>
          <w:trHeight w:val="382" w:hRule="atLeast"/>
        </w:trPr>
        <w:tc>
          <w:tcPr>
            <w:tcW w:w="1643" w:type="dxa"/>
          </w:tcPr>
          <w:p>
            <w:pPr>
              <w:pStyle w:val="TableParagraph"/>
              <w:rPr>
                <w:rFonts w:ascii="Times New Roman"/>
                <w:sz w:val="22"/>
              </w:rPr>
            </w:pPr>
          </w:p>
        </w:tc>
        <w:tc>
          <w:tcPr>
            <w:tcW w:w="1372" w:type="dxa"/>
          </w:tcPr>
          <w:p>
            <w:pPr>
              <w:pStyle w:val="TableParagraph"/>
              <w:spacing w:before="1"/>
              <w:ind w:right="117"/>
              <w:jc w:val="center"/>
              <w:rPr>
                <w:sz w:val="22"/>
              </w:rPr>
            </w:pPr>
            <w:r>
              <w:rPr>
                <w:sz w:val="22"/>
              </w:rPr>
              <w:t>H:L;</w:t>
            </w:r>
            <w:r>
              <w:rPr>
                <w:spacing w:val="-5"/>
                <w:sz w:val="22"/>
              </w:rPr>
              <w:t> </w:t>
            </w:r>
            <w:r>
              <w:rPr>
                <w:spacing w:val="-2"/>
                <w:sz w:val="22"/>
              </w:rPr>
              <w:t>40:50</w:t>
            </w:r>
          </w:p>
        </w:tc>
        <w:tc>
          <w:tcPr>
            <w:tcW w:w="1545" w:type="dxa"/>
          </w:tcPr>
          <w:p>
            <w:pPr>
              <w:pStyle w:val="TableParagraph"/>
              <w:spacing w:before="1"/>
              <w:ind w:left="107" w:right="107"/>
              <w:jc w:val="center"/>
              <w:rPr>
                <w:sz w:val="22"/>
              </w:rPr>
            </w:pPr>
            <w:r>
              <w:rPr>
                <w:spacing w:val="-2"/>
                <w:sz w:val="22"/>
              </w:rPr>
              <w:t>22.429±0.511</w:t>
            </w:r>
          </w:p>
        </w:tc>
        <w:tc>
          <w:tcPr>
            <w:tcW w:w="1008" w:type="dxa"/>
          </w:tcPr>
          <w:p>
            <w:pPr>
              <w:pStyle w:val="TableParagraph"/>
              <w:spacing w:before="1"/>
              <w:ind w:right="177"/>
              <w:jc w:val="right"/>
              <w:rPr>
                <w:sz w:val="22"/>
              </w:rPr>
            </w:pPr>
            <w:r>
              <w:rPr>
                <w:spacing w:val="-2"/>
                <w:sz w:val="22"/>
              </w:rPr>
              <w:t>0.000</w:t>
            </w:r>
          </w:p>
        </w:tc>
        <w:tc>
          <w:tcPr>
            <w:tcW w:w="773" w:type="dxa"/>
          </w:tcPr>
          <w:p>
            <w:pPr>
              <w:pStyle w:val="TableParagraph"/>
              <w:spacing w:before="1"/>
              <w:ind w:right="71"/>
              <w:jc w:val="center"/>
              <w:rPr>
                <w:sz w:val="22"/>
              </w:rPr>
            </w:pPr>
            <w:r>
              <w:rPr>
                <w:spacing w:val="-5"/>
                <w:sz w:val="22"/>
              </w:rPr>
              <w:t>SF</w:t>
            </w:r>
          </w:p>
        </w:tc>
      </w:tr>
      <w:tr>
        <w:trPr>
          <w:trHeight w:val="519" w:hRule="atLeast"/>
        </w:trPr>
        <w:tc>
          <w:tcPr>
            <w:tcW w:w="1643" w:type="dxa"/>
            <w:tcBorders>
              <w:bottom w:val="single" w:sz="4" w:space="0" w:color="000000"/>
            </w:tcBorders>
          </w:tcPr>
          <w:p>
            <w:pPr>
              <w:pStyle w:val="TableParagraph"/>
              <w:rPr>
                <w:rFonts w:ascii="Times New Roman"/>
                <w:sz w:val="22"/>
              </w:rPr>
            </w:pPr>
          </w:p>
        </w:tc>
        <w:tc>
          <w:tcPr>
            <w:tcW w:w="1372" w:type="dxa"/>
            <w:tcBorders>
              <w:bottom w:val="single" w:sz="4" w:space="0" w:color="000000"/>
            </w:tcBorders>
          </w:tcPr>
          <w:p>
            <w:pPr>
              <w:pStyle w:val="TableParagraph"/>
              <w:spacing w:before="72"/>
              <w:ind w:right="117"/>
              <w:jc w:val="center"/>
              <w:rPr>
                <w:sz w:val="22"/>
              </w:rPr>
            </w:pPr>
            <w:r>
              <w:rPr>
                <w:sz w:val="22"/>
              </w:rPr>
              <w:t>H:L;</w:t>
            </w:r>
            <w:r>
              <w:rPr>
                <w:spacing w:val="-5"/>
                <w:sz w:val="22"/>
              </w:rPr>
              <w:t> </w:t>
            </w:r>
            <w:r>
              <w:rPr>
                <w:spacing w:val="-2"/>
                <w:sz w:val="22"/>
              </w:rPr>
              <w:t>50:50</w:t>
            </w:r>
          </w:p>
        </w:tc>
        <w:tc>
          <w:tcPr>
            <w:tcW w:w="1545" w:type="dxa"/>
            <w:tcBorders>
              <w:bottom w:val="single" w:sz="4" w:space="0" w:color="000000"/>
            </w:tcBorders>
          </w:tcPr>
          <w:p>
            <w:pPr>
              <w:pStyle w:val="TableParagraph"/>
              <w:spacing w:before="72"/>
              <w:ind w:left="107" w:right="107"/>
              <w:jc w:val="center"/>
              <w:rPr>
                <w:sz w:val="22"/>
              </w:rPr>
            </w:pPr>
            <w:r>
              <w:rPr>
                <w:spacing w:val="-2"/>
                <w:sz w:val="22"/>
              </w:rPr>
              <w:t>24.500±0.489</w:t>
            </w:r>
          </w:p>
        </w:tc>
        <w:tc>
          <w:tcPr>
            <w:tcW w:w="1008" w:type="dxa"/>
            <w:tcBorders>
              <w:bottom w:val="single" w:sz="4" w:space="0" w:color="000000"/>
            </w:tcBorders>
          </w:tcPr>
          <w:p>
            <w:pPr>
              <w:pStyle w:val="TableParagraph"/>
              <w:spacing w:before="72"/>
              <w:ind w:right="177"/>
              <w:jc w:val="right"/>
              <w:rPr>
                <w:sz w:val="22"/>
              </w:rPr>
            </w:pPr>
            <w:r>
              <w:rPr>
                <w:spacing w:val="-2"/>
                <w:sz w:val="22"/>
              </w:rPr>
              <w:t>0.000</w:t>
            </w:r>
          </w:p>
        </w:tc>
        <w:tc>
          <w:tcPr>
            <w:tcW w:w="773" w:type="dxa"/>
            <w:tcBorders>
              <w:bottom w:val="single" w:sz="4" w:space="0" w:color="000000"/>
            </w:tcBorders>
          </w:tcPr>
          <w:p>
            <w:pPr>
              <w:pStyle w:val="TableParagraph"/>
              <w:spacing w:before="72"/>
              <w:ind w:right="71"/>
              <w:jc w:val="center"/>
              <w:rPr>
                <w:sz w:val="22"/>
              </w:rPr>
            </w:pPr>
            <w:r>
              <w:rPr>
                <w:spacing w:val="-5"/>
                <w:sz w:val="22"/>
              </w:rPr>
              <w:t>SF</w:t>
            </w:r>
          </w:p>
        </w:tc>
      </w:tr>
      <w:tr>
        <w:trPr>
          <w:trHeight w:val="453" w:hRule="atLeast"/>
        </w:trPr>
        <w:tc>
          <w:tcPr>
            <w:tcW w:w="1643" w:type="dxa"/>
            <w:tcBorders>
              <w:top w:val="single" w:sz="4" w:space="0" w:color="000000"/>
            </w:tcBorders>
          </w:tcPr>
          <w:p>
            <w:pPr>
              <w:pStyle w:val="TableParagraph"/>
              <w:spacing w:before="76"/>
              <w:ind w:left="108"/>
              <w:rPr>
                <w:sz w:val="22"/>
              </w:rPr>
            </w:pPr>
            <w:r>
              <w:rPr/>
              <mc:AlternateContent>
                <mc:Choice Requires="wps">
                  <w:drawing>
                    <wp:anchor distT="0" distB="0" distL="0" distR="0" allowOverlap="1" layoutInCell="1" locked="0" behindDoc="0" simplePos="0" relativeHeight="15824896">
                      <wp:simplePos x="0" y="0"/>
                      <wp:positionH relativeFrom="column">
                        <wp:posOffset>0</wp:posOffset>
                      </wp:positionH>
                      <wp:positionV relativeFrom="paragraph">
                        <wp:posOffset>282113</wp:posOffset>
                      </wp:positionV>
                      <wp:extent cx="1085850" cy="6350"/>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1085850" cy="6350"/>
                                <a:chExt cx="1085850" cy="6350"/>
                              </a:xfrm>
                            </wpg:grpSpPr>
                            <wps:wsp>
                              <wps:cNvPr id="512" name="Graphic 512"/>
                              <wps:cNvSpPr/>
                              <wps:spPr>
                                <a:xfrm>
                                  <a:off x="0" y="0"/>
                                  <a:ext cx="1085850" cy="6350"/>
                                </a:xfrm>
                                <a:custGeom>
                                  <a:avLst/>
                                  <a:gdLst/>
                                  <a:ahLst/>
                                  <a:cxnLst/>
                                  <a:rect l="l" t="t" r="r" b="b"/>
                                  <a:pathLst>
                                    <a:path w="1085850" h="6350">
                                      <a:moveTo>
                                        <a:pt x="1085392" y="0"/>
                                      </a:moveTo>
                                      <a:lnTo>
                                        <a:pt x="0" y="0"/>
                                      </a:lnTo>
                                      <a:lnTo>
                                        <a:pt x="0" y="6095"/>
                                      </a:lnTo>
                                      <a:lnTo>
                                        <a:pt x="1085392" y="6095"/>
                                      </a:lnTo>
                                      <a:lnTo>
                                        <a:pt x="10853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22.213652pt;width:85.5pt;height:.5pt;mso-position-horizontal-relative:column;mso-position-vertical-relative:paragraph;z-index:15824896" id="docshapegroup456" coordorigin="0,444" coordsize="1710,10">
                      <v:rect style="position:absolute;left:0;top:444;width:1710;height:10" id="docshape457" filled="true" fillcolor="#000000" stroked="false">
                        <v:fill type="solid"/>
                      </v:rect>
                      <w10:wrap type="none"/>
                    </v:group>
                  </w:pict>
                </mc:Fallback>
              </mc:AlternateContent>
            </w:r>
            <w:r>
              <w:rPr>
                <w:sz w:val="22"/>
              </w:rPr>
              <w:t>Lemon</w:t>
            </w:r>
            <w:r>
              <w:rPr>
                <w:spacing w:val="-4"/>
                <w:sz w:val="22"/>
              </w:rPr>
              <w:t> </w:t>
            </w:r>
            <w:r>
              <w:rPr>
                <w:spacing w:val="-2"/>
                <w:sz w:val="22"/>
              </w:rPr>
              <w:t>(25%)</w:t>
            </w:r>
          </w:p>
        </w:tc>
        <w:tc>
          <w:tcPr>
            <w:tcW w:w="1372" w:type="dxa"/>
            <w:tcBorders>
              <w:top w:val="single" w:sz="4" w:space="0" w:color="000000"/>
            </w:tcBorders>
          </w:tcPr>
          <w:p>
            <w:pPr>
              <w:pStyle w:val="TableParagraph"/>
              <w:spacing w:line="265" w:lineRule="exact"/>
              <w:ind w:right="117"/>
              <w:jc w:val="center"/>
              <w:rPr>
                <w:sz w:val="22"/>
              </w:rPr>
            </w:pPr>
            <w:r>
              <w:rPr>
                <w:sz w:val="22"/>
              </w:rPr>
              <w:t>H:L;</w:t>
            </w:r>
            <w:r>
              <w:rPr>
                <w:spacing w:val="-5"/>
                <w:sz w:val="22"/>
              </w:rPr>
              <w:t> </w:t>
            </w:r>
            <w:r>
              <w:rPr>
                <w:spacing w:val="-2"/>
                <w:sz w:val="22"/>
              </w:rPr>
              <w:t>10:50</w:t>
            </w:r>
          </w:p>
        </w:tc>
        <w:tc>
          <w:tcPr>
            <w:tcW w:w="1545" w:type="dxa"/>
            <w:tcBorders>
              <w:top w:val="single" w:sz="4" w:space="0" w:color="000000"/>
            </w:tcBorders>
          </w:tcPr>
          <w:p>
            <w:pPr>
              <w:pStyle w:val="TableParagraph"/>
              <w:spacing w:line="265" w:lineRule="exact"/>
              <w:ind w:left="107" w:right="107"/>
              <w:jc w:val="center"/>
              <w:rPr>
                <w:sz w:val="22"/>
              </w:rPr>
            </w:pPr>
            <w:r>
              <w:rPr>
                <w:spacing w:val="-2"/>
                <w:sz w:val="22"/>
              </w:rPr>
              <w:t>22.071±0.529</w:t>
            </w:r>
          </w:p>
        </w:tc>
        <w:tc>
          <w:tcPr>
            <w:tcW w:w="1008" w:type="dxa"/>
            <w:tcBorders>
              <w:top w:val="single" w:sz="4" w:space="0" w:color="000000"/>
            </w:tcBorders>
          </w:tcPr>
          <w:p>
            <w:pPr>
              <w:pStyle w:val="TableParagraph"/>
              <w:spacing w:line="265" w:lineRule="exact"/>
              <w:ind w:right="177"/>
              <w:jc w:val="right"/>
              <w:rPr>
                <w:sz w:val="22"/>
              </w:rPr>
            </w:pPr>
            <w:r>
              <w:rPr>
                <w:spacing w:val="-2"/>
                <w:sz w:val="22"/>
              </w:rPr>
              <w:t>0.000</w:t>
            </w:r>
          </w:p>
        </w:tc>
        <w:tc>
          <w:tcPr>
            <w:tcW w:w="773" w:type="dxa"/>
            <w:tcBorders>
              <w:top w:val="single" w:sz="4" w:space="0" w:color="000000"/>
            </w:tcBorders>
          </w:tcPr>
          <w:p>
            <w:pPr>
              <w:pStyle w:val="TableParagraph"/>
              <w:spacing w:line="265" w:lineRule="exact"/>
              <w:ind w:right="71"/>
              <w:jc w:val="center"/>
              <w:rPr>
                <w:sz w:val="22"/>
              </w:rPr>
            </w:pPr>
            <w:r>
              <w:rPr>
                <w:spacing w:val="-5"/>
                <w:sz w:val="22"/>
              </w:rPr>
              <w:t>SF</w:t>
            </w:r>
          </w:p>
        </w:tc>
      </w:tr>
    </w:tbl>
    <w:p>
      <w:pPr>
        <w:spacing w:after="0" w:line="265" w:lineRule="exact"/>
        <w:jc w:val="center"/>
        <w:rPr>
          <w:sz w:val="22"/>
        </w:rPr>
        <w:sectPr>
          <w:pgSz w:w="11910" w:h="16840"/>
          <w:pgMar w:header="0" w:footer="1055" w:top="1920" w:bottom="1678" w:left="1060" w:right="460"/>
        </w:sect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9"/>
        <w:gridCol w:w="1238"/>
        <w:gridCol w:w="1695"/>
        <w:gridCol w:w="961"/>
        <w:gridCol w:w="740"/>
      </w:tblGrid>
      <w:tr>
        <w:trPr>
          <w:trHeight w:val="378" w:hRule="atLeast"/>
        </w:trPr>
        <w:tc>
          <w:tcPr>
            <w:tcW w:w="1709" w:type="dxa"/>
            <w:tcBorders>
              <w:top w:val="single" w:sz="4" w:space="0" w:color="000000"/>
            </w:tcBorders>
          </w:tcPr>
          <w:p>
            <w:pPr>
              <w:pStyle w:val="TableParagraph"/>
              <w:spacing w:line="265" w:lineRule="exact"/>
              <w:ind w:left="108"/>
              <w:rPr>
                <w:sz w:val="22"/>
              </w:rPr>
            </w:pPr>
            <w:r>
              <w:rPr>
                <w:spacing w:val="-2"/>
                <w:sz w:val="22"/>
              </w:rPr>
              <w:t>(13.714±0.615)</w:t>
            </w:r>
          </w:p>
        </w:tc>
        <w:tc>
          <w:tcPr>
            <w:tcW w:w="1238" w:type="dxa"/>
          </w:tcPr>
          <w:p>
            <w:pPr>
              <w:pStyle w:val="TableParagraph"/>
              <w:spacing w:line="265" w:lineRule="exact"/>
              <w:ind w:left="108"/>
              <w:rPr>
                <w:sz w:val="22"/>
              </w:rPr>
            </w:pPr>
            <w:r>
              <w:rPr>
                <w:sz w:val="22"/>
              </w:rPr>
              <w:t>H:L;</w:t>
            </w:r>
            <w:r>
              <w:rPr>
                <w:spacing w:val="-5"/>
                <w:sz w:val="22"/>
              </w:rPr>
              <w:t> </w:t>
            </w:r>
            <w:r>
              <w:rPr>
                <w:spacing w:val="-2"/>
                <w:sz w:val="22"/>
              </w:rPr>
              <w:t>20:50</w:t>
            </w:r>
          </w:p>
        </w:tc>
        <w:tc>
          <w:tcPr>
            <w:tcW w:w="1695" w:type="dxa"/>
          </w:tcPr>
          <w:p>
            <w:pPr>
              <w:pStyle w:val="TableParagraph"/>
              <w:spacing w:line="265" w:lineRule="exact"/>
              <w:ind w:right="14"/>
              <w:jc w:val="center"/>
              <w:rPr>
                <w:sz w:val="22"/>
              </w:rPr>
            </w:pPr>
            <w:r>
              <w:rPr>
                <w:spacing w:val="-2"/>
                <w:sz w:val="22"/>
              </w:rPr>
              <w:t>22.143±0.501</w:t>
            </w:r>
          </w:p>
        </w:tc>
        <w:tc>
          <w:tcPr>
            <w:tcW w:w="961" w:type="dxa"/>
          </w:tcPr>
          <w:p>
            <w:pPr>
              <w:pStyle w:val="TableParagraph"/>
              <w:spacing w:line="265" w:lineRule="exact"/>
              <w:ind w:left="28"/>
              <w:jc w:val="center"/>
              <w:rPr>
                <w:sz w:val="22"/>
              </w:rPr>
            </w:pPr>
            <w:r>
              <w:rPr>
                <w:spacing w:val="-2"/>
                <w:sz w:val="22"/>
              </w:rPr>
              <w:t>0.000</w:t>
            </w:r>
          </w:p>
        </w:tc>
        <w:tc>
          <w:tcPr>
            <w:tcW w:w="740" w:type="dxa"/>
          </w:tcPr>
          <w:p>
            <w:pPr>
              <w:pStyle w:val="TableParagraph"/>
              <w:spacing w:line="265" w:lineRule="exact"/>
              <w:ind w:left="213"/>
              <w:rPr>
                <w:sz w:val="22"/>
              </w:rPr>
            </w:pPr>
            <w:r>
              <w:rPr>
                <w:spacing w:val="-5"/>
                <w:sz w:val="22"/>
              </w:rPr>
              <w:t>SF</w:t>
            </w:r>
          </w:p>
        </w:tc>
      </w:tr>
      <w:tr>
        <w:trPr>
          <w:trHeight w:val="455" w:hRule="atLeast"/>
        </w:trPr>
        <w:tc>
          <w:tcPr>
            <w:tcW w:w="1709" w:type="dxa"/>
          </w:tcPr>
          <w:p>
            <w:pPr>
              <w:pStyle w:val="TableParagraph"/>
              <w:rPr>
                <w:rFonts w:ascii="Times New Roman"/>
                <w:sz w:val="22"/>
              </w:rPr>
            </w:pPr>
          </w:p>
        </w:tc>
        <w:tc>
          <w:tcPr>
            <w:tcW w:w="1238" w:type="dxa"/>
          </w:tcPr>
          <w:p>
            <w:pPr>
              <w:pStyle w:val="TableParagraph"/>
              <w:spacing w:before="72"/>
              <w:ind w:left="108"/>
              <w:rPr>
                <w:sz w:val="22"/>
              </w:rPr>
            </w:pPr>
            <w:r>
              <w:rPr>
                <w:sz w:val="22"/>
              </w:rPr>
              <w:t>H:L;</w:t>
            </w:r>
            <w:r>
              <w:rPr>
                <w:spacing w:val="-5"/>
                <w:sz w:val="22"/>
              </w:rPr>
              <w:t> </w:t>
            </w:r>
            <w:r>
              <w:rPr>
                <w:spacing w:val="-2"/>
                <w:sz w:val="22"/>
              </w:rPr>
              <w:t>30:50</w:t>
            </w:r>
          </w:p>
        </w:tc>
        <w:tc>
          <w:tcPr>
            <w:tcW w:w="1695" w:type="dxa"/>
          </w:tcPr>
          <w:p>
            <w:pPr>
              <w:pStyle w:val="TableParagraph"/>
              <w:spacing w:before="72"/>
              <w:ind w:right="14"/>
              <w:jc w:val="center"/>
              <w:rPr>
                <w:sz w:val="22"/>
              </w:rPr>
            </w:pPr>
            <w:r>
              <w:rPr>
                <w:spacing w:val="-2"/>
                <w:sz w:val="22"/>
              </w:rPr>
              <w:t>22.643±0.830</w:t>
            </w:r>
          </w:p>
        </w:tc>
        <w:tc>
          <w:tcPr>
            <w:tcW w:w="961" w:type="dxa"/>
          </w:tcPr>
          <w:p>
            <w:pPr>
              <w:pStyle w:val="TableParagraph"/>
              <w:spacing w:before="72"/>
              <w:ind w:left="28"/>
              <w:jc w:val="center"/>
              <w:rPr>
                <w:sz w:val="22"/>
              </w:rPr>
            </w:pPr>
            <w:r>
              <w:rPr>
                <w:spacing w:val="-2"/>
                <w:sz w:val="22"/>
              </w:rPr>
              <w:t>0.000</w:t>
            </w:r>
          </w:p>
        </w:tc>
        <w:tc>
          <w:tcPr>
            <w:tcW w:w="740" w:type="dxa"/>
          </w:tcPr>
          <w:p>
            <w:pPr>
              <w:pStyle w:val="TableParagraph"/>
              <w:spacing w:before="72"/>
              <w:ind w:left="213"/>
              <w:rPr>
                <w:sz w:val="22"/>
              </w:rPr>
            </w:pPr>
            <w:r>
              <w:rPr>
                <w:spacing w:val="-5"/>
                <w:sz w:val="22"/>
              </w:rPr>
              <w:t>SF</w:t>
            </w:r>
          </w:p>
        </w:tc>
      </w:tr>
      <w:tr>
        <w:trPr>
          <w:trHeight w:val="454" w:hRule="atLeast"/>
        </w:trPr>
        <w:tc>
          <w:tcPr>
            <w:tcW w:w="1709" w:type="dxa"/>
          </w:tcPr>
          <w:p>
            <w:pPr>
              <w:pStyle w:val="TableParagraph"/>
              <w:rPr>
                <w:rFonts w:ascii="Times New Roman"/>
                <w:sz w:val="22"/>
              </w:rPr>
            </w:pPr>
          </w:p>
        </w:tc>
        <w:tc>
          <w:tcPr>
            <w:tcW w:w="1238" w:type="dxa"/>
          </w:tcPr>
          <w:p>
            <w:pPr>
              <w:pStyle w:val="TableParagraph"/>
              <w:spacing w:before="73"/>
              <w:ind w:left="108"/>
              <w:rPr>
                <w:sz w:val="22"/>
              </w:rPr>
            </w:pPr>
            <w:r>
              <w:rPr>
                <w:sz w:val="22"/>
              </w:rPr>
              <w:t>H:L;</w:t>
            </w:r>
            <w:r>
              <w:rPr>
                <w:spacing w:val="-5"/>
                <w:sz w:val="22"/>
              </w:rPr>
              <w:t> </w:t>
            </w:r>
            <w:r>
              <w:rPr>
                <w:spacing w:val="-2"/>
                <w:sz w:val="22"/>
              </w:rPr>
              <w:t>40:50</w:t>
            </w:r>
          </w:p>
        </w:tc>
        <w:tc>
          <w:tcPr>
            <w:tcW w:w="1695" w:type="dxa"/>
          </w:tcPr>
          <w:p>
            <w:pPr>
              <w:pStyle w:val="TableParagraph"/>
              <w:spacing w:before="73"/>
              <w:ind w:right="14"/>
              <w:jc w:val="center"/>
              <w:rPr>
                <w:sz w:val="22"/>
              </w:rPr>
            </w:pPr>
            <w:r>
              <w:rPr>
                <w:spacing w:val="-2"/>
                <w:sz w:val="22"/>
              </w:rPr>
              <w:t>22.429±0.511</w:t>
            </w:r>
          </w:p>
        </w:tc>
        <w:tc>
          <w:tcPr>
            <w:tcW w:w="961" w:type="dxa"/>
          </w:tcPr>
          <w:p>
            <w:pPr>
              <w:pStyle w:val="TableParagraph"/>
              <w:spacing w:before="73"/>
              <w:ind w:left="28"/>
              <w:jc w:val="center"/>
              <w:rPr>
                <w:sz w:val="22"/>
              </w:rPr>
            </w:pPr>
            <w:r>
              <w:rPr>
                <w:spacing w:val="-2"/>
                <w:sz w:val="22"/>
              </w:rPr>
              <w:t>0.000</w:t>
            </w:r>
          </w:p>
        </w:tc>
        <w:tc>
          <w:tcPr>
            <w:tcW w:w="740" w:type="dxa"/>
          </w:tcPr>
          <w:p>
            <w:pPr>
              <w:pStyle w:val="TableParagraph"/>
              <w:spacing w:before="73"/>
              <w:ind w:left="213"/>
              <w:rPr>
                <w:sz w:val="22"/>
              </w:rPr>
            </w:pPr>
            <w:r>
              <w:rPr>
                <w:spacing w:val="-5"/>
                <w:sz w:val="22"/>
              </w:rPr>
              <w:t>SF</w:t>
            </w:r>
          </w:p>
        </w:tc>
      </w:tr>
      <w:tr>
        <w:trPr>
          <w:trHeight w:val="519" w:hRule="atLeast"/>
        </w:trPr>
        <w:tc>
          <w:tcPr>
            <w:tcW w:w="1709" w:type="dxa"/>
            <w:tcBorders>
              <w:bottom w:val="single" w:sz="4" w:space="0" w:color="000000"/>
            </w:tcBorders>
          </w:tcPr>
          <w:p>
            <w:pPr>
              <w:pStyle w:val="TableParagraph"/>
              <w:rPr>
                <w:rFonts w:ascii="Times New Roman"/>
                <w:sz w:val="22"/>
              </w:rPr>
            </w:pPr>
          </w:p>
        </w:tc>
        <w:tc>
          <w:tcPr>
            <w:tcW w:w="1238" w:type="dxa"/>
            <w:tcBorders>
              <w:bottom w:val="single" w:sz="4" w:space="0" w:color="000000"/>
            </w:tcBorders>
          </w:tcPr>
          <w:p>
            <w:pPr>
              <w:pStyle w:val="TableParagraph"/>
              <w:spacing w:before="72"/>
              <w:ind w:left="108"/>
              <w:rPr>
                <w:sz w:val="22"/>
              </w:rPr>
            </w:pPr>
            <w:r>
              <w:rPr>
                <w:sz w:val="22"/>
              </w:rPr>
              <w:t>H:L;</w:t>
            </w:r>
            <w:r>
              <w:rPr>
                <w:spacing w:val="-5"/>
                <w:sz w:val="22"/>
              </w:rPr>
              <w:t> </w:t>
            </w:r>
            <w:r>
              <w:rPr>
                <w:spacing w:val="-2"/>
                <w:sz w:val="22"/>
              </w:rPr>
              <w:t>50:50</w:t>
            </w:r>
          </w:p>
        </w:tc>
        <w:tc>
          <w:tcPr>
            <w:tcW w:w="1695" w:type="dxa"/>
            <w:tcBorders>
              <w:bottom w:val="single" w:sz="4" w:space="0" w:color="000000"/>
            </w:tcBorders>
          </w:tcPr>
          <w:p>
            <w:pPr>
              <w:pStyle w:val="TableParagraph"/>
              <w:spacing w:before="72"/>
              <w:ind w:right="14"/>
              <w:jc w:val="center"/>
              <w:rPr>
                <w:sz w:val="22"/>
              </w:rPr>
            </w:pPr>
            <w:r>
              <w:rPr>
                <w:spacing w:val="-2"/>
                <w:sz w:val="22"/>
              </w:rPr>
              <w:t>24.500±0.489</w:t>
            </w:r>
          </w:p>
        </w:tc>
        <w:tc>
          <w:tcPr>
            <w:tcW w:w="961" w:type="dxa"/>
            <w:tcBorders>
              <w:bottom w:val="single" w:sz="4" w:space="0" w:color="000000"/>
            </w:tcBorders>
          </w:tcPr>
          <w:p>
            <w:pPr>
              <w:pStyle w:val="TableParagraph"/>
              <w:spacing w:before="72"/>
              <w:ind w:left="28"/>
              <w:jc w:val="center"/>
              <w:rPr>
                <w:sz w:val="22"/>
              </w:rPr>
            </w:pPr>
            <w:r>
              <w:rPr>
                <w:spacing w:val="-2"/>
                <w:sz w:val="22"/>
              </w:rPr>
              <w:t>0.000</w:t>
            </w:r>
          </w:p>
        </w:tc>
        <w:tc>
          <w:tcPr>
            <w:tcW w:w="740" w:type="dxa"/>
            <w:tcBorders>
              <w:bottom w:val="single" w:sz="4" w:space="0" w:color="000000"/>
            </w:tcBorders>
          </w:tcPr>
          <w:p>
            <w:pPr>
              <w:pStyle w:val="TableParagraph"/>
              <w:spacing w:before="72"/>
              <w:ind w:left="213"/>
              <w:rPr>
                <w:sz w:val="22"/>
              </w:rPr>
            </w:pPr>
            <w:r>
              <w:rPr>
                <w:spacing w:val="-5"/>
                <w:sz w:val="22"/>
              </w:rPr>
              <w:t>SF</w:t>
            </w:r>
          </w:p>
        </w:tc>
      </w:tr>
    </w:tbl>
    <w:p>
      <w:pPr>
        <w:pStyle w:val="BodyText"/>
        <w:spacing w:line="259" w:lineRule="auto" w:before="19"/>
        <w:ind w:left="380" w:right="975"/>
      </w:pPr>
      <w:r>
        <w:rPr>
          <w:b/>
        </w:rPr>
        <w:t>Key:</w:t>
      </w:r>
      <w:r>
        <w:rPr>
          <w:b/>
          <w:spacing w:val="34"/>
        </w:rPr>
        <w:t> </w:t>
      </w:r>
      <w:r>
        <w:rPr/>
        <w:t>LOS=Level</w:t>
      </w:r>
      <w:r>
        <w:rPr>
          <w:spacing w:val="32"/>
        </w:rPr>
        <w:t> </w:t>
      </w:r>
      <w:r>
        <w:rPr/>
        <w:t>of</w:t>
      </w:r>
      <w:r>
        <w:rPr>
          <w:spacing w:val="32"/>
        </w:rPr>
        <w:t> </w:t>
      </w:r>
      <w:r>
        <w:rPr/>
        <w:t>significance;</w:t>
      </w:r>
      <w:r>
        <w:rPr>
          <w:spacing w:val="38"/>
        </w:rPr>
        <w:t> </w:t>
      </w:r>
      <w:r>
        <w:rPr/>
        <w:t>NS=Not</w:t>
      </w:r>
      <w:r>
        <w:rPr>
          <w:spacing w:val="33"/>
        </w:rPr>
        <w:t> </w:t>
      </w:r>
      <w:r>
        <w:rPr/>
        <w:t>significantly</w:t>
      </w:r>
      <w:r>
        <w:rPr>
          <w:spacing w:val="33"/>
        </w:rPr>
        <w:t> </w:t>
      </w:r>
      <w:r>
        <w:rPr/>
        <w:t>different;</w:t>
      </w:r>
      <w:r>
        <w:rPr>
          <w:spacing w:val="35"/>
        </w:rPr>
        <w:t> </w:t>
      </w:r>
      <w:r>
        <w:rPr/>
        <w:t>SF=Significantly</w:t>
      </w:r>
      <w:r>
        <w:rPr>
          <w:spacing w:val="33"/>
        </w:rPr>
        <w:t> </w:t>
      </w:r>
      <w:r>
        <w:rPr/>
        <w:t>different;</w:t>
      </w:r>
      <w:r>
        <w:rPr>
          <w:spacing w:val="35"/>
        </w:rPr>
        <w:t> </w:t>
      </w:r>
      <w:r>
        <w:rPr/>
        <w:t>H=Honey and L=Lemon juice.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8"/>
      </w:pPr>
    </w:p>
    <w:p>
      <w:pPr>
        <w:pStyle w:val="Heading3"/>
        <w:spacing w:line="403" w:lineRule="auto"/>
        <w:ind w:right="2617"/>
      </w:pPr>
      <w:r>
        <w:rPr/>
        <w:t>Comparing</w:t>
      </w:r>
      <w:r>
        <w:rPr>
          <w:spacing w:val="-5"/>
        </w:rPr>
        <w:t> </w:t>
      </w:r>
      <w:r>
        <w:rPr/>
        <w:t>the</w:t>
      </w:r>
      <w:r>
        <w:rPr>
          <w:spacing w:val="-4"/>
        </w:rPr>
        <w:t> </w:t>
      </w:r>
      <w:r>
        <w:rPr/>
        <w:t>mean</w:t>
      </w:r>
      <w:r>
        <w:rPr>
          <w:spacing w:val="-4"/>
        </w:rPr>
        <w:t> </w:t>
      </w:r>
      <w:r>
        <w:rPr/>
        <w:t>zones</w:t>
      </w:r>
      <w:r>
        <w:rPr>
          <w:spacing w:val="-3"/>
        </w:rPr>
        <w:t> </w:t>
      </w:r>
      <w:r>
        <w:rPr/>
        <w:t>of</w:t>
      </w:r>
      <w:r>
        <w:rPr>
          <w:spacing w:val="-3"/>
        </w:rPr>
        <w:t> </w:t>
      </w:r>
      <w:r>
        <w:rPr/>
        <w:t>inhibition</w:t>
      </w:r>
      <w:r>
        <w:rPr>
          <w:spacing w:val="-4"/>
        </w:rPr>
        <w:t> </w:t>
      </w:r>
      <w:r>
        <w:rPr/>
        <w:t>of</w:t>
      </w:r>
      <w:r>
        <w:rPr>
          <w:spacing w:val="-3"/>
        </w:rPr>
        <w:t> </w:t>
      </w:r>
      <w:r>
        <w:rPr/>
        <w:t>Lemon</w:t>
      </w:r>
      <w:r>
        <w:rPr>
          <w:spacing w:val="-1"/>
        </w:rPr>
        <w:t> </w:t>
      </w:r>
      <w:r>
        <w:rPr/>
        <w:t>juice</w:t>
      </w:r>
      <w:r>
        <w:rPr>
          <w:spacing w:val="-3"/>
        </w:rPr>
        <w:t> </w:t>
      </w:r>
      <w:r>
        <w:rPr/>
        <w:t>and</w:t>
      </w:r>
      <w:r>
        <w:rPr>
          <w:spacing w:val="-4"/>
        </w:rPr>
        <w:t> </w:t>
      </w:r>
      <w:r>
        <w:rPr/>
        <w:t>the</w:t>
      </w:r>
      <w:r>
        <w:rPr>
          <w:spacing w:val="-4"/>
        </w:rPr>
        <w:t> </w:t>
      </w:r>
      <w:r>
        <w:rPr/>
        <w:t>mixture of Honey and Lemon juice against </w:t>
      </w:r>
      <w:r>
        <w:rPr>
          <w:i/>
        </w:rPr>
        <w:t>Haemophilus influenzae</w:t>
      </w:r>
      <w:r>
        <w:rPr/>
        <w:t>.</w:t>
      </w:r>
    </w:p>
    <w:p>
      <w:pPr>
        <w:pStyle w:val="BodyText"/>
        <w:spacing w:before="207" w:after="1"/>
        <w:rPr>
          <w:b/>
          <w:sz w:val="20"/>
        </w:r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4"/>
        <w:gridCol w:w="1616"/>
        <w:gridCol w:w="1445"/>
        <w:gridCol w:w="956"/>
        <w:gridCol w:w="846"/>
      </w:tblGrid>
      <w:tr>
        <w:trPr>
          <w:trHeight w:val="444" w:hRule="atLeast"/>
        </w:trPr>
        <w:tc>
          <w:tcPr>
            <w:tcW w:w="1474" w:type="dxa"/>
            <w:tcBorders>
              <w:top w:val="single" w:sz="4" w:space="0" w:color="000000"/>
              <w:bottom w:val="single" w:sz="4" w:space="0" w:color="000000"/>
            </w:tcBorders>
          </w:tcPr>
          <w:p>
            <w:pPr>
              <w:pStyle w:val="TableParagraph"/>
              <w:spacing w:line="266" w:lineRule="exact"/>
              <w:ind w:left="108"/>
              <w:rPr>
                <w:sz w:val="22"/>
              </w:rPr>
            </w:pPr>
            <w:r>
              <w:rPr>
                <w:sz w:val="22"/>
              </w:rPr>
              <w:t>(I)</w:t>
            </w:r>
            <w:r>
              <w:rPr>
                <w:spacing w:val="-2"/>
                <w:sz w:val="22"/>
              </w:rPr>
              <w:t> Group_9</w:t>
            </w:r>
          </w:p>
        </w:tc>
        <w:tc>
          <w:tcPr>
            <w:tcW w:w="1616" w:type="dxa"/>
            <w:tcBorders>
              <w:top w:val="single" w:sz="4" w:space="0" w:color="000000"/>
              <w:bottom w:val="single" w:sz="4" w:space="0" w:color="000000"/>
            </w:tcBorders>
          </w:tcPr>
          <w:p>
            <w:pPr>
              <w:pStyle w:val="TableParagraph"/>
              <w:spacing w:line="266" w:lineRule="exact"/>
              <w:ind w:left="343"/>
              <w:rPr>
                <w:sz w:val="22"/>
              </w:rPr>
            </w:pPr>
            <w:r>
              <w:rPr>
                <w:sz w:val="22"/>
              </w:rPr>
              <w:t>(J)</w:t>
            </w:r>
            <w:r>
              <w:rPr>
                <w:spacing w:val="-2"/>
                <w:sz w:val="22"/>
              </w:rPr>
              <w:t> Group_9</w:t>
            </w:r>
          </w:p>
        </w:tc>
        <w:tc>
          <w:tcPr>
            <w:tcW w:w="1445" w:type="dxa"/>
            <w:tcBorders>
              <w:top w:val="single" w:sz="4" w:space="0" w:color="000000"/>
              <w:bottom w:val="single" w:sz="4" w:space="0" w:color="000000"/>
            </w:tcBorders>
          </w:tcPr>
          <w:p>
            <w:pPr>
              <w:pStyle w:val="TableParagraph"/>
              <w:spacing w:line="266" w:lineRule="exact"/>
              <w:ind w:left="237"/>
              <w:rPr>
                <w:sz w:val="22"/>
              </w:rPr>
            </w:pPr>
            <w:r>
              <w:rPr>
                <w:spacing w:val="-2"/>
                <w:sz w:val="22"/>
              </w:rPr>
              <w:t>Mean±SEM</w:t>
            </w:r>
          </w:p>
        </w:tc>
        <w:tc>
          <w:tcPr>
            <w:tcW w:w="956" w:type="dxa"/>
            <w:tcBorders>
              <w:top w:val="single" w:sz="4" w:space="0" w:color="000000"/>
              <w:bottom w:val="single" w:sz="4" w:space="0" w:color="000000"/>
            </w:tcBorders>
          </w:tcPr>
          <w:p>
            <w:pPr>
              <w:pStyle w:val="TableParagraph"/>
              <w:spacing w:line="266" w:lineRule="exact"/>
              <w:ind w:left="186"/>
              <w:rPr>
                <w:sz w:val="22"/>
              </w:rPr>
            </w:pPr>
            <w:r>
              <w:rPr>
                <w:sz w:val="22"/>
              </w:rPr>
              <w:t>P-</w:t>
            </w:r>
            <w:r>
              <w:rPr>
                <w:spacing w:val="-2"/>
                <w:sz w:val="22"/>
              </w:rPr>
              <w:t>value</w:t>
            </w:r>
          </w:p>
        </w:tc>
        <w:tc>
          <w:tcPr>
            <w:tcW w:w="846" w:type="dxa"/>
            <w:tcBorders>
              <w:top w:val="single" w:sz="4" w:space="0" w:color="000000"/>
            </w:tcBorders>
          </w:tcPr>
          <w:p>
            <w:pPr>
              <w:pStyle w:val="TableParagraph"/>
              <w:rPr>
                <w:rFonts w:ascii="Times New Roman"/>
                <w:sz w:val="22"/>
              </w:rPr>
            </w:pPr>
          </w:p>
        </w:tc>
      </w:tr>
    </w:tbl>
    <w:p>
      <w:pPr>
        <w:spacing w:after="0"/>
        <w:rPr>
          <w:rFonts w:ascii="Times New Roman"/>
          <w:sz w:val="22"/>
        </w:rPr>
        <w:sectPr>
          <w:type w:val="continuous"/>
          <w:pgSz w:w="11910" w:h="16840"/>
          <w:pgMar w:header="0" w:footer="1055" w:top="1400" w:bottom="1240" w:left="1060" w:right="460"/>
        </w:sect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gridCol w:w="1305"/>
        <w:gridCol w:w="1694"/>
        <w:gridCol w:w="951"/>
        <w:gridCol w:w="749"/>
      </w:tblGrid>
      <w:tr>
        <w:trPr>
          <w:trHeight w:val="900" w:hRule="atLeast"/>
        </w:trPr>
        <w:tc>
          <w:tcPr>
            <w:tcW w:w="1642" w:type="dxa"/>
            <w:tcBorders>
              <w:top w:val="single" w:sz="4" w:space="0" w:color="000000"/>
              <w:bottom w:val="single" w:sz="4" w:space="0" w:color="000000"/>
            </w:tcBorders>
          </w:tcPr>
          <w:p>
            <w:pPr>
              <w:pStyle w:val="TableParagraph"/>
              <w:rPr>
                <w:rFonts w:ascii="Times New Roman"/>
                <w:sz w:val="22"/>
              </w:rPr>
            </w:pPr>
          </w:p>
        </w:tc>
        <w:tc>
          <w:tcPr>
            <w:tcW w:w="1305" w:type="dxa"/>
            <w:tcBorders>
              <w:top w:val="single" w:sz="4" w:space="0" w:color="000000"/>
              <w:bottom w:val="single" w:sz="4" w:space="0" w:color="000000"/>
            </w:tcBorders>
          </w:tcPr>
          <w:p>
            <w:pPr>
              <w:pStyle w:val="TableParagraph"/>
              <w:rPr>
                <w:rFonts w:ascii="Times New Roman"/>
                <w:sz w:val="22"/>
              </w:rPr>
            </w:pPr>
          </w:p>
        </w:tc>
        <w:tc>
          <w:tcPr>
            <w:tcW w:w="1694" w:type="dxa"/>
            <w:tcBorders>
              <w:top w:val="single" w:sz="4" w:space="0" w:color="000000"/>
              <w:bottom w:val="single" w:sz="4" w:space="0" w:color="000000"/>
            </w:tcBorders>
          </w:tcPr>
          <w:p>
            <w:pPr>
              <w:pStyle w:val="TableParagraph"/>
              <w:rPr>
                <w:rFonts w:ascii="Times New Roman"/>
                <w:sz w:val="22"/>
              </w:rPr>
            </w:pPr>
          </w:p>
        </w:tc>
        <w:tc>
          <w:tcPr>
            <w:tcW w:w="951" w:type="dxa"/>
            <w:tcBorders>
              <w:top w:val="single" w:sz="4" w:space="0" w:color="000000"/>
              <w:bottom w:val="single" w:sz="4" w:space="0" w:color="000000"/>
            </w:tcBorders>
          </w:tcPr>
          <w:p>
            <w:pPr>
              <w:pStyle w:val="TableParagraph"/>
              <w:rPr>
                <w:rFonts w:ascii="Times New Roman"/>
                <w:sz w:val="22"/>
              </w:rPr>
            </w:pPr>
          </w:p>
        </w:tc>
        <w:tc>
          <w:tcPr>
            <w:tcW w:w="749" w:type="dxa"/>
            <w:tcBorders>
              <w:top w:val="single" w:sz="4" w:space="0" w:color="000000"/>
              <w:bottom w:val="single" w:sz="4" w:space="0" w:color="000000"/>
            </w:tcBorders>
          </w:tcPr>
          <w:p>
            <w:pPr>
              <w:pStyle w:val="TableParagraph"/>
              <w:spacing w:line="265" w:lineRule="exact"/>
              <w:ind w:left="157"/>
              <w:rPr>
                <w:sz w:val="22"/>
              </w:rPr>
            </w:pPr>
            <w:r>
              <w:rPr>
                <w:spacing w:val="-5"/>
                <w:sz w:val="22"/>
              </w:rPr>
              <w:t>LOS</w:t>
            </w:r>
          </w:p>
        </w:tc>
      </w:tr>
      <w:tr>
        <w:trPr>
          <w:trHeight w:val="377" w:hRule="atLeast"/>
        </w:trPr>
        <w:tc>
          <w:tcPr>
            <w:tcW w:w="1642" w:type="dxa"/>
            <w:tcBorders>
              <w:top w:val="single" w:sz="4" w:space="0" w:color="000000"/>
            </w:tcBorders>
          </w:tcPr>
          <w:p>
            <w:pPr>
              <w:pStyle w:val="TableParagraph"/>
              <w:rPr>
                <w:rFonts w:ascii="Times New Roman"/>
                <w:sz w:val="22"/>
              </w:rPr>
            </w:pPr>
          </w:p>
        </w:tc>
        <w:tc>
          <w:tcPr>
            <w:tcW w:w="1305" w:type="dxa"/>
            <w:tcBorders>
              <w:top w:val="single" w:sz="4" w:space="0" w:color="000000"/>
            </w:tcBorders>
          </w:tcPr>
          <w:p>
            <w:pPr>
              <w:pStyle w:val="TableParagraph"/>
              <w:spacing w:line="265" w:lineRule="exact"/>
              <w:ind w:left="1" w:right="49"/>
              <w:jc w:val="center"/>
              <w:rPr>
                <w:sz w:val="22"/>
              </w:rPr>
            </w:pPr>
            <w:r>
              <w:rPr>
                <w:sz w:val="22"/>
              </w:rPr>
              <w:t>H:L;</w:t>
            </w:r>
            <w:r>
              <w:rPr>
                <w:spacing w:val="-5"/>
                <w:sz w:val="22"/>
              </w:rPr>
              <w:t> </w:t>
            </w:r>
            <w:r>
              <w:rPr>
                <w:spacing w:val="-2"/>
                <w:sz w:val="22"/>
              </w:rPr>
              <w:t>10:50</w:t>
            </w:r>
          </w:p>
        </w:tc>
        <w:tc>
          <w:tcPr>
            <w:tcW w:w="1694" w:type="dxa"/>
            <w:tcBorders>
              <w:top w:val="single" w:sz="4" w:space="0" w:color="000000"/>
            </w:tcBorders>
          </w:tcPr>
          <w:p>
            <w:pPr>
              <w:pStyle w:val="TableParagraph"/>
              <w:spacing w:line="265" w:lineRule="exact"/>
              <w:ind w:left="1" w:right="14"/>
              <w:jc w:val="center"/>
              <w:rPr>
                <w:sz w:val="22"/>
              </w:rPr>
            </w:pPr>
            <w:r>
              <w:rPr>
                <w:spacing w:val="-2"/>
                <w:sz w:val="22"/>
              </w:rPr>
              <w:t>20.500±0.500</w:t>
            </w:r>
          </w:p>
        </w:tc>
        <w:tc>
          <w:tcPr>
            <w:tcW w:w="951" w:type="dxa"/>
            <w:tcBorders>
              <w:top w:val="single" w:sz="4" w:space="0" w:color="000000"/>
            </w:tcBorders>
          </w:tcPr>
          <w:p>
            <w:pPr>
              <w:pStyle w:val="TableParagraph"/>
              <w:spacing w:line="265" w:lineRule="exact"/>
              <w:ind w:left="40"/>
              <w:jc w:val="center"/>
              <w:rPr>
                <w:sz w:val="22"/>
              </w:rPr>
            </w:pPr>
            <w:r>
              <w:rPr>
                <w:spacing w:val="-2"/>
                <w:sz w:val="22"/>
              </w:rPr>
              <w:t>0.766</w:t>
            </w:r>
          </w:p>
        </w:tc>
        <w:tc>
          <w:tcPr>
            <w:tcW w:w="749" w:type="dxa"/>
            <w:tcBorders>
              <w:top w:val="single" w:sz="4" w:space="0" w:color="000000"/>
            </w:tcBorders>
          </w:tcPr>
          <w:p>
            <w:pPr>
              <w:pStyle w:val="TableParagraph"/>
              <w:spacing w:line="265" w:lineRule="exact"/>
              <w:ind w:left="205"/>
              <w:rPr>
                <w:sz w:val="22"/>
              </w:rPr>
            </w:pPr>
            <w:r>
              <w:rPr>
                <w:spacing w:val="-5"/>
                <w:sz w:val="22"/>
              </w:rPr>
              <w:t>NS</w:t>
            </w:r>
          </w:p>
        </w:tc>
      </w:tr>
      <w:tr>
        <w:trPr>
          <w:trHeight w:val="382" w:hRule="atLeast"/>
        </w:trPr>
        <w:tc>
          <w:tcPr>
            <w:tcW w:w="1642" w:type="dxa"/>
          </w:tcPr>
          <w:p>
            <w:pPr>
              <w:pStyle w:val="TableParagraph"/>
              <w:rPr>
                <w:rFonts w:ascii="Times New Roman"/>
                <w:sz w:val="22"/>
              </w:rPr>
            </w:pPr>
          </w:p>
        </w:tc>
        <w:tc>
          <w:tcPr>
            <w:tcW w:w="1305" w:type="dxa"/>
          </w:tcPr>
          <w:p>
            <w:pPr>
              <w:pStyle w:val="TableParagraph"/>
              <w:spacing w:before="72"/>
              <w:ind w:right="49"/>
              <w:jc w:val="center"/>
              <w:rPr>
                <w:sz w:val="22"/>
              </w:rPr>
            </w:pPr>
            <w:r>
              <w:rPr>
                <w:sz w:val="22"/>
              </w:rPr>
              <w:t>H:L;</w:t>
            </w:r>
            <w:r>
              <w:rPr>
                <w:spacing w:val="-5"/>
                <w:sz w:val="22"/>
              </w:rPr>
              <w:t> </w:t>
            </w:r>
            <w:r>
              <w:rPr>
                <w:spacing w:val="-2"/>
                <w:sz w:val="22"/>
              </w:rPr>
              <w:t>20:50</w:t>
            </w:r>
          </w:p>
        </w:tc>
        <w:tc>
          <w:tcPr>
            <w:tcW w:w="1694" w:type="dxa"/>
          </w:tcPr>
          <w:p>
            <w:pPr>
              <w:pStyle w:val="TableParagraph"/>
              <w:spacing w:before="72"/>
              <w:ind w:left="1" w:right="14"/>
              <w:jc w:val="center"/>
              <w:rPr>
                <w:sz w:val="22"/>
              </w:rPr>
            </w:pPr>
            <w:r>
              <w:rPr>
                <w:spacing w:val="-2"/>
                <w:sz w:val="22"/>
              </w:rPr>
              <w:t>23.000±2.000</w:t>
            </w:r>
          </w:p>
        </w:tc>
        <w:tc>
          <w:tcPr>
            <w:tcW w:w="951" w:type="dxa"/>
          </w:tcPr>
          <w:p>
            <w:pPr>
              <w:pStyle w:val="TableParagraph"/>
              <w:spacing w:before="72"/>
              <w:ind w:left="40"/>
              <w:jc w:val="center"/>
              <w:rPr>
                <w:sz w:val="22"/>
              </w:rPr>
            </w:pPr>
            <w:r>
              <w:rPr>
                <w:spacing w:val="-2"/>
                <w:sz w:val="22"/>
              </w:rPr>
              <w:t>0.880</w:t>
            </w:r>
          </w:p>
        </w:tc>
        <w:tc>
          <w:tcPr>
            <w:tcW w:w="749" w:type="dxa"/>
          </w:tcPr>
          <w:p>
            <w:pPr>
              <w:pStyle w:val="TableParagraph"/>
              <w:spacing w:before="72"/>
              <w:ind w:left="205"/>
              <w:rPr>
                <w:sz w:val="22"/>
              </w:rPr>
            </w:pPr>
            <w:r>
              <w:rPr>
                <w:spacing w:val="-5"/>
                <w:sz w:val="22"/>
              </w:rPr>
              <w:t>NS</w:t>
            </w:r>
          </w:p>
        </w:tc>
      </w:tr>
      <w:tr>
        <w:trPr>
          <w:trHeight w:val="595" w:hRule="atLeast"/>
        </w:trPr>
        <w:tc>
          <w:tcPr>
            <w:tcW w:w="1642" w:type="dxa"/>
          </w:tcPr>
          <w:p>
            <w:pPr>
              <w:pStyle w:val="TableParagraph"/>
              <w:spacing w:before="1"/>
              <w:ind w:left="108"/>
              <w:rPr>
                <w:sz w:val="22"/>
              </w:rPr>
            </w:pPr>
            <w:r>
              <w:rPr>
                <w:sz w:val="22"/>
              </w:rPr>
              <w:t>Lemon</w:t>
            </w:r>
            <w:r>
              <w:rPr>
                <w:spacing w:val="-6"/>
                <w:sz w:val="22"/>
              </w:rPr>
              <w:t> </w:t>
            </w:r>
            <w:r>
              <w:rPr>
                <w:spacing w:val="-2"/>
                <w:sz w:val="22"/>
              </w:rPr>
              <w:t>(100%)</w:t>
            </w:r>
          </w:p>
          <w:p>
            <w:pPr>
              <w:pStyle w:val="TableParagraph"/>
              <w:spacing w:before="15"/>
              <w:ind w:left="108"/>
              <w:rPr>
                <w:sz w:val="22"/>
              </w:rPr>
            </w:pPr>
            <w:r>
              <w:rPr>
                <w:spacing w:val="-2"/>
                <w:sz w:val="22"/>
              </w:rPr>
              <w:t>(20.500±1.500)</w:t>
            </w:r>
          </w:p>
        </w:tc>
        <w:tc>
          <w:tcPr>
            <w:tcW w:w="1305" w:type="dxa"/>
          </w:tcPr>
          <w:p>
            <w:pPr>
              <w:pStyle w:val="TableParagraph"/>
              <w:spacing w:before="143"/>
              <w:ind w:left="1" w:right="49"/>
              <w:jc w:val="center"/>
              <w:rPr>
                <w:sz w:val="22"/>
              </w:rPr>
            </w:pPr>
            <w:r>
              <w:rPr>
                <w:sz w:val="22"/>
              </w:rPr>
              <w:t>H:L;</w:t>
            </w:r>
            <w:r>
              <w:rPr>
                <w:spacing w:val="-5"/>
                <w:sz w:val="22"/>
              </w:rPr>
              <w:t> </w:t>
            </w:r>
            <w:r>
              <w:rPr>
                <w:spacing w:val="-2"/>
                <w:sz w:val="22"/>
              </w:rPr>
              <w:t>30:50</w:t>
            </w:r>
          </w:p>
        </w:tc>
        <w:tc>
          <w:tcPr>
            <w:tcW w:w="1694" w:type="dxa"/>
          </w:tcPr>
          <w:p>
            <w:pPr>
              <w:pStyle w:val="TableParagraph"/>
              <w:spacing w:before="143"/>
              <w:ind w:left="1" w:right="14"/>
              <w:jc w:val="center"/>
              <w:rPr>
                <w:sz w:val="22"/>
              </w:rPr>
            </w:pPr>
            <w:r>
              <w:rPr>
                <w:spacing w:val="-2"/>
                <w:sz w:val="22"/>
              </w:rPr>
              <w:t>21.000±1.000</w:t>
            </w:r>
          </w:p>
        </w:tc>
        <w:tc>
          <w:tcPr>
            <w:tcW w:w="951" w:type="dxa"/>
          </w:tcPr>
          <w:p>
            <w:pPr>
              <w:pStyle w:val="TableParagraph"/>
              <w:spacing w:before="143"/>
              <w:ind w:left="40"/>
              <w:jc w:val="center"/>
              <w:rPr>
                <w:sz w:val="22"/>
              </w:rPr>
            </w:pPr>
            <w:r>
              <w:rPr>
                <w:spacing w:val="-2"/>
                <w:sz w:val="22"/>
              </w:rPr>
              <w:t>1.000</w:t>
            </w:r>
          </w:p>
        </w:tc>
        <w:tc>
          <w:tcPr>
            <w:tcW w:w="749" w:type="dxa"/>
          </w:tcPr>
          <w:p>
            <w:pPr>
              <w:pStyle w:val="TableParagraph"/>
              <w:spacing w:before="143"/>
              <w:ind w:left="205"/>
              <w:rPr>
                <w:sz w:val="22"/>
              </w:rPr>
            </w:pPr>
            <w:r>
              <w:rPr>
                <w:spacing w:val="-5"/>
                <w:sz w:val="22"/>
              </w:rPr>
              <w:t>NS</w:t>
            </w:r>
          </w:p>
        </w:tc>
      </w:tr>
      <w:tr>
        <w:trPr>
          <w:trHeight w:val="383" w:hRule="atLeast"/>
        </w:trPr>
        <w:tc>
          <w:tcPr>
            <w:tcW w:w="1642" w:type="dxa"/>
          </w:tcPr>
          <w:p>
            <w:pPr>
              <w:pStyle w:val="TableParagraph"/>
              <w:rPr>
                <w:rFonts w:ascii="Times New Roman"/>
                <w:sz w:val="22"/>
              </w:rPr>
            </w:pPr>
          </w:p>
        </w:tc>
        <w:tc>
          <w:tcPr>
            <w:tcW w:w="1305" w:type="dxa"/>
          </w:tcPr>
          <w:p>
            <w:pPr>
              <w:pStyle w:val="TableParagraph"/>
              <w:spacing w:before="1"/>
              <w:ind w:left="1" w:right="49"/>
              <w:jc w:val="center"/>
              <w:rPr>
                <w:sz w:val="22"/>
              </w:rPr>
            </w:pPr>
            <w:r>
              <w:rPr>
                <w:sz w:val="22"/>
              </w:rPr>
              <w:t>H:L;</w:t>
            </w:r>
            <w:r>
              <w:rPr>
                <w:spacing w:val="-5"/>
                <w:sz w:val="22"/>
              </w:rPr>
              <w:t> </w:t>
            </w:r>
            <w:r>
              <w:rPr>
                <w:spacing w:val="-2"/>
                <w:sz w:val="22"/>
              </w:rPr>
              <w:t>40:50</w:t>
            </w:r>
          </w:p>
        </w:tc>
        <w:tc>
          <w:tcPr>
            <w:tcW w:w="1694" w:type="dxa"/>
          </w:tcPr>
          <w:p>
            <w:pPr>
              <w:pStyle w:val="TableParagraph"/>
              <w:spacing w:before="1"/>
              <w:ind w:left="1" w:right="14"/>
              <w:jc w:val="center"/>
              <w:rPr>
                <w:sz w:val="22"/>
              </w:rPr>
            </w:pPr>
            <w:r>
              <w:rPr>
                <w:spacing w:val="-2"/>
                <w:sz w:val="22"/>
              </w:rPr>
              <w:t>24.000±2.000</w:t>
            </w:r>
          </w:p>
        </w:tc>
        <w:tc>
          <w:tcPr>
            <w:tcW w:w="951" w:type="dxa"/>
          </w:tcPr>
          <w:p>
            <w:pPr>
              <w:pStyle w:val="TableParagraph"/>
              <w:spacing w:before="1"/>
              <w:ind w:left="40"/>
              <w:jc w:val="center"/>
              <w:rPr>
                <w:sz w:val="22"/>
              </w:rPr>
            </w:pPr>
            <w:r>
              <w:rPr>
                <w:spacing w:val="-2"/>
                <w:sz w:val="22"/>
              </w:rPr>
              <w:t>0.633</w:t>
            </w:r>
          </w:p>
        </w:tc>
        <w:tc>
          <w:tcPr>
            <w:tcW w:w="749" w:type="dxa"/>
          </w:tcPr>
          <w:p>
            <w:pPr>
              <w:pStyle w:val="TableParagraph"/>
              <w:spacing w:before="1"/>
              <w:ind w:left="205"/>
              <w:rPr>
                <w:sz w:val="22"/>
              </w:rPr>
            </w:pPr>
            <w:r>
              <w:rPr>
                <w:spacing w:val="-5"/>
                <w:sz w:val="22"/>
              </w:rPr>
              <w:t>NS</w:t>
            </w:r>
          </w:p>
        </w:tc>
      </w:tr>
      <w:tr>
        <w:trPr>
          <w:trHeight w:val="520" w:hRule="atLeast"/>
        </w:trPr>
        <w:tc>
          <w:tcPr>
            <w:tcW w:w="1642" w:type="dxa"/>
            <w:tcBorders>
              <w:bottom w:val="single" w:sz="4" w:space="0" w:color="000000"/>
            </w:tcBorders>
          </w:tcPr>
          <w:p>
            <w:pPr>
              <w:pStyle w:val="TableParagraph"/>
              <w:rPr>
                <w:rFonts w:ascii="Times New Roman"/>
                <w:sz w:val="22"/>
              </w:rPr>
            </w:pPr>
          </w:p>
        </w:tc>
        <w:tc>
          <w:tcPr>
            <w:tcW w:w="1305" w:type="dxa"/>
            <w:tcBorders>
              <w:bottom w:val="single" w:sz="4" w:space="0" w:color="000000"/>
            </w:tcBorders>
          </w:tcPr>
          <w:p>
            <w:pPr>
              <w:pStyle w:val="TableParagraph"/>
              <w:spacing w:before="73"/>
              <w:ind w:left="1" w:right="49"/>
              <w:jc w:val="center"/>
              <w:rPr>
                <w:sz w:val="22"/>
              </w:rPr>
            </w:pPr>
            <w:r>
              <w:rPr>
                <w:sz w:val="22"/>
              </w:rPr>
              <w:t>H:L;</w:t>
            </w:r>
            <w:r>
              <w:rPr>
                <w:spacing w:val="-5"/>
                <w:sz w:val="22"/>
              </w:rPr>
              <w:t> </w:t>
            </w:r>
            <w:r>
              <w:rPr>
                <w:spacing w:val="-2"/>
                <w:sz w:val="22"/>
              </w:rPr>
              <w:t>50:50</w:t>
            </w:r>
          </w:p>
        </w:tc>
        <w:tc>
          <w:tcPr>
            <w:tcW w:w="1694" w:type="dxa"/>
            <w:tcBorders>
              <w:bottom w:val="single" w:sz="4" w:space="0" w:color="000000"/>
            </w:tcBorders>
          </w:tcPr>
          <w:p>
            <w:pPr>
              <w:pStyle w:val="TableParagraph"/>
              <w:spacing w:before="73"/>
              <w:ind w:left="1" w:right="14"/>
              <w:jc w:val="center"/>
              <w:rPr>
                <w:sz w:val="22"/>
              </w:rPr>
            </w:pPr>
            <w:r>
              <w:rPr>
                <w:spacing w:val="-2"/>
                <w:sz w:val="22"/>
              </w:rPr>
              <w:t>25.500±1.500</w:t>
            </w:r>
          </w:p>
        </w:tc>
        <w:tc>
          <w:tcPr>
            <w:tcW w:w="951" w:type="dxa"/>
            <w:tcBorders>
              <w:bottom w:val="single" w:sz="4" w:space="0" w:color="000000"/>
            </w:tcBorders>
          </w:tcPr>
          <w:p>
            <w:pPr>
              <w:pStyle w:val="TableParagraph"/>
              <w:spacing w:before="73"/>
              <w:ind w:left="40"/>
              <w:jc w:val="center"/>
              <w:rPr>
                <w:sz w:val="22"/>
              </w:rPr>
            </w:pPr>
            <w:r>
              <w:rPr>
                <w:spacing w:val="-2"/>
                <w:sz w:val="22"/>
              </w:rPr>
              <w:t>0.283</w:t>
            </w:r>
          </w:p>
        </w:tc>
        <w:tc>
          <w:tcPr>
            <w:tcW w:w="749" w:type="dxa"/>
            <w:tcBorders>
              <w:bottom w:val="single" w:sz="4" w:space="0" w:color="000000"/>
            </w:tcBorders>
          </w:tcPr>
          <w:p>
            <w:pPr>
              <w:pStyle w:val="TableParagraph"/>
              <w:spacing w:before="73"/>
              <w:ind w:left="205"/>
              <w:rPr>
                <w:sz w:val="22"/>
              </w:rPr>
            </w:pPr>
            <w:r>
              <w:rPr>
                <w:spacing w:val="-5"/>
                <w:sz w:val="22"/>
              </w:rPr>
              <w:t>NS</w:t>
            </w:r>
          </w:p>
        </w:tc>
      </w:tr>
      <w:tr>
        <w:trPr>
          <w:trHeight w:val="378" w:hRule="atLeast"/>
        </w:trPr>
        <w:tc>
          <w:tcPr>
            <w:tcW w:w="1642" w:type="dxa"/>
            <w:tcBorders>
              <w:top w:val="single" w:sz="4" w:space="0" w:color="000000"/>
            </w:tcBorders>
          </w:tcPr>
          <w:p>
            <w:pPr>
              <w:pStyle w:val="TableParagraph"/>
              <w:rPr>
                <w:rFonts w:ascii="Times New Roman"/>
                <w:sz w:val="22"/>
              </w:rPr>
            </w:pPr>
          </w:p>
        </w:tc>
        <w:tc>
          <w:tcPr>
            <w:tcW w:w="1305" w:type="dxa"/>
            <w:tcBorders>
              <w:top w:val="single" w:sz="4" w:space="0" w:color="000000"/>
            </w:tcBorders>
          </w:tcPr>
          <w:p>
            <w:pPr>
              <w:pStyle w:val="TableParagraph"/>
              <w:spacing w:line="265" w:lineRule="exact"/>
              <w:ind w:left="1" w:right="49"/>
              <w:jc w:val="center"/>
              <w:rPr>
                <w:sz w:val="22"/>
              </w:rPr>
            </w:pPr>
            <w:r>
              <w:rPr>
                <w:sz w:val="22"/>
              </w:rPr>
              <w:t>H:L;</w:t>
            </w:r>
            <w:r>
              <w:rPr>
                <w:spacing w:val="-5"/>
                <w:sz w:val="22"/>
              </w:rPr>
              <w:t> </w:t>
            </w:r>
            <w:r>
              <w:rPr>
                <w:spacing w:val="-2"/>
                <w:sz w:val="22"/>
              </w:rPr>
              <w:t>10:50</w:t>
            </w:r>
          </w:p>
        </w:tc>
        <w:tc>
          <w:tcPr>
            <w:tcW w:w="1694" w:type="dxa"/>
            <w:tcBorders>
              <w:top w:val="single" w:sz="4" w:space="0" w:color="000000"/>
            </w:tcBorders>
          </w:tcPr>
          <w:p>
            <w:pPr>
              <w:pStyle w:val="TableParagraph"/>
              <w:spacing w:line="265" w:lineRule="exact"/>
              <w:ind w:left="1" w:right="14"/>
              <w:jc w:val="center"/>
              <w:rPr>
                <w:sz w:val="22"/>
              </w:rPr>
            </w:pPr>
            <w:r>
              <w:rPr>
                <w:spacing w:val="-2"/>
                <w:sz w:val="22"/>
              </w:rPr>
              <w:t>20.500±0.500</w:t>
            </w:r>
          </w:p>
        </w:tc>
        <w:tc>
          <w:tcPr>
            <w:tcW w:w="951" w:type="dxa"/>
            <w:tcBorders>
              <w:top w:val="single" w:sz="4" w:space="0" w:color="000000"/>
            </w:tcBorders>
          </w:tcPr>
          <w:p>
            <w:pPr>
              <w:pStyle w:val="TableParagraph"/>
              <w:spacing w:line="265" w:lineRule="exact"/>
              <w:ind w:left="40"/>
              <w:jc w:val="center"/>
              <w:rPr>
                <w:sz w:val="22"/>
              </w:rPr>
            </w:pPr>
            <w:r>
              <w:rPr>
                <w:spacing w:val="-2"/>
                <w:sz w:val="22"/>
              </w:rPr>
              <w:t>0.150</w:t>
            </w:r>
          </w:p>
        </w:tc>
        <w:tc>
          <w:tcPr>
            <w:tcW w:w="749" w:type="dxa"/>
            <w:tcBorders>
              <w:top w:val="single" w:sz="4" w:space="0" w:color="000000"/>
            </w:tcBorders>
          </w:tcPr>
          <w:p>
            <w:pPr>
              <w:pStyle w:val="TableParagraph"/>
              <w:spacing w:line="265" w:lineRule="exact"/>
              <w:ind w:left="205"/>
              <w:rPr>
                <w:sz w:val="22"/>
              </w:rPr>
            </w:pPr>
            <w:r>
              <w:rPr>
                <w:spacing w:val="-5"/>
                <w:sz w:val="22"/>
              </w:rPr>
              <w:t>NS</w:t>
            </w:r>
          </w:p>
        </w:tc>
      </w:tr>
      <w:tr>
        <w:trPr>
          <w:trHeight w:val="383" w:hRule="atLeast"/>
        </w:trPr>
        <w:tc>
          <w:tcPr>
            <w:tcW w:w="1642" w:type="dxa"/>
          </w:tcPr>
          <w:p>
            <w:pPr>
              <w:pStyle w:val="TableParagraph"/>
              <w:rPr>
                <w:rFonts w:ascii="Times New Roman"/>
                <w:sz w:val="22"/>
              </w:rPr>
            </w:pPr>
          </w:p>
        </w:tc>
        <w:tc>
          <w:tcPr>
            <w:tcW w:w="1305" w:type="dxa"/>
          </w:tcPr>
          <w:p>
            <w:pPr>
              <w:pStyle w:val="TableParagraph"/>
              <w:spacing w:before="73"/>
              <w:ind w:left="1" w:right="49"/>
              <w:jc w:val="center"/>
              <w:rPr>
                <w:sz w:val="22"/>
              </w:rPr>
            </w:pPr>
            <w:r>
              <w:rPr>
                <w:sz w:val="22"/>
              </w:rPr>
              <w:t>H:L;</w:t>
            </w:r>
            <w:r>
              <w:rPr>
                <w:spacing w:val="-5"/>
                <w:sz w:val="22"/>
              </w:rPr>
              <w:t> </w:t>
            </w:r>
            <w:r>
              <w:rPr>
                <w:spacing w:val="-2"/>
                <w:sz w:val="22"/>
              </w:rPr>
              <w:t>20:50</w:t>
            </w:r>
          </w:p>
        </w:tc>
        <w:tc>
          <w:tcPr>
            <w:tcW w:w="1694" w:type="dxa"/>
          </w:tcPr>
          <w:p>
            <w:pPr>
              <w:pStyle w:val="TableParagraph"/>
              <w:spacing w:before="73"/>
              <w:ind w:left="1" w:right="14"/>
              <w:jc w:val="center"/>
              <w:rPr>
                <w:sz w:val="22"/>
              </w:rPr>
            </w:pPr>
            <w:r>
              <w:rPr>
                <w:spacing w:val="-2"/>
                <w:sz w:val="22"/>
              </w:rPr>
              <w:t>23.000±2.000</w:t>
            </w:r>
          </w:p>
        </w:tc>
        <w:tc>
          <w:tcPr>
            <w:tcW w:w="951" w:type="dxa"/>
          </w:tcPr>
          <w:p>
            <w:pPr>
              <w:pStyle w:val="TableParagraph"/>
              <w:spacing w:before="73"/>
              <w:ind w:left="40"/>
              <w:jc w:val="center"/>
              <w:rPr>
                <w:sz w:val="22"/>
              </w:rPr>
            </w:pPr>
            <w:r>
              <w:rPr>
                <w:spacing w:val="-2"/>
                <w:sz w:val="22"/>
              </w:rPr>
              <w:t>0.207</w:t>
            </w:r>
          </w:p>
        </w:tc>
        <w:tc>
          <w:tcPr>
            <w:tcW w:w="749" w:type="dxa"/>
          </w:tcPr>
          <w:p>
            <w:pPr>
              <w:pStyle w:val="TableParagraph"/>
              <w:spacing w:before="73"/>
              <w:ind w:left="205"/>
              <w:rPr>
                <w:sz w:val="22"/>
              </w:rPr>
            </w:pPr>
            <w:r>
              <w:rPr>
                <w:spacing w:val="-5"/>
                <w:sz w:val="22"/>
              </w:rPr>
              <w:t>NS</w:t>
            </w:r>
          </w:p>
        </w:tc>
      </w:tr>
      <w:tr>
        <w:trPr>
          <w:trHeight w:val="597" w:hRule="atLeast"/>
        </w:trPr>
        <w:tc>
          <w:tcPr>
            <w:tcW w:w="1642" w:type="dxa"/>
          </w:tcPr>
          <w:p>
            <w:pPr>
              <w:pStyle w:val="TableParagraph"/>
              <w:spacing w:before="1"/>
              <w:ind w:left="108"/>
              <w:rPr>
                <w:sz w:val="22"/>
              </w:rPr>
            </w:pPr>
            <w:r>
              <w:rPr>
                <w:sz w:val="22"/>
              </w:rPr>
              <w:t>Lemon</w:t>
            </w:r>
            <w:r>
              <w:rPr>
                <w:spacing w:val="-4"/>
                <w:sz w:val="22"/>
              </w:rPr>
              <w:t> </w:t>
            </w:r>
            <w:r>
              <w:rPr>
                <w:spacing w:val="-2"/>
                <w:sz w:val="22"/>
              </w:rPr>
              <w:t>(50%)</w:t>
            </w:r>
          </w:p>
          <w:p>
            <w:pPr>
              <w:pStyle w:val="TableParagraph"/>
              <w:spacing w:before="17"/>
              <w:ind w:left="108"/>
              <w:rPr>
                <w:sz w:val="22"/>
              </w:rPr>
            </w:pPr>
            <w:r>
              <w:rPr>
                <w:spacing w:val="-2"/>
                <w:sz w:val="22"/>
              </w:rPr>
              <w:t>(17.500±0.500)</w:t>
            </w:r>
          </w:p>
        </w:tc>
        <w:tc>
          <w:tcPr>
            <w:tcW w:w="1305" w:type="dxa"/>
          </w:tcPr>
          <w:p>
            <w:pPr>
              <w:pStyle w:val="TableParagraph"/>
              <w:spacing w:before="143"/>
              <w:ind w:left="1" w:right="49"/>
              <w:jc w:val="center"/>
              <w:rPr>
                <w:sz w:val="22"/>
              </w:rPr>
            </w:pPr>
            <w:r>
              <w:rPr>
                <w:sz w:val="22"/>
              </w:rPr>
              <w:t>H:L;</w:t>
            </w:r>
            <w:r>
              <w:rPr>
                <w:spacing w:val="-5"/>
                <w:sz w:val="22"/>
              </w:rPr>
              <w:t> </w:t>
            </w:r>
            <w:r>
              <w:rPr>
                <w:spacing w:val="-2"/>
                <w:sz w:val="22"/>
              </w:rPr>
              <w:t>30:50</w:t>
            </w:r>
          </w:p>
        </w:tc>
        <w:tc>
          <w:tcPr>
            <w:tcW w:w="1694" w:type="dxa"/>
          </w:tcPr>
          <w:p>
            <w:pPr>
              <w:pStyle w:val="TableParagraph"/>
              <w:spacing w:before="143"/>
              <w:ind w:right="14"/>
              <w:jc w:val="center"/>
              <w:rPr>
                <w:sz w:val="22"/>
              </w:rPr>
            </w:pPr>
            <w:r>
              <w:rPr>
                <w:spacing w:val="-2"/>
                <w:sz w:val="22"/>
              </w:rPr>
              <w:t>21.000±1.000</w:t>
            </w:r>
          </w:p>
        </w:tc>
        <w:tc>
          <w:tcPr>
            <w:tcW w:w="951" w:type="dxa"/>
          </w:tcPr>
          <w:p>
            <w:pPr>
              <w:pStyle w:val="TableParagraph"/>
              <w:spacing w:before="143"/>
              <w:ind w:left="40"/>
              <w:jc w:val="center"/>
              <w:rPr>
                <w:sz w:val="22"/>
              </w:rPr>
            </w:pPr>
            <w:r>
              <w:rPr>
                <w:spacing w:val="-2"/>
                <w:sz w:val="22"/>
              </w:rPr>
              <w:t>0.633</w:t>
            </w:r>
          </w:p>
        </w:tc>
        <w:tc>
          <w:tcPr>
            <w:tcW w:w="749" w:type="dxa"/>
          </w:tcPr>
          <w:p>
            <w:pPr>
              <w:pStyle w:val="TableParagraph"/>
              <w:spacing w:before="143"/>
              <w:ind w:left="205"/>
              <w:rPr>
                <w:sz w:val="22"/>
              </w:rPr>
            </w:pPr>
            <w:r>
              <w:rPr>
                <w:spacing w:val="-5"/>
                <w:sz w:val="22"/>
              </w:rPr>
              <w:t>NS</w:t>
            </w:r>
          </w:p>
        </w:tc>
      </w:tr>
      <w:tr>
        <w:trPr>
          <w:trHeight w:val="382" w:hRule="atLeast"/>
        </w:trPr>
        <w:tc>
          <w:tcPr>
            <w:tcW w:w="1642" w:type="dxa"/>
          </w:tcPr>
          <w:p>
            <w:pPr>
              <w:pStyle w:val="TableParagraph"/>
              <w:rPr>
                <w:rFonts w:ascii="Times New Roman"/>
                <w:sz w:val="22"/>
              </w:rPr>
            </w:pPr>
          </w:p>
        </w:tc>
        <w:tc>
          <w:tcPr>
            <w:tcW w:w="1305" w:type="dxa"/>
          </w:tcPr>
          <w:p>
            <w:pPr>
              <w:pStyle w:val="TableParagraph"/>
              <w:spacing w:before="1"/>
              <w:ind w:left="1" w:right="49"/>
              <w:jc w:val="center"/>
              <w:rPr>
                <w:sz w:val="22"/>
              </w:rPr>
            </w:pPr>
            <w:r>
              <w:rPr>
                <w:sz w:val="22"/>
              </w:rPr>
              <w:t>H:L;</w:t>
            </w:r>
            <w:r>
              <w:rPr>
                <w:spacing w:val="-5"/>
                <w:sz w:val="22"/>
              </w:rPr>
              <w:t> </w:t>
            </w:r>
            <w:r>
              <w:rPr>
                <w:spacing w:val="-2"/>
                <w:sz w:val="22"/>
              </w:rPr>
              <w:t>40:50</w:t>
            </w:r>
          </w:p>
        </w:tc>
        <w:tc>
          <w:tcPr>
            <w:tcW w:w="1694" w:type="dxa"/>
          </w:tcPr>
          <w:p>
            <w:pPr>
              <w:pStyle w:val="TableParagraph"/>
              <w:spacing w:before="1"/>
              <w:ind w:left="1" w:right="14"/>
              <w:jc w:val="center"/>
              <w:rPr>
                <w:sz w:val="22"/>
              </w:rPr>
            </w:pPr>
            <w:r>
              <w:rPr>
                <w:spacing w:val="-2"/>
                <w:sz w:val="22"/>
              </w:rPr>
              <w:t>24.000±2.000</w:t>
            </w:r>
          </w:p>
        </w:tc>
        <w:tc>
          <w:tcPr>
            <w:tcW w:w="951" w:type="dxa"/>
          </w:tcPr>
          <w:p>
            <w:pPr>
              <w:pStyle w:val="TableParagraph"/>
              <w:spacing w:before="1"/>
              <w:ind w:left="40"/>
              <w:jc w:val="center"/>
              <w:rPr>
                <w:sz w:val="22"/>
              </w:rPr>
            </w:pPr>
            <w:r>
              <w:rPr>
                <w:spacing w:val="-2"/>
                <w:sz w:val="22"/>
              </w:rPr>
              <w:t>0.108</w:t>
            </w:r>
          </w:p>
        </w:tc>
        <w:tc>
          <w:tcPr>
            <w:tcW w:w="749" w:type="dxa"/>
          </w:tcPr>
          <w:p>
            <w:pPr>
              <w:pStyle w:val="TableParagraph"/>
              <w:spacing w:before="1"/>
              <w:ind w:left="205"/>
              <w:rPr>
                <w:sz w:val="22"/>
              </w:rPr>
            </w:pPr>
            <w:r>
              <w:rPr>
                <w:spacing w:val="-5"/>
                <w:sz w:val="22"/>
              </w:rPr>
              <w:t>NS</w:t>
            </w:r>
          </w:p>
        </w:tc>
      </w:tr>
      <w:tr>
        <w:trPr>
          <w:trHeight w:val="519" w:hRule="atLeast"/>
        </w:trPr>
        <w:tc>
          <w:tcPr>
            <w:tcW w:w="1642" w:type="dxa"/>
            <w:tcBorders>
              <w:bottom w:val="single" w:sz="4" w:space="0" w:color="000000"/>
            </w:tcBorders>
          </w:tcPr>
          <w:p>
            <w:pPr>
              <w:pStyle w:val="TableParagraph"/>
              <w:rPr>
                <w:rFonts w:ascii="Times New Roman"/>
                <w:sz w:val="22"/>
              </w:rPr>
            </w:pPr>
          </w:p>
        </w:tc>
        <w:tc>
          <w:tcPr>
            <w:tcW w:w="1305" w:type="dxa"/>
            <w:tcBorders>
              <w:bottom w:val="single" w:sz="4" w:space="0" w:color="000000"/>
            </w:tcBorders>
          </w:tcPr>
          <w:p>
            <w:pPr>
              <w:pStyle w:val="TableParagraph"/>
              <w:spacing w:before="72"/>
              <w:ind w:left="1" w:right="49"/>
              <w:jc w:val="center"/>
              <w:rPr>
                <w:sz w:val="22"/>
              </w:rPr>
            </w:pPr>
            <w:r>
              <w:rPr>
                <w:sz w:val="22"/>
              </w:rPr>
              <w:t>H:L;</w:t>
            </w:r>
            <w:r>
              <w:rPr>
                <w:spacing w:val="-5"/>
                <w:sz w:val="22"/>
              </w:rPr>
              <w:t> </w:t>
            </w:r>
            <w:r>
              <w:rPr>
                <w:spacing w:val="-2"/>
                <w:sz w:val="22"/>
              </w:rPr>
              <w:t>50:50</w:t>
            </w:r>
          </w:p>
        </w:tc>
        <w:tc>
          <w:tcPr>
            <w:tcW w:w="1694" w:type="dxa"/>
            <w:tcBorders>
              <w:bottom w:val="single" w:sz="4" w:space="0" w:color="000000"/>
            </w:tcBorders>
          </w:tcPr>
          <w:p>
            <w:pPr>
              <w:pStyle w:val="TableParagraph"/>
              <w:spacing w:before="72"/>
              <w:ind w:left="1" w:right="14"/>
              <w:jc w:val="center"/>
              <w:rPr>
                <w:sz w:val="22"/>
              </w:rPr>
            </w:pPr>
            <w:r>
              <w:rPr>
                <w:spacing w:val="-2"/>
                <w:sz w:val="22"/>
              </w:rPr>
              <w:t>25.500±1.500</w:t>
            </w:r>
          </w:p>
        </w:tc>
        <w:tc>
          <w:tcPr>
            <w:tcW w:w="951" w:type="dxa"/>
            <w:tcBorders>
              <w:bottom w:val="single" w:sz="4" w:space="0" w:color="000000"/>
            </w:tcBorders>
          </w:tcPr>
          <w:p>
            <w:pPr>
              <w:pStyle w:val="TableParagraph"/>
              <w:spacing w:before="72"/>
              <w:ind w:left="40"/>
              <w:jc w:val="center"/>
              <w:rPr>
                <w:sz w:val="22"/>
              </w:rPr>
            </w:pPr>
            <w:r>
              <w:rPr>
                <w:spacing w:val="-2"/>
                <w:sz w:val="22"/>
              </w:rPr>
              <w:t>0.040</w:t>
            </w:r>
          </w:p>
        </w:tc>
        <w:tc>
          <w:tcPr>
            <w:tcW w:w="749" w:type="dxa"/>
            <w:tcBorders>
              <w:bottom w:val="single" w:sz="4" w:space="0" w:color="000000"/>
            </w:tcBorders>
          </w:tcPr>
          <w:p>
            <w:pPr>
              <w:pStyle w:val="TableParagraph"/>
              <w:spacing w:before="72"/>
              <w:ind w:left="224"/>
              <w:rPr>
                <w:sz w:val="22"/>
              </w:rPr>
            </w:pPr>
            <w:r>
              <w:rPr>
                <w:spacing w:val="-5"/>
                <w:sz w:val="22"/>
              </w:rPr>
              <w:t>SF</w:t>
            </w:r>
          </w:p>
        </w:tc>
      </w:tr>
      <w:tr>
        <w:trPr>
          <w:trHeight w:val="379" w:hRule="atLeast"/>
        </w:trPr>
        <w:tc>
          <w:tcPr>
            <w:tcW w:w="1642" w:type="dxa"/>
            <w:tcBorders>
              <w:top w:val="single" w:sz="4" w:space="0" w:color="000000"/>
            </w:tcBorders>
          </w:tcPr>
          <w:p>
            <w:pPr>
              <w:pStyle w:val="TableParagraph"/>
              <w:rPr>
                <w:rFonts w:ascii="Times New Roman"/>
                <w:sz w:val="22"/>
              </w:rPr>
            </w:pPr>
          </w:p>
        </w:tc>
        <w:tc>
          <w:tcPr>
            <w:tcW w:w="1305" w:type="dxa"/>
            <w:tcBorders>
              <w:top w:val="single" w:sz="4" w:space="0" w:color="000000"/>
            </w:tcBorders>
          </w:tcPr>
          <w:p>
            <w:pPr>
              <w:pStyle w:val="TableParagraph"/>
              <w:spacing w:line="265" w:lineRule="exact"/>
              <w:ind w:left="1" w:right="49"/>
              <w:jc w:val="center"/>
              <w:rPr>
                <w:sz w:val="22"/>
              </w:rPr>
            </w:pPr>
            <w:r>
              <w:rPr>
                <w:sz w:val="22"/>
              </w:rPr>
              <w:t>H:L;</w:t>
            </w:r>
            <w:r>
              <w:rPr>
                <w:spacing w:val="-5"/>
                <w:sz w:val="22"/>
              </w:rPr>
              <w:t> </w:t>
            </w:r>
            <w:r>
              <w:rPr>
                <w:spacing w:val="-2"/>
                <w:sz w:val="22"/>
              </w:rPr>
              <w:t>10:50</w:t>
            </w:r>
          </w:p>
        </w:tc>
        <w:tc>
          <w:tcPr>
            <w:tcW w:w="1694" w:type="dxa"/>
            <w:tcBorders>
              <w:top w:val="single" w:sz="4" w:space="0" w:color="000000"/>
            </w:tcBorders>
          </w:tcPr>
          <w:p>
            <w:pPr>
              <w:pStyle w:val="TableParagraph"/>
              <w:spacing w:line="265" w:lineRule="exact"/>
              <w:ind w:left="1" w:right="14"/>
              <w:jc w:val="center"/>
              <w:rPr>
                <w:sz w:val="22"/>
              </w:rPr>
            </w:pPr>
            <w:r>
              <w:rPr>
                <w:spacing w:val="-2"/>
                <w:sz w:val="22"/>
              </w:rPr>
              <w:t>20.500±0.500</w:t>
            </w:r>
          </w:p>
        </w:tc>
        <w:tc>
          <w:tcPr>
            <w:tcW w:w="951" w:type="dxa"/>
            <w:tcBorders>
              <w:top w:val="single" w:sz="4" w:space="0" w:color="000000"/>
            </w:tcBorders>
          </w:tcPr>
          <w:p>
            <w:pPr>
              <w:pStyle w:val="TableParagraph"/>
              <w:spacing w:line="265" w:lineRule="exact"/>
              <w:ind w:left="40"/>
              <w:jc w:val="center"/>
              <w:rPr>
                <w:sz w:val="22"/>
              </w:rPr>
            </w:pPr>
            <w:r>
              <w:rPr>
                <w:spacing w:val="-2"/>
                <w:sz w:val="22"/>
              </w:rPr>
              <w:t>0.056</w:t>
            </w:r>
          </w:p>
        </w:tc>
        <w:tc>
          <w:tcPr>
            <w:tcW w:w="749" w:type="dxa"/>
            <w:tcBorders>
              <w:top w:val="single" w:sz="4" w:space="0" w:color="000000"/>
            </w:tcBorders>
          </w:tcPr>
          <w:p>
            <w:pPr>
              <w:pStyle w:val="TableParagraph"/>
              <w:spacing w:line="265" w:lineRule="exact"/>
              <w:ind w:left="224"/>
              <w:rPr>
                <w:sz w:val="22"/>
              </w:rPr>
            </w:pPr>
            <w:r>
              <w:rPr>
                <w:spacing w:val="-5"/>
                <w:sz w:val="22"/>
              </w:rPr>
              <w:t>SF</w:t>
            </w:r>
          </w:p>
        </w:tc>
      </w:tr>
      <w:tr>
        <w:trPr>
          <w:trHeight w:val="383" w:hRule="atLeast"/>
        </w:trPr>
        <w:tc>
          <w:tcPr>
            <w:tcW w:w="1642" w:type="dxa"/>
          </w:tcPr>
          <w:p>
            <w:pPr>
              <w:pStyle w:val="TableParagraph"/>
              <w:rPr>
                <w:rFonts w:ascii="Times New Roman"/>
                <w:sz w:val="22"/>
              </w:rPr>
            </w:pPr>
          </w:p>
        </w:tc>
        <w:tc>
          <w:tcPr>
            <w:tcW w:w="1305" w:type="dxa"/>
          </w:tcPr>
          <w:p>
            <w:pPr>
              <w:pStyle w:val="TableParagraph"/>
              <w:spacing w:before="73"/>
              <w:ind w:left="1" w:right="49"/>
              <w:jc w:val="center"/>
              <w:rPr>
                <w:sz w:val="22"/>
              </w:rPr>
            </w:pPr>
            <w:r>
              <w:rPr>
                <w:sz w:val="22"/>
              </w:rPr>
              <w:t>H:L;</w:t>
            </w:r>
            <w:r>
              <w:rPr>
                <w:spacing w:val="-5"/>
                <w:sz w:val="22"/>
              </w:rPr>
              <w:t> </w:t>
            </w:r>
            <w:r>
              <w:rPr>
                <w:spacing w:val="-2"/>
                <w:sz w:val="22"/>
              </w:rPr>
              <w:t>20:50</w:t>
            </w:r>
          </w:p>
        </w:tc>
        <w:tc>
          <w:tcPr>
            <w:tcW w:w="1694" w:type="dxa"/>
          </w:tcPr>
          <w:p>
            <w:pPr>
              <w:pStyle w:val="TableParagraph"/>
              <w:spacing w:before="73"/>
              <w:ind w:left="1" w:right="14"/>
              <w:jc w:val="center"/>
              <w:rPr>
                <w:sz w:val="22"/>
              </w:rPr>
            </w:pPr>
            <w:r>
              <w:rPr>
                <w:spacing w:val="-2"/>
                <w:sz w:val="22"/>
              </w:rPr>
              <w:t>23.000±2.000</w:t>
            </w:r>
          </w:p>
        </w:tc>
        <w:tc>
          <w:tcPr>
            <w:tcW w:w="951" w:type="dxa"/>
          </w:tcPr>
          <w:p>
            <w:pPr>
              <w:pStyle w:val="TableParagraph"/>
              <w:spacing w:before="73"/>
              <w:ind w:left="40"/>
              <w:jc w:val="center"/>
              <w:rPr>
                <w:sz w:val="22"/>
              </w:rPr>
            </w:pPr>
            <w:r>
              <w:rPr>
                <w:spacing w:val="-2"/>
                <w:sz w:val="22"/>
              </w:rPr>
              <w:t>0.077</w:t>
            </w:r>
          </w:p>
        </w:tc>
        <w:tc>
          <w:tcPr>
            <w:tcW w:w="749" w:type="dxa"/>
          </w:tcPr>
          <w:p>
            <w:pPr>
              <w:pStyle w:val="TableParagraph"/>
              <w:spacing w:before="73"/>
              <w:ind w:left="205"/>
              <w:rPr>
                <w:sz w:val="22"/>
              </w:rPr>
            </w:pPr>
            <w:r>
              <w:rPr>
                <w:spacing w:val="-5"/>
                <w:sz w:val="22"/>
              </w:rPr>
              <w:t>NS</w:t>
            </w:r>
          </w:p>
        </w:tc>
      </w:tr>
      <w:tr>
        <w:trPr>
          <w:trHeight w:val="595" w:hRule="atLeast"/>
        </w:trPr>
        <w:tc>
          <w:tcPr>
            <w:tcW w:w="1642" w:type="dxa"/>
          </w:tcPr>
          <w:p>
            <w:pPr>
              <w:pStyle w:val="TableParagraph"/>
              <w:spacing w:before="1"/>
              <w:ind w:left="108"/>
              <w:rPr>
                <w:sz w:val="22"/>
              </w:rPr>
            </w:pPr>
            <w:r>
              <w:rPr>
                <w:sz w:val="22"/>
              </w:rPr>
              <w:t>Lemon</w:t>
            </w:r>
            <w:r>
              <w:rPr>
                <w:spacing w:val="-4"/>
                <w:sz w:val="22"/>
              </w:rPr>
              <w:t> </w:t>
            </w:r>
            <w:r>
              <w:rPr>
                <w:spacing w:val="-2"/>
                <w:sz w:val="22"/>
              </w:rPr>
              <w:t>(25%)</w:t>
            </w:r>
          </w:p>
          <w:p>
            <w:pPr>
              <w:pStyle w:val="TableParagraph"/>
              <w:spacing w:before="15"/>
              <w:ind w:left="108"/>
              <w:rPr>
                <w:sz w:val="22"/>
              </w:rPr>
            </w:pPr>
            <w:r>
              <w:rPr>
                <w:spacing w:val="-2"/>
                <w:sz w:val="22"/>
              </w:rPr>
              <w:t>(16.000±1.000)</w:t>
            </w:r>
          </w:p>
        </w:tc>
        <w:tc>
          <w:tcPr>
            <w:tcW w:w="1305" w:type="dxa"/>
          </w:tcPr>
          <w:p>
            <w:pPr>
              <w:pStyle w:val="TableParagraph"/>
              <w:spacing w:before="143"/>
              <w:ind w:left="1" w:right="49"/>
              <w:jc w:val="center"/>
              <w:rPr>
                <w:sz w:val="22"/>
              </w:rPr>
            </w:pPr>
            <w:r>
              <w:rPr>
                <w:sz w:val="22"/>
              </w:rPr>
              <w:t>H:L;</w:t>
            </w:r>
            <w:r>
              <w:rPr>
                <w:spacing w:val="-5"/>
                <w:sz w:val="22"/>
              </w:rPr>
              <w:t> </w:t>
            </w:r>
            <w:r>
              <w:rPr>
                <w:spacing w:val="-2"/>
                <w:sz w:val="22"/>
              </w:rPr>
              <w:t>30:50</w:t>
            </w:r>
          </w:p>
        </w:tc>
        <w:tc>
          <w:tcPr>
            <w:tcW w:w="1694" w:type="dxa"/>
          </w:tcPr>
          <w:p>
            <w:pPr>
              <w:pStyle w:val="TableParagraph"/>
              <w:spacing w:before="143"/>
              <w:ind w:left="1" w:right="14"/>
              <w:jc w:val="center"/>
              <w:rPr>
                <w:sz w:val="22"/>
              </w:rPr>
            </w:pPr>
            <w:r>
              <w:rPr>
                <w:spacing w:val="-2"/>
                <w:sz w:val="22"/>
              </w:rPr>
              <w:t>21.000±1.000</w:t>
            </w:r>
          </w:p>
        </w:tc>
        <w:tc>
          <w:tcPr>
            <w:tcW w:w="951" w:type="dxa"/>
          </w:tcPr>
          <w:p>
            <w:pPr>
              <w:pStyle w:val="TableParagraph"/>
              <w:spacing w:before="143"/>
              <w:ind w:left="40"/>
              <w:jc w:val="center"/>
              <w:rPr>
                <w:sz w:val="22"/>
              </w:rPr>
            </w:pPr>
            <w:r>
              <w:rPr>
                <w:spacing w:val="-2"/>
                <w:sz w:val="22"/>
              </w:rPr>
              <w:t>0.283</w:t>
            </w:r>
          </w:p>
        </w:tc>
        <w:tc>
          <w:tcPr>
            <w:tcW w:w="749" w:type="dxa"/>
          </w:tcPr>
          <w:p>
            <w:pPr>
              <w:pStyle w:val="TableParagraph"/>
              <w:spacing w:before="143"/>
              <w:ind w:left="205"/>
              <w:rPr>
                <w:sz w:val="22"/>
              </w:rPr>
            </w:pPr>
            <w:r>
              <w:rPr>
                <w:spacing w:val="-5"/>
                <w:sz w:val="22"/>
              </w:rPr>
              <w:t>NS</w:t>
            </w:r>
          </w:p>
        </w:tc>
      </w:tr>
      <w:tr>
        <w:trPr>
          <w:trHeight w:val="383" w:hRule="atLeast"/>
        </w:trPr>
        <w:tc>
          <w:tcPr>
            <w:tcW w:w="1642" w:type="dxa"/>
          </w:tcPr>
          <w:p>
            <w:pPr>
              <w:pStyle w:val="TableParagraph"/>
              <w:rPr>
                <w:rFonts w:ascii="Times New Roman"/>
                <w:sz w:val="22"/>
              </w:rPr>
            </w:pPr>
          </w:p>
        </w:tc>
        <w:tc>
          <w:tcPr>
            <w:tcW w:w="1305" w:type="dxa"/>
          </w:tcPr>
          <w:p>
            <w:pPr>
              <w:pStyle w:val="TableParagraph"/>
              <w:spacing w:before="2"/>
              <w:ind w:left="1" w:right="49"/>
              <w:jc w:val="center"/>
              <w:rPr>
                <w:sz w:val="22"/>
              </w:rPr>
            </w:pPr>
            <w:r>
              <w:rPr>
                <w:sz w:val="22"/>
              </w:rPr>
              <w:t>H:L;</w:t>
            </w:r>
            <w:r>
              <w:rPr>
                <w:spacing w:val="-5"/>
                <w:sz w:val="22"/>
              </w:rPr>
              <w:t> </w:t>
            </w:r>
            <w:r>
              <w:rPr>
                <w:spacing w:val="-2"/>
                <w:sz w:val="22"/>
              </w:rPr>
              <w:t>40:50</w:t>
            </w:r>
          </w:p>
        </w:tc>
        <w:tc>
          <w:tcPr>
            <w:tcW w:w="1694" w:type="dxa"/>
          </w:tcPr>
          <w:p>
            <w:pPr>
              <w:pStyle w:val="TableParagraph"/>
              <w:spacing w:before="2"/>
              <w:ind w:left="1" w:right="14"/>
              <w:jc w:val="center"/>
              <w:rPr>
                <w:sz w:val="22"/>
              </w:rPr>
            </w:pPr>
            <w:r>
              <w:rPr>
                <w:spacing w:val="-2"/>
                <w:sz w:val="22"/>
              </w:rPr>
              <w:t>24.000±2.000</w:t>
            </w:r>
          </w:p>
        </w:tc>
        <w:tc>
          <w:tcPr>
            <w:tcW w:w="951" w:type="dxa"/>
          </w:tcPr>
          <w:p>
            <w:pPr>
              <w:pStyle w:val="TableParagraph"/>
              <w:spacing w:before="2"/>
              <w:ind w:left="40"/>
              <w:jc w:val="center"/>
              <w:rPr>
                <w:sz w:val="22"/>
              </w:rPr>
            </w:pPr>
            <w:r>
              <w:rPr>
                <w:spacing w:val="-2"/>
                <w:sz w:val="22"/>
              </w:rPr>
              <w:t>0.040</w:t>
            </w:r>
          </w:p>
        </w:tc>
        <w:tc>
          <w:tcPr>
            <w:tcW w:w="749" w:type="dxa"/>
          </w:tcPr>
          <w:p>
            <w:pPr>
              <w:pStyle w:val="TableParagraph"/>
              <w:spacing w:before="2"/>
              <w:ind w:left="224"/>
              <w:rPr>
                <w:sz w:val="22"/>
              </w:rPr>
            </w:pPr>
            <w:r>
              <w:rPr>
                <w:spacing w:val="-5"/>
                <w:sz w:val="22"/>
              </w:rPr>
              <w:t>SF</w:t>
            </w:r>
          </w:p>
        </w:tc>
      </w:tr>
      <w:tr>
        <w:trPr>
          <w:trHeight w:val="521" w:hRule="atLeast"/>
        </w:trPr>
        <w:tc>
          <w:tcPr>
            <w:tcW w:w="1642" w:type="dxa"/>
            <w:tcBorders>
              <w:bottom w:val="single" w:sz="4" w:space="0" w:color="000000"/>
            </w:tcBorders>
          </w:tcPr>
          <w:p>
            <w:pPr>
              <w:pStyle w:val="TableParagraph"/>
              <w:rPr>
                <w:rFonts w:ascii="Times New Roman"/>
                <w:sz w:val="22"/>
              </w:rPr>
            </w:pPr>
          </w:p>
        </w:tc>
        <w:tc>
          <w:tcPr>
            <w:tcW w:w="1305" w:type="dxa"/>
            <w:tcBorders>
              <w:bottom w:val="single" w:sz="4" w:space="0" w:color="000000"/>
            </w:tcBorders>
          </w:tcPr>
          <w:p>
            <w:pPr>
              <w:pStyle w:val="TableParagraph"/>
              <w:spacing w:before="72"/>
              <w:ind w:left="1" w:right="49"/>
              <w:jc w:val="center"/>
              <w:rPr>
                <w:sz w:val="22"/>
              </w:rPr>
            </w:pPr>
            <w:r>
              <w:rPr>
                <w:sz w:val="22"/>
              </w:rPr>
              <w:t>H:L;</w:t>
            </w:r>
            <w:r>
              <w:rPr>
                <w:spacing w:val="-5"/>
                <w:sz w:val="22"/>
              </w:rPr>
              <w:t> </w:t>
            </w:r>
            <w:r>
              <w:rPr>
                <w:spacing w:val="-2"/>
                <w:sz w:val="22"/>
              </w:rPr>
              <w:t>50:50</w:t>
            </w:r>
          </w:p>
        </w:tc>
        <w:tc>
          <w:tcPr>
            <w:tcW w:w="1694" w:type="dxa"/>
            <w:tcBorders>
              <w:bottom w:val="single" w:sz="4" w:space="0" w:color="000000"/>
            </w:tcBorders>
          </w:tcPr>
          <w:p>
            <w:pPr>
              <w:pStyle w:val="TableParagraph"/>
              <w:spacing w:before="72"/>
              <w:ind w:left="1" w:right="14"/>
              <w:jc w:val="center"/>
              <w:rPr>
                <w:sz w:val="22"/>
              </w:rPr>
            </w:pPr>
            <w:r>
              <w:rPr>
                <w:spacing w:val="-2"/>
                <w:sz w:val="22"/>
              </w:rPr>
              <w:t>25.500±1.500</w:t>
            </w:r>
          </w:p>
        </w:tc>
        <w:tc>
          <w:tcPr>
            <w:tcW w:w="951" w:type="dxa"/>
            <w:tcBorders>
              <w:bottom w:val="single" w:sz="4" w:space="0" w:color="000000"/>
            </w:tcBorders>
          </w:tcPr>
          <w:p>
            <w:pPr>
              <w:pStyle w:val="TableParagraph"/>
              <w:spacing w:before="72"/>
              <w:ind w:left="40"/>
              <w:jc w:val="center"/>
              <w:rPr>
                <w:sz w:val="22"/>
              </w:rPr>
            </w:pPr>
            <w:r>
              <w:rPr>
                <w:spacing w:val="-2"/>
                <w:sz w:val="22"/>
              </w:rPr>
              <w:t>0.016</w:t>
            </w:r>
          </w:p>
        </w:tc>
        <w:tc>
          <w:tcPr>
            <w:tcW w:w="749" w:type="dxa"/>
            <w:tcBorders>
              <w:bottom w:val="single" w:sz="4" w:space="0" w:color="000000"/>
            </w:tcBorders>
          </w:tcPr>
          <w:p>
            <w:pPr>
              <w:pStyle w:val="TableParagraph"/>
              <w:spacing w:before="72"/>
              <w:ind w:left="224"/>
              <w:rPr>
                <w:sz w:val="22"/>
              </w:rPr>
            </w:pPr>
            <w:r>
              <w:rPr>
                <w:spacing w:val="-5"/>
                <w:sz w:val="22"/>
              </w:rPr>
              <w:t>SF</w:t>
            </w:r>
          </w:p>
        </w:tc>
      </w:tr>
    </w:tbl>
    <w:p>
      <w:pPr>
        <w:pStyle w:val="BodyText"/>
        <w:spacing w:line="256" w:lineRule="auto" w:before="25"/>
        <w:ind w:left="380" w:right="975"/>
      </w:pPr>
      <w:r>
        <w:rPr>
          <w:b/>
        </w:rPr>
        <w:t>Key:</w:t>
      </w:r>
      <w:r>
        <w:rPr>
          <w:b/>
          <w:spacing w:val="34"/>
        </w:rPr>
        <w:t> </w:t>
      </w:r>
      <w:r>
        <w:rPr/>
        <w:t>LOS=Level</w:t>
      </w:r>
      <w:r>
        <w:rPr>
          <w:spacing w:val="32"/>
        </w:rPr>
        <w:t> </w:t>
      </w:r>
      <w:r>
        <w:rPr/>
        <w:t>of</w:t>
      </w:r>
      <w:r>
        <w:rPr>
          <w:spacing w:val="32"/>
        </w:rPr>
        <w:t> </w:t>
      </w:r>
      <w:r>
        <w:rPr/>
        <w:t>significance;</w:t>
      </w:r>
      <w:r>
        <w:rPr>
          <w:spacing w:val="38"/>
        </w:rPr>
        <w:t> </w:t>
      </w:r>
      <w:r>
        <w:rPr/>
        <w:t>NS=Not</w:t>
      </w:r>
      <w:r>
        <w:rPr>
          <w:spacing w:val="33"/>
        </w:rPr>
        <w:t> </w:t>
      </w:r>
      <w:r>
        <w:rPr/>
        <w:t>significantly</w:t>
      </w:r>
      <w:r>
        <w:rPr>
          <w:spacing w:val="33"/>
        </w:rPr>
        <w:t> </w:t>
      </w:r>
      <w:r>
        <w:rPr/>
        <w:t>different;</w:t>
      </w:r>
      <w:r>
        <w:rPr>
          <w:spacing w:val="35"/>
        </w:rPr>
        <w:t> </w:t>
      </w:r>
      <w:r>
        <w:rPr/>
        <w:t>SF=Significantly</w:t>
      </w:r>
      <w:r>
        <w:rPr>
          <w:spacing w:val="33"/>
        </w:rPr>
        <w:t> </w:t>
      </w:r>
      <w:r>
        <w:rPr/>
        <w:t>different;</w:t>
      </w:r>
      <w:r>
        <w:rPr>
          <w:spacing w:val="35"/>
        </w:rPr>
        <w:t> </w:t>
      </w:r>
      <w:r>
        <w:rPr/>
        <w:t>H=Honey and L=Lemon juice.</w:t>
      </w:r>
    </w:p>
    <w:p>
      <w:pPr>
        <w:spacing w:after="0" w:line="256" w:lineRule="auto"/>
        <w:sectPr>
          <w:type w:val="continuous"/>
          <w:pgSz w:w="11910" w:h="16840"/>
          <w:pgMar w:header="0" w:footer="1055" w:top="140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7"/>
      </w:pPr>
    </w:p>
    <w:p>
      <w:pPr>
        <w:pStyle w:val="Heading3"/>
        <w:spacing w:line="400" w:lineRule="auto"/>
        <w:ind w:right="2617"/>
      </w:pPr>
      <w:r>
        <w:rPr/>
        <w:t>Comparing</w:t>
      </w:r>
      <w:r>
        <w:rPr>
          <w:spacing w:val="-5"/>
        </w:rPr>
        <w:t> </w:t>
      </w:r>
      <w:r>
        <w:rPr/>
        <w:t>the</w:t>
      </w:r>
      <w:r>
        <w:rPr>
          <w:spacing w:val="-4"/>
        </w:rPr>
        <w:t> </w:t>
      </w:r>
      <w:r>
        <w:rPr/>
        <w:t>mean</w:t>
      </w:r>
      <w:r>
        <w:rPr>
          <w:spacing w:val="-4"/>
        </w:rPr>
        <w:t> </w:t>
      </w:r>
      <w:r>
        <w:rPr/>
        <w:t>zones</w:t>
      </w:r>
      <w:r>
        <w:rPr>
          <w:spacing w:val="-3"/>
        </w:rPr>
        <w:t> </w:t>
      </w:r>
      <w:r>
        <w:rPr/>
        <w:t>of</w:t>
      </w:r>
      <w:r>
        <w:rPr>
          <w:spacing w:val="-3"/>
        </w:rPr>
        <w:t> </w:t>
      </w:r>
      <w:r>
        <w:rPr/>
        <w:t>inhibition</w:t>
      </w:r>
      <w:r>
        <w:rPr>
          <w:spacing w:val="-4"/>
        </w:rPr>
        <w:t> </w:t>
      </w:r>
      <w:r>
        <w:rPr/>
        <w:t>of</w:t>
      </w:r>
      <w:r>
        <w:rPr>
          <w:spacing w:val="-3"/>
        </w:rPr>
        <w:t> </w:t>
      </w:r>
      <w:r>
        <w:rPr/>
        <w:t>Lemon</w:t>
      </w:r>
      <w:r>
        <w:rPr>
          <w:spacing w:val="-1"/>
        </w:rPr>
        <w:t> </w:t>
      </w:r>
      <w:r>
        <w:rPr/>
        <w:t>juice</w:t>
      </w:r>
      <w:r>
        <w:rPr>
          <w:spacing w:val="-3"/>
        </w:rPr>
        <w:t> </w:t>
      </w:r>
      <w:r>
        <w:rPr/>
        <w:t>and</w:t>
      </w:r>
      <w:r>
        <w:rPr>
          <w:spacing w:val="-4"/>
        </w:rPr>
        <w:t> </w:t>
      </w:r>
      <w:r>
        <w:rPr/>
        <w:t>the</w:t>
      </w:r>
      <w:r>
        <w:rPr>
          <w:spacing w:val="-4"/>
        </w:rPr>
        <w:t> </w:t>
      </w:r>
      <w:r>
        <w:rPr/>
        <w:t>mixture of Honey and Lemon juice against </w:t>
      </w:r>
      <w:r>
        <w:rPr>
          <w:i/>
        </w:rPr>
        <w:t>Pseudomonas aeruginosa</w:t>
      </w:r>
      <w:r>
        <w:rPr/>
        <w:t>.</w:t>
      </w:r>
    </w:p>
    <w:p>
      <w:pPr>
        <w:pStyle w:val="BodyText"/>
        <w:spacing w:before="210" w:after="1"/>
        <w:rPr>
          <w:b/>
          <w:sz w:val="20"/>
        </w:r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gridCol w:w="1441"/>
        <w:gridCol w:w="1546"/>
        <w:gridCol w:w="949"/>
        <w:gridCol w:w="761"/>
      </w:tblGrid>
      <w:tr>
        <w:trPr>
          <w:trHeight w:val="1343" w:hRule="atLeast"/>
        </w:trPr>
        <w:tc>
          <w:tcPr>
            <w:tcW w:w="1642" w:type="dxa"/>
            <w:tcBorders>
              <w:top w:val="single" w:sz="4" w:space="0" w:color="000000"/>
              <w:bottom w:val="single" w:sz="4" w:space="0" w:color="000000"/>
            </w:tcBorders>
          </w:tcPr>
          <w:p>
            <w:pPr>
              <w:pStyle w:val="TableParagraph"/>
              <w:spacing w:before="176"/>
              <w:rPr>
                <w:b/>
                <w:sz w:val="22"/>
              </w:rPr>
            </w:pPr>
          </w:p>
          <w:p>
            <w:pPr>
              <w:pStyle w:val="TableParagraph"/>
              <w:spacing w:before="1"/>
              <w:ind w:left="108"/>
              <w:rPr>
                <w:sz w:val="22"/>
              </w:rPr>
            </w:pPr>
            <w:r>
              <w:rPr>
                <w:sz w:val="22"/>
              </w:rPr>
              <w:t>(I)</w:t>
            </w:r>
            <w:r>
              <w:rPr>
                <w:spacing w:val="-2"/>
                <w:sz w:val="22"/>
              </w:rPr>
              <w:t> Group_10</w:t>
            </w:r>
          </w:p>
        </w:tc>
        <w:tc>
          <w:tcPr>
            <w:tcW w:w="1441" w:type="dxa"/>
            <w:tcBorders>
              <w:top w:val="single" w:sz="4" w:space="0" w:color="000000"/>
              <w:bottom w:val="single" w:sz="4" w:space="0" w:color="000000"/>
            </w:tcBorders>
          </w:tcPr>
          <w:p>
            <w:pPr>
              <w:pStyle w:val="TableParagraph"/>
              <w:spacing w:before="176"/>
              <w:rPr>
                <w:b/>
                <w:sz w:val="22"/>
              </w:rPr>
            </w:pPr>
          </w:p>
          <w:p>
            <w:pPr>
              <w:pStyle w:val="TableParagraph"/>
              <w:spacing w:before="1"/>
              <w:ind w:left="175"/>
              <w:rPr>
                <w:sz w:val="22"/>
              </w:rPr>
            </w:pPr>
            <w:r>
              <w:rPr>
                <w:sz w:val="22"/>
              </w:rPr>
              <w:t>(J)</w:t>
            </w:r>
            <w:r>
              <w:rPr>
                <w:spacing w:val="-2"/>
                <w:sz w:val="22"/>
              </w:rPr>
              <w:t> Group_10</w:t>
            </w:r>
          </w:p>
        </w:tc>
        <w:tc>
          <w:tcPr>
            <w:tcW w:w="1546" w:type="dxa"/>
            <w:tcBorders>
              <w:top w:val="single" w:sz="4" w:space="0" w:color="000000"/>
              <w:bottom w:val="single" w:sz="4" w:space="0" w:color="000000"/>
            </w:tcBorders>
          </w:tcPr>
          <w:p>
            <w:pPr>
              <w:pStyle w:val="TableParagraph"/>
              <w:spacing w:before="176"/>
              <w:rPr>
                <w:b/>
                <w:sz w:val="22"/>
              </w:rPr>
            </w:pPr>
          </w:p>
          <w:p>
            <w:pPr>
              <w:pStyle w:val="TableParagraph"/>
              <w:spacing w:before="1"/>
              <w:ind w:right="247"/>
              <w:jc w:val="right"/>
              <w:rPr>
                <w:sz w:val="22"/>
              </w:rPr>
            </w:pPr>
            <w:r>
              <w:rPr>
                <w:spacing w:val="-2"/>
                <w:sz w:val="22"/>
              </w:rPr>
              <w:t>Mean±SEM</w:t>
            </w:r>
          </w:p>
        </w:tc>
        <w:tc>
          <w:tcPr>
            <w:tcW w:w="949" w:type="dxa"/>
            <w:tcBorders>
              <w:top w:val="single" w:sz="4" w:space="0" w:color="000000"/>
              <w:bottom w:val="single" w:sz="4" w:space="0" w:color="000000"/>
            </w:tcBorders>
          </w:tcPr>
          <w:p>
            <w:pPr>
              <w:pStyle w:val="TableParagraph"/>
              <w:spacing w:before="35"/>
              <w:rPr>
                <w:b/>
                <w:sz w:val="22"/>
              </w:rPr>
            </w:pPr>
          </w:p>
          <w:p>
            <w:pPr>
              <w:pStyle w:val="TableParagraph"/>
              <w:ind w:left="99" w:right="149"/>
              <w:jc w:val="center"/>
              <w:rPr>
                <w:sz w:val="22"/>
              </w:rPr>
            </w:pPr>
            <w:r>
              <w:rPr>
                <w:spacing w:val="-5"/>
                <w:sz w:val="22"/>
              </w:rPr>
              <w:t>P-</w:t>
            </w:r>
          </w:p>
          <w:p>
            <w:pPr>
              <w:pStyle w:val="TableParagraph"/>
              <w:spacing w:before="17"/>
              <w:ind w:left="99" w:right="148"/>
              <w:jc w:val="center"/>
              <w:rPr>
                <w:sz w:val="22"/>
              </w:rPr>
            </w:pPr>
            <w:r>
              <w:rPr>
                <w:spacing w:val="-2"/>
                <w:sz w:val="22"/>
              </w:rPr>
              <w:t>value</w:t>
            </w:r>
          </w:p>
        </w:tc>
        <w:tc>
          <w:tcPr>
            <w:tcW w:w="761" w:type="dxa"/>
            <w:tcBorders>
              <w:top w:val="single" w:sz="4" w:space="0" w:color="000000"/>
              <w:bottom w:val="single" w:sz="4" w:space="0" w:color="000000"/>
            </w:tcBorders>
          </w:tcPr>
          <w:p>
            <w:pPr>
              <w:pStyle w:val="TableParagraph"/>
              <w:spacing w:before="172"/>
              <w:rPr>
                <w:b/>
                <w:sz w:val="22"/>
              </w:rPr>
            </w:pPr>
          </w:p>
          <w:p>
            <w:pPr>
              <w:pStyle w:val="TableParagraph"/>
              <w:ind w:right="239"/>
              <w:jc w:val="right"/>
              <w:rPr>
                <w:sz w:val="22"/>
              </w:rPr>
            </w:pPr>
            <w:r>
              <w:rPr>
                <w:spacing w:val="-5"/>
                <w:sz w:val="22"/>
              </w:rPr>
              <w:t>LOS</w:t>
            </w:r>
          </w:p>
        </w:tc>
      </w:tr>
      <w:tr>
        <w:trPr>
          <w:trHeight w:val="378" w:hRule="atLeast"/>
        </w:trPr>
        <w:tc>
          <w:tcPr>
            <w:tcW w:w="1642" w:type="dxa"/>
            <w:tcBorders>
              <w:top w:val="single" w:sz="4" w:space="0" w:color="000000"/>
            </w:tcBorders>
          </w:tcPr>
          <w:p>
            <w:pPr>
              <w:pStyle w:val="TableParagraph"/>
              <w:rPr>
                <w:rFonts w:ascii="Times New Roman"/>
                <w:sz w:val="22"/>
              </w:rPr>
            </w:pPr>
          </w:p>
        </w:tc>
        <w:tc>
          <w:tcPr>
            <w:tcW w:w="1441" w:type="dxa"/>
            <w:tcBorders>
              <w:top w:val="single" w:sz="4" w:space="0" w:color="000000"/>
            </w:tcBorders>
          </w:tcPr>
          <w:p>
            <w:pPr>
              <w:pStyle w:val="TableParagraph"/>
              <w:spacing w:line="266" w:lineRule="exact"/>
              <w:ind w:left="175"/>
              <w:rPr>
                <w:sz w:val="22"/>
              </w:rPr>
            </w:pPr>
            <w:r>
              <w:rPr>
                <w:sz w:val="22"/>
              </w:rPr>
              <w:t>H:L;</w:t>
            </w:r>
            <w:r>
              <w:rPr>
                <w:spacing w:val="-5"/>
                <w:sz w:val="22"/>
              </w:rPr>
              <w:t> </w:t>
            </w:r>
            <w:r>
              <w:rPr>
                <w:spacing w:val="-2"/>
                <w:sz w:val="22"/>
              </w:rPr>
              <w:t>10:50</w:t>
            </w:r>
          </w:p>
        </w:tc>
        <w:tc>
          <w:tcPr>
            <w:tcW w:w="1546" w:type="dxa"/>
            <w:tcBorders>
              <w:top w:val="single" w:sz="4" w:space="0" w:color="000000"/>
            </w:tcBorders>
          </w:tcPr>
          <w:p>
            <w:pPr>
              <w:pStyle w:val="TableParagraph"/>
              <w:spacing w:line="266" w:lineRule="exact"/>
              <w:ind w:right="202"/>
              <w:jc w:val="right"/>
              <w:rPr>
                <w:sz w:val="22"/>
              </w:rPr>
            </w:pPr>
            <w:r>
              <w:rPr>
                <w:spacing w:val="-2"/>
                <w:sz w:val="22"/>
              </w:rPr>
              <w:t>20.500±0.314</w:t>
            </w:r>
          </w:p>
        </w:tc>
        <w:tc>
          <w:tcPr>
            <w:tcW w:w="949" w:type="dxa"/>
            <w:tcBorders>
              <w:top w:val="single" w:sz="4" w:space="0" w:color="000000"/>
            </w:tcBorders>
          </w:tcPr>
          <w:p>
            <w:pPr>
              <w:pStyle w:val="TableParagraph"/>
              <w:spacing w:line="266" w:lineRule="exact"/>
              <w:ind w:left="149" w:right="50"/>
              <w:jc w:val="center"/>
              <w:rPr>
                <w:sz w:val="22"/>
              </w:rPr>
            </w:pPr>
            <w:r>
              <w:rPr>
                <w:spacing w:val="-2"/>
                <w:sz w:val="22"/>
              </w:rPr>
              <w:t>0.046</w:t>
            </w:r>
          </w:p>
        </w:tc>
        <w:tc>
          <w:tcPr>
            <w:tcW w:w="761" w:type="dxa"/>
            <w:tcBorders>
              <w:top w:val="single" w:sz="4" w:space="0" w:color="000000"/>
            </w:tcBorders>
          </w:tcPr>
          <w:p>
            <w:pPr>
              <w:pStyle w:val="TableParagraph"/>
              <w:spacing w:line="266" w:lineRule="exact"/>
              <w:ind w:right="309"/>
              <w:jc w:val="right"/>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441" w:type="dxa"/>
          </w:tcPr>
          <w:p>
            <w:pPr>
              <w:pStyle w:val="TableParagraph"/>
              <w:spacing w:before="72"/>
              <w:ind w:left="175"/>
              <w:rPr>
                <w:sz w:val="22"/>
              </w:rPr>
            </w:pPr>
            <w:r>
              <w:rPr>
                <w:sz w:val="22"/>
              </w:rPr>
              <w:t>H:L;</w:t>
            </w:r>
            <w:r>
              <w:rPr>
                <w:spacing w:val="-5"/>
                <w:sz w:val="22"/>
              </w:rPr>
              <w:t> </w:t>
            </w:r>
            <w:r>
              <w:rPr>
                <w:spacing w:val="-2"/>
                <w:sz w:val="22"/>
              </w:rPr>
              <w:t>20:50</w:t>
            </w:r>
          </w:p>
        </w:tc>
        <w:tc>
          <w:tcPr>
            <w:tcW w:w="1546" w:type="dxa"/>
          </w:tcPr>
          <w:p>
            <w:pPr>
              <w:pStyle w:val="TableParagraph"/>
              <w:spacing w:before="72"/>
              <w:ind w:right="202"/>
              <w:jc w:val="right"/>
              <w:rPr>
                <w:sz w:val="22"/>
              </w:rPr>
            </w:pPr>
            <w:r>
              <w:rPr>
                <w:spacing w:val="-2"/>
                <w:sz w:val="22"/>
              </w:rPr>
              <w:t>21.750±0.329</w:t>
            </w:r>
          </w:p>
        </w:tc>
        <w:tc>
          <w:tcPr>
            <w:tcW w:w="949" w:type="dxa"/>
          </w:tcPr>
          <w:p>
            <w:pPr>
              <w:pStyle w:val="TableParagraph"/>
              <w:spacing w:before="72"/>
              <w:ind w:left="149" w:right="50"/>
              <w:jc w:val="center"/>
              <w:rPr>
                <w:sz w:val="22"/>
              </w:rPr>
            </w:pPr>
            <w:r>
              <w:rPr>
                <w:spacing w:val="-2"/>
                <w:sz w:val="22"/>
              </w:rPr>
              <w:t>0.000</w:t>
            </w:r>
          </w:p>
        </w:tc>
        <w:tc>
          <w:tcPr>
            <w:tcW w:w="761" w:type="dxa"/>
          </w:tcPr>
          <w:p>
            <w:pPr>
              <w:pStyle w:val="TableParagraph"/>
              <w:spacing w:before="72"/>
              <w:ind w:right="309"/>
              <w:jc w:val="right"/>
              <w:rPr>
                <w:sz w:val="22"/>
              </w:rPr>
            </w:pPr>
            <w:r>
              <w:rPr>
                <w:spacing w:val="-5"/>
                <w:sz w:val="22"/>
              </w:rPr>
              <w:t>SF</w:t>
            </w:r>
          </w:p>
        </w:tc>
      </w:tr>
      <w:tr>
        <w:trPr>
          <w:trHeight w:val="597" w:hRule="atLeast"/>
        </w:trPr>
        <w:tc>
          <w:tcPr>
            <w:tcW w:w="1642" w:type="dxa"/>
          </w:tcPr>
          <w:p>
            <w:pPr>
              <w:pStyle w:val="TableParagraph"/>
              <w:spacing w:before="1"/>
              <w:ind w:left="108"/>
              <w:rPr>
                <w:sz w:val="22"/>
              </w:rPr>
            </w:pPr>
            <w:r>
              <w:rPr>
                <w:sz w:val="22"/>
              </w:rPr>
              <w:t>Lemon</w:t>
            </w:r>
            <w:r>
              <w:rPr>
                <w:spacing w:val="-6"/>
                <w:sz w:val="22"/>
              </w:rPr>
              <w:t> </w:t>
            </w:r>
            <w:r>
              <w:rPr>
                <w:spacing w:val="-2"/>
                <w:sz w:val="22"/>
              </w:rPr>
              <w:t>(100%)</w:t>
            </w:r>
          </w:p>
          <w:p>
            <w:pPr>
              <w:pStyle w:val="TableParagraph"/>
              <w:spacing w:before="17"/>
              <w:ind w:left="108"/>
              <w:rPr>
                <w:sz w:val="22"/>
              </w:rPr>
            </w:pPr>
            <w:r>
              <w:rPr>
                <w:spacing w:val="-2"/>
                <w:sz w:val="22"/>
              </w:rPr>
              <w:t>(18.667±0.466)</w:t>
            </w:r>
          </w:p>
        </w:tc>
        <w:tc>
          <w:tcPr>
            <w:tcW w:w="1441" w:type="dxa"/>
          </w:tcPr>
          <w:p>
            <w:pPr>
              <w:pStyle w:val="TableParagraph"/>
              <w:spacing w:before="143"/>
              <w:ind w:left="175"/>
              <w:rPr>
                <w:sz w:val="22"/>
              </w:rPr>
            </w:pPr>
            <w:r>
              <w:rPr>
                <w:sz w:val="22"/>
              </w:rPr>
              <w:t>H:L;</w:t>
            </w:r>
            <w:r>
              <w:rPr>
                <w:spacing w:val="-5"/>
                <w:sz w:val="22"/>
              </w:rPr>
              <w:t> </w:t>
            </w:r>
            <w:r>
              <w:rPr>
                <w:spacing w:val="-2"/>
                <w:sz w:val="22"/>
              </w:rPr>
              <w:t>30:50</w:t>
            </w:r>
          </w:p>
        </w:tc>
        <w:tc>
          <w:tcPr>
            <w:tcW w:w="1546" w:type="dxa"/>
          </w:tcPr>
          <w:p>
            <w:pPr>
              <w:pStyle w:val="TableParagraph"/>
              <w:spacing w:before="143"/>
              <w:ind w:right="202"/>
              <w:jc w:val="right"/>
              <w:rPr>
                <w:sz w:val="22"/>
              </w:rPr>
            </w:pPr>
            <w:r>
              <w:rPr>
                <w:spacing w:val="-2"/>
                <w:sz w:val="22"/>
              </w:rPr>
              <w:t>21.417±0.621</w:t>
            </w:r>
          </w:p>
        </w:tc>
        <w:tc>
          <w:tcPr>
            <w:tcW w:w="949" w:type="dxa"/>
          </w:tcPr>
          <w:p>
            <w:pPr>
              <w:pStyle w:val="TableParagraph"/>
              <w:spacing w:before="143"/>
              <w:ind w:left="149" w:right="50"/>
              <w:jc w:val="center"/>
              <w:rPr>
                <w:sz w:val="22"/>
              </w:rPr>
            </w:pPr>
            <w:r>
              <w:rPr>
                <w:spacing w:val="-2"/>
                <w:sz w:val="22"/>
              </w:rPr>
              <w:t>0.000</w:t>
            </w:r>
          </w:p>
        </w:tc>
        <w:tc>
          <w:tcPr>
            <w:tcW w:w="761" w:type="dxa"/>
          </w:tcPr>
          <w:p>
            <w:pPr>
              <w:pStyle w:val="TableParagraph"/>
              <w:spacing w:before="143"/>
              <w:ind w:right="309"/>
              <w:jc w:val="right"/>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441" w:type="dxa"/>
          </w:tcPr>
          <w:p>
            <w:pPr>
              <w:pStyle w:val="TableParagraph"/>
              <w:spacing w:before="1"/>
              <w:ind w:left="175"/>
              <w:rPr>
                <w:sz w:val="22"/>
              </w:rPr>
            </w:pPr>
            <w:r>
              <w:rPr>
                <w:sz w:val="22"/>
              </w:rPr>
              <w:t>H:L;</w:t>
            </w:r>
            <w:r>
              <w:rPr>
                <w:spacing w:val="-5"/>
                <w:sz w:val="22"/>
              </w:rPr>
              <w:t> </w:t>
            </w:r>
            <w:r>
              <w:rPr>
                <w:spacing w:val="-2"/>
                <w:sz w:val="22"/>
              </w:rPr>
              <w:t>40:50</w:t>
            </w:r>
          </w:p>
        </w:tc>
        <w:tc>
          <w:tcPr>
            <w:tcW w:w="1546" w:type="dxa"/>
          </w:tcPr>
          <w:p>
            <w:pPr>
              <w:pStyle w:val="TableParagraph"/>
              <w:spacing w:before="1"/>
              <w:ind w:right="202"/>
              <w:jc w:val="right"/>
              <w:rPr>
                <w:sz w:val="22"/>
              </w:rPr>
            </w:pPr>
            <w:r>
              <w:rPr>
                <w:spacing w:val="-2"/>
                <w:sz w:val="22"/>
              </w:rPr>
              <w:t>21.833±0.366</w:t>
            </w:r>
          </w:p>
        </w:tc>
        <w:tc>
          <w:tcPr>
            <w:tcW w:w="949" w:type="dxa"/>
          </w:tcPr>
          <w:p>
            <w:pPr>
              <w:pStyle w:val="TableParagraph"/>
              <w:spacing w:before="1"/>
              <w:ind w:left="148" w:right="50"/>
              <w:jc w:val="center"/>
              <w:rPr>
                <w:sz w:val="22"/>
              </w:rPr>
            </w:pPr>
            <w:r>
              <w:rPr>
                <w:spacing w:val="-2"/>
                <w:sz w:val="22"/>
              </w:rPr>
              <w:t>0.000</w:t>
            </w:r>
          </w:p>
        </w:tc>
        <w:tc>
          <w:tcPr>
            <w:tcW w:w="761" w:type="dxa"/>
          </w:tcPr>
          <w:p>
            <w:pPr>
              <w:pStyle w:val="TableParagraph"/>
              <w:spacing w:before="1"/>
              <w:ind w:right="309"/>
              <w:jc w:val="right"/>
              <w:rPr>
                <w:sz w:val="22"/>
              </w:rPr>
            </w:pPr>
            <w:r>
              <w:rPr>
                <w:spacing w:val="-5"/>
                <w:sz w:val="22"/>
              </w:rPr>
              <w:t>SF</w:t>
            </w:r>
          </w:p>
        </w:tc>
      </w:tr>
      <w:tr>
        <w:trPr>
          <w:trHeight w:val="519" w:hRule="atLeast"/>
        </w:trPr>
        <w:tc>
          <w:tcPr>
            <w:tcW w:w="1642" w:type="dxa"/>
            <w:tcBorders>
              <w:bottom w:val="single" w:sz="4" w:space="0" w:color="000000"/>
            </w:tcBorders>
          </w:tcPr>
          <w:p>
            <w:pPr>
              <w:pStyle w:val="TableParagraph"/>
              <w:rPr>
                <w:rFonts w:ascii="Times New Roman"/>
                <w:sz w:val="22"/>
              </w:rPr>
            </w:pPr>
          </w:p>
        </w:tc>
        <w:tc>
          <w:tcPr>
            <w:tcW w:w="1441" w:type="dxa"/>
            <w:tcBorders>
              <w:bottom w:val="single" w:sz="4" w:space="0" w:color="000000"/>
            </w:tcBorders>
          </w:tcPr>
          <w:p>
            <w:pPr>
              <w:pStyle w:val="TableParagraph"/>
              <w:spacing w:before="72"/>
              <w:ind w:left="175"/>
              <w:rPr>
                <w:sz w:val="22"/>
              </w:rPr>
            </w:pPr>
            <w:r>
              <w:rPr>
                <w:sz w:val="22"/>
              </w:rPr>
              <w:t>H:L;</w:t>
            </w:r>
            <w:r>
              <w:rPr>
                <w:spacing w:val="-5"/>
                <w:sz w:val="22"/>
              </w:rPr>
              <w:t> </w:t>
            </w:r>
            <w:r>
              <w:rPr>
                <w:spacing w:val="-2"/>
                <w:sz w:val="22"/>
              </w:rPr>
              <w:t>50:50</w:t>
            </w:r>
          </w:p>
        </w:tc>
        <w:tc>
          <w:tcPr>
            <w:tcW w:w="1546" w:type="dxa"/>
            <w:tcBorders>
              <w:bottom w:val="single" w:sz="4" w:space="0" w:color="000000"/>
            </w:tcBorders>
          </w:tcPr>
          <w:p>
            <w:pPr>
              <w:pStyle w:val="TableParagraph"/>
              <w:spacing w:before="72"/>
              <w:ind w:right="202"/>
              <w:jc w:val="right"/>
              <w:rPr>
                <w:sz w:val="22"/>
              </w:rPr>
            </w:pPr>
            <w:r>
              <w:rPr>
                <w:spacing w:val="-2"/>
                <w:sz w:val="22"/>
              </w:rPr>
              <w:t>23.667±0.376</w:t>
            </w:r>
          </w:p>
        </w:tc>
        <w:tc>
          <w:tcPr>
            <w:tcW w:w="949" w:type="dxa"/>
            <w:tcBorders>
              <w:bottom w:val="single" w:sz="4" w:space="0" w:color="000000"/>
            </w:tcBorders>
          </w:tcPr>
          <w:p>
            <w:pPr>
              <w:pStyle w:val="TableParagraph"/>
              <w:spacing w:before="72"/>
              <w:ind w:left="149" w:right="50"/>
              <w:jc w:val="center"/>
              <w:rPr>
                <w:sz w:val="22"/>
              </w:rPr>
            </w:pPr>
            <w:r>
              <w:rPr>
                <w:spacing w:val="-2"/>
                <w:sz w:val="22"/>
              </w:rPr>
              <w:t>0.000</w:t>
            </w:r>
          </w:p>
        </w:tc>
        <w:tc>
          <w:tcPr>
            <w:tcW w:w="761" w:type="dxa"/>
            <w:tcBorders>
              <w:bottom w:val="single" w:sz="4" w:space="0" w:color="000000"/>
            </w:tcBorders>
          </w:tcPr>
          <w:p>
            <w:pPr>
              <w:pStyle w:val="TableParagraph"/>
              <w:spacing w:before="72"/>
              <w:ind w:right="309"/>
              <w:jc w:val="right"/>
              <w:rPr>
                <w:sz w:val="22"/>
              </w:rPr>
            </w:pPr>
            <w:r>
              <w:rPr>
                <w:spacing w:val="-5"/>
                <w:sz w:val="22"/>
              </w:rPr>
              <w:t>SF</w:t>
            </w:r>
          </w:p>
        </w:tc>
      </w:tr>
      <w:tr>
        <w:trPr>
          <w:trHeight w:val="377" w:hRule="atLeast"/>
        </w:trPr>
        <w:tc>
          <w:tcPr>
            <w:tcW w:w="1642" w:type="dxa"/>
            <w:tcBorders>
              <w:top w:val="single" w:sz="4" w:space="0" w:color="000000"/>
            </w:tcBorders>
          </w:tcPr>
          <w:p>
            <w:pPr>
              <w:pStyle w:val="TableParagraph"/>
              <w:rPr>
                <w:rFonts w:ascii="Times New Roman"/>
                <w:sz w:val="22"/>
              </w:rPr>
            </w:pPr>
          </w:p>
        </w:tc>
        <w:tc>
          <w:tcPr>
            <w:tcW w:w="1441" w:type="dxa"/>
            <w:tcBorders>
              <w:top w:val="single" w:sz="4" w:space="0" w:color="000000"/>
            </w:tcBorders>
          </w:tcPr>
          <w:p>
            <w:pPr>
              <w:pStyle w:val="TableParagraph"/>
              <w:spacing w:line="265" w:lineRule="exact"/>
              <w:ind w:left="175"/>
              <w:rPr>
                <w:sz w:val="22"/>
              </w:rPr>
            </w:pPr>
            <w:r>
              <w:rPr>
                <w:sz w:val="22"/>
              </w:rPr>
              <w:t>H:L;</w:t>
            </w:r>
            <w:r>
              <w:rPr>
                <w:spacing w:val="-5"/>
                <w:sz w:val="22"/>
              </w:rPr>
              <w:t> </w:t>
            </w:r>
            <w:r>
              <w:rPr>
                <w:spacing w:val="-2"/>
                <w:sz w:val="22"/>
              </w:rPr>
              <w:t>10:50</w:t>
            </w:r>
          </w:p>
        </w:tc>
        <w:tc>
          <w:tcPr>
            <w:tcW w:w="1546" w:type="dxa"/>
            <w:tcBorders>
              <w:top w:val="single" w:sz="4" w:space="0" w:color="000000"/>
            </w:tcBorders>
          </w:tcPr>
          <w:p>
            <w:pPr>
              <w:pStyle w:val="TableParagraph"/>
              <w:spacing w:line="265" w:lineRule="exact"/>
              <w:ind w:right="202"/>
              <w:jc w:val="right"/>
              <w:rPr>
                <w:sz w:val="22"/>
              </w:rPr>
            </w:pPr>
            <w:r>
              <w:rPr>
                <w:spacing w:val="-2"/>
                <w:sz w:val="22"/>
              </w:rPr>
              <w:t>20.500±0.314</w:t>
            </w:r>
          </w:p>
        </w:tc>
        <w:tc>
          <w:tcPr>
            <w:tcW w:w="949" w:type="dxa"/>
            <w:tcBorders>
              <w:top w:val="single" w:sz="4" w:space="0" w:color="000000"/>
            </w:tcBorders>
          </w:tcPr>
          <w:p>
            <w:pPr>
              <w:pStyle w:val="TableParagraph"/>
              <w:spacing w:line="265" w:lineRule="exact"/>
              <w:ind w:left="149" w:right="50"/>
              <w:jc w:val="center"/>
              <w:rPr>
                <w:sz w:val="22"/>
              </w:rPr>
            </w:pPr>
            <w:r>
              <w:rPr>
                <w:spacing w:val="-2"/>
                <w:sz w:val="22"/>
              </w:rPr>
              <w:t>0.000</w:t>
            </w:r>
          </w:p>
        </w:tc>
        <w:tc>
          <w:tcPr>
            <w:tcW w:w="761" w:type="dxa"/>
            <w:tcBorders>
              <w:top w:val="single" w:sz="4" w:space="0" w:color="000000"/>
            </w:tcBorders>
          </w:tcPr>
          <w:p>
            <w:pPr>
              <w:pStyle w:val="TableParagraph"/>
              <w:spacing w:line="265" w:lineRule="exact"/>
              <w:ind w:right="309"/>
              <w:jc w:val="right"/>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441" w:type="dxa"/>
          </w:tcPr>
          <w:p>
            <w:pPr>
              <w:pStyle w:val="TableParagraph"/>
              <w:spacing w:before="72"/>
              <w:ind w:left="175"/>
              <w:rPr>
                <w:sz w:val="22"/>
              </w:rPr>
            </w:pPr>
            <w:r>
              <w:rPr>
                <w:sz w:val="22"/>
              </w:rPr>
              <w:t>H:L;</w:t>
            </w:r>
            <w:r>
              <w:rPr>
                <w:spacing w:val="-5"/>
                <w:sz w:val="22"/>
              </w:rPr>
              <w:t> </w:t>
            </w:r>
            <w:r>
              <w:rPr>
                <w:spacing w:val="-2"/>
                <w:sz w:val="22"/>
              </w:rPr>
              <w:t>20:50</w:t>
            </w:r>
          </w:p>
        </w:tc>
        <w:tc>
          <w:tcPr>
            <w:tcW w:w="1546" w:type="dxa"/>
          </w:tcPr>
          <w:p>
            <w:pPr>
              <w:pStyle w:val="TableParagraph"/>
              <w:spacing w:before="72"/>
              <w:ind w:right="202"/>
              <w:jc w:val="right"/>
              <w:rPr>
                <w:sz w:val="22"/>
              </w:rPr>
            </w:pPr>
            <w:r>
              <w:rPr>
                <w:spacing w:val="-2"/>
                <w:sz w:val="22"/>
              </w:rPr>
              <w:t>21.750±0.329</w:t>
            </w:r>
          </w:p>
        </w:tc>
        <w:tc>
          <w:tcPr>
            <w:tcW w:w="949" w:type="dxa"/>
          </w:tcPr>
          <w:p>
            <w:pPr>
              <w:pStyle w:val="TableParagraph"/>
              <w:spacing w:before="72"/>
              <w:ind w:left="149" w:right="50"/>
              <w:jc w:val="center"/>
              <w:rPr>
                <w:sz w:val="22"/>
              </w:rPr>
            </w:pPr>
            <w:r>
              <w:rPr>
                <w:spacing w:val="-2"/>
                <w:sz w:val="22"/>
              </w:rPr>
              <w:t>0.000</w:t>
            </w:r>
          </w:p>
        </w:tc>
        <w:tc>
          <w:tcPr>
            <w:tcW w:w="761" w:type="dxa"/>
          </w:tcPr>
          <w:p>
            <w:pPr>
              <w:pStyle w:val="TableParagraph"/>
              <w:spacing w:before="72"/>
              <w:ind w:right="309"/>
              <w:jc w:val="right"/>
              <w:rPr>
                <w:sz w:val="22"/>
              </w:rPr>
            </w:pPr>
            <w:r>
              <w:rPr>
                <w:spacing w:val="-5"/>
                <w:sz w:val="22"/>
              </w:rPr>
              <w:t>SF</w:t>
            </w:r>
          </w:p>
        </w:tc>
      </w:tr>
      <w:tr>
        <w:trPr>
          <w:trHeight w:val="598" w:hRule="atLeast"/>
        </w:trPr>
        <w:tc>
          <w:tcPr>
            <w:tcW w:w="1642" w:type="dxa"/>
          </w:tcPr>
          <w:p>
            <w:pPr>
              <w:pStyle w:val="TableParagraph"/>
              <w:spacing w:before="1"/>
              <w:ind w:left="108"/>
              <w:rPr>
                <w:sz w:val="22"/>
              </w:rPr>
            </w:pPr>
            <w:r>
              <w:rPr>
                <w:sz w:val="22"/>
              </w:rPr>
              <w:t>Lemon</w:t>
            </w:r>
            <w:r>
              <w:rPr>
                <w:spacing w:val="-4"/>
                <w:sz w:val="22"/>
              </w:rPr>
              <w:t> </w:t>
            </w:r>
            <w:r>
              <w:rPr>
                <w:spacing w:val="-2"/>
                <w:sz w:val="22"/>
              </w:rPr>
              <w:t>(50%)</w:t>
            </w:r>
          </w:p>
          <w:p>
            <w:pPr>
              <w:pStyle w:val="TableParagraph"/>
              <w:spacing w:before="18"/>
              <w:ind w:left="108"/>
              <w:rPr>
                <w:sz w:val="22"/>
              </w:rPr>
            </w:pPr>
            <w:r>
              <w:rPr>
                <w:spacing w:val="-2"/>
                <w:sz w:val="22"/>
              </w:rPr>
              <w:t>(16.250±0.429)</w:t>
            </w:r>
          </w:p>
        </w:tc>
        <w:tc>
          <w:tcPr>
            <w:tcW w:w="1441" w:type="dxa"/>
          </w:tcPr>
          <w:p>
            <w:pPr>
              <w:pStyle w:val="TableParagraph"/>
              <w:spacing w:before="145"/>
              <w:ind w:left="175"/>
              <w:rPr>
                <w:sz w:val="22"/>
              </w:rPr>
            </w:pPr>
            <w:r>
              <w:rPr>
                <w:sz w:val="22"/>
              </w:rPr>
              <w:t>H:L;</w:t>
            </w:r>
            <w:r>
              <w:rPr>
                <w:spacing w:val="-5"/>
                <w:sz w:val="22"/>
              </w:rPr>
              <w:t> </w:t>
            </w:r>
            <w:r>
              <w:rPr>
                <w:spacing w:val="-2"/>
                <w:sz w:val="22"/>
              </w:rPr>
              <w:t>30:50</w:t>
            </w:r>
          </w:p>
        </w:tc>
        <w:tc>
          <w:tcPr>
            <w:tcW w:w="1546" w:type="dxa"/>
          </w:tcPr>
          <w:p>
            <w:pPr>
              <w:pStyle w:val="TableParagraph"/>
              <w:spacing w:before="145"/>
              <w:ind w:right="202"/>
              <w:jc w:val="right"/>
              <w:rPr>
                <w:sz w:val="22"/>
              </w:rPr>
            </w:pPr>
            <w:r>
              <w:rPr>
                <w:spacing w:val="-2"/>
                <w:sz w:val="22"/>
              </w:rPr>
              <w:t>21.417±0.621</w:t>
            </w:r>
          </w:p>
        </w:tc>
        <w:tc>
          <w:tcPr>
            <w:tcW w:w="949" w:type="dxa"/>
          </w:tcPr>
          <w:p>
            <w:pPr>
              <w:pStyle w:val="TableParagraph"/>
              <w:spacing w:before="145"/>
              <w:ind w:left="149" w:right="50"/>
              <w:jc w:val="center"/>
              <w:rPr>
                <w:sz w:val="22"/>
              </w:rPr>
            </w:pPr>
            <w:r>
              <w:rPr>
                <w:spacing w:val="-2"/>
                <w:sz w:val="22"/>
              </w:rPr>
              <w:t>0.000</w:t>
            </w:r>
          </w:p>
        </w:tc>
        <w:tc>
          <w:tcPr>
            <w:tcW w:w="761" w:type="dxa"/>
          </w:tcPr>
          <w:p>
            <w:pPr>
              <w:pStyle w:val="TableParagraph"/>
              <w:spacing w:before="145"/>
              <w:ind w:right="309"/>
              <w:jc w:val="right"/>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441" w:type="dxa"/>
          </w:tcPr>
          <w:p>
            <w:pPr>
              <w:pStyle w:val="TableParagraph"/>
              <w:spacing w:before="1"/>
              <w:ind w:left="175"/>
              <w:rPr>
                <w:sz w:val="22"/>
              </w:rPr>
            </w:pPr>
            <w:r>
              <w:rPr>
                <w:sz w:val="22"/>
              </w:rPr>
              <w:t>H:L;</w:t>
            </w:r>
            <w:r>
              <w:rPr>
                <w:spacing w:val="-5"/>
                <w:sz w:val="22"/>
              </w:rPr>
              <w:t> </w:t>
            </w:r>
            <w:r>
              <w:rPr>
                <w:spacing w:val="-2"/>
                <w:sz w:val="22"/>
              </w:rPr>
              <w:t>40:50</w:t>
            </w:r>
          </w:p>
        </w:tc>
        <w:tc>
          <w:tcPr>
            <w:tcW w:w="1546" w:type="dxa"/>
          </w:tcPr>
          <w:p>
            <w:pPr>
              <w:pStyle w:val="TableParagraph"/>
              <w:spacing w:before="1"/>
              <w:ind w:right="202"/>
              <w:jc w:val="right"/>
              <w:rPr>
                <w:sz w:val="22"/>
              </w:rPr>
            </w:pPr>
            <w:r>
              <w:rPr>
                <w:spacing w:val="-2"/>
                <w:sz w:val="22"/>
              </w:rPr>
              <w:t>21.833±0.366</w:t>
            </w:r>
          </w:p>
        </w:tc>
        <w:tc>
          <w:tcPr>
            <w:tcW w:w="949" w:type="dxa"/>
          </w:tcPr>
          <w:p>
            <w:pPr>
              <w:pStyle w:val="TableParagraph"/>
              <w:spacing w:before="1"/>
              <w:ind w:left="149" w:right="50"/>
              <w:jc w:val="center"/>
              <w:rPr>
                <w:sz w:val="22"/>
              </w:rPr>
            </w:pPr>
            <w:r>
              <w:rPr>
                <w:spacing w:val="-2"/>
                <w:sz w:val="22"/>
              </w:rPr>
              <w:t>0.000</w:t>
            </w:r>
          </w:p>
        </w:tc>
        <w:tc>
          <w:tcPr>
            <w:tcW w:w="761" w:type="dxa"/>
          </w:tcPr>
          <w:p>
            <w:pPr>
              <w:pStyle w:val="TableParagraph"/>
              <w:spacing w:before="1"/>
              <w:ind w:right="309"/>
              <w:jc w:val="right"/>
              <w:rPr>
                <w:sz w:val="22"/>
              </w:rPr>
            </w:pPr>
            <w:r>
              <w:rPr>
                <w:spacing w:val="-5"/>
                <w:sz w:val="22"/>
              </w:rPr>
              <w:t>SF</w:t>
            </w:r>
          </w:p>
        </w:tc>
      </w:tr>
      <w:tr>
        <w:trPr>
          <w:trHeight w:val="519" w:hRule="atLeast"/>
        </w:trPr>
        <w:tc>
          <w:tcPr>
            <w:tcW w:w="1642" w:type="dxa"/>
            <w:tcBorders>
              <w:bottom w:val="single" w:sz="4" w:space="0" w:color="000000"/>
            </w:tcBorders>
          </w:tcPr>
          <w:p>
            <w:pPr>
              <w:pStyle w:val="TableParagraph"/>
              <w:rPr>
                <w:rFonts w:ascii="Times New Roman"/>
                <w:sz w:val="22"/>
              </w:rPr>
            </w:pPr>
          </w:p>
        </w:tc>
        <w:tc>
          <w:tcPr>
            <w:tcW w:w="1441" w:type="dxa"/>
            <w:tcBorders>
              <w:bottom w:val="single" w:sz="4" w:space="0" w:color="000000"/>
            </w:tcBorders>
          </w:tcPr>
          <w:p>
            <w:pPr>
              <w:pStyle w:val="TableParagraph"/>
              <w:spacing w:before="72"/>
              <w:ind w:left="175"/>
              <w:rPr>
                <w:sz w:val="22"/>
              </w:rPr>
            </w:pPr>
            <w:r>
              <w:rPr>
                <w:sz w:val="22"/>
              </w:rPr>
              <w:t>H:L;</w:t>
            </w:r>
            <w:r>
              <w:rPr>
                <w:spacing w:val="-5"/>
                <w:sz w:val="22"/>
              </w:rPr>
              <w:t> </w:t>
            </w:r>
            <w:r>
              <w:rPr>
                <w:spacing w:val="-2"/>
                <w:sz w:val="22"/>
              </w:rPr>
              <w:t>50:50</w:t>
            </w:r>
          </w:p>
        </w:tc>
        <w:tc>
          <w:tcPr>
            <w:tcW w:w="1546" w:type="dxa"/>
            <w:tcBorders>
              <w:bottom w:val="single" w:sz="4" w:space="0" w:color="000000"/>
            </w:tcBorders>
          </w:tcPr>
          <w:p>
            <w:pPr>
              <w:pStyle w:val="TableParagraph"/>
              <w:spacing w:before="72"/>
              <w:ind w:right="202"/>
              <w:jc w:val="right"/>
              <w:rPr>
                <w:sz w:val="22"/>
              </w:rPr>
            </w:pPr>
            <w:r>
              <w:rPr>
                <w:spacing w:val="-2"/>
                <w:sz w:val="22"/>
              </w:rPr>
              <w:t>23.667±0.376</w:t>
            </w:r>
          </w:p>
        </w:tc>
        <w:tc>
          <w:tcPr>
            <w:tcW w:w="949" w:type="dxa"/>
            <w:tcBorders>
              <w:bottom w:val="single" w:sz="4" w:space="0" w:color="000000"/>
            </w:tcBorders>
          </w:tcPr>
          <w:p>
            <w:pPr>
              <w:pStyle w:val="TableParagraph"/>
              <w:spacing w:before="72"/>
              <w:ind w:left="149" w:right="50"/>
              <w:jc w:val="center"/>
              <w:rPr>
                <w:sz w:val="22"/>
              </w:rPr>
            </w:pPr>
            <w:r>
              <w:rPr>
                <w:spacing w:val="-2"/>
                <w:sz w:val="22"/>
              </w:rPr>
              <w:t>0.000</w:t>
            </w:r>
          </w:p>
        </w:tc>
        <w:tc>
          <w:tcPr>
            <w:tcW w:w="761" w:type="dxa"/>
            <w:tcBorders>
              <w:bottom w:val="single" w:sz="4" w:space="0" w:color="000000"/>
            </w:tcBorders>
          </w:tcPr>
          <w:p>
            <w:pPr>
              <w:pStyle w:val="TableParagraph"/>
              <w:spacing w:before="72"/>
              <w:ind w:right="309"/>
              <w:jc w:val="right"/>
              <w:rPr>
                <w:sz w:val="22"/>
              </w:rPr>
            </w:pPr>
            <w:r>
              <w:rPr>
                <w:spacing w:val="-5"/>
                <w:sz w:val="22"/>
              </w:rPr>
              <w:t>SF</w:t>
            </w:r>
          </w:p>
        </w:tc>
      </w:tr>
      <w:tr>
        <w:trPr>
          <w:trHeight w:val="379" w:hRule="atLeast"/>
        </w:trPr>
        <w:tc>
          <w:tcPr>
            <w:tcW w:w="1642" w:type="dxa"/>
            <w:tcBorders>
              <w:top w:val="single" w:sz="4" w:space="0" w:color="000000"/>
            </w:tcBorders>
          </w:tcPr>
          <w:p>
            <w:pPr>
              <w:pStyle w:val="TableParagraph"/>
              <w:rPr>
                <w:rFonts w:ascii="Times New Roman"/>
                <w:sz w:val="22"/>
              </w:rPr>
            </w:pPr>
          </w:p>
        </w:tc>
        <w:tc>
          <w:tcPr>
            <w:tcW w:w="1441" w:type="dxa"/>
            <w:tcBorders>
              <w:top w:val="single" w:sz="4" w:space="0" w:color="000000"/>
            </w:tcBorders>
          </w:tcPr>
          <w:p>
            <w:pPr>
              <w:pStyle w:val="TableParagraph"/>
              <w:spacing w:line="265" w:lineRule="exact"/>
              <w:ind w:left="175"/>
              <w:rPr>
                <w:sz w:val="22"/>
              </w:rPr>
            </w:pPr>
            <w:r>
              <w:rPr>
                <w:sz w:val="22"/>
              </w:rPr>
              <w:t>H:L;</w:t>
            </w:r>
            <w:r>
              <w:rPr>
                <w:spacing w:val="-5"/>
                <w:sz w:val="22"/>
              </w:rPr>
              <w:t> </w:t>
            </w:r>
            <w:r>
              <w:rPr>
                <w:spacing w:val="-2"/>
                <w:sz w:val="22"/>
              </w:rPr>
              <w:t>10:50</w:t>
            </w:r>
          </w:p>
        </w:tc>
        <w:tc>
          <w:tcPr>
            <w:tcW w:w="1546" w:type="dxa"/>
            <w:tcBorders>
              <w:top w:val="single" w:sz="4" w:space="0" w:color="000000"/>
            </w:tcBorders>
          </w:tcPr>
          <w:p>
            <w:pPr>
              <w:pStyle w:val="TableParagraph"/>
              <w:spacing w:line="265" w:lineRule="exact"/>
              <w:ind w:right="202"/>
              <w:jc w:val="right"/>
              <w:rPr>
                <w:sz w:val="22"/>
              </w:rPr>
            </w:pPr>
            <w:r>
              <w:rPr>
                <w:spacing w:val="-2"/>
                <w:sz w:val="22"/>
              </w:rPr>
              <w:t>20.500±0.314</w:t>
            </w:r>
          </w:p>
        </w:tc>
        <w:tc>
          <w:tcPr>
            <w:tcW w:w="949" w:type="dxa"/>
            <w:tcBorders>
              <w:top w:val="single" w:sz="4" w:space="0" w:color="000000"/>
            </w:tcBorders>
          </w:tcPr>
          <w:p>
            <w:pPr>
              <w:pStyle w:val="TableParagraph"/>
              <w:spacing w:line="265" w:lineRule="exact"/>
              <w:ind w:left="149" w:right="50"/>
              <w:jc w:val="center"/>
              <w:rPr>
                <w:sz w:val="22"/>
              </w:rPr>
            </w:pPr>
            <w:r>
              <w:rPr>
                <w:spacing w:val="-2"/>
                <w:sz w:val="22"/>
              </w:rPr>
              <w:t>0.000</w:t>
            </w:r>
          </w:p>
        </w:tc>
        <w:tc>
          <w:tcPr>
            <w:tcW w:w="761" w:type="dxa"/>
            <w:tcBorders>
              <w:top w:val="single" w:sz="4" w:space="0" w:color="000000"/>
            </w:tcBorders>
          </w:tcPr>
          <w:p>
            <w:pPr>
              <w:pStyle w:val="TableParagraph"/>
              <w:spacing w:line="265" w:lineRule="exact"/>
              <w:ind w:right="309"/>
              <w:jc w:val="right"/>
              <w:rPr>
                <w:sz w:val="22"/>
              </w:rPr>
            </w:pPr>
            <w:r>
              <w:rPr>
                <w:spacing w:val="-5"/>
                <w:sz w:val="22"/>
              </w:rPr>
              <w:t>SF</w:t>
            </w:r>
          </w:p>
        </w:tc>
      </w:tr>
      <w:tr>
        <w:trPr>
          <w:trHeight w:val="383" w:hRule="atLeast"/>
        </w:trPr>
        <w:tc>
          <w:tcPr>
            <w:tcW w:w="1642" w:type="dxa"/>
          </w:tcPr>
          <w:p>
            <w:pPr>
              <w:pStyle w:val="TableParagraph"/>
              <w:rPr>
                <w:rFonts w:ascii="Times New Roman"/>
                <w:sz w:val="22"/>
              </w:rPr>
            </w:pPr>
          </w:p>
        </w:tc>
        <w:tc>
          <w:tcPr>
            <w:tcW w:w="1441" w:type="dxa"/>
          </w:tcPr>
          <w:p>
            <w:pPr>
              <w:pStyle w:val="TableParagraph"/>
              <w:spacing w:before="73"/>
              <w:ind w:left="175"/>
              <w:rPr>
                <w:sz w:val="22"/>
              </w:rPr>
            </w:pPr>
            <w:r>
              <w:rPr>
                <w:sz w:val="22"/>
              </w:rPr>
              <w:t>H:L;</w:t>
            </w:r>
            <w:r>
              <w:rPr>
                <w:spacing w:val="-5"/>
                <w:sz w:val="22"/>
              </w:rPr>
              <w:t> </w:t>
            </w:r>
            <w:r>
              <w:rPr>
                <w:spacing w:val="-2"/>
                <w:sz w:val="22"/>
              </w:rPr>
              <w:t>20:50</w:t>
            </w:r>
          </w:p>
        </w:tc>
        <w:tc>
          <w:tcPr>
            <w:tcW w:w="1546" w:type="dxa"/>
          </w:tcPr>
          <w:p>
            <w:pPr>
              <w:pStyle w:val="TableParagraph"/>
              <w:spacing w:before="73"/>
              <w:ind w:right="202"/>
              <w:jc w:val="right"/>
              <w:rPr>
                <w:sz w:val="22"/>
              </w:rPr>
            </w:pPr>
            <w:r>
              <w:rPr>
                <w:spacing w:val="-2"/>
                <w:sz w:val="22"/>
              </w:rPr>
              <w:t>21.750±0.329</w:t>
            </w:r>
          </w:p>
        </w:tc>
        <w:tc>
          <w:tcPr>
            <w:tcW w:w="949" w:type="dxa"/>
          </w:tcPr>
          <w:p>
            <w:pPr>
              <w:pStyle w:val="TableParagraph"/>
              <w:spacing w:before="73"/>
              <w:ind w:left="149" w:right="50"/>
              <w:jc w:val="center"/>
              <w:rPr>
                <w:sz w:val="22"/>
              </w:rPr>
            </w:pPr>
            <w:r>
              <w:rPr>
                <w:spacing w:val="-2"/>
                <w:sz w:val="22"/>
              </w:rPr>
              <w:t>0.000</w:t>
            </w:r>
          </w:p>
        </w:tc>
        <w:tc>
          <w:tcPr>
            <w:tcW w:w="761" w:type="dxa"/>
          </w:tcPr>
          <w:p>
            <w:pPr>
              <w:pStyle w:val="TableParagraph"/>
              <w:spacing w:before="73"/>
              <w:ind w:right="309"/>
              <w:jc w:val="right"/>
              <w:rPr>
                <w:sz w:val="22"/>
              </w:rPr>
            </w:pPr>
            <w:r>
              <w:rPr>
                <w:spacing w:val="-5"/>
                <w:sz w:val="22"/>
              </w:rPr>
              <w:t>SF</w:t>
            </w:r>
          </w:p>
        </w:tc>
      </w:tr>
      <w:tr>
        <w:trPr>
          <w:trHeight w:val="595" w:hRule="atLeast"/>
        </w:trPr>
        <w:tc>
          <w:tcPr>
            <w:tcW w:w="1642" w:type="dxa"/>
          </w:tcPr>
          <w:p>
            <w:pPr>
              <w:pStyle w:val="TableParagraph"/>
              <w:spacing w:before="1"/>
              <w:ind w:left="108"/>
              <w:rPr>
                <w:sz w:val="22"/>
              </w:rPr>
            </w:pPr>
            <w:r>
              <w:rPr>
                <w:sz w:val="22"/>
              </w:rPr>
              <w:t>Lemon</w:t>
            </w:r>
            <w:r>
              <w:rPr>
                <w:spacing w:val="-4"/>
                <w:sz w:val="22"/>
              </w:rPr>
              <w:t> </w:t>
            </w:r>
            <w:r>
              <w:rPr>
                <w:spacing w:val="-2"/>
                <w:sz w:val="22"/>
              </w:rPr>
              <w:t>(25%)</w:t>
            </w:r>
          </w:p>
          <w:p>
            <w:pPr>
              <w:pStyle w:val="TableParagraph"/>
              <w:spacing w:before="15"/>
              <w:ind w:left="108"/>
              <w:rPr>
                <w:sz w:val="22"/>
              </w:rPr>
            </w:pPr>
            <w:r>
              <w:rPr>
                <w:spacing w:val="-2"/>
                <w:sz w:val="22"/>
              </w:rPr>
              <w:t>(12.667±0.310)</w:t>
            </w:r>
          </w:p>
        </w:tc>
        <w:tc>
          <w:tcPr>
            <w:tcW w:w="1441" w:type="dxa"/>
          </w:tcPr>
          <w:p>
            <w:pPr>
              <w:pStyle w:val="TableParagraph"/>
              <w:spacing w:before="143"/>
              <w:ind w:left="175"/>
              <w:rPr>
                <w:sz w:val="22"/>
              </w:rPr>
            </w:pPr>
            <w:r>
              <w:rPr>
                <w:sz w:val="22"/>
              </w:rPr>
              <w:t>H:L;</w:t>
            </w:r>
            <w:r>
              <w:rPr>
                <w:spacing w:val="-5"/>
                <w:sz w:val="22"/>
              </w:rPr>
              <w:t> </w:t>
            </w:r>
            <w:r>
              <w:rPr>
                <w:spacing w:val="-2"/>
                <w:sz w:val="22"/>
              </w:rPr>
              <w:t>30:50</w:t>
            </w:r>
          </w:p>
        </w:tc>
        <w:tc>
          <w:tcPr>
            <w:tcW w:w="1546" w:type="dxa"/>
          </w:tcPr>
          <w:p>
            <w:pPr>
              <w:pStyle w:val="TableParagraph"/>
              <w:spacing w:before="143"/>
              <w:ind w:right="202"/>
              <w:jc w:val="right"/>
              <w:rPr>
                <w:sz w:val="22"/>
              </w:rPr>
            </w:pPr>
            <w:r>
              <w:rPr>
                <w:spacing w:val="-2"/>
                <w:sz w:val="22"/>
              </w:rPr>
              <w:t>21.417±0.621</w:t>
            </w:r>
          </w:p>
        </w:tc>
        <w:tc>
          <w:tcPr>
            <w:tcW w:w="949" w:type="dxa"/>
          </w:tcPr>
          <w:p>
            <w:pPr>
              <w:pStyle w:val="TableParagraph"/>
              <w:spacing w:before="143"/>
              <w:ind w:left="149" w:right="50"/>
              <w:jc w:val="center"/>
              <w:rPr>
                <w:sz w:val="22"/>
              </w:rPr>
            </w:pPr>
            <w:r>
              <w:rPr>
                <w:spacing w:val="-2"/>
                <w:sz w:val="22"/>
              </w:rPr>
              <w:t>0.000</w:t>
            </w:r>
          </w:p>
        </w:tc>
        <w:tc>
          <w:tcPr>
            <w:tcW w:w="761" w:type="dxa"/>
          </w:tcPr>
          <w:p>
            <w:pPr>
              <w:pStyle w:val="TableParagraph"/>
              <w:spacing w:before="143"/>
              <w:ind w:right="309"/>
              <w:jc w:val="right"/>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441" w:type="dxa"/>
          </w:tcPr>
          <w:p>
            <w:pPr>
              <w:pStyle w:val="TableParagraph"/>
              <w:spacing w:before="1"/>
              <w:ind w:left="175"/>
              <w:rPr>
                <w:sz w:val="22"/>
              </w:rPr>
            </w:pPr>
            <w:r>
              <w:rPr>
                <w:sz w:val="22"/>
              </w:rPr>
              <w:t>H:L;</w:t>
            </w:r>
            <w:r>
              <w:rPr>
                <w:spacing w:val="-5"/>
                <w:sz w:val="22"/>
              </w:rPr>
              <w:t> </w:t>
            </w:r>
            <w:r>
              <w:rPr>
                <w:spacing w:val="-2"/>
                <w:sz w:val="22"/>
              </w:rPr>
              <w:t>40:50</w:t>
            </w:r>
          </w:p>
        </w:tc>
        <w:tc>
          <w:tcPr>
            <w:tcW w:w="1546" w:type="dxa"/>
          </w:tcPr>
          <w:p>
            <w:pPr>
              <w:pStyle w:val="TableParagraph"/>
              <w:spacing w:before="1"/>
              <w:ind w:right="202"/>
              <w:jc w:val="right"/>
              <w:rPr>
                <w:sz w:val="22"/>
              </w:rPr>
            </w:pPr>
            <w:r>
              <w:rPr>
                <w:spacing w:val="-2"/>
                <w:sz w:val="22"/>
              </w:rPr>
              <w:t>21.833±0.366</w:t>
            </w:r>
          </w:p>
        </w:tc>
        <w:tc>
          <w:tcPr>
            <w:tcW w:w="949" w:type="dxa"/>
          </w:tcPr>
          <w:p>
            <w:pPr>
              <w:pStyle w:val="TableParagraph"/>
              <w:spacing w:before="1"/>
              <w:ind w:left="149" w:right="50"/>
              <w:jc w:val="center"/>
              <w:rPr>
                <w:sz w:val="22"/>
              </w:rPr>
            </w:pPr>
            <w:r>
              <w:rPr>
                <w:spacing w:val="-2"/>
                <w:sz w:val="22"/>
              </w:rPr>
              <w:t>0.000</w:t>
            </w:r>
          </w:p>
        </w:tc>
        <w:tc>
          <w:tcPr>
            <w:tcW w:w="761" w:type="dxa"/>
          </w:tcPr>
          <w:p>
            <w:pPr>
              <w:pStyle w:val="TableParagraph"/>
              <w:spacing w:before="1"/>
              <w:ind w:right="309"/>
              <w:jc w:val="right"/>
              <w:rPr>
                <w:sz w:val="22"/>
              </w:rPr>
            </w:pPr>
            <w:r>
              <w:rPr>
                <w:spacing w:val="-5"/>
                <w:sz w:val="22"/>
              </w:rPr>
              <w:t>SF</w:t>
            </w:r>
          </w:p>
        </w:tc>
      </w:tr>
      <w:tr>
        <w:trPr>
          <w:trHeight w:val="522" w:hRule="atLeast"/>
        </w:trPr>
        <w:tc>
          <w:tcPr>
            <w:tcW w:w="1642" w:type="dxa"/>
            <w:tcBorders>
              <w:bottom w:val="single" w:sz="4" w:space="0" w:color="000000"/>
            </w:tcBorders>
          </w:tcPr>
          <w:p>
            <w:pPr>
              <w:pStyle w:val="TableParagraph"/>
              <w:rPr>
                <w:rFonts w:ascii="Times New Roman"/>
                <w:sz w:val="22"/>
              </w:rPr>
            </w:pPr>
          </w:p>
        </w:tc>
        <w:tc>
          <w:tcPr>
            <w:tcW w:w="1441" w:type="dxa"/>
            <w:tcBorders>
              <w:bottom w:val="single" w:sz="4" w:space="0" w:color="000000"/>
            </w:tcBorders>
          </w:tcPr>
          <w:p>
            <w:pPr>
              <w:pStyle w:val="TableParagraph"/>
              <w:rPr>
                <w:rFonts w:ascii="Times New Roman"/>
                <w:sz w:val="22"/>
              </w:rPr>
            </w:pPr>
          </w:p>
        </w:tc>
        <w:tc>
          <w:tcPr>
            <w:tcW w:w="1546" w:type="dxa"/>
            <w:tcBorders>
              <w:bottom w:val="single" w:sz="4" w:space="0" w:color="000000"/>
            </w:tcBorders>
          </w:tcPr>
          <w:p>
            <w:pPr>
              <w:pStyle w:val="TableParagraph"/>
              <w:spacing w:before="72"/>
              <w:ind w:right="202"/>
              <w:jc w:val="right"/>
              <w:rPr>
                <w:sz w:val="22"/>
              </w:rPr>
            </w:pPr>
            <w:r>
              <w:rPr>
                <w:spacing w:val="-2"/>
                <w:sz w:val="22"/>
              </w:rPr>
              <w:t>23.667±0.376</w:t>
            </w:r>
          </w:p>
        </w:tc>
        <w:tc>
          <w:tcPr>
            <w:tcW w:w="949" w:type="dxa"/>
            <w:tcBorders>
              <w:bottom w:val="single" w:sz="4" w:space="0" w:color="000000"/>
            </w:tcBorders>
          </w:tcPr>
          <w:p>
            <w:pPr>
              <w:pStyle w:val="TableParagraph"/>
              <w:spacing w:before="72"/>
              <w:ind w:left="149" w:right="50"/>
              <w:jc w:val="center"/>
              <w:rPr>
                <w:sz w:val="22"/>
              </w:rPr>
            </w:pPr>
            <w:r>
              <w:rPr>
                <w:spacing w:val="-2"/>
                <w:sz w:val="22"/>
              </w:rPr>
              <w:t>0.000</w:t>
            </w:r>
          </w:p>
        </w:tc>
        <w:tc>
          <w:tcPr>
            <w:tcW w:w="761" w:type="dxa"/>
            <w:tcBorders>
              <w:bottom w:val="single" w:sz="4" w:space="0" w:color="000000"/>
            </w:tcBorders>
          </w:tcPr>
          <w:p>
            <w:pPr>
              <w:pStyle w:val="TableParagraph"/>
              <w:spacing w:before="72"/>
              <w:ind w:right="309"/>
              <w:jc w:val="right"/>
              <w:rPr>
                <w:sz w:val="22"/>
              </w:rPr>
            </w:pPr>
            <w:r>
              <w:rPr>
                <w:spacing w:val="-5"/>
                <w:sz w:val="22"/>
              </w:rPr>
              <w:t>SF</w:t>
            </w:r>
          </w:p>
        </w:tc>
      </w:tr>
    </w:tbl>
    <w:p>
      <w:pPr>
        <w:spacing w:after="0"/>
        <w:jc w:val="right"/>
        <w:rPr>
          <w:sz w:val="22"/>
        </w:rPr>
        <w:sectPr>
          <w:pgSz w:w="11910" w:h="16840"/>
          <w:pgMar w:header="0" w:footer="1055" w:top="1920" w:bottom="1240" w:left="1060" w:right="460"/>
        </w:sectPr>
      </w:pPr>
    </w:p>
    <w:p>
      <w:pPr>
        <w:pStyle w:val="BodyText"/>
        <w:spacing w:line="20" w:lineRule="exact"/>
        <w:ind w:left="1242"/>
        <w:rPr>
          <w:sz w:val="2"/>
        </w:rPr>
      </w:pPr>
      <w:r>
        <w:rPr>
          <w:sz w:val="2"/>
        </w:rPr>
        <mc:AlternateContent>
          <mc:Choice Requires="wps">
            <w:drawing>
              <wp:inline distT="0" distB="0" distL="0" distR="0">
                <wp:extent cx="1085850" cy="6350"/>
                <wp:effectExtent l="0" t="0" r="0" b="0"/>
                <wp:docPr id="513" name="Group 513"/>
                <wp:cNvGraphicFramePr>
                  <a:graphicFrameLocks/>
                </wp:cNvGraphicFramePr>
                <a:graphic>
                  <a:graphicData uri="http://schemas.microsoft.com/office/word/2010/wordprocessingGroup">
                    <wpg:wgp>
                      <wpg:cNvPr id="513" name="Group 513"/>
                      <wpg:cNvGrpSpPr/>
                      <wpg:grpSpPr>
                        <a:xfrm>
                          <a:off x="0" y="0"/>
                          <a:ext cx="1085850" cy="6350"/>
                          <a:chExt cx="1085850" cy="6350"/>
                        </a:xfrm>
                      </wpg:grpSpPr>
                      <wps:wsp>
                        <wps:cNvPr id="514" name="Graphic 514"/>
                        <wps:cNvSpPr/>
                        <wps:spPr>
                          <a:xfrm>
                            <a:off x="0" y="0"/>
                            <a:ext cx="1085850" cy="6350"/>
                          </a:xfrm>
                          <a:custGeom>
                            <a:avLst/>
                            <a:gdLst/>
                            <a:ahLst/>
                            <a:cxnLst/>
                            <a:rect l="l" t="t" r="r" b="b"/>
                            <a:pathLst>
                              <a:path w="1085850" h="6350">
                                <a:moveTo>
                                  <a:pt x="1085392" y="0"/>
                                </a:moveTo>
                                <a:lnTo>
                                  <a:pt x="0" y="0"/>
                                </a:lnTo>
                                <a:lnTo>
                                  <a:pt x="0" y="6096"/>
                                </a:lnTo>
                                <a:lnTo>
                                  <a:pt x="1085392" y="6096"/>
                                </a:lnTo>
                                <a:lnTo>
                                  <a:pt x="10853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5.5pt;height:.5pt;mso-position-horizontal-relative:char;mso-position-vertical-relative:line" id="docshapegroup458" coordorigin="0,0" coordsize="1710,10">
                <v:rect style="position:absolute;left:0;top:0;width:1710;height:10" id="docshape459" filled="true" fillcolor="#000000" stroked="false">
                  <v:fill type="solid"/>
                </v:rect>
              </v:group>
            </w:pict>
          </mc:Fallback>
        </mc:AlternateContent>
      </w:r>
      <w:r>
        <w:rPr>
          <w:sz w:val="2"/>
        </w:rPr>
      </w:r>
    </w:p>
    <w:p>
      <w:pPr>
        <w:pStyle w:val="BodyText"/>
        <w:spacing w:before="8"/>
        <w:ind w:left="3059"/>
      </w:pPr>
      <w:r>
        <w:rPr/>
        <w:t>H:L;</w:t>
      </w:r>
      <w:r>
        <w:rPr>
          <w:spacing w:val="-5"/>
        </w:rPr>
        <w:t> </w:t>
      </w:r>
      <w:r>
        <w:rPr>
          <w:spacing w:val="-2"/>
        </w:rPr>
        <w:t>50:50</w:t>
      </w:r>
    </w:p>
    <w:p>
      <w:pPr>
        <w:pStyle w:val="BodyText"/>
        <w:spacing w:before="8"/>
        <w:rPr>
          <w:sz w:val="12"/>
        </w:rPr>
      </w:pPr>
      <w:r>
        <w:rPr/>
        <mc:AlternateContent>
          <mc:Choice Requires="wps">
            <w:drawing>
              <wp:anchor distT="0" distB="0" distL="0" distR="0" allowOverlap="1" layoutInCell="1" locked="0" behindDoc="1" simplePos="0" relativeHeight="487685120">
                <wp:simplePos x="0" y="0"/>
                <wp:positionH relativeFrom="page">
                  <wp:posOffset>1461770</wp:posOffset>
                </wp:positionH>
                <wp:positionV relativeFrom="paragraph">
                  <wp:posOffset>113693</wp:posOffset>
                </wp:positionV>
                <wp:extent cx="4027804" cy="6350"/>
                <wp:effectExtent l="0" t="0" r="0" b="0"/>
                <wp:wrapTopAndBottom/>
                <wp:docPr id="515" name="Graphic 515"/>
                <wp:cNvGraphicFramePr>
                  <a:graphicFrameLocks/>
                </wp:cNvGraphicFramePr>
                <a:graphic>
                  <a:graphicData uri="http://schemas.microsoft.com/office/word/2010/wordprocessingShape">
                    <wps:wsp>
                      <wps:cNvPr id="515" name="Graphic 515"/>
                      <wps:cNvSpPr/>
                      <wps:spPr>
                        <a:xfrm>
                          <a:off x="0" y="0"/>
                          <a:ext cx="4027804" cy="6350"/>
                        </a:xfrm>
                        <a:custGeom>
                          <a:avLst/>
                          <a:gdLst/>
                          <a:ahLst/>
                          <a:cxnLst/>
                          <a:rect l="l" t="t" r="r" b="b"/>
                          <a:pathLst>
                            <a:path w="4027804" h="6350">
                              <a:moveTo>
                                <a:pt x="1085392" y="0"/>
                              </a:moveTo>
                              <a:lnTo>
                                <a:pt x="0" y="0"/>
                              </a:lnTo>
                              <a:lnTo>
                                <a:pt x="0" y="6096"/>
                              </a:lnTo>
                              <a:lnTo>
                                <a:pt x="1085392" y="6096"/>
                              </a:lnTo>
                              <a:lnTo>
                                <a:pt x="1085392" y="0"/>
                              </a:lnTo>
                              <a:close/>
                            </a:path>
                            <a:path w="4027804" h="6350">
                              <a:moveTo>
                                <a:pt x="1091552" y="0"/>
                              </a:moveTo>
                              <a:lnTo>
                                <a:pt x="1085469" y="0"/>
                              </a:lnTo>
                              <a:lnTo>
                                <a:pt x="1085469" y="6096"/>
                              </a:lnTo>
                              <a:lnTo>
                                <a:pt x="1091552" y="6096"/>
                              </a:lnTo>
                              <a:lnTo>
                                <a:pt x="1091552" y="0"/>
                              </a:lnTo>
                              <a:close/>
                            </a:path>
                            <a:path w="4027804" h="6350">
                              <a:moveTo>
                                <a:pt x="1970900" y="0"/>
                              </a:moveTo>
                              <a:lnTo>
                                <a:pt x="1964817" y="0"/>
                              </a:lnTo>
                              <a:lnTo>
                                <a:pt x="1091565" y="0"/>
                              </a:lnTo>
                              <a:lnTo>
                                <a:pt x="1091565" y="6096"/>
                              </a:lnTo>
                              <a:lnTo>
                                <a:pt x="1964817" y="6096"/>
                              </a:lnTo>
                              <a:lnTo>
                                <a:pt x="1970900" y="6096"/>
                              </a:lnTo>
                              <a:lnTo>
                                <a:pt x="1970900" y="0"/>
                              </a:lnTo>
                              <a:close/>
                            </a:path>
                            <a:path w="4027804" h="6350">
                              <a:moveTo>
                                <a:pt x="3500031" y="0"/>
                              </a:moveTo>
                              <a:lnTo>
                                <a:pt x="2954147" y="0"/>
                              </a:lnTo>
                              <a:lnTo>
                                <a:pt x="2948101" y="0"/>
                              </a:lnTo>
                              <a:lnTo>
                                <a:pt x="1970913" y="0"/>
                              </a:lnTo>
                              <a:lnTo>
                                <a:pt x="1970913" y="6096"/>
                              </a:lnTo>
                              <a:lnTo>
                                <a:pt x="2948051" y="6096"/>
                              </a:lnTo>
                              <a:lnTo>
                                <a:pt x="2954147" y="6096"/>
                              </a:lnTo>
                              <a:lnTo>
                                <a:pt x="3500031" y="6096"/>
                              </a:lnTo>
                              <a:lnTo>
                                <a:pt x="3500031" y="0"/>
                              </a:lnTo>
                              <a:close/>
                            </a:path>
                            <a:path w="4027804" h="6350">
                              <a:moveTo>
                                <a:pt x="3506203" y="0"/>
                              </a:moveTo>
                              <a:lnTo>
                                <a:pt x="3500120" y="0"/>
                              </a:lnTo>
                              <a:lnTo>
                                <a:pt x="3500120" y="6096"/>
                              </a:lnTo>
                              <a:lnTo>
                                <a:pt x="3506203" y="6096"/>
                              </a:lnTo>
                              <a:lnTo>
                                <a:pt x="3506203" y="0"/>
                              </a:lnTo>
                              <a:close/>
                            </a:path>
                            <a:path w="4027804" h="6350">
                              <a:moveTo>
                                <a:pt x="4027424" y="0"/>
                              </a:moveTo>
                              <a:lnTo>
                                <a:pt x="3506216" y="0"/>
                              </a:lnTo>
                              <a:lnTo>
                                <a:pt x="3506216" y="6096"/>
                              </a:lnTo>
                              <a:lnTo>
                                <a:pt x="4027424" y="6096"/>
                              </a:lnTo>
                              <a:lnTo>
                                <a:pt x="40274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5.100006pt;margin-top:8.95223pt;width:317.150pt;height:.5pt;mso-position-horizontal-relative:page;mso-position-vertical-relative:paragraph;z-index:-15631360;mso-wrap-distance-left:0;mso-wrap-distance-right:0" id="docshape460" coordorigin="2302,179" coordsize="6343,10" path="m4011,179l2302,179,2302,189,4011,189,4011,179xm4021,179l4011,179,4011,189,4021,189,4021,179xm5406,179l5396,179,4021,179,4021,189,5396,189,5406,189,5406,179xm7814,179l6954,179,6945,179,6945,179,5406,179,5406,189,6945,189,6945,189,6954,189,7814,189,7814,179xm7824,179l7814,179,7814,189,7824,189,7824,179xm8644,179l7824,179,7824,189,8644,189,8644,179xe" filled="true" fillcolor="#000000" stroked="false">
                <v:path arrowok="t"/>
                <v:fill type="solid"/>
                <w10:wrap type="topAndBottom"/>
              </v:shape>
            </w:pict>
          </mc:Fallback>
        </mc:AlternateContent>
      </w:r>
    </w:p>
    <w:p>
      <w:pPr>
        <w:pStyle w:val="BodyText"/>
        <w:spacing w:line="259" w:lineRule="auto"/>
        <w:ind w:left="380" w:right="975"/>
      </w:pPr>
      <w:r>
        <w:rPr>
          <w:b/>
        </w:rPr>
        <w:t>Key:</w:t>
      </w:r>
      <w:r>
        <w:rPr>
          <w:b/>
          <w:spacing w:val="34"/>
        </w:rPr>
        <w:t> </w:t>
      </w:r>
      <w:r>
        <w:rPr/>
        <w:t>LOS=Level</w:t>
      </w:r>
      <w:r>
        <w:rPr>
          <w:spacing w:val="32"/>
        </w:rPr>
        <w:t> </w:t>
      </w:r>
      <w:r>
        <w:rPr/>
        <w:t>of</w:t>
      </w:r>
      <w:r>
        <w:rPr>
          <w:spacing w:val="32"/>
        </w:rPr>
        <w:t> </w:t>
      </w:r>
      <w:r>
        <w:rPr/>
        <w:t>significance;</w:t>
      </w:r>
      <w:r>
        <w:rPr>
          <w:spacing w:val="38"/>
        </w:rPr>
        <w:t> </w:t>
      </w:r>
      <w:r>
        <w:rPr/>
        <w:t>NS=Not</w:t>
      </w:r>
      <w:r>
        <w:rPr>
          <w:spacing w:val="33"/>
        </w:rPr>
        <w:t> </w:t>
      </w:r>
      <w:r>
        <w:rPr/>
        <w:t>significantly</w:t>
      </w:r>
      <w:r>
        <w:rPr>
          <w:spacing w:val="33"/>
        </w:rPr>
        <w:t> </w:t>
      </w:r>
      <w:r>
        <w:rPr/>
        <w:t>different;</w:t>
      </w:r>
      <w:r>
        <w:rPr>
          <w:spacing w:val="35"/>
        </w:rPr>
        <w:t> </w:t>
      </w:r>
      <w:r>
        <w:rPr/>
        <w:t>SF=Significantly</w:t>
      </w:r>
      <w:r>
        <w:rPr>
          <w:spacing w:val="33"/>
        </w:rPr>
        <w:t> </w:t>
      </w:r>
      <w:r>
        <w:rPr/>
        <w:t>different;</w:t>
      </w:r>
      <w:r>
        <w:rPr>
          <w:spacing w:val="35"/>
        </w:rPr>
        <w:t> </w:t>
      </w:r>
      <w:r>
        <w:rPr/>
        <w:t>H=Honey and L=Lemon juice.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
      </w:pPr>
    </w:p>
    <w:p>
      <w:pPr>
        <w:pStyle w:val="Heading3"/>
        <w:spacing w:line="400" w:lineRule="auto"/>
        <w:ind w:right="2617"/>
      </w:pPr>
      <w:r>
        <w:rPr/>
        <w:t>Comparing</w:t>
      </w:r>
      <w:r>
        <w:rPr>
          <w:spacing w:val="-5"/>
        </w:rPr>
        <w:t> </w:t>
      </w:r>
      <w:r>
        <w:rPr/>
        <w:t>the</w:t>
      </w:r>
      <w:r>
        <w:rPr>
          <w:spacing w:val="-4"/>
        </w:rPr>
        <w:t> </w:t>
      </w:r>
      <w:r>
        <w:rPr/>
        <w:t>mean</w:t>
      </w:r>
      <w:r>
        <w:rPr>
          <w:spacing w:val="-4"/>
        </w:rPr>
        <w:t> </w:t>
      </w:r>
      <w:r>
        <w:rPr/>
        <w:t>zones</w:t>
      </w:r>
      <w:r>
        <w:rPr>
          <w:spacing w:val="-3"/>
        </w:rPr>
        <w:t> </w:t>
      </w:r>
      <w:r>
        <w:rPr/>
        <w:t>of</w:t>
      </w:r>
      <w:r>
        <w:rPr>
          <w:spacing w:val="-3"/>
        </w:rPr>
        <w:t> </w:t>
      </w:r>
      <w:r>
        <w:rPr/>
        <w:t>inhibition</w:t>
      </w:r>
      <w:r>
        <w:rPr>
          <w:spacing w:val="-4"/>
        </w:rPr>
        <w:t> </w:t>
      </w:r>
      <w:r>
        <w:rPr/>
        <w:t>of</w:t>
      </w:r>
      <w:r>
        <w:rPr>
          <w:spacing w:val="-3"/>
        </w:rPr>
        <w:t> </w:t>
      </w:r>
      <w:r>
        <w:rPr/>
        <w:t>Lemon</w:t>
      </w:r>
      <w:r>
        <w:rPr>
          <w:spacing w:val="-1"/>
        </w:rPr>
        <w:t> </w:t>
      </w:r>
      <w:r>
        <w:rPr/>
        <w:t>juice</w:t>
      </w:r>
      <w:r>
        <w:rPr>
          <w:spacing w:val="-3"/>
        </w:rPr>
        <w:t> </w:t>
      </w:r>
      <w:r>
        <w:rPr/>
        <w:t>and</w:t>
      </w:r>
      <w:r>
        <w:rPr>
          <w:spacing w:val="-4"/>
        </w:rPr>
        <w:t> </w:t>
      </w:r>
      <w:r>
        <w:rPr/>
        <w:t>the</w:t>
      </w:r>
      <w:r>
        <w:rPr>
          <w:spacing w:val="-4"/>
        </w:rPr>
        <w:t> </w:t>
      </w:r>
      <w:r>
        <w:rPr/>
        <w:t>mixture of Honey and Lemon juice against </w:t>
      </w:r>
      <w:r>
        <w:rPr>
          <w:i/>
        </w:rPr>
        <w:t>Streptococcus pneumoniae</w:t>
      </w:r>
      <w:r>
        <w:rPr/>
        <w:t>.</w:t>
      </w:r>
    </w:p>
    <w:p>
      <w:pPr>
        <w:pStyle w:val="BodyText"/>
        <w:spacing w:before="211"/>
        <w:rPr>
          <w:b/>
          <w:sz w:val="20"/>
        </w:r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gridCol w:w="1441"/>
        <w:gridCol w:w="1546"/>
        <w:gridCol w:w="949"/>
        <w:gridCol w:w="761"/>
      </w:tblGrid>
      <w:tr>
        <w:trPr>
          <w:trHeight w:val="1343" w:hRule="atLeast"/>
        </w:trPr>
        <w:tc>
          <w:tcPr>
            <w:tcW w:w="1642" w:type="dxa"/>
            <w:tcBorders>
              <w:top w:val="single" w:sz="4" w:space="0" w:color="000000"/>
              <w:bottom w:val="single" w:sz="4" w:space="0" w:color="000000"/>
            </w:tcBorders>
          </w:tcPr>
          <w:p>
            <w:pPr>
              <w:pStyle w:val="TableParagraph"/>
              <w:spacing w:before="179"/>
              <w:rPr>
                <w:b/>
                <w:sz w:val="22"/>
              </w:rPr>
            </w:pPr>
          </w:p>
          <w:p>
            <w:pPr>
              <w:pStyle w:val="TableParagraph"/>
              <w:ind w:left="108"/>
              <w:rPr>
                <w:sz w:val="22"/>
              </w:rPr>
            </w:pPr>
            <w:r>
              <w:rPr>
                <w:sz w:val="22"/>
              </w:rPr>
              <w:t>(I)</w:t>
            </w:r>
            <w:r>
              <w:rPr>
                <w:spacing w:val="-2"/>
                <w:sz w:val="22"/>
              </w:rPr>
              <w:t> Group_11</w:t>
            </w:r>
          </w:p>
        </w:tc>
        <w:tc>
          <w:tcPr>
            <w:tcW w:w="1441" w:type="dxa"/>
            <w:tcBorders>
              <w:top w:val="single" w:sz="4" w:space="0" w:color="000000"/>
              <w:bottom w:val="single" w:sz="4" w:space="0" w:color="000000"/>
            </w:tcBorders>
          </w:tcPr>
          <w:p>
            <w:pPr>
              <w:pStyle w:val="TableParagraph"/>
              <w:spacing w:before="179"/>
              <w:rPr>
                <w:b/>
                <w:sz w:val="22"/>
              </w:rPr>
            </w:pPr>
          </w:p>
          <w:p>
            <w:pPr>
              <w:pStyle w:val="TableParagraph"/>
              <w:ind w:left="175"/>
              <w:rPr>
                <w:sz w:val="22"/>
              </w:rPr>
            </w:pPr>
            <w:r>
              <w:rPr>
                <w:sz w:val="22"/>
              </w:rPr>
              <w:t>(J)</w:t>
            </w:r>
            <w:r>
              <w:rPr>
                <w:spacing w:val="-2"/>
                <w:sz w:val="22"/>
              </w:rPr>
              <w:t> Group_11</w:t>
            </w:r>
          </w:p>
        </w:tc>
        <w:tc>
          <w:tcPr>
            <w:tcW w:w="1546" w:type="dxa"/>
            <w:tcBorders>
              <w:top w:val="single" w:sz="4" w:space="0" w:color="000000"/>
              <w:bottom w:val="single" w:sz="4" w:space="0" w:color="000000"/>
            </w:tcBorders>
          </w:tcPr>
          <w:p>
            <w:pPr>
              <w:pStyle w:val="TableParagraph"/>
              <w:spacing w:before="179"/>
              <w:rPr>
                <w:b/>
                <w:sz w:val="22"/>
              </w:rPr>
            </w:pPr>
          </w:p>
          <w:p>
            <w:pPr>
              <w:pStyle w:val="TableParagraph"/>
              <w:ind w:right="247"/>
              <w:jc w:val="right"/>
              <w:rPr>
                <w:sz w:val="22"/>
              </w:rPr>
            </w:pPr>
            <w:r>
              <w:rPr>
                <w:spacing w:val="-2"/>
                <w:sz w:val="22"/>
              </w:rPr>
              <w:t>Mean±SEM</w:t>
            </w:r>
          </w:p>
        </w:tc>
        <w:tc>
          <w:tcPr>
            <w:tcW w:w="949" w:type="dxa"/>
            <w:tcBorders>
              <w:top w:val="single" w:sz="4" w:space="0" w:color="000000"/>
              <w:bottom w:val="single" w:sz="4" w:space="0" w:color="000000"/>
            </w:tcBorders>
          </w:tcPr>
          <w:p>
            <w:pPr>
              <w:pStyle w:val="TableParagraph"/>
              <w:spacing w:before="35"/>
              <w:rPr>
                <w:b/>
                <w:sz w:val="22"/>
              </w:rPr>
            </w:pPr>
          </w:p>
          <w:p>
            <w:pPr>
              <w:pStyle w:val="TableParagraph"/>
              <w:ind w:left="99" w:right="149"/>
              <w:jc w:val="center"/>
              <w:rPr>
                <w:sz w:val="22"/>
              </w:rPr>
            </w:pPr>
            <w:r>
              <w:rPr>
                <w:spacing w:val="-5"/>
                <w:sz w:val="22"/>
              </w:rPr>
              <w:t>P-</w:t>
            </w:r>
          </w:p>
          <w:p>
            <w:pPr>
              <w:pStyle w:val="TableParagraph"/>
              <w:spacing w:before="17"/>
              <w:ind w:left="99" w:right="148"/>
              <w:jc w:val="center"/>
              <w:rPr>
                <w:sz w:val="22"/>
              </w:rPr>
            </w:pPr>
            <w:r>
              <w:rPr>
                <w:spacing w:val="-2"/>
                <w:sz w:val="22"/>
              </w:rPr>
              <w:t>value</w:t>
            </w:r>
          </w:p>
        </w:tc>
        <w:tc>
          <w:tcPr>
            <w:tcW w:w="761" w:type="dxa"/>
            <w:tcBorders>
              <w:top w:val="single" w:sz="4" w:space="0" w:color="000000"/>
              <w:bottom w:val="single" w:sz="4" w:space="0" w:color="000000"/>
            </w:tcBorders>
          </w:tcPr>
          <w:p>
            <w:pPr>
              <w:pStyle w:val="TableParagraph"/>
              <w:spacing w:before="174"/>
              <w:rPr>
                <w:b/>
                <w:sz w:val="22"/>
              </w:rPr>
            </w:pPr>
          </w:p>
          <w:p>
            <w:pPr>
              <w:pStyle w:val="TableParagraph"/>
              <w:ind w:left="178"/>
              <w:rPr>
                <w:sz w:val="22"/>
              </w:rPr>
            </w:pPr>
            <w:r>
              <w:rPr>
                <w:spacing w:val="-5"/>
                <w:sz w:val="22"/>
              </w:rPr>
              <w:t>LOS</w:t>
            </w:r>
          </w:p>
        </w:tc>
      </w:tr>
      <w:tr>
        <w:trPr>
          <w:trHeight w:val="377" w:hRule="atLeast"/>
        </w:trPr>
        <w:tc>
          <w:tcPr>
            <w:tcW w:w="1642" w:type="dxa"/>
            <w:vMerge w:val="restart"/>
            <w:tcBorders>
              <w:top w:val="single" w:sz="4" w:space="0" w:color="000000"/>
            </w:tcBorders>
          </w:tcPr>
          <w:p>
            <w:pPr>
              <w:pStyle w:val="TableParagraph"/>
              <w:spacing w:before="83"/>
              <w:ind w:left="108"/>
              <w:rPr>
                <w:sz w:val="22"/>
              </w:rPr>
            </w:pPr>
            <w:r>
              <w:rPr>
                <w:sz w:val="22"/>
              </w:rPr>
              <w:t>Lemon</w:t>
            </w:r>
            <w:r>
              <w:rPr>
                <w:spacing w:val="-6"/>
                <w:sz w:val="22"/>
              </w:rPr>
              <w:t> </w:t>
            </w:r>
            <w:r>
              <w:rPr>
                <w:spacing w:val="-2"/>
                <w:sz w:val="22"/>
              </w:rPr>
              <w:t>(100%)</w:t>
            </w:r>
          </w:p>
          <w:p>
            <w:pPr>
              <w:pStyle w:val="TableParagraph"/>
              <w:spacing w:before="14"/>
              <w:ind w:left="108"/>
              <w:rPr>
                <w:sz w:val="22"/>
              </w:rPr>
            </w:pPr>
            <w:r>
              <w:rPr/>
              <mc:AlternateContent>
                <mc:Choice Requires="wps">
                  <w:drawing>
                    <wp:anchor distT="0" distB="0" distL="0" distR="0" allowOverlap="1" layoutInCell="1" locked="0" behindDoc="0" simplePos="0" relativeHeight="15826432">
                      <wp:simplePos x="0" y="0"/>
                      <wp:positionH relativeFrom="column">
                        <wp:posOffset>0</wp:posOffset>
                      </wp:positionH>
                      <wp:positionV relativeFrom="paragraph">
                        <wp:posOffset>347950</wp:posOffset>
                      </wp:positionV>
                      <wp:extent cx="1085850" cy="6350"/>
                      <wp:effectExtent l="0" t="0" r="0" b="0"/>
                      <wp:wrapNone/>
                      <wp:docPr id="516" name="Group 516"/>
                      <wp:cNvGraphicFramePr>
                        <a:graphicFrameLocks/>
                      </wp:cNvGraphicFramePr>
                      <a:graphic>
                        <a:graphicData uri="http://schemas.microsoft.com/office/word/2010/wordprocessingGroup">
                          <wpg:wgp>
                            <wpg:cNvPr id="516" name="Group 516"/>
                            <wpg:cNvGrpSpPr/>
                            <wpg:grpSpPr>
                              <a:xfrm>
                                <a:off x="0" y="0"/>
                                <a:ext cx="1085850" cy="6350"/>
                                <a:chExt cx="1085850" cy="6350"/>
                              </a:xfrm>
                            </wpg:grpSpPr>
                            <wps:wsp>
                              <wps:cNvPr id="517" name="Graphic 517"/>
                              <wps:cNvSpPr/>
                              <wps:spPr>
                                <a:xfrm>
                                  <a:off x="0" y="0"/>
                                  <a:ext cx="1085850" cy="6350"/>
                                </a:xfrm>
                                <a:custGeom>
                                  <a:avLst/>
                                  <a:gdLst/>
                                  <a:ahLst/>
                                  <a:cxnLst/>
                                  <a:rect l="l" t="t" r="r" b="b"/>
                                  <a:pathLst>
                                    <a:path w="1085850" h="6350">
                                      <a:moveTo>
                                        <a:pt x="1085392" y="0"/>
                                      </a:moveTo>
                                      <a:lnTo>
                                        <a:pt x="0" y="0"/>
                                      </a:lnTo>
                                      <a:lnTo>
                                        <a:pt x="0" y="6095"/>
                                      </a:lnTo>
                                      <a:lnTo>
                                        <a:pt x="1085392" y="6095"/>
                                      </a:lnTo>
                                      <a:lnTo>
                                        <a:pt x="10853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27.397655pt;width:85.5pt;height:.5pt;mso-position-horizontal-relative:column;mso-position-vertical-relative:paragraph;z-index:15826432" id="docshapegroup461" coordorigin="0,548" coordsize="1710,10">
                      <v:rect style="position:absolute;left:0;top:547;width:1710;height:10" id="docshape462" filled="true" fillcolor="#000000" stroked="false">
                        <v:fill type="solid"/>
                      </v:rect>
                      <w10:wrap type="none"/>
                    </v:group>
                  </w:pict>
                </mc:Fallback>
              </mc:AlternateContent>
            </w:r>
            <w:r>
              <w:rPr>
                <w:spacing w:val="-2"/>
                <w:sz w:val="22"/>
              </w:rPr>
              <w:t>(23.000±1.195)</w:t>
            </w:r>
          </w:p>
        </w:tc>
        <w:tc>
          <w:tcPr>
            <w:tcW w:w="1441" w:type="dxa"/>
            <w:tcBorders>
              <w:top w:val="single" w:sz="4" w:space="0" w:color="000000"/>
            </w:tcBorders>
          </w:tcPr>
          <w:p>
            <w:pPr>
              <w:pStyle w:val="TableParagraph"/>
              <w:spacing w:line="265" w:lineRule="exact"/>
              <w:ind w:left="175"/>
              <w:rPr>
                <w:sz w:val="22"/>
              </w:rPr>
            </w:pPr>
            <w:r>
              <w:rPr>
                <w:sz w:val="22"/>
              </w:rPr>
              <w:t>H:L;</w:t>
            </w:r>
            <w:r>
              <w:rPr>
                <w:spacing w:val="-5"/>
                <w:sz w:val="22"/>
              </w:rPr>
              <w:t> </w:t>
            </w:r>
            <w:r>
              <w:rPr>
                <w:spacing w:val="-2"/>
                <w:sz w:val="22"/>
              </w:rPr>
              <w:t>10:50</w:t>
            </w:r>
          </w:p>
        </w:tc>
        <w:tc>
          <w:tcPr>
            <w:tcW w:w="1546" w:type="dxa"/>
            <w:tcBorders>
              <w:top w:val="single" w:sz="4" w:space="0" w:color="000000"/>
            </w:tcBorders>
          </w:tcPr>
          <w:p>
            <w:pPr>
              <w:pStyle w:val="TableParagraph"/>
              <w:spacing w:line="265" w:lineRule="exact"/>
              <w:ind w:right="202"/>
              <w:jc w:val="right"/>
              <w:rPr>
                <w:sz w:val="22"/>
              </w:rPr>
            </w:pPr>
            <w:r>
              <w:rPr>
                <w:spacing w:val="-2"/>
                <w:sz w:val="22"/>
              </w:rPr>
              <w:t>23.143±0.769</w:t>
            </w:r>
          </w:p>
        </w:tc>
        <w:tc>
          <w:tcPr>
            <w:tcW w:w="949" w:type="dxa"/>
            <w:tcBorders>
              <w:top w:val="single" w:sz="4" w:space="0" w:color="000000"/>
            </w:tcBorders>
          </w:tcPr>
          <w:p>
            <w:pPr>
              <w:pStyle w:val="TableParagraph"/>
              <w:spacing w:line="265" w:lineRule="exact"/>
              <w:ind w:left="149" w:right="50"/>
              <w:jc w:val="center"/>
              <w:rPr>
                <w:sz w:val="22"/>
              </w:rPr>
            </w:pPr>
            <w:r>
              <w:rPr>
                <w:spacing w:val="-2"/>
                <w:sz w:val="22"/>
              </w:rPr>
              <w:t>1.000</w:t>
            </w:r>
          </w:p>
        </w:tc>
        <w:tc>
          <w:tcPr>
            <w:tcW w:w="761" w:type="dxa"/>
            <w:tcBorders>
              <w:top w:val="single" w:sz="4" w:space="0" w:color="000000"/>
            </w:tcBorders>
          </w:tcPr>
          <w:p>
            <w:pPr>
              <w:pStyle w:val="TableParagraph"/>
              <w:spacing w:line="265" w:lineRule="exact"/>
              <w:ind w:left="226"/>
              <w:rPr>
                <w:sz w:val="22"/>
              </w:rPr>
            </w:pPr>
            <w:r>
              <w:rPr>
                <w:spacing w:val="-5"/>
                <w:sz w:val="22"/>
              </w:rPr>
              <w:t>NS</w:t>
            </w:r>
          </w:p>
        </w:tc>
      </w:tr>
      <w:tr>
        <w:trPr>
          <w:trHeight w:val="531" w:hRule="atLeast"/>
        </w:trPr>
        <w:tc>
          <w:tcPr>
            <w:tcW w:w="1642" w:type="dxa"/>
            <w:vMerge/>
            <w:tcBorders>
              <w:top w:val="nil"/>
            </w:tcBorders>
          </w:tcPr>
          <w:p>
            <w:pPr>
              <w:rPr>
                <w:sz w:val="2"/>
                <w:szCs w:val="2"/>
              </w:rPr>
            </w:pPr>
          </w:p>
        </w:tc>
        <w:tc>
          <w:tcPr>
            <w:tcW w:w="1441" w:type="dxa"/>
          </w:tcPr>
          <w:p>
            <w:pPr>
              <w:pStyle w:val="TableParagraph"/>
              <w:spacing w:before="72"/>
              <w:ind w:left="175"/>
              <w:rPr>
                <w:sz w:val="22"/>
              </w:rPr>
            </w:pPr>
            <w:r>
              <w:rPr>
                <w:sz w:val="22"/>
              </w:rPr>
              <w:t>H:L;</w:t>
            </w:r>
            <w:r>
              <w:rPr>
                <w:spacing w:val="-5"/>
                <w:sz w:val="22"/>
              </w:rPr>
              <w:t> </w:t>
            </w:r>
            <w:r>
              <w:rPr>
                <w:spacing w:val="-2"/>
                <w:sz w:val="22"/>
              </w:rPr>
              <w:t>20:50</w:t>
            </w:r>
          </w:p>
        </w:tc>
        <w:tc>
          <w:tcPr>
            <w:tcW w:w="1546" w:type="dxa"/>
          </w:tcPr>
          <w:p>
            <w:pPr>
              <w:pStyle w:val="TableParagraph"/>
              <w:spacing w:before="72"/>
              <w:ind w:right="202"/>
              <w:jc w:val="right"/>
              <w:rPr>
                <w:sz w:val="22"/>
              </w:rPr>
            </w:pPr>
            <w:r>
              <w:rPr>
                <w:spacing w:val="-2"/>
                <w:sz w:val="22"/>
              </w:rPr>
              <w:t>23.286±0.522</w:t>
            </w:r>
          </w:p>
        </w:tc>
        <w:tc>
          <w:tcPr>
            <w:tcW w:w="949" w:type="dxa"/>
          </w:tcPr>
          <w:p>
            <w:pPr>
              <w:pStyle w:val="TableParagraph"/>
              <w:spacing w:before="72"/>
              <w:ind w:left="149" w:right="50"/>
              <w:jc w:val="center"/>
              <w:rPr>
                <w:sz w:val="22"/>
              </w:rPr>
            </w:pPr>
            <w:r>
              <w:rPr>
                <w:spacing w:val="-2"/>
                <w:sz w:val="22"/>
              </w:rPr>
              <w:t>1.000</w:t>
            </w:r>
          </w:p>
        </w:tc>
        <w:tc>
          <w:tcPr>
            <w:tcW w:w="761" w:type="dxa"/>
          </w:tcPr>
          <w:p>
            <w:pPr>
              <w:pStyle w:val="TableParagraph"/>
              <w:spacing w:before="72"/>
              <w:ind w:left="226"/>
              <w:rPr>
                <w:sz w:val="22"/>
              </w:rPr>
            </w:pPr>
            <w:r>
              <w:rPr>
                <w:spacing w:val="-5"/>
                <w:sz w:val="22"/>
              </w:rPr>
              <w:t>NS</w:t>
            </w:r>
          </w:p>
        </w:tc>
      </w:tr>
    </w:tbl>
    <w:p>
      <w:pPr>
        <w:spacing w:after="0"/>
        <w:rPr>
          <w:sz w:val="22"/>
        </w:rPr>
        <w:sectPr>
          <w:pgSz w:w="11910" w:h="16840"/>
          <w:pgMar w:header="0" w:footer="1055" w:top="1400" w:bottom="1407" w:left="1060" w:right="460"/>
        </w:sect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9"/>
        <w:gridCol w:w="1251"/>
        <w:gridCol w:w="1703"/>
        <w:gridCol w:w="942"/>
        <w:gridCol w:w="738"/>
      </w:tblGrid>
      <w:tr>
        <w:trPr>
          <w:trHeight w:val="378" w:hRule="atLeast"/>
        </w:trPr>
        <w:tc>
          <w:tcPr>
            <w:tcW w:w="1709" w:type="dxa"/>
            <w:tcBorders>
              <w:top w:val="single" w:sz="4" w:space="0" w:color="000000"/>
            </w:tcBorders>
          </w:tcPr>
          <w:p>
            <w:pPr>
              <w:pStyle w:val="TableParagraph"/>
              <w:rPr>
                <w:rFonts w:ascii="Times New Roman"/>
                <w:sz w:val="22"/>
              </w:rPr>
            </w:pPr>
          </w:p>
        </w:tc>
        <w:tc>
          <w:tcPr>
            <w:tcW w:w="1251" w:type="dxa"/>
          </w:tcPr>
          <w:p>
            <w:pPr>
              <w:pStyle w:val="TableParagraph"/>
              <w:spacing w:line="265" w:lineRule="exact"/>
              <w:ind w:left="108"/>
              <w:rPr>
                <w:sz w:val="22"/>
              </w:rPr>
            </w:pPr>
            <w:r>
              <w:rPr>
                <w:sz w:val="22"/>
              </w:rPr>
              <w:t>H:L;</w:t>
            </w:r>
            <w:r>
              <w:rPr>
                <w:spacing w:val="-5"/>
                <w:sz w:val="22"/>
              </w:rPr>
              <w:t> </w:t>
            </w:r>
            <w:r>
              <w:rPr>
                <w:spacing w:val="-2"/>
                <w:sz w:val="22"/>
              </w:rPr>
              <w:t>30:50</w:t>
            </w:r>
          </w:p>
        </w:tc>
        <w:tc>
          <w:tcPr>
            <w:tcW w:w="1703" w:type="dxa"/>
          </w:tcPr>
          <w:p>
            <w:pPr>
              <w:pStyle w:val="TableParagraph"/>
              <w:spacing w:line="265" w:lineRule="exact"/>
              <w:ind w:left="2"/>
              <w:jc w:val="center"/>
              <w:rPr>
                <w:sz w:val="22"/>
              </w:rPr>
            </w:pPr>
            <w:r>
              <w:rPr>
                <w:spacing w:val="-2"/>
                <w:sz w:val="22"/>
              </w:rPr>
              <w:t>22.143±0.553</w:t>
            </w:r>
          </w:p>
        </w:tc>
        <w:tc>
          <w:tcPr>
            <w:tcW w:w="942" w:type="dxa"/>
          </w:tcPr>
          <w:p>
            <w:pPr>
              <w:pStyle w:val="TableParagraph"/>
              <w:spacing w:line="265" w:lineRule="exact"/>
              <w:ind w:left="38"/>
              <w:jc w:val="center"/>
              <w:rPr>
                <w:sz w:val="22"/>
              </w:rPr>
            </w:pPr>
            <w:r>
              <w:rPr>
                <w:spacing w:val="-2"/>
                <w:sz w:val="22"/>
              </w:rPr>
              <w:t>0.988</w:t>
            </w:r>
          </w:p>
        </w:tc>
        <w:tc>
          <w:tcPr>
            <w:tcW w:w="738" w:type="dxa"/>
          </w:tcPr>
          <w:p>
            <w:pPr>
              <w:pStyle w:val="TableParagraph"/>
              <w:spacing w:line="265" w:lineRule="exact"/>
              <w:ind w:left="199"/>
              <w:rPr>
                <w:sz w:val="22"/>
              </w:rPr>
            </w:pPr>
            <w:r>
              <w:rPr>
                <w:spacing w:val="-5"/>
                <w:sz w:val="22"/>
              </w:rPr>
              <w:t>NS</w:t>
            </w:r>
          </w:p>
        </w:tc>
      </w:tr>
      <w:tr>
        <w:trPr>
          <w:trHeight w:val="455" w:hRule="atLeast"/>
        </w:trPr>
        <w:tc>
          <w:tcPr>
            <w:tcW w:w="1709" w:type="dxa"/>
          </w:tcPr>
          <w:p>
            <w:pPr>
              <w:pStyle w:val="TableParagraph"/>
              <w:rPr>
                <w:rFonts w:ascii="Times New Roman"/>
                <w:sz w:val="22"/>
              </w:rPr>
            </w:pPr>
          </w:p>
        </w:tc>
        <w:tc>
          <w:tcPr>
            <w:tcW w:w="1251" w:type="dxa"/>
          </w:tcPr>
          <w:p>
            <w:pPr>
              <w:pStyle w:val="TableParagraph"/>
              <w:spacing w:before="72"/>
              <w:ind w:left="108"/>
              <w:rPr>
                <w:sz w:val="22"/>
              </w:rPr>
            </w:pPr>
            <w:r>
              <w:rPr>
                <w:sz w:val="22"/>
              </w:rPr>
              <w:t>H:L;</w:t>
            </w:r>
            <w:r>
              <w:rPr>
                <w:spacing w:val="-5"/>
                <w:sz w:val="22"/>
              </w:rPr>
              <w:t> </w:t>
            </w:r>
            <w:r>
              <w:rPr>
                <w:spacing w:val="-2"/>
                <w:sz w:val="22"/>
              </w:rPr>
              <w:t>40:50</w:t>
            </w:r>
          </w:p>
        </w:tc>
        <w:tc>
          <w:tcPr>
            <w:tcW w:w="1703" w:type="dxa"/>
          </w:tcPr>
          <w:p>
            <w:pPr>
              <w:pStyle w:val="TableParagraph"/>
              <w:spacing w:before="72"/>
              <w:ind w:left="2"/>
              <w:jc w:val="center"/>
              <w:rPr>
                <w:sz w:val="22"/>
              </w:rPr>
            </w:pPr>
            <w:r>
              <w:rPr>
                <w:spacing w:val="-2"/>
                <w:sz w:val="22"/>
              </w:rPr>
              <w:t>23.143±0.800</w:t>
            </w:r>
          </w:p>
        </w:tc>
        <w:tc>
          <w:tcPr>
            <w:tcW w:w="942" w:type="dxa"/>
          </w:tcPr>
          <w:p>
            <w:pPr>
              <w:pStyle w:val="TableParagraph"/>
              <w:spacing w:before="72"/>
              <w:ind w:left="38"/>
              <w:jc w:val="center"/>
              <w:rPr>
                <w:sz w:val="22"/>
              </w:rPr>
            </w:pPr>
            <w:r>
              <w:rPr>
                <w:spacing w:val="-2"/>
                <w:sz w:val="22"/>
              </w:rPr>
              <w:t>1.000</w:t>
            </w:r>
          </w:p>
        </w:tc>
        <w:tc>
          <w:tcPr>
            <w:tcW w:w="738" w:type="dxa"/>
          </w:tcPr>
          <w:p>
            <w:pPr>
              <w:pStyle w:val="TableParagraph"/>
              <w:spacing w:before="72"/>
              <w:ind w:left="199"/>
              <w:rPr>
                <w:sz w:val="22"/>
              </w:rPr>
            </w:pPr>
            <w:r>
              <w:rPr>
                <w:spacing w:val="-5"/>
                <w:sz w:val="22"/>
              </w:rPr>
              <w:t>NS</w:t>
            </w:r>
          </w:p>
        </w:tc>
      </w:tr>
      <w:tr>
        <w:trPr>
          <w:trHeight w:val="520" w:hRule="atLeast"/>
        </w:trPr>
        <w:tc>
          <w:tcPr>
            <w:tcW w:w="1709" w:type="dxa"/>
            <w:tcBorders>
              <w:bottom w:val="single" w:sz="4" w:space="0" w:color="000000"/>
            </w:tcBorders>
          </w:tcPr>
          <w:p>
            <w:pPr>
              <w:pStyle w:val="TableParagraph"/>
              <w:rPr>
                <w:rFonts w:ascii="Times New Roman"/>
                <w:sz w:val="22"/>
              </w:rPr>
            </w:pPr>
          </w:p>
        </w:tc>
        <w:tc>
          <w:tcPr>
            <w:tcW w:w="1251" w:type="dxa"/>
            <w:tcBorders>
              <w:bottom w:val="single" w:sz="4" w:space="0" w:color="000000"/>
            </w:tcBorders>
          </w:tcPr>
          <w:p>
            <w:pPr>
              <w:pStyle w:val="TableParagraph"/>
              <w:spacing w:before="73"/>
              <w:ind w:left="108"/>
              <w:rPr>
                <w:sz w:val="22"/>
              </w:rPr>
            </w:pPr>
            <w:r>
              <w:rPr>
                <w:sz w:val="22"/>
              </w:rPr>
              <w:t>H:L;</w:t>
            </w:r>
            <w:r>
              <w:rPr>
                <w:spacing w:val="-5"/>
                <w:sz w:val="22"/>
              </w:rPr>
              <w:t> </w:t>
            </w:r>
            <w:r>
              <w:rPr>
                <w:spacing w:val="-2"/>
                <w:sz w:val="22"/>
              </w:rPr>
              <w:t>50:50</w:t>
            </w:r>
          </w:p>
        </w:tc>
        <w:tc>
          <w:tcPr>
            <w:tcW w:w="1703" w:type="dxa"/>
            <w:tcBorders>
              <w:bottom w:val="single" w:sz="4" w:space="0" w:color="000000"/>
            </w:tcBorders>
          </w:tcPr>
          <w:p>
            <w:pPr>
              <w:pStyle w:val="TableParagraph"/>
              <w:spacing w:before="73"/>
              <w:ind w:left="2"/>
              <w:jc w:val="center"/>
              <w:rPr>
                <w:sz w:val="22"/>
              </w:rPr>
            </w:pPr>
            <w:r>
              <w:rPr>
                <w:spacing w:val="-2"/>
                <w:sz w:val="22"/>
              </w:rPr>
              <w:t>24.571±0.783</w:t>
            </w:r>
          </w:p>
        </w:tc>
        <w:tc>
          <w:tcPr>
            <w:tcW w:w="942" w:type="dxa"/>
            <w:tcBorders>
              <w:bottom w:val="single" w:sz="4" w:space="0" w:color="000000"/>
            </w:tcBorders>
          </w:tcPr>
          <w:p>
            <w:pPr>
              <w:pStyle w:val="TableParagraph"/>
              <w:spacing w:before="73"/>
              <w:ind w:left="38"/>
              <w:jc w:val="center"/>
              <w:rPr>
                <w:sz w:val="22"/>
              </w:rPr>
            </w:pPr>
            <w:r>
              <w:rPr>
                <w:spacing w:val="-2"/>
                <w:sz w:val="22"/>
              </w:rPr>
              <w:t>0.761</w:t>
            </w:r>
          </w:p>
        </w:tc>
        <w:tc>
          <w:tcPr>
            <w:tcW w:w="738" w:type="dxa"/>
            <w:tcBorders>
              <w:bottom w:val="single" w:sz="4" w:space="0" w:color="000000"/>
            </w:tcBorders>
          </w:tcPr>
          <w:p>
            <w:pPr>
              <w:pStyle w:val="TableParagraph"/>
              <w:spacing w:before="73"/>
              <w:ind w:left="199"/>
              <w:rPr>
                <w:sz w:val="22"/>
              </w:rPr>
            </w:pPr>
            <w:r>
              <w:rPr>
                <w:spacing w:val="-5"/>
                <w:sz w:val="22"/>
              </w:rPr>
              <w:t>NS</w:t>
            </w:r>
          </w:p>
        </w:tc>
      </w:tr>
      <w:tr>
        <w:trPr>
          <w:trHeight w:val="377" w:hRule="atLeast"/>
        </w:trPr>
        <w:tc>
          <w:tcPr>
            <w:tcW w:w="1709" w:type="dxa"/>
            <w:tcBorders>
              <w:top w:val="single" w:sz="4" w:space="0" w:color="000000"/>
            </w:tcBorders>
          </w:tcPr>
          <w:p>
            <w:pPr>
              <w:pStyle w:val="TableParagraph"/>
              <w:rPr>
                <w:rFonts w:ascii="Times New Roman"/>
                <w:sz w:val="22"/>
              </w:rPr>
            </w:pPr>
          </w:p>
        </w:tc>
        <w:tc>
          <w:tcPr>
            <w:tcW w:w="1251" w:type="dxa"/>
            <w:tcBorders>
              <w:top w:val="single" w:sz="4" w:space="0" w:color="000000"/>
            </w:tcBorders>
          </w:tcPr>
          <w:p>
            <w:pPr>
              <w:pStyle w:val="TableParagraph"/>
              <w:spacing w:line="265" w:lineRule="exact"/>
              <w:ind w:left="108"/>
              <w:rPr>
                <w:sz w:val="22"/>
              </w:rPr>
            </w:pPr>
            <w:r>
              <w:rPr>
                <w:sz w:val="22"/>
              </w:rPr>
              <w:t>H:L;</w:t>
            </w:r>
            <w:r>
              <w:rPr>
                <w:spacing w:val="-5"/>
                <w:sz w:val="22"/>
              </w:rPr>
              <w:t> </w:t>
            </w:r>
            <w:r>
              <w:rPr>
                <w:spacing w:val="-2"/>
                <w:sz w:val="22"/>
              </w:rPr>
              <w:t>10:50</w:t>
            </w:r>
          </w:p>
        </w:tc>
        <w:tc>
          <w:tcPr>
            <w:tcW w:w="1703" w:type="dxa"/>
            <w:tcBorders>
              <w:top w:val="single" w:sz="4" w:space="0" w:color="000000"/>
            </w:tcBorders>
          </w:tcPr>
          <w:p>
            <w:pPr>
              <w:pStyle w:val="TableParagraph"/>
              <w:spacing w:line="265" w:lineRule="exact"/>
              <w:ind w:left="2"/>
              <w:jc w:val="center"/>
              <w:rPr>
                <w:sz w:val="22"/>
              </w:rPr>
            </w:pPr>
            <w:r>
              <w:rPr>
                <w:spacing w:val="-2"/>
                <w:sz w:val="22"/>
              </w:rPr>
              <w:t>23.143±0.769</w:t>
            </w:r>
          </w:p>
        </w:tc>
        <w:tc>
          <w:tcPr>
            <w:tcW w:w="942" w:type="dxa"/>
            <w:tcBorders>
              <w:top w:val="single" w:sz="4" w:space="0" w:color="000000"/>
            </w:tcBorders>
          </w:tcPr>
          <w:p>
            <w:pPr>
              <w:pStyle w:val="TableParagraph"/>
              <w:spacing w:line="265" w:lineRule="exact"/>
              <w:ind w:left="38"/>
              <w:jc w:val="center"/>
              <w:rPr>
                <w:sz w:val="22"/>
              </w:rPr>
            </w:pPr>
            <w:r>
              <w:rPr>
                <w:spacing w:val="-2"/>
                <w:sz w:val="22"/>
              </w:rPr>
              <w:t>0.000</w:t>
            </w:r>
          </w:p>
        </w:tc>
        <w:tc>
          <w:tcPr>
            <w:tcW w:w="738" w:type="dxa"/>
            <w:tcBorders>
              <w:top w:val="single" w:sz="4" w:space="0" w:color="000000"/>
            </w:tcBorders>
          </w:tcPr>
          <w:p>
            <w:pPr>
              <w:pStyle w:val="TableParagraph"/>
              <w:spacing w:line="265" w:lineRule="exact"/>
              <w:ind w:left="221"/>
              <w:rPr>
                <w:sz w:val="22"/>
              </w:rPr>
            </w:pPr>
            <w:r>
              <w:rPr>
                <w:spacing w:val="-5"/>
                <w:sz w:val="22"/>
              </w:rPr>
              <w:t>SF</w:t>
            </w:r>
          </w:p>
        </w:tc>
      </w:tr>
      <w:tr>
        <w:trPr>
          <w:trHeight w:val="382" w:hRule="atLeast"/>
        </w:trPr>
        <w:tc>
          <w:tcPr>
            <w:tcW w:w="1709" w:type="dxa"/>
          </w:tcPr>
          <w:p>
            <w:pPr>
              <w:pStyle w:val="TableParagraph"/>
              <w:rPr>
                <w:rFonts w:ascii="Times New Roman"/>
                <w:sz w:val="22"/>
              </w:rPr>
            </w:pPr>
          </w:p>
        </w:tc>
        <w:tc>
          <w:tcPr>
            <w:tcW w:w="1251" w:type="dxa"/>
          </w:tcPr>
          <w:p>
            <w:pPr>
              <w:pStyle w:val="TableParagraph"/>
              <w:spacing w:before="72"/>
              <w:ind w:left="108"/>
              <w:rPr>
                <w:sz w:val="22"/>
              </w:rPr>
            </w:pPr>
            <w:r>
              <w:rPr>
                <w:sz w:val="22"/>
              </w:rPr>
              <w:t>H:L;</w:t>
            </w:r>
            <w:r>
              <w:rPr>
                <w:spacing w:val="-5"/>
                <w:sz w:val="22"/>
              </w:rPr>
              <w:t> </w:t>
            </w:r>
            <w:r>
              <w:rPr>
                <w:spacing w:val="-2"/>
                <w:sz w:val="22"/>
              </w:rPr>
              <w:t>20:50</w:t>
            </w:r>
          </w:p>
        </w:tc>
        <w:tc>
          <w:tcPr>
            <w:tcW w:w="1703" w:type="dxa"/>
          </w:tcPr>
          <w:p>
            <w:pPr>
              <w:pStyle w:val="TableParagraph"/>
              <w:spacing w:before="72"/>
              <w:ind w:left="2"/>
              <w:jc w:val="center"/>
              <w:rPr>
                <w:sz w:val="22"/>
              </w:rPr>
            </w:pPr>
            <w:r>
              <w:rPr>
                <w:spacing w:val="-2"/>
                <w:sz w:val="22"/>
              </w:rPr>
              <w:t>23.286±0.522</w:t>
            </w:r>
          </w:p>
        </w:tc>
        <w:tc>
          <w:tcPr>
            <w:tcW w:w="942" w:type="dxa"/>
          </w:tcPr>
          <w:p>
            <w:pPr>
              <w:pStyle w:val="TableParagraph"/>
              <w:spacing w:before="72"/>
              <w:ind w:left="38"/>
              <w:jc w:val="center"/>
              <w:rPr>
                <w:sz w:val="22"/>
              </w:rPr>
            </w:pPr>
            <w:r>
              <w:rPr>
                <w:spacing w:val="-2"/>
                <w:sz w:val="22"/>
              </w:rPr>
              <w:t>0.000</w:t>
            </w:r>
          </w:p>
        </w:tc>
        <w:tc>
          <w:tcPr>
            <w:tcW w:w="738" w:type="dxa"/>
          </w:tcPr>
          <w:p>
            <w:pPr>
              <w:pStyle w:val="TableParagraph"/>
              <w:spacing w:before="72"/>
              <w:ind w:left="221"/>
              <w:rPr>
                <w:sz w:val="22"/>
              </w:rPr>
            </w:pPr>
            <w:r>
              <w:rPr>
                <w:spacing w:val="-5"/>
                <w:sz w:val="22"/>
              </w:rPr>
              <w:t>SF</w:t>
            </w:r>
          </w:p>
        </w:tc>
      </w:tr>
      <w:tr>
        <w:trPr>
          <w:trHeight w:val="597" w:hRule="atLeast"/>
        </w:trPr>
        <w:tc>
          <w:tcPr>
            <w:tcW w:w="1709" w:type="dxa"/>
          </w:tcPr>
          <w:p>
            <w:pPr>
              <w:pStyle w:val="TableParagraph"/>
              <w:spacing w:before="1"/>
              <w:ind w:left="108"/>
              <w:rPr>
                <w:sz w:val="22"/>
              </w:rPr>
            </w:pPr>
            <w:r>
              <w:rPr>
                <w:sz w:val="22"/>
              </w:rPr>
              <w:t>Lemon</w:t>
            </w:r>
            <w:r>
              <w:rPr>
                <w:spacing w:val="-4"/>
                <w:sz w:val="22"/>
              </w:rPr>
              <w:t> </w:t>
            </w:r>
            <w:r>
              <w:rPr>
                <w:spacing w:val="-2"/>
                <w:sz w:val="22"/>
              </w:rPr>
              <w:t>(50%)</w:t>
            </w:r>
          </w:p>
          <w:p>
            <w:pPr>
              <w:pStyle w:val="TableParagraph"/>
              <w:spacing w:before="17"/>
              <w:ind w:left="108"/>
              <w:rPr>
                <w:sz w:val="22"/>
              </w:rPr>
            </w:pPr>
            <w:r>
              <w:rPr>
                <w:spacing w:val="-2"/>
                <w:sz w:val="22"/>
              </w:rPr>
              <w:t>(18.286±0.184)</w:t>
            </w:r>
          </w:p>
        </w:tc>
        <w:tc>
          <w:tcPr>
            <w:tcW w:w="1251" w:type="dxa"/>
          </w:tcPr>
          <w:p>
            <w:pPr>
              <w:pStyle w:val="TableParagraph"/>
              <w:spacing w:before="143"/>
              <w:ind w:left="108"/>
              <w:rPr>
                <w:sz w:val="22"/>
              </w:rPr>
            </w:pPr>
            <w:r>
              <w:rPr>
                <w:sz w:val="22"/>
              </w:rPr>
              <w:t>H:L;</w:t>
            </w:r>
            <w:r>
              <w:rPr>
                <w:spacing w:val="-5"/>
                <w:sz w:val="22"/>
              </w:rPr>
              <w:t> </w:t>
            </w:r>
            <w:r>
              <w:rPr>
                <w:spacing w:val="-2"/>
                <w:sz w:val="22"/>
              </w:rPr>
              <w:t>30:50</w:t>
            </w:r>
          </w:p>
        </w:tc>
        <w:tc>
          <w:tcPr>
            <w:tcW w:w="1703" w:type="dxa"/>
          </w:tcPr>
          <w:p>
            <w:pPr>
              <w:pStyle w:val="TableParagraph"/>
              <w:spacing w:before="143"/>
              <w:ind w:left="2"/>
              <w:jc w:val="center"/>
              <w:rPr>
                <w:sz w:val="22"/>
              </w:rPr>
            </w:pPr>
            <w:r>
              <w:rPr>
                <w:spacing w:val="-2"/>
                <w:sz w:val="22"/>
              </w:rPr>
              <w:t>22.143±0.553</w:t>
            </w:r>
          </w:p>
        </w:tc>
        <w:tc>
          <w:tcPr>
            <w:tcW w:w="942" w:type="dxa"/>
          </w:tcPr>
          <w:p>
            <w:pPr>
              <w:pStyle w:val="TableParagraph"/>
              <w:spacing w:before="143"/>
              <w:ind w:left="38"/>
              <w:jc w:val="center"/>
              <w:rPr>
                <w:sz w:val="22"/>
              </w:rPr>
            </w:pPr>
            <w:r>
              <w:rPr>
                <w:spacing w:val="-2"/>
                <w:sz w:val="22"/>
              </w:rPr>
              <w:t>0.007</w:t>
            </w:r>
          </w:p>
        </w:tc>
        <w:tc>
          <w:tcPr>
            <w:tcW w:w="738" w:type="dxa"/>
          </w:tcPr>
          <w:p>
            <w:pPr>
              <w:pStyle w:val="TableParagraph"/>
              <w:spacing w:before="143"/>
              <w:ind w:left="221"/>
              <w:rPr>
                <w:sz w:val="22"/>
              </w:rPr>
            </w:pPr>
            <w:r>
              <w:rPr>
                <w:spacing w:val="-5"/>
                <w:sz w:val="22"/>
              </w:rPr>
              <w:t>SF</w:t>
            </w:r>
          </w:p>
        </w:tc>
      </w:tr>
      <w:tr>
        <w:trPr>
          <w:trHeight w:val="382" w:hRule="atLeast"/>
        </w:trPr>
        <w:tc>
          <w:tcPr>
            <w:tcW w:w="1709" w:type="dxa"/>
          </w:tcPr>
          <w:p>
            <w:pPr>
              <w:pStyle w:val="TableParagraph"/>
              <w:rPr>
                <w:rFonts w:ascii="Times New Roman"/>
                <w:sz w:val="22"/>
              </w:rPr>
            </w:pPr>
          </w:p>
        </w:tc>
        <w:tc>
          <w:tcPr>
            <w:tcW w:w="1251" w:type="dxa"/>
          </w:tcPr>
          <w:p>
            <w:pPr>
              <w:pStyle w:val="TableParagraph"/>
              <w:spacing w:before="1"/>
              <w:ind w:left="108"/>
              <w:rPr>
                <w:sz w:val="22"/>
              </w:rPr>
            </w:pPr>
            <w:r>
              <w:rPr>
                <w:sz w:val="22"/>
              </w:rPr>
              <w:t>H:L;</w:t>
            </w:r>
            <w:r>
              <w:rPr>
                <w:spacing w:val="-5"/>
                <w:sz w:val="22"/>
              </w:rPr>
              <w:t> </w:t>
            </w:r>
            <w:r>
              <w:rPr>
                <w:spacing w:val="-2"/>
                <w:sz w:val="22"/>
              </w:rPr>
              <w:t>40:50</w:t>
            </w:r>
          </w:p>
        </w:tc>
        <w:tc>
          <w:tcPr>
            <w:tcW w:w="1703" w:type="dxa"/>
          </w:tcPr>
          <w:p>
            <w:pPr>
              <w:pStyle w:val="TableParagraph"/>
              <w:spacing w:before="1"/>
              <w:ind w:left="2"/>
              <w:jc w:val="center"/>
              <w:rPr>
                <w:sz w:val="22"/>
              </w:rPr>
            </w:pPr>
            <w:r>
              <w:rPr>
                <w:spacing w:val="-2"/>
                <w:sz w:val="22"/>
              </w:rPr>
              <w:t>23.143±0.800</w:t>
            </w:r>
          </w:p>
        </w:tc>
        <w:tc>
          <w:tcPr>
            <w:tcW w:w="942" w:type="dxa"/>
          </w:tcPr>
          <w:p>
            <w:pPr>
              <w:pStyle w:val="TableParagraph"/>
              <w:spacing w:before="1"/>
              <w:ind w:left="38"/>
              <w:jc w:val="center"/>
              <w:rPr>
                <w:sz w:val="22"/>
              </w:rPr>
            </w:pPr>
            <w:r>
              <w:rPr>
                <w:spacing w:val="-2"/>
                <w:sz w:val="22"/>
              </w:rPr>
              <w:t>0.000</w:t>
            </w:r>
          </w:p>
        </w:tc>
        <w:tc>
          <w:tcPr>
            <w:tcW w:w="738" w:type="dxa"/>
          </w:tcPr>
          <w:p>
            <w:pPr>
              <w:pStyle w:val="TableParagraph"/>
              <w:spacing w:before="1"/>
              <w:ind w:left="221"/>
              <w:rPr>
                <w:sz w:val="22"/>
              </w:rPr>
            </w:pPr>
            <w:r>
              <w:rPr>
                <w:spacing w:val="-5"/>
                <w:sz w:val="22"/>
              </w:rPr>
              <w:t>SF</w:t>
            </w:r>
          </w:p>
        </w:tc>
      </w:tr>
      <w:tr>
        <w:trPr>
          <w:trHeight w:val="519" w:hRule="atLeast"/>
        </w:trPr>
        <w:tc>
          <w:tcPr>
            <w:tcW w:w="1709" w:type="dxa"/>
            <w:tcBorders>
              <w:bottom w:val="single" w:sz="4" w:space="0" w:color="000000"/>
            </w:tcBorders>
          </w:tcPr>
          <w:p>
            <w:pPr>
              <w:pStyle w:val="TableParagraph"/>
              <w:rPr>
                <w:rFonts w:ascii="Times New Roman"/>
                <w:sz w:val="22"/>
              </w:rPr>
            </w:pPr>
          </w:p>
        </w:tc>
        <w:tc>
          <w:tcPr>
            <w:tcW w:w="1251" w:type="dxa"/>
            <w:tcBorders>
              <w:bottom w:val="single" w:sz="4" w:space="0" w:color="000000"/>
            </w:tcBorders>
          </w:tcPr>
          <w:p>
            <w:pPr>
              <w:pStyle w:val="TableParagraph"/>
              <w:spacing w:before="72"/>
              <w:ind w:left="108"/>
              <w:rPr>
                <w:sz w:val="22"/>
              </w:rPr>
            </w:pPr>
            <w:r>
              <w:rPr>
                <w:sz w:val="22"/>
              </w:rPr>
              <w:t>H:L;</w:t>
            </w:r>
            <w:r>
              <w:rPr>
                <w:spacing w:val="-5"/>
                <w:sz w:val="22"/>
              </w:rPr>
              <w:t> </w:t>
            </w:r>
            <w:r>
              <w:rPr>
                <w:spacing w:val="-2"/>
                <w:sz w:val="22"/>
              </w:rPr>
              <w:t>50:50</w:t>
            </w:r>
          </w:p>
        </w:tc>
        <w:tc>
          <w:tcPr>
            <w:tcW w:w="1703" w:type="dxa"/>
            <w:tcBorders>
              <w:bottom w:val="single" w:sz="4" w:space="0" w:color="000000"/>
            </w:tcBorders>
          </w:tcPr>
          <w:p>
            <w:pPr>
              <w:pStyle w:val="TableParagraph"/>
              <w:spacing w:before="72"/>
              <w:ind w:left="2"/>
              <w:jc w:val="center"/>
              <w:rPr>
                <w:sz w:val="22"/>
              </w:rPr>
            </w:pPr>
            <w:r>
              <w:rPr>
                <w:spacing w:val="-2"/>
                <w:sz w:val="22"/>
              </w:rPr>
              <w:t>24.571±0.783</w:t>
            </w:r>
          </w:p>
        </w:tc>
        <w:tc>
          <w:tcPr>
            <w:tcW w:w="942" w:type="dxa"/>
            <w:tcBorders>
              <w:bottom w:val="single" w:sz="4" w:space="0" w:color="000000"/>
            </w:tcBorders>
          </w:tcPr>
          <w:p>
            <w:pPr>
              <w:pStyle w:val="TableParagraph"/>
              <w:spacing w:before="72"/>
              <w:ind w:left="38"/>
              <w:jc w:val="center"/>
              <w:rPr>
                <w:sz w:val="22"/>
              </w:rPr>
            </w:pPr>
            <w:r>
              <w:rPr>
                <w:spacing w:val="-2"/>
                <w:sz w:val="22"/>
              </w:rPr>
              <w:t>0.000</w:t>
            </w:r>
          </w:p>
        </w:tc>
        <w:tc>
          <w:tcPr>
            <w:tcW w:w="738" w:type="dxa"/>
            <w:tcBorders>
              <w:bottom w:val="single" w:sz="4" w:space="0" w:color="000000"/>
            </w:tcBorders>
          </w:tcPr>
          <w:p>
            <w:pPr>
              <w:pStyle w:val="TableParagraph"/>
              <w:spacing w:before="72"/>
              <w:ind w:left="221"/>
              <w:rPr>
                <w:sz w:val="22"/>
              </w:rPr>
            </w:pPr>
            <w:r>
              <w:rPr>
                <w:spacing w:val="-5"/>
                <w:sz w:val="22"/>
              </w:rPr>
              <w:t>SF</w:t>
            </w:r>
          </w:p>
        </w:tc>
      </w:tr>
      <w:tr>
        <w:trPr>
          <w:trHeight w:val="377" w:hRule="atLeast"/>
        </w:trPr>
        <w:tc>
          <w:tcPr>
            <w:tcW w:w="1709" w:type="dxa"/>
            <w:tcBorders>
              <w:top w:val="single" w:sz="4" w:space="0" w:color="000000"/>
            </w:tcBorders>
          </w:tcPr>
          <w:p>
            <w:pPr>
              <w:pStyle w:val="TableParagraph"/>
              <w:rPr>
                <w:rFonts w:ascii="Times New Roman"/>
                <w:sz w:val="22"/>
              </w:rPr>
            </w:pPr>
          </w:p>
        </w:tc>
        <w:tc>
          <w:tcPr>
            <w:tcW w:w="1251" w:type="dxa"/>
            <w:tcBorders>
              <w:top w:val="single" w:sz="4" w:space="0" w:color="000000"/>
            </w:tcBorders>
          </w:tcPr>
          <w:p>
            <w:pPr>
              <w:pStyle w:val="TableParagraph"/>
              <w:spacing w:line="265" w:lineRule="exact"/>
              <w:ind w:left="108"/>
              <w:rPr>
                <w:sz w:val="22"/>
              </w:rPr>
            </w:pPr>
            <w:r>
              <w:rPr>
                <w:sz w:val="22"/>
              </w:rPr>
              <w:t>H:L;</w:t>
            </w:r>
            <w:r>
              <w:rPr>
                <w:spacing w:val="-5"/>
                <w:sz w:val="22"/>
              </w:rPr>
              <w:t> </w:t>
            </w:r>
            <w:r>
              <w:rPr>
                <w:spacing w:val="-2"/>
                <w:sz w:val="22"/>
              </w:rPr>
              <w:t>10:50</w:t>
            </w:r>
          </w:p>
        </w:tc>
        <w:tc>
          <w:tcPr>
            <w:tcW w:w="1703" w:type="dxa"/>
            <w:tcBorders>
              <w:top w:val="single" w:sz="4" w:space="0" w:color="000000"/>
            </w:tcBorders>
          </w:tcPr>
          <w:p>
            <w:pPr>
              <w:pStyle w:val="TableParagraph"/>
              <w:spacing w:line="265" w:lineRule="exact"/>
              <w:ind w:left="2"/>
              <w:jc w:val="center"/>
              <w:rPr>
                <w:sz w:val="22"/>
              </w:rPr>
            </w:pPr>
            <w:r>
              <w:rPr>
                <w:spacing w:val="-2"/>
                <w:sz w:val="22"/>
              </w:rPr>
              <w:t>23.143±0.769</w:t>
            </w:r>
          </w:p>
        </w:tc>
        <w:tc>
          <w:tcPr>
            <w:tcW w:w="942" w:type="dxa"/>
            <w:tcBorders>
              <w:top w:val="single" w:sz="4" w:space="0" w:color="000000"/>
            </w:tcBorders>
          </w:tcPr>
          <w:p>
            <w:pPr>
              <w:pStyle w:val="TableParagraph"/>
              <w:spacing w:line="265" w:lineRule="exact"/>
              <w:ind w:left="38"/>
              <w:jc w:val="center"/>
              <w:rPr>
                <w:sz w:val="22"/>
              </w:rPr>
            </w:pPr>
            <w:r>
              <w:rPr>
                <w:spacing w:val="-2"/>
                <w:sz w:val="22"/>
              </w:rPr>
              <w:t>0.000</w:t>
            </w:r>
          </w:p>
        </w:tc>
        <w:tc>
          <w:tcPr>
            <w:tcW w:w="738" w:type="dxa"/>
            <w:tcBorders>
              <w:top w:val="single" w:sz="4" w:space="0" w:color="000000"/>
            </w:tcBorders>
          </w:tcPr>
          <w:p>
            <w:pPr>
              <w:pStyle w:val="TableParagraph"/>
              <w:spacing w:line="265" w:lineRule="exact"/>
              <w:ind w:left="221"/>
              <w:rPr>
                <w:sz w:val="22"/>
              </w:rPr>
            </w:pPr>
            <w:r>
              <w:rPr>
                <w:spacing w:val="-5"/>
                <w:sz w:val="22"/>
              </w:rPr>
              <w:t>SF</w:t>
            </w:r>
          </w:p>
        </w:tc>
      </w:tr>
      <w:tr>
        <w:trPr>
          <w:trHeight w:val="383" w:hRule="atLeast"/>
        </w:trPr>
        <w:tc>
          <w:tcPr>
            <w:tcW w:w="1709" w:type="dxa"/>
          </w:tcPr>
          <w:p>
            <w:pPr>
              <w:pStyle w:val="TableParagraph"/>
              <w:rPr>
                <w:rFonts w:ascii="Times New Roman"/>
                <w:sz w:val="22"/>
              </w:rPr>
            </w:pPr>
          </w:p>
        </w:tc>
        <w:tc>
          <w:tcPr>
            <w:tcW w:w="1251" w:type="dxa"/>
          </w:tcPr>
          <w:p>
            <w:pPr>
              <w:pStyle w:val="TableParagraph"/>
              <w:spacing w:before="72"/>
              <w:ind w:left="108"/>
              <w:rPr>
                <w:sz w:val="22"/>
              </w:rPr>
            </w:pPr>
            <w:r>
              <w:rPr>
                <w:sz w:val="22"/>
              </w:rPr>
              <w:t>H:L;</w:t>
            </w:r>
            <w:r>
              <w:rPr>
                <w:spacing w:val="-5"/>
                <w:sz w:val="22"/>
              </w:rPr>
              <w:t> </w:t>
            </w:r>
            <w:r>
              <w:rPr>
                <w:spacing w:val="-2"/>
                <w:sz w:val="22"/>
              </w:rPr>
              <w:t>20:50</w:t>
            </w:r>
          </w:p>
        </w:tc>
        <w:tc>
          <w:tcPr>
            <w:tcW w:w="1703" w:type="dxa"/>
          </w:tcPr>
          <w:p>
            <w:pPr>
              <w:pStyle w:val="TableParagraph"/>
              <w:spacing w:before="72"/>
              <w:ind w:left="2"/>
              <w:jc w:val="center"/>
              <w:rPr>
                <w:sz w:val="22"/>
              </w:rPr>
            </w:pPr>
            <w:r>
              <w:rPr>
                <w:spacing w:val="-2"/>
                <w:sz w:val="22"/>
              </w:rPr>
              <w:t>23.286±0.522</w:t>
            </w:r>
          </w:p>
        </w:tc>
        <w:tc>
          <w:tcPr>
            <w:tcW w:w="942" w:type="dxa"/>
          </w:tcPr>
          <w:p>
            <w:pPr>
              <w:pStyle w:val="TableParagraph"/>
              <w:spacing w:before="72"/>
              <w:ind w:left="38"/>
              <w:jc w:val="center"/>
              <w:rPr>
                <w:sz w:val="22"/>
              </w:rPr>
            </w:pPr>
            <w:r>
              <w:rPr>
                <w:spacing w:val="-2"/>
                <w:sz w:val="22"/>
              </w:rPr>
              <w:t>0.000</w:t>
            </w:r>
          </w:p>
        </w:tc>
        <w:tc>
          <w:tcPr>
            <w:tcW w:w="738" w:type="dxa"/>
          </w:tcPr>
          <w:p>
            <w:pPr>
              <w:pStyle w:val="TableParagraph"/>
              <w:spacing w:before="72"/>
              <w:ind w:left="221"/>
              <w:rPr>
                <w:sz w:val="22"/>
              </w:rPr>
            </w:pPr>
            <w:r>
              <w:rPr>
                <w:spacing w:val="-5"/>
                <w:sz w:val="22"/>
              </w:rPr>
              <w:t>SF</w:t>
            </w:r>
          </w:p>
        </w:tc>
      </w:tr>
      <w:tr>
        <w:trPr>
          <w:trHeight w:val="596" w:hRule="atLeast"/>
        </w:trPr>
        <w:tc>
          <w:tcPr>
            <w:tcW w:w="1709" w:type="dxa"/>
          </w:tcPr>
          <w:p>
            <w:pPr>
              <w:pStyle w:val="TableParagraph"/>
              <w:spacing w:before="3"/>
              <w:ind w:left="108"/>
              <w:rPr>
                <w:sz w:val="22"/>
              </w:rPr>
            </w:pPr>
            <w:r>
              <w:rPr>
                <w:sz w:val="22"/>
              </w:rPr>
              <w:t>Lemon</w:t>
            </w:r>
            <w:r>
              <w:rPr>
                <w:spacing w:val="-4"/>
                <w:sz w:val="22"/>
              </w:rPr>
              <w:t> </w:t>
            </w:r>
            <w:r>
              <w:rPr>
                <w:spacing w:val="-2"/>
                <w:sz w:val="22"/>
              </w:rPr>
              <w:t>(25%)</w:t>
            </w:r>
          </w:p>
          <w:p>
            <w:pPr>
              <w:pStyle w:val="TableParagraph"/>
              <w:spacing w:before="14"/>
              <w:ind w:left="108"/>
              <w:rPr>
                <w:sz w:val="22"/>
              </w:rPr>
            </w:pPr>
            <w:r>
              <w:rPr>
                <w:spacing w:val="-2"/>
                <w:sz w:val="22"/>
              </w:rPr>
              <w:t>(15.429±0.297)</w:t>
            </w:r>
          </w:p>
        </w:tc>
        <w:tc>
          <w:tcPr>
            <w:tcW w:w="1251" w:type="dxa"/>
          </w:tcPr>
          <w:p>
            <w:pPr>
              <w:pStyle w:val="TableParagraph"/>
              <w:spacing w:before="144"/>
              <w:ind w:left="108"/>
              <w:rPr>
                <w:sz w:val="22"/>
              </w:rPr>
            </w:pPr>
            <w:r>
              <w:rPr>
                <w:sz w:val="22"/>
              </w:rPr>
              <w:t>H:L;</w:t>
            </w:r>
            <w:r>
              <w:rPr>
                <w:spacing w:val="-5"/>
                <w:sz w:val="22"/>
              </w:rPr>
              <w:t> </w:t>
            </w:r>
            <w:r>
              <w:rPr>
                <w:spacing w:val="-2"/>
                <w:sz w:val="22"/>
              </w:rPr>
              <w:t>30:50</w:t>
            </w:r>
          </w:p>
        </w:tc>
        <w:tc>
          <w:tcPr>
            <w:tcW w:w="1703" w:type="dxa"/>
          </w:tcPr>
          <w:p>
            <w:pPr>
              <w:pStyle w:val="TableParagraph"/>
              <w:spacing w:before="144"/>
              <w:ind w:left="2"/>
              <w:jc w:val="center"/>
              <w:rPr>
                <w:sz w:val="22"/>
              </w:rPr>
            </w:pPr>
            <w:r>
              <w:rPr>
                <w:spacing w:val="-2"/>
                <w:sz w:val="22"/>
              </w:rPr>
              <w:t>22.143±0.553</w:t>
            </w:r>
          </w:p>
        </w:tc>
        <w:tc>
          <w:tcPr>
            <w:tcW w:w="942" w:type="dxa"/>
          </w:tcPr>
          <w:p>
            <w:pPr>
              <w:pStyle w:val="TableParagraph"/>
              <w:spacing w:before="144"/>
              <w:ind w:left="38"/>
              <w:jc w:val="center"/>
              <w:rPr>
                <w:sz w:val="22"/>
              </w:rPr>
            </w:pPr>
            <w:r>
              <w:rPr>
                <w:spacing w:val="-2"/>
                <w:sz w:val="22"/>
              </w:rPr>
              <w:t>0.000</w:t>
            </w:r>
          </w:p>
        </w:tc>
        <w:tc>
          <w:tcPr>
            <w:tcW w:w="738" w:type="dxa"/>
          </w:tcPr>
          <w:p>
            <w:pPr>
              <w:pStyle w:val="TableParagraph"/>
              <w:spacing w:before="144"/>
              <w:ind w:left="221"/>
              <w:rPr>
                <w:sz w:val="22"/>
              </w:rPr>
            </w:pPr>
            <w:r>
              <w:rPr>
                <w:spacing w:val="-5"/>
                <w:sz w:val="22"/>
              </w:rPr>
              <w:t>SF</w:t>
            </w:r>
          </w:p>
        </w:tc>
      </w:tr>
      <w:tr>
        <w:trPr>
          <w:trHeight w:val="382" w:hRule="atLeast"/>
        </w:trPr>
        <w:tc>
          <w:tcPr>
            <w:tcW w:w="1709" w:type="dxa"/>
          </w:tcPr>
          <w:p>
            <w:pPr>
              <w:pStyle w:val="TableParagraph"/>
              <w:rPr>
                <w:rFonts w:ascii="Times New Roman"/>
                <w:sz w:val="22"/>
              </w:rPr>
            </w:pPr>
          </w:p>
        </w:tc>
        <w:tc>
          <w:tcPr>
            <w:tcW w:w="1251" w:type="dxa"/>
          </w:tcPr>
          <w:p>
            <w:pPr>
              <w:pStyle w:val="TableParagraph"/>
              <w:spacing w:before="1"/>
              <w:ind w:left="108"/>
              <w:rPr>
                <w:sz w:val="22"/>
              </w:rPr>
            </w:pPr>
            <w:r>
              <w:rPr>
                <w:sz w:val="22"/>
              </w:rPr>
              <w:t>H:L;</w:t>
            </w:r>
            <w:r>
              <w:rPr>
                <w:spacing w:val="-5"/>
                <w:sz w:val="22"/>
              </w:rPr>
              <w:t> </w:t>
            </w:r>
            <w:r>
              <w:rPr>
                <w:spacing w:val="-2"/>
                <w:sz w:val="22"/>
              </w:rPr>
              <w:t>40:50</w:t>
            </w:r>
          </w:p>
        </w:tc>
        <w:tc>
          <w:tcPr>
            <w:tcW w:w="1703" w:type="dxa"/>
          </w:tcPr>
          <w:p>
            <w:pPr>
              <w:pStyle w:val="TableParagraph"/>
              <w:spacing w:before="1"/>
              <w:ind w:left="2"/>
              <w:jc w:val="center"/>
              <w:rPr>
                <w:sz w:val="22"/>
              </w:rPr>
            </w:pPr>
            <w:r>
              <w:rPr>
                <w:spacing w:val="-2"/>
                <w:sz w:val="22"/>
              </w:rPr>
              <w:t>23.143±0.800</w:t>
            </w:r>
          </w:p>
        </w:tc>
        <w:tc>
          <w:tcPr>
            <w:tcW w:w="942" w:type="dxa"/>
          </w:tcPr>
          <w:p>
            <w:pPr>
              <w:pStyle w:val="TableParagraph"/>
              <w:spacing w:before="1"/>
              <w:ind w:left="38"/>
              <w:jc w:val="center"/>
              <w:rPr>
                <w:sz w:val="22"/>
              </w:rPr>
            </w:pPr>
            <w:r>
              <w:rPr>
                <w:spacing w:val="-2"/>
                <w:sz w:val="22"/>
              </w:rPr>
              <w:t>0.000</w:t>
            </w:r>
          </w:p>
        </w:tc>
        <w:tc>
          <w:tcPr>
            <w:tcW w:w="738" w:type="dxa"/>
          </w:tcPr>
          <w:p>
            <w:pPr>
              <w:pStyle w:val="TableParagraph"/>
              <w:spacing w:before="1"/>
              <w:ind w:left="221"/>
              <w:rPr>
                <w:sz w:val="22"/>
              </w:rPr>
            </w:pPr>
            <w:r>
              <w:rPr>
                <w:spacing w:val="-5"/>
                <w:sz w:val="22"/>
              </w:rPr>
              <w:t>SF</w:t>
            </w:r>
          </w:p>
        </w:tc>
      </w:tr>
      <w:tr>
        <w:trPr>
          <w:trHeight w:val="521" w:hRule="atLeast"/>
        </w:trPr>
        <w:tc>
          <w:tcPr>
            <w:tcW w:w="1709" w:type="dxa"/>
            <w:tcBorders>
              <w:bottom w:val="single" w:sz="4" w:space="0" w:color="000000"/>
            </w:tcBorders>
          </w:tcPr>
          <w:p>
            <w:pPr>
              <w:pStyle w:val="TableParagraph"/>
              <w:rPr>
                <w:rFonts w:ascii="Times New Roman"/>
                <w:sz w:val="22"/>
              </w:rPr>
            </w:pPr>
          </w:p>
        </w:tc>
        <w:tc>
          <w:tcPr>
            <w:tcW w:w="1251" w:type="dxa"/>
            <w:tcBorders>
              <w:bottom w:val="single" w:sz="4" w:space="0" w:color="000000"/>
            </w:tcBorders>
          </w:tcPr>
          <w:p>
            <w:pPr>
              <w:pStyle w:val="TableParagraph"/>
              <w:spacing w:before="72"/>
              <w:ind w:left="108"/>
              <w:rPr>
                <w:sz w:val="22"/>
              </w:rPr>
            </w:pPr>
            <w:r>
              <w:rPr>
                <w:sz w:val="22"/>
              </w:rPr>
              <w:t>H:L;</w:t>
            </w:r>
            <w:r>
              <w:rPr>
                <w:spacing w:val="-5"/>
                <w:sz w:val="22"/>
              </w:rPr>
              <w:t> </w:t>
            </w:r>
            <w:r>
              <w:rPr>
                <w:spacing w:val="-2"/>
                <w:sz w:val="22"/>
              </w:rPr>
              <w:t>50:50</w:t>
            </w:r>
          </w:p>
        </w:tc>
        <w:tc>
          <w:tcPr>
            <w:tcW w:w="1703" w:type="dxa"/>
            <w:tcBorders>
              <w:bottom w:val="single" w:sz="4" w:space="0" w:color="000000"/>
            </w:tcBorders>
          </w:tcPr>
          <w:p>
            <w:pPr>
              <w:pStyle w:val="TableParagraph"/>
              <w:spacing w:before="72"/>
              <w:ind w:left="2"/>
              <w:jc w:val="center"/>
              <w:rPr>
                <w:sz w:val="22"/>
              </w:rPr>
            </w:pPr>
            <w:r>
              <w:rPr>
                <w:spacing w:val="-2"/>
                <w:sz w:val="22"/>
              </w:rPr>
              <w:t>24.571±0.783</w:t>
            </w:r>
          </w:p>
        </w:tc>
        <w:tc>
          <w:tcPr>
            <w:tcW w:w="942" w:type="dxa"/>
            <w:tcBorders>
              <w:bottom w:val="single" w:sz="4" w:space="0" w:color="000000"/>
            </w:tcBorders>
          </w:tcPr>
          <w:p>
            <w:pPr>
              <w:pStyle w:val="TableParagraph"/>
              <w:spacing w:before="72"/>
              <w:ind w:left="38"/>
              <w:jc w:val="center"/>
              <w:rPr>
                <w:sz w:val="22"/>
              </w:rPr>
            </w:pPr>
            <w:r>
              <w:rPr>
                <w:spacing w:val="-2"/>
                <w:sz w:val="22"/>
              </w:rPr>
              <w:t>0.000</w:t>
            </w:r>
          </w:p>
        </w:tc>
        <w:tc>
          <w:tcPr>
            <w:tcW w:w="738" w:type="dxa"/>
            <w:tcBorders>
              <w:bottom w:val="single" w:sz="4" w:space="0" w:color="000000"/>
            </w:tcBorders>
          </w:tcPr>
          <w:p>
            <w:pPr>
              <w:pStyle w:val="TableParagraph"/>
              <w:spacing w:before="72"/>
              <w:ind w:left="221"/>
              <w:rPr>
                <w:sz w:val="22"/>
              </w:rPr>
            </w:pPr>
            <w:r>
              <w:rPr>
                <w:spacing w:val="-5"/>
                <w:sz w:val="22"/>
              </w:rPr>
              <w:t>SF</w:t>
            </w:r>
          </w:p>
        </w:tc>
      </w:tr>
    </w:tbl>
    <w:p>
      <w:pPr>
        <w:pStyle w:val="BodyText"/>
        <w:spacing w:before="206"/>
        <w:rPr>
          <w:b/>
        </w:rPr>
      </w:pPr>
    </w:p>
    <w:p>
      <w:pPr>
        <w:pStyle w:val="BodyText"/>
        <w:spacing w:line="259" w:lineRule="auto"/>
        <w:ind w:left="380" w:right="975"/>
      </w:pPr>
      <w:r>
        <w:rPr>
          <w:b/>
        </w:rPr>
        <w:t>Key:</w:t>
      </w:r>
      <w:r>
        <w:rPr>
          <w:b/>
          <w:spacing w:val="34"/>
        </w:rPr>
        <w:t> </w:t>
      </w:r>
      <w:r>
        <w:rPr/>
        <w:t>LOS=Level</w:t>
      </w:r>
      <w:r>
        <w:rPr>
          <w:spacing w:val="32"/>
        </w:rPr>
        <w:t> </w:t>
      </w:r>
      <w:r>
        <w:rPr/>
        <w:t>of</w:t>
      </w:r>
      <w:r>
        <w:rPr>
          <w:spacing w:val="32"/>
        </w:rPr>
        <w:t> </w:t>
      </w:r>
      <w:r>
        <w:rPr/>
        <w:t>significance;</w:t>
      </w:r>
      <w:r>
        <w:rPr>
          <w:spacing w:val="38"/>
        </w:rPr>
        <w:t> </w:t>
      </w:r>
      <w:r>
        <w:rPr/>
        <w:t>NS=Not</w:t>
      </w:r>
      <w:r>
        <w:rPr>
          <w:spacing w:val="33"/>
        </w:rPr>
        <w:t> </w:t>
      </w:r>
      <w:r>
        <w:rPr/>
        <w:t>significantly</w:t>
      </w:r>
      <w:r>
        <w:rPr>
          <w:spacing w:val="33"/>
        </w:rPr>
        <w:t> </w:t>
      </w:r>
      <w:r>
        <w:rPr/>
        <w:t>different;</w:t>
      </w:r>
      <w:r>
        <w:rPr>
          <w:spacing w:val="35"/>
        </w:rPr>
        <w:t> </w:t>
      </w:r>
      <w:r>
        <w:rPr/>
        <w:t>SF=Significantly</w:t>
      </w:r>
      <w:r>
        <w:rPr>
          <w:spacing w:val="33"/>
        </w:rPr>
        <w:t> </w:t>
      </w:r>
      <w:r>
        <w:rPr/>
        <w:t>different;</w:t>
      </w:r>
      <w:r>
        <w:rPr>
          <w:spacing w:val="35"/>
        </w:rPr>
        <w:t> </w:t>
      </w:r>
      <w:r>
        <w:rPr/>
        <w:t>H=Honey and L=Lemon juice.</w:t>
      </w:r>
    </w:p>
    <w:p>
      <w:pPr>
        <w:spacing w:after="0" w:line="259" w:lineRule="auto"/>
        <w:sectPr>
          <w:type w:val="continuous"/>
          <w:pgSz w:w="11910" w:h="16840"/>
          <w:pgMar w:header="0" w:footer="1055" w:top="1400" w:bottom="1240" w:left="1060" w:right="460"/>
        </w:sectPr>
      </w:pPr>
    </w:p>
    <w:p>
      <w:pPr>
        <w:pStyle w:val="BodyText"/>
      </w:pPr>
    </w:p>
    <w:p>
      <w:pPr>
        <w:pStyle w:val="BodyText"/>
      </w:pPr>
    </w:p>
    <w:p>
      <w:pPr>
        <w:pStyle w:val="BodyText"/>
      </w:pPr>
    </w:p>
    <w:p>
      <w:pPr>
        <w:pStyle w:val="BodyText"/>
      </w:pPr>
    </w:p>
    <w:p>
      <w:pPr>
        <w:pStyle w:val="BodyText"/>
      </w:pPr>
    </w:p>
    <w:p>
      <w:pPr>
        <w:pStyle w:val="BodyText"/>
        <w:spacing w:before="136"/>
      </w:pPr>
    </w:p>
    <w:p>
      <w:pPr>
        <w:pStyle w:val="Heading3"/>
        <w:spacing w:line="403" w:lineRule="auto"/>
        <w:ind w:right="2617"/>
      </w:pPr>
      <w:r>
        <w:rPr/>
        <w:t>Comparing</w:t>
      </w:r>
      <w:r>
        <w:rPr>
          <w:spacing w:val="-5"/>
        </w:rPr>
        <w:t> </w:t>
      </w:r>
      <w:r>
        <w:rPr/>
        <w:t>the</w:t>
      </w:r>
      <w:r>
        <w:rPr>
          <w:spacing w:val="-4"/>
        </w:rPr>
        <w:t> </w:t>
      </w:r>
      <w:r>
        <w:rPr/>
        <w:t>mean</w:t>
      </w:r>
      <w:r>
        <w:rPr>
          <w:spacing w:val="-4"/>
        </w:rPr>
        <w:t> </w:t>
      </w:r>
      <w:r>
        <w:rPr/>
        <w:t>zones</w:t>
      </w:r>
      <w:r>
        <w:rPr>
          <w:spacing w:val="-3"/>
        </w:rPr>
        <w:t> </w:t>
      </w:r>
      <w:r>
        <w:rPr/>
        <w:t>of</w:t>
      </w:r>
      <w:r>
        <w:rPr>
          <w:spacing w:val="-3"/>
        </w:rPr>
        <w:t> </w:t>
      </w:r>
      <w:r>
        <w:rPr/>
        <w:t>inhibition</w:t>
      </w:r>
      <w:r>
        <w:rPr>
          <w:spacing w:val="-4"/>
        </w:rPr>
        <w:t> </w:t>
      </w:r>
      <w:r>
        <w:rPr/>
        <w:t>of</w:t>
      </w:r>
      <w:r>
        <w:rPr>
          <w:spacing w:val="-3"/>
        </w:rPr>
        <w:t> </w:t>
      </w:r>
      <w:r>
        <w:rPr/>
        <w:t>Lemon</w:t>
      </w:r>
      <w:r>
        <w:rPr>
          <w:spacing w:val="-3"/>
        </w:rPr>
        <w:t> </w:t>
      </w:r>
      <w:r>
        <w:rPr/>
        <w:t>juice</w:t>
      </w:r>
      <w:r>
        <w:rPr>
          <w:spacing w:val="-3"/>
        </w:rPr>
        <w:t> </w:t>
      </w:r>
      <w:r>
        <w:rPr/>
        <w:t>and</w:t>
      </w:r>
      <w:r>
        <w:rPr>
          <w:spacing w:val="-4"/>
        </w:rPr>
        <w:t> </w:t>
      </w:r>
      <w:r>
        <w:rPr/>
        <w:t>the</w:t>
      </w:r>
      <w:r>
        <w:rPr>
          <w:spacing w:val="-4"/>
        </w:rPr>
        <w:t> </w:t>
      </w:r>
      <w:r>
        <w:rPr/>
        <w:t>mixture of Honey and Lemon juice against </w:t>
      </w:r>
      <w:r>
        <w:rPr>
          <w:i/>
        </w:rPr>
        <w:t>Streptococcus pyogenes</w:t>
      </w:r>
      <w:r>
        <w:rPr/>
        <w:t>.</w:t>
      </w:r>
    </w:p>
    <w:p>
      <w:pPr>
        <w:pStyle w:val="BodyText"/>
        <w:spacing w:before="206"/>
        <w:rPr>
          <w:b/>
          <w:sz w:val="20"/>
        </w:rPr>
      </w:pP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gridCol w:w="1441"/>
        <w:gridCol w:w="1546"/>
        <w:gridCol w:w="949"/>
        <w:gridCol w:w="761"/>
      </w:tblGrid>
      <w:tr>
        <w:trPr>
          <w:trHeight w:val="1343" w:hRule="atLeast"/>
        </w:trPr>
        <w:tc>
          <w:tcPr>
            <w:tcW w:w="1642" w:type="dxa"/>
            <w:tcBorders>
              <w:top w:val="single" w:sz="4" w:space="0" w:color="000000"/>
              <w:bottom w:val="single" w:sz="4" w:space="0" w:color="000000"/>
            </w:tcBorders>
          </w:tcPr>
          <w:p>
            <w:pPr>
              <w:pStyle w:val="TableParagraph"/>
              <w:spacing w:before="179"/>
              <w:rPr>
                <w:b/>
                <w:sz w:val="22"/>
              </w:rPr>
            </w:pPr>
          </w:p>
          <w:p>
            <w:pPr>
              <w:pStyle w:val="TableParagraph"/>
              <w:ind w:left="108"/>
              <w:rPr>
                <w:sz w:val="22"/>
              </w:rPr>
            </w:pPr>
            <w:r>
              <w:rPr>
                <w:sz w:val="22"/>
              </w:rPr>
              <w:t>(I)</w:t>
            </w:r>
            <w:r>
              <w:rPr>
                <w:spacing w:val="-2"/>
                <w:sz w:val="22"/>
              </w:rPr>
              <w:t> Group_12</w:t>
            </w:r>
          </w:p>
        </w:tc>
        <w:tc>
          <w:tcPr>
            <w:tcW w:w="1441" w:type="dxa"/>
            <w:tcBorders>
              <w:top w:val="single" w:sz="4" w:space="0" w:color="000000"/>
              <w:bottom w:val="single" w:sz="4" w:space="0" w:color="000000"/>
            </w:tcBorders>
          </w:tcPr>
          <w:p>
            <w:pPr>
              <w:pStyle w:val="TableParagraph"/>
              <w:spacing w:before="179"/>
              <w:rPr>
                <w:b/>
                <w:sz w:val="22"/>
              </w:rPr>
            </w:pPr>
          </w:p>
          <w:p>
            <w:pPr>
              <w:pStyle w:val="TableParagraph"/>
              <w:ind w:left="175"/>
              <w:rPr>
                <w:sz w:val="22"/>
              </w:rPr>
            </w:pPr>
            <w:r>
              <w:rPr>
                <w:sz w:val="22"/>
              </w:rPr>
              <w:t>(J)</w:t>
            </w:r>
            <w:r>
              <w:rPr>
                <w:spacing w:val="-2"/>
                <w:sz w:val="22"/>
              </w:rPr>
              <w:t> Group_12</w:t>
            </w:r>
          </w:p>
        </w:tc>
        <w:tc>
          <w:tcPr>
            <w:tcW w:w="1546" w:type="dxa"/>
            <w:tcBorders>
              <w:top w:val="single" w:sz="4" w:space="0" w:color="000000"/>
              <w:bottom w:val="single" w:sz="4" w:space="0" w:color="000000"/>
            </w:tcBorders>
          </w:tcPr>
          <w:p>
            <w:pPr>
              <w:pStyle w:val="TableParagraph"/>
              <w:spacing w:before="179"/>
              <w:rPr>
                <w:b/>
                <w:sz w:val="22"/>
              </w:rPr>
            </w:pPr>
          </w:p>
          <w:p>
            <w:pPr>
              <w:pStyle w:val="TableParagraph"/>
              <w:ind w:right="247"/>
              <w:jc w:val="right"/>
              <w:rPr>
                <w:sz w:val="22"/>
              </w:rPr>
            </w:pPr>
            <w:r>
              <w:rPr>
                <w:spacing w:val="-2"/>
                <w:sz w:val="22"/>
              </w:rPr>
              <w:t>Mean±SEM</w:t>
            </w:r>
          </w:p>
        </w:tc>
        <w:tc>
          <w:tcPr>
            <w:tcW w:w="949" w:type="dxa"/>
            <w:tcBorders>
              <w:top w:val="single" w:sz="4" w:space="0" w:color="000000"/>
              <w:bottom w:val="single" w:sz="4" w:space="0" w:color="000000"/>
            </w:tcBorders>
          </w:tcPr>
          <w:p>
            <w:pPr>
              <w:pStyle w:val="TableParagraph"/>
              <w:spacing w:before="37"/>
              <w:rPr>
                <w:b/>
                <w:sz w:val="22"/>
              </w:rPr>
            </w:pPr>
          </w:p>
          <w:p>
            <w:pPr>
              <w:pStyle w:val="TableParagraph"/>
              <w:ind w:left="99" w:right="149"/>
              <w:jc w:val="center"/>
              <w:rPr>
                <w:sz w:val="22"/>
              </w:rPr>
            </w:pPr>
            <w:r>
              <w:rPr>
                <w:spacing w:val="-5"/>
                <w:sz w:val="22"/>
              </w:rPr>
              <w:t>P-</w:t>
            </w:r>
          </w:p>
          <w:p>
            <w:pPr>
              <w:pStyle w:val="TableParagraph"/>
              <w:spacing w:before="15"/>
              <w:ind w:left="99" w:right="148"/>
              <w:jc w:val="center"/>
              <w:rPr>
                <w:sz w:val="22"/>
              </w:rPr>
            </w:pPr>
            <w:r>
              <w:rPr>
                <w:spacing w:val="-2"/>
                <w:sz w:val="22"/>
              </w:rPr>
              <w:t>value</w:t>
            </w:r>
          </w:p>
        </w:tc>
        <w:tc>
          <w:tcPr>
            <w:tcW w:w="761" w:type="dxa"/>
            <w:tcBorders>
              <w:top w:val="single" w:sz="4" w:space="0" w:color="000000"/>
              <w:bottom w:val="single" w:sz="4" w:space="0" w:color="000000"/>
            </w:tcBorders>
          </w:tcPr>
          <w:p>
            <w:pPr>
              <w:pStyle w:val="TableParagraph"/>
              <w:spacing w:before="174"/>
              <w:rPr>
                <w:b/>
                <w:sz w:val="22"/>
              </w:rPr>
            </w:pPr>
          </w:p>
          <w:p>
            <w:pPr>
              <w:pStyle w:val="TableParagraph"/>
              <w:ind w:left="178"/>
              <w:rPr>
                <w:sz w:val="22"/>
              </w:rPr>
            </w:pPr>
            <w:r>
              <w:rPr>
                <w:spacing w:val="-5"/>
                <w:sz w:val="22"/>
              </w:rPr>
              <w:t>LOS</w:t>
            </w:r>
          </w:p>
        </w:tc>
      </w:tr>
      <w:tr>
        <w:trPr>
          <w:trHeight w:val="377" w:hRule="atLeast"/>
        </w:trPr>
        <w:tc>
          <w:tcPr>
            <w:tcW w:w="1642" w:type="dxa"/>
            <w:tcBorders>
              <w:top w:val="single" w:sz="4" w:space="0" w:color="000000"/>
            </w:tcBorders>
          </w:tcPr>
          <w:p>
            <w:pPr>
              <w:pStyle w:val="TableParagraph"/>
              <w:rPr>
                <w:rFonts w:ascii="Times New Roman"/>
                <w:sz w:val="22"/>
              </w:rPr>
            </w:pPr>
          </w:p>
        </w:tc>
        <w:tc>
          <w:tcPr>
            <w:tcW w:w="1441" w:type="dxa"/>
            <w:tcBorders>
              <w:top w:val="single" w:sz="4" w:space="0" w:color="000000"/>
            </w:tcBorders>
          </w:tcPr>
          <w:p>
            <w:pPr>
              <w:pStyle w:val="TableParagraph"/>
              <w:spacing w:line="265" w:lineRule="exact"/>
              <w:ind w:left="175"/>
              <w:rPr>
                <w:sz w:val="22"/>
              </w:rPr>
            </w:pPr>
            <w:r>
              <w:rPr>
                <w:sz w:val="22"/>
              </w:rPr>
              <w:t>H:L;</w:t>
            </w:r>
            <w:r>
              <w:rPr>
                <w:spacing w:val="-5"/>
                <w:sz w:val="22"/>
              </w:rPr>
              <w:t> </w:t>
            </w:r>
            <w:r>
              <w:rPr>
                <w:spacing w:val="-2"/>
                <w:sz w:val="22"/>
              </w:rPr>
              <w:t>10:50</w:t>
            </w:r>
          </w:p>
        </w:tc>
        <w:tc>
          <w:tcPr>
            <w:tcW w:w="1546" w:type="dxa"/>
            <w:tcBorders>
              <w:top w:val="single" w:sz="4" w:space="0" w:color="000000"/>
            </w:tcBorders>
          </w:tcPr>
          <w:p>
            <w:pPr>
              <w:pStyle w:val="TableParagraph"/>
              <w:spacing w:line="265" w:lineRule="exact"/>
              <w:ind w:right="202"/>
              <w:jc w:val="right"/>
              <w:rPr>
                <w:sz w:val="22"/>
              </w:rPr>
            </w:pPr>
            <w:r>
              <w:rPr>
                <w:spacing w:val="-2"/>
                <w:sz w:val="22"/>
              </w:rPr>
              <w:t>23.333±0.955</w:t>
            </w:r>
          </w:p>
        </w:tc>
        <w:tc>
          <w:tcPr>
            <w:tcW w:w="949" w:type="dxa"/>
            <w:tcBorders>
              <w:top w:val="single" w:sz="4" w:space="0" w:color="000000"/>
            </w:tcBorders>
          </w:tcPr>
          <w:p>
            <w:pPr>
              <w:pStyle w:val="TableParagraph"/>
              <w:spacing w:line="265" w:lineRule="exact"/>
              <w:ind w:left="149" w:right="50"/>
              <w:jc w:val="center"/>
              <w:rPr>
                <w:sz w:val="22"/>
              </w:rPr>
            </w:pPr>
            <w:r>
              <w:rPr>
                <w:spacing w:val="-2"/>
                <w:sz w:val="22"/>
              </w:rPr>
              <w:t>0.233</w:t>
            </w:r>
          </w:p>
        </w:tc>
        <w:tc>
          <w:tcPr>
            <w:tcW w:w="761" w:type="dxa"/>
            <w:tcBorders>
              <w:top w:val="single" w:sz="4" w:space="0" w:color="000000"/>
            </w:tcBorders>
          </w:tcPr>
          <w:p>
            <w:pPr>
              <w:pStyle w:val="TableParagraph"/>
              <w:spacing w:line="265" w:lineRule="exact"/>
              <w:ind w:left="226"/>
              <w:rPr>
                <w:sz w:val="22"/>
              </w:rPr>
            </w:pPr>
            <w:r>
              <w:rPr>
                <w:spacing w:val="-5"/>
                <w:sz w:val="22"/>
              </w:rPr>
              <w:t>NS</w:t>
            </w:r>
          </w:p>
        </w:tc>
      </w:tr>
      <w:tr>
        <w:trPr>
          <w:trHeight w:val="382" w:hRule="atLeast"/>
        </w:trPr>
        <w:tc>
          <w:tcPr>
            <w:tcW w:w="1642" w:type="dxa"/>
          </w:tcPr>
          <w:p>
            <w:pPr>
              <w:pStyle w:val="TableParagraph"/>
              <w:rPr>
                <w:rFonts w:ascii="Times New Roman"/>
                <w:sz w:val="22"/>
              </w:rPr>
            </w:pPr>
          </w:p>
        </w:tc>
        <w:tc>
          <w:tcPr>
            <w:tcW w:w="1441" w:type="dxa"/>
          </w:tcPr>
          <w:p>
            <w:pPr>
              <w:pStyle w:val="TableParagraph"/>
              <w:spacing w:before="72"/>
              <w:ind w:left="175"/>
              <w:rPr>
                <w:sz w:val="22"/>
              </w:rPr>
            </w:pPr>
            <w:r>
              <w:rPr>
                <w:sz w:val="22"/>
              </w:rPr>
              <w:t>H:L;</w:t>
            </w:r>
            <w:r>
              <w:rPr>
                <w:spacing w:val="-5"/>
                <w:sz w:val="22"/>
              </w:rPr>
              <w:t> </w:t>
            </w:r>
            <w:r>
              <w:rPr>
                <w:spacing w:val="-2"/>
                <w:sz w:val="22"/>
              </w:rPr>
              <w:t>20:50</w:t>
            </w:r>
          </w:p>
        </w:tc>
        <w:tc>
          <w:tcPr>
            <w:tcW w:w="1546" w:type="dxa"/>
          </w:tcPr>
          <w:p>
            <w:pPr>
              <w:pStyle w:val="TableParagraph"/>
              <w:spacing w:before="72"/>
              <w:ind w:right="202"/>
              <w:jc w:val="right"/>
              <w:rPr>
                <w:sz w:val="22"/>
              </w:rPr>
            </w:pPr>
            <w:r>
              <w:rPr>
                <w:spacing w:val="-2"/>
                <w:sz w:val="22"/>
              </w:rPr>
              <w:t>23.833±0.872</w:t>
            </w:r>
          </w:p>
        </w:tc>
        <w:tc>
          <w:tcPr>
            <w:tcW w:w="949" w:type="dxa"/>
          </w:tcPr>
          <w:p>
            <w:pPr>
              <w:pStyle w:val="TableParagraph"/>
              <w:spacing w:before="72"/>
              <w:ind w:left="149" w:right="50"/>
              <w:jc w:val="center"/>
              <w:rPr>
                <w:sz w:val="22"/>
              </w:rPr>
            </w:pPr>
            <w:r>
              <w:rPr>
                <w:spacing w:val="-2"/>
                <w:sz w:val="22"/>
              </w:rPr>
              <w:t>0.090</w:t>
            </w:r>
          </w:p>
        </w:tc>
        <w:tc>
          <w:tcPr>
            <w:tcW w:w="761" w:type="dxa"/>
          </w:tcPr>
          <w:p>
            <w:pPr>
              <w:pStyle w:val="TableParagraph"/>
              <w:spacing w:before="72"/>
              <w:ind w:left="226"/>
              <w:rPr>
                <w:sz w:val="22"/>
              </w:rPr>
            </w:pPr>
            <w:r>
              <w:rPr>
                <w:spacing w:val="-5"/>
                <w:sz w:val="22"/>
              </w:rPr>
              <w:t>NS</w:t>
            </w:r>
          </w:p>
        </w:tc>
      </w:tr>
      <w:tr>
        <w:trPr>
          <w:trHeight w:val="597" w:hRule="atLeast"/>
        </w:trPr>
        <w:tc>
          <w:tcPr>
            <w:tcW w:w="1642" w:type="dxa"/>
          </w:tcPr>
          <w:p>
            <w:pPr>
              <w:pStyle w:val="TableParagraph"/>
              <w:spacing w:before="1"/>
              <w:ind w:left="108"/>
              <w:rPr>
                <w:sz w:val="22"/>
              </w:rPr>
            </w:pPr>
            <w:r>
              <w:rPr>
                <w:sz w:val="22"/>
              </w:rPr>
              <w:t>Lemon</w:t>
            </w:r>
            <w:r>
              <w:rPr>
                <w:spacing w:val="-6"/>
                <w:sz w:val="22"/>
              </w:rPr>
              <w:t> </w:t>
            </w:r>
            <w:r>
              <w:rPr>
                <w:spacing w:val="-2"/>
                <w:sz w:val="22"/>
              </w:rPr>
              <w:t>(100%)</w:t>
            </w:r>
          </w:p>
          <w:p>
            <w:pPr>
              <w:pStyle w:val="TableParagraph"/>
              <w:spacing w:before="17"/>
              <w:ind w:left="108"/>
              <w:rPr>
                <w:sz w:val="22"/>
              </w:rPr>
            </w:pPr>
            <w:r>
              <w:rPr>
                <w:spacing w:val="-2"/>
                <w:sz w:val="22"/>
              </w:rPr>
              <w:t>(20.667±0.558)</w:t>
            </w:r>
          </w:p>
        </w:tc>
        <w:tc>
          <w:tcPr>
            <w:tcW w:w="1441" w:type="dxa"/>
          </w:tcPr>
          <w:p>
            <w:pPr>
              <w:pStyle w:val="TableParagraph"/>
              <w:spacing w:before="145"/>
              <w:ind w:left="175"/>
              <w:rPr>
                <w:sz w:val="22"/>
              </w:rPr>
            </w:pPr>
            <w:r>
              <w:rPr>
                <w:sz w:val="22"/>
              </w:rPr>
              <w:t>H:L;</w:t>
            </w:r>
            <w:r>
              <w:rPr>
                <w:spacing w:val="-5"/>
                <w:sz w:val="22"/>
              </w:rPr>
              <w:t> </w:t>
            </w:r>
            <w:r>
              <w:rPr>
                <w:spacing w:val="-2"/>
                <w:sz w:val="22"/>
              </w:rPr>
              <w:t>30:50</w:t>
            </w:r>
          </w:p>
        </w:tc>
        <w:tc>
          <w:tcPr>
            <w:tcW w:w="1546" w:type="dxa"/>
          </w:tcPr>
          <w:p>
            <w:pPr>
              <w:pStyle w:val="TableParagraph"/>
              <w:spacing w:before="145"/>
              <w:ind w:right="202"/>
              <w:jc w:val="right"/>
              <w:rPr>
                <w:sz w:val="22"/>
              </w:rPr>
            </w:pPr>
            <w:r>
              <w:rPr>
                <w:spacing w:val="-2"/>
                <w:sz w:val="22"/>
              </w:rPr>
              <w:t>21.333±0.715</w:t>
            </w:r>
          </w:p>
        </w:tc>
        <w:tc>
          <w:tcPr>
            <w:tcW w:w="949" w:type="dxa"/>
          </w:tcPr>
          <w:p>
            <w:pPr>
              <w:pStyle w:val="TableParagraph"/>
              <w:spacing w:before="145"/>
              <w:ind w:left="149" w:right="50"/>
              <w:jc w:val="center"/>
              <w:rPr>
                <w:sz w:val="22"/>
              </w:rPr>
            </w:pPr>
            <w:r>
              <w:rPr>
                <w:spacing w:val="-2"/>
                <w:sz w:val="22"/>
              </w:rPr>
              <w:t>0.998</w:t>
            </w:r>
          </w:p>
        </w:tc>
        <w:tc>
          <w:tcPr>
            <w:tcW w:w="761" w:type="dxa"/>
          </w:tcPr>
          <w:p>
            <w:pPr>
              <w:pStyle w:val="TableParagraph"/>
              <w:spacing w:before="145"/>
              <w:ind w:left="226"/>
              <w:rPr>
                <w:sz w:val="22"/>
              </w:rPr>
            </w:pPr>
            <w:r>
              <w:rPr>
                <w:spacing w:val="-5"/>
                <w:sz w:val="22"/>
              </w:rPr>
              <w:t>NS</w:t>
            </w:r>
          </w:p>
        </w:tc>
      </w:tr>
      <w:tr>
        <w:trPr>
          <w:trHeight w:val="382" w:hRule="atLeast"/>
        </w:trPr>
        <w:tc>
          <w:tcPr>
            <w:tcW w:w="1642" w:type="dxa"/>
          </w:tcPr>
          <w:p>
            <w:pPr>
              <w:pStyle w:val="TableParagraph"/>
              <w:rPr>
                <w:rFonts w:ascii="Times New Roman"/>
                <w:sz w:val="22"/>
              </w:rPr>
            </w:pPr>
          </w:p>
        </w:tc>
        <w:tc>
          <w:tcPr>
            <w:tcW w:w="1441" w:type="dxa"/>
          </w:tcPr>
          <w:p>
            <w:pPr>
              <w:pStyle w:val="TableParagraph"/>
              <w:spacing w:before="1"/>
              <w:ind w:left="175"/>
              <w:rPr>
                <w:sz w:val="22"/>
              </w:rPr>
            </w:pPr>
            <w:r>
              <w:rPr>
                <w:sz w:val="22"/>
              </w:rPr>
              <w:t>H:L;</w:t>
            </w:r>
            <w:r>
              <w:rPr>
                <w:spacing w:val="-5"/>
                <w:sz w:val="22"/>
              </w:rPr>
              <w:t> </w:t>
            </w:r>
            <w:r>
              <w:rPr>
                <w:spacing w:val="-2"/>
                <w:sz w:val="22"/>
              </w:rPr>
              <w:t>40:50</w:t>
            </w:r>
          </w:p>
        </w:tc>
        <w:tc>
          <w:tcPr>
            <w:tcW w:w="1546" w:type="dxa"/>
          </w:tcPr>
          <w:p>
            <w:pPr>
              <w:pStyle w:val="TableParagraph"/>
              <w:spacing w:before="1"/>
              <w:ind w:right="202"/>
              <w:jc w:val="right"/>
              <w:rPr>
                <w:sz w:val="22"/>
              </w:rPr>
            </w:pPr>
            <w:r>
              <w:rPr>
                <w:spacing w:val="-2"/>
                <w:sz w:val="22"/>
              </w:rPr>
              <w:t>23.833±0.703</w:t>
            </w:r>
          </w:p>
        </w:tc>
        <w:tc>
          <w:tcPr>
            <w:tcW w:w="949" w:type="dxa"/>
          </w:tcPr>
          <w:p>
            <w:pPr>
              <w:pStyle w:val="TableParagraph"/>
              <w:spacing w:before="1"/>
              <w:ind w:left="149" w:right="50"/>
              <w:jc w:val="center"/>
              <w:rPr>
                <w:sz w:val="22"/>
              </w:rPr>
            </w:pPr>
            <w:r>
              <w:rPr>
                <w:spacing w:val="-2"/>
                <w:sz w:val="22"/>
              </w:rPr>
              <w:t>0.090</w:t>
            </w:r>
          </w:p>
        </w:tc>
        <w:tc>
          <w:tcPr>
            <w:tcW w:w="761" w:type="dxa"/>
          </w:tcPr>
          <w:p>
            <w:pPr>
              <w:pStyle w:val="TableParagraph"/>
              <w:spacing w:before="1"/>
              <w:ind w:left="226"/>
              <w:rPr>
                <w:sz w:val="22"/>
              </w:rPr>
            </w:pPr>
            <w:r>
              <w:rPr>
                <w:spacing w:val="-5"/>
                <w:sz w:val="22"/>
              </w:rPr>
              <w:t>NS</w:t>
            </w:r>
          </w:p>
        </w:tc>
      </w:tr>
      <w:tr>
        <w:trPr>
          <w:trHeight w:val="519" w:hRule="atLeast"/>
        </w:trPr>
        <w:tc>
          <w:tcPr>
            <w:tcW w:w="1642" w:type="dxa"/>
            <w:tcBorders>
              <w:bottom w:val="single" w:sz="4" w:space="0" w:color="000000"/>
            </w:tcBorders>
          </w:tcPr>
          <w:p>
            <w:pPr>
              <w:pStyle w:val="TableParagraph"/>
              <w:rPr>
                <w:rFonts w:ascii="Times New Roman"/>
                <w:sz w:val="22"/>
              </w:rPr>
            </w:pPr>
          </w:p>
        </w:tc>
        <w:tc>
          <w:tcPr>
            <w:tcW w:w="1441" w:type="dxa"/>
            <w:tcBorders>
              <w:bottom w:val="single" w:sz="4" w:space="0" w:color="000000"/>
            </w:tcBorders>
          </w:tcPr>
          <w:p>
            <w:pPr>
              <w:pStyle w:val="TableParagraph"/>
              <w:spacing w:before="72"/>
              <w:ind w:left="175"/>
              <w:rPr>
                <w:sz w:val="22"/>
              </w:rPr>
            </w:pPr>
            <w:r>
              <w:rPr>
                <w:sz w:val="22"/>
              </w:rPr>
              <w:t>H:L;</w:t>
            </w:r>
            <w:r>
              <w:rPr>
                <w:spacing w:val="-5"/>
                <w:sz w:val="22"/>
              </w:rPr>
              <w:t> </w:t>
            </w:r>
            <w:r>
              <w:rPr>
                <w:spacing w:val="-2"/>
                <w:sz w:val="22"/>
              </w:rPr>
              <w:t>50:50</w:t>
            </w:r>
          </w:p>
        </w:tc>
        <w:tc>
          <w:tcPr>
            <w:tcW w:w="1546" w:type="dxa"/>
            <w:tcBorders>
              <w:bottom w:val="single" w:sz="4" w:space="0" w:color="000000"/>
            </w:tcBorders>
          </w:tcPr>
          <w:p>
            <w:pPr>
              <w:pStyle w:val="TableParagraph"/>
              <w:spacing w:before="72"/>
              <w:ind w:right="202"/>
              <w:jc w:val="right"/>
              <w:rPr>
                <w:sz w:val="22"/>
              </w:rPr>
            </w:pPr>
            <w:r>
              <w:rPr>
                <w:spacing w:val="-2"/>
                <w:sz w:val="22"/>
              </w:rPr>
              <w:t>25.833±1.014</w:t>
            </w:r>
          </w:p>
        </w:tc>
        <w:tc>
          <w:tcPr>
            <w:tcW w:w="949" w:type="dxa"/>
            <w:tcBorders>
              <w:bottom w:val="single" w:sz="4" w:space="0" w:color="000000"/>
            </w:tcBorders>
          </w:tcPr>
          <w:p>
            <w:pPr>
              <w:pStyle w:val="TableParagraph"/>
              <w:spacing w:before="72"/>
              <w:ind w:left="149" w:right="50"/>
              <w:jc w:val="center"/>
              <w:rPr>
                <w:sz w:val="22"/>
              </w:rPr>
            </w:pPr>
            <w:r>
              <w:rPr>
                <w:spacing w:val="-2"/>
                <w:sz w:val="22"/>
              </w:rPr>
              <w:t>0.001</w:t>
            </w:r>
          </w:p>
        </w:tc>
        <w:tc>
          <w:tcPr>
            <w:tcW w:w="761" w:type="dxa"/>
            <w:tcBorders>
              <w:bottom w:val="single" w:sz="4" w:space="0" w:color="000000"/>
            </w:tcBorders>
          </w:tcPr>
          <w:p>
            <w:pPr>
              <w:pStyle w:val="TableParagraph"/>
              <w:spacing w:before="72"/>
              <w:ind w:left="248"/>
              <w:rPr>
                <w:sz w:val="22"/>
              </w:rPr>
            </w:pPr>
            <w:r>
              <w:rPr>
                <w:spacing w:val="-5"/>
                <w:sz w:val="22"/>
              </w:rPr>
              <w:t>SF</w:t>
            </w:r>
          </w:p>
        </w:tc>
      </w:tr>
      <w:tr>
        <w:trPr>
          <w:trHeight w:val="378" w:hRule="atLeast"/>
        </w:trPr>
        <w:tc>
          <w:tcPr>
            <w:tcW w:w="1642" w:type="dxa"/>
            <w:tcBorders>
              <w:top w:val="single" w:sz="4" w:space="0" w:color="000000"/>
            </w:tcBorders>
          </w:tcPr>
          <w:p>
            <w:pPr>
              <w:pStyle w:val="TableParagraph"/>
              <w:rPr>
                <w:rFonts w:ascii="Times New Roman"/>
                <w:sz w:val="22"/>
              </w:rPr>
            </w:pPr>
          </w:p>
        </w:tc>
        <w:tc>
          <w:tcPr>
            <w:tcW w:w="1441" w:type="dxa"/>
            <w:tcBorders>
              <w:top w:val="single" w:sz="4" w:space="0" w:color="000000"/>
            </w:tcBorders>
          </w:tcPr>
          <w:p>
            <w:pPr>
              <w:pStyle w:val="TableParagraph"/>
              <w:spacing w:line="265" w:lineRule="exact"/>
              <w:ind w:left="175"/>
              <w:rPr>
                <w:sz w:val="22"/>
              </w:rPr>
            </w:pPr>
            <w:r>
              <w:rPr>
                <w:sz w:val="22"/>
              </w:rPr>
              <w:t>H:L;</w:t>
            </w:r>
            <w:r>
              <w:rPr>
                <w:spacing w:val="-5"/>
                <w:sz w:val="22"/>
              </w:rPr>
              <w:t> </w:t>
            </w:r>
            <w:r>
              <w:rPr>
                <w:spacing w:val="-2"/>
                <w:sz w:val="22"/>
              </w:rPr>
              <w:t>10:50</w:t>
            </w:r>
          </w:p>
        </w:tc>
        <w:tc>
          <w:tcPr>
            <w:tcW w:w="1546" w:type="dxa"/>
            <w:tcBorders>
              <w:top w:val="single" w:sz="4" w:space="0" w:color="000000"/>
            </w:tcBorders>
          </w:tcPr>
          <w:p>
            <w:pPr>
              <w:pStyle w:val="TableParagraph"/>
              <w:spacing w:line="265" w:lineRule="exact"/>
              <w:ind w:right="202"/>
              <w:jc w:val="right"/>
              <w:rPr>
                <w:sz w:val="22"/>
              </w:rPr>
            </w:pPr>
            <w:r>
              <w:rPr>
                <w:spacing w:val="-2"/>
                <w:sz w:val="22"/>
              </w:rPr>
              <w:t>23.333±0.955</w:t>
            </w:r>
          </w:p>
        </w:tc>
        <w:tc>
          <w:tcPr>
            <w:tcW w:w="949" w:type="dxa"/>
            <w:tcBorders>
              <w:top w:val="single" w:sz="4" w:space="0" w:color="000000"/>
            </w:tcBorders>
          </w:tcPr>
          <w:p>
            <w:pPr>
              <w:pStyle w:val="TableParagraph"/>
              <w:spacing w:line="265" w:lineRule="exact"/>
              <w:ind w:left="149" w:right="50"/>
              <w:jc w:val="center"/>
              <w:rPr>
                <w:sz w:val="22"/>
              </w:rPr>
            </w:pPr>
            <w:r>
              <w:rPr>
                <w:spacing w:val="-2"/>
                <w:sz w:val="22"/>
              </w:rPr>
              <w:t>0.000</w:t>
            </w:r>
          </w:p>
        </w:tc>
        <w:tc>
          <w:tcPr>
            <w:tcW w:w="761" w:type="dxa"/>
            <w:tcBorders>
              <w:top w:val="single" w:sz="4" w:space="0" w:color="000000"/>
            </w:tcBorders>
          </w:tcPr>
          <w:p>
            <w:pPr>
              <w:pStyle w:val="TableParagraph"/>
              <w:spacing w:line="265" w:lineRule="exact"/>
              <w:ind w:left="248"/>
              <w:rPr>
                <w:sz w:val="22"/>
              </w:rPr>
            </w:pPr>
            <w:r>
              <w:rPr>
                <w:spacing w:val="-5"/>
                <w:sz w:val="22"/>
              </w:rPr>
              <w:t>SF</w:t>
            </w:r>
          </w:p>
        </w:tc>
      </w:tr>
      <w:tr>
        <w:trPr>
          <w:trHeight w:val="384" w:hRule="atLeast"/>
        </w:trPr>
        <w:tc>
          <w:tcPr>
            <w:tcW w:w="1642" w:type="dxa"/>
          </w:tcPr>
          <w:p>
            <w:pPr>
              <w:pStyle w:val="TableParagraph"/>
              <w:rPr>
                <w:rFonts w:ascii="Times New Roman"/>
                <w:sz w:val="22"/>
              </w:rPr>
            </w:pPr>
          </w:p>
        </w:tc>
        <w:tc>
          <w:tcPr>
            <w:tcW w:w="1441" w:type="dxa"/>
          </w:tcPr>
          <w:p>
            <w:pPr>
              <w:pStyle w:val="TableParagraph"/>
              <w:spacing w:before="73"/>
              <w:ind w:left="175"/>
              <w:rPr>
                <w:sz w:val="22"/>
              </w:rPr>
            </w:pPr>
            <w:r>
              <w:rPr>
                <w:sz w:val="22"/>
              </w:rPr>
              <w:t>H:L;</w:t>
            </w:r>
            <w:r>
              <w:rPr>
                <w:spacing w:val="-5"/>
                <w:sz w:val="22"/>
              </w:rPr>
              <w:t> </w:t>
            </w:r>
            <w:r>
              <w:rPr>
                <w:spacing w:val="-2"/>
                <w:sz w:val="22"/>
              </w:rPr>
              <w:t>20:50</w:t>
            </w:r>
          </w:p>
        </w:tc>
        <w:tc>
          <w:tcPr>
            <w:tcW w:w="1546" w:type="dxa"/>
          </w:tcPr>
          <w:p>
            <w:pPr>
              <w:pStyle w:val="TableParagraph"/>
              <w:spacing w:before="73"/>
              <w:ind w:right="202"/>
              <w:jc w:val="right"/>
              <w:rPr>
                <w:sz w:val="22"/>
              </w:rPr>
            </w:pPr>
            <w:r>
              <w:rPr>
                <w:spacing w:val="-2"/>
                <w:sz w:val="22"/>
              </w:rPr>
              <w:t>23.833±0.872</w:t>
            </w:r>
          </w:p>
        </w:tc>
        <w:tc>
          <w:tcPr>
            <w:tcW w:w="949" w:type="dxa"/>
          </w:tcPr>
          <w:p>
            <w:pPr>
              <w:pStyle w:val="TableParagraph"/>
              <w:spacing w:before="73"/>
              <w:ind w:left="149" w:right="50"/>
              <w:jc w:val="center"/>
              <w:rPr>
                <w:sz w:val="22"/>
              </w:rPr>
            </w:pPr>
            <w:r>
              <w:rPr>
                <w:spacing w:val="-2"/>
                <w:sz w:val="22"/>
              </w:rPr>
              <w:t>0.000</w:t>
            </w:r>
          </w:p>
        </w:tc>
        <w:tc>
          <w:tcPr>
            <w:tcW w:w="761" w:type="dxa"/>
          </w:tcPr>
          <w:p>
            <w:pPr>
              <w:pStyle w:val="TableParagraph"/>
              <w:spacing w:before="73"/>
              <w:ind w:left="248"/>
              <w:rPr>
                <w:sz w:val="22"/>
              </w:rPr>
            </w:pPr>
            <w:r>
              <w:rPr>
                <w:spacing w:val="-5"/>
                <w:sz w:val="22"/>
              </w:rPr>
              <w:t>SF</w:t>
            </w:r>
          </w:p>
        </w:tc>
      </w:tr>
      <w:tr>
        <w:trPr>
          <w:trHeight w:val="595" w:hRule="atLeast"/>
        </w:trPr>
        <w:tc>
          <w:tcPr>
            <w:tcW w:w="1642" w:type="dxa"/>
          </w:tcPr>
          <w:p>
            <w:pPr>
              <w:pStyle w:val="TableParagraph"/>
              <w:spacing w:before="1"/>
              <w:ind w:left="108"/>
              <w:rPr>
                <w:sz w:val="22"/>
              </w:rPr>
            </w:pPr>
            <w:r>
              <w:rPr>
                <w:sz w:val="22"/>
              </w:rPr>
              <w:t>Lemon</w:t>
            </w:r>
            <w:r>
              <w:rPr>
                <w:spacing w:val="-4"/>
                <w:sz w:val="22"/>
              </w:rPr>
              <w:t> </w:t>
            </w:r>
            <w:r>
              <w:rPr>
                <w:spacing w:val="-2"/>
                <w:sz w:val="22"/>
              </w:rPr>
              <w:t>(50%)</w:t>
            </w:r>
          </w:p>
          <w:p>
            <w:pPr>
              <w:pStyle w:val="TableParagraph"/>
              <w:spacing w:before="15"/>
              <w:ind w:left="108"/>
              <w:rPr>
                <w:sz w:val="22"/>
              </w:rPr>
            </w:pPr>
            <w:r>
              <w:rPr>
                <w:spacing w:val="-2"/>
                <w:sz w:val="22"/>
              </w:rPr>
              <w:t>(17.833±0.543)</w:t>
            </w:r>
          </w:p>
        </w:tc>
        <w:tc>
          <w:tcPr>
            <w:tcW w:w="1441" w:type="dxa"/>
          </w:tcPr>
          <w:p>
            <w:pPr>
              <w:pStyle w:val="TableParagraph"/>
              <w:spacing w:before="143"/>
              <w:ind w:left="175"/>
              <w:rPr>
                <w:sz w:val="22"/>
              </w:rPr>
            </w:pPr>
            <w:r>
              <w:rPr>
                <w:sz w:val="22"/>
              </w:rPr>
              <w:t>H:L;</w:t>
            </w:r>
            <w:r>
              <w:rPr>
                <w:spacing w:val="-5"/>
                <w:sz w:val="22"/>
              </w:rPr>
              <w:t> </w:t>
            </w:r>
            <w:r>
              <w:rPr>
                <w:spacing w:val="-2"/>
                <w:sz w:val="22"/>
              </w:rPr>
              <w:t>30:50</w:t>
            </w:r>
          </w:p>
        </w:tc>
        <w:tc>
          <w:tcPr>
            <w:tcW w:w="1546" w:type="dxa"/>
          </w:tcPr>
          <w:p>
            <w:pPr>
              <w:pStyle w:val="TableParagraph"/>
              <w:spacing w:before="143"/>
              <w:ind w:right="202"/>
              <w:jc w:val="right"/>
              <w:rPr>
                <w:sz w:val="22"/>
              </w:rPr>
            </w:pPr>
            <w:r>
              <w:rPr>
                <w:spacing w:val="-2"/>
                <w:sz w:val="22"/>
              </w:rPr>
              <w:t>21.333±0.715</w:t>
            </w:r>
          </w:p>
        </w:tc>
        <w:tc>
          <w:tcPr>
            <w:tcW w:w="949" w:type="dxa"/>
          </w:tcPr>
          <w:p>
            <w:pPr>
              <w:pStyle w:val="TableParagraph"/>
              <w:spacing w:before="143"/>
              <w:ind w:left="149" w:right="50"/>
              <w:jc w:val="center"/>
              <w:rPr>
                <w:sz w:val="22"/>
              </w:rPr>
            </w:pPr>
            <w:r>
              <w:rPr>
                <w:spacing w:val="-2"/>
                <w:sz w:val="22"/>
              </w:rPr>
              <w:t>0.043</w:t>
            </w:r>
          </w:p>
        </w:tc>
        <w:tc>
          <w:tcPr>
            <w:tcW w:w="761" w:type="dxa"/>
          </w:tcPr>
          <w:p>
            <w:pPr>
              <w:pStyle w:val="TableParagraph"/>
              <w:spacing w:before="143"/>
              <w:ind w:left="248"/>
              <w:rPr>
                <w:sz w:val="22"/>
              </w:rPr>
            </w:pPr>
            <w:r>
              <w:rPr>
                <w:spacing w:val="-5"/>
                <w:sz w:val="22"/>
              </w:rPr>
              <w:t>SF</w:t>
            </w:r>
          </w:p>
        </w:tc>
      </w:tr>
      <w:tr>
        <w:trPr>
          <w:trHeight w:val="382" w:hRule="atLeast"/>
        </w:trPr>
        <w:tc>
          <w:tcPr>
            <w:tcW w:w="1642" w:type="dxa"/>
          </w:tcPr>
          <w:p>
            <w:pPr>
              <w:pStyle w:val="TableParagraph"/>
              <w:rPr>
                <w:rFonts w:ascii="Times New Roman"/>
                <w:sz w:val="22"/>
              </w:rPr>
            </w:pPr>
          </w:p>
        </w:tc>
        <w:tc>
          <w:tcPr>
            <w:tcW w:w="1441" w:type="dxa"/>
          </w:tcPr>
          <w:p>
            <w:pPr>
              <w:pStyle w:val="TableParagraph"/>
              <w:spacing w:before="1"/>
              <w:ind w:left="175"/>
              <w:rPr>
                <w:sz w:val="22"/>
              </w:rPr>
            </w:pPr>
            <w:r>
              <w:rPr>
                <w:sz w:val="22"/>
              </w:rPr>
              <w:t>H:L;</w:t>
            </w:r>
            <w:r>
              <w:rPr>
                <w:spacing w:val="-5"/>
                <w:sz w:val="22"/>
              </w:rPr>
              <w:t> </w:t>
            </w:r>
            <w:r>
              <w:rPr>
                <w:spacing w:val="-2"/>
                <w:sz w:val="22"/>
              </w:rPr>
              <w:t>40:50</w:t>
            </w:r>
          </w:p>
        </w:tc>
        <w:tc>
          <w:tcPr>
            <w:tcW w:w="1546" w:type="dxa"/>
          </w:tcPr>
          <w:p>
            <w:pPr>
              <w:pStyle w:val="TableParagraph"/>
              <w:spacing w:before="1"/>
              <w:ind w:right="201"/>
              <w:jc w:val="right"/>
              <w:rPr>
                <w:sz w:val="22"/>
              </w:rPr>
            </w:pPr>
            <w:r>
              <w:rPr>
                <w:spacing w:val="-2"/>
                <w:sz w:val="22"/>
              </w:rPr>
              <w:t>23.833±0.703</w:t>
            </w:r>
          </w:p>
        </w:tc>
        <w:tc>
          <w:tcPr>
            <w:tcW w:w="949" w:type="dxa"/>
          </w:tcPr>
          <w:p>
            <w:pPr>
              <w:pStyle w:val="TableParagraph"/>
              <w:spacing w:before="1"/>
              <w:ind w:left="149" w:right="50"/>
              <w:jc w:val="center"/>
              <w:rPr>
                <w:sz w:val="22"/>
              </w:rPr>
            </w:pPr>
            <w:r>
              <w:rPr>
                <w:spacing w:val="-2"/>
                <w:sz w:val="22"/>
              </w:rPr>
              <w:t>0.000</w:t>
            </w:r>
          </w:p>
        </w:tc>
        <w:tc>
          <w:tcPr>
            <w:tcW w:w="761" w:type="dxa"/>
          </w:tcPr>
          <w:p>
            <w:pPr>
              <w:pStyle w:val="TableParagraph"/>
              <w:spacing w:before="1"/>
              <w:ind w:left="248"/>
              <w:rPr>
                <w:sz w:val="22"/>
              </w:rPr>
            </w:pPr>
            <w:r>
              <w:rPr>
                <w:spacing w:val="-5"/>
                <w:sz w:val="22"/>
              </w:rPr>
              <w:t>SF</w:t>
            </w:r>
          </w:p>
        </w:tc>
      </w:tr>
      <w:tr>
        <w:trPr>
          <w:trHeight w:val="521" w:hRule="atLeast"/>
        </w:trPr>
        <w:tc>
          <w:tcPr>
            <w:tcW w:w="1642" w:type="dxa"/>
            <w:tcBorders>
              <w:bottom w:val="single" w:sz="4" w:space="0" w:color="000000"/>
            </w:tcBorders>
          </w:tcPr>
          <w:p>
            <w:pPr>
              <w:pStyle w:val="TableParagraph"/>
              <w:rPr>
                <w:rFonts w:ascii="Times New Roman"/>
                <w:sz w:val="22"/>
              </w:rPr>
            </w:pPr>
          </w:p>
        </w:tc>
        <w:tc>
          <w:tcPr>
            <w:tcW w:w="1441" w:type="dxa"/>
            <w:tcBorders>
              <w:bottom w:val="single" w:sz="4" w:space="0" w:color="000000"/>
            </w:tcBorders>
          </w:tcPr>
          <w:p>
            <w:pPr>
              <w:pStyle w:val="TableParagraph"/>
              <w:spacing w:before="72"/>
              <w:ind w:left="175"/>
              <w:rPr>
                <w:sz w:val="22"/>
              </w:rPr>
            </w:pPr>
            <w:r>
              <w:rPr>
                <w:sz w:val="22"/>
              </w:rPr>
              <w:t>H:L;</w:t>
            </w:r>
            <w:r>
              <w:rPr>
                <w:spacing w:val="-5"/>
                <w:sz w:val="22"/>
              </w:rPr>
              <w:t> </w:t>
            </w:r>
            <w:r>
              <w:rPr>
                <w:spacing w:val="-2"/>
                <w:sz w:val="22"/>
              </w:rPr>
              <w:t>50:50</w:t>
            </w:r>
          </w:p>
        </w:tc>
        <w:tc>
          <w:tcPr>
            <w:tcW w:w="1546" w:type="dxa"/>
            <w:tcBorders>
              <w:bottom w:val="single" w:sz="4" w:space="0" w:color="000000"/>
            </w:tcBorders>
          </w:tcPr>
          <w:p>
            <w:pPr>
              <w:pStyle w:val="TableParagraph"/>
              <w:spacing w:before="72"/>
              <w:ind w:right="202"/>
              <w:jc w:val="right"/>
              <w:rPr>
                <w:sz w:val="22"/>
              </w:rPr>
            </w:pPr>
            <w:r>
              <w:rPr>
                <w:spacing w:val="-2"/>
                <w:sz w:val="22"/>
              </w:rPr>
              <w:t>25.833±1.014</w:t>
            </w:r>
          </w:p>
        </w:tc>
        <w:tc>
          <w:tcPr>
            <w:tcW w:w="949" w:type="dxa"/>
            <w:tcBorders>
              <w:bottom w:val="single" w:sz="4" w:space="0" w:color="000000"/>
            </w:tcBorders>
          </w:tcPr>
          <w:p>
            <w:pPr>
              <w:pStyle w:val="TableParagraph"/>
              <w:spacing w:before="72"/>
              <w:ind w:left="149" w:right="50"/>
              <w:jc w:val="center"/>
              <w:rPr>
                <w:sz w:val="22"/>
              </w:rPr>
            </w:pPr>
            <w:r>
              <w:rPr>
                <w:spacing w:val="-2"/>
                <w:sz w:val="22"/>
              </w:rPr>
              <w:t>0.000</w:t>
            </w:r>
          </w:p>
        </w:tc>
        <w:tc>
          <w:tcPr>
            <w:tcW w:w="761" w:type="dxa"/>
            <w:tcBorders>
              <w:bottom w:val="single" w:sz="4" w:space="0" w:color="000000"/>
            </w:tcBorders>
          </w:tcPr>
          <w:p>
            <w:pPr>
              <w:pStyle w:val="TableParagraph"/>
              <w:spacing w:before="72"/>
              <w:ind w:left="248"/>
              <w:rPr>
                <w:sz w:val="22"/>
              </w:rPr>
            </w:pPr>
            <w:r>
              <w:rPr>
                <w:spacing w:val="-5"/>
                <w:sz w:val="22"/>
              </w:rPr>
              <w:t>SF</w:t>
            </w:r>
          </w:p>
        </w:tc>
      </w:tr>
      <w:tr>
        <w:trPr>
          <w:trHeight w:val="377" w:hRule="atLeast"/>
        </w:trPr>
        <w:tc>
          <w:tcPr>
            <w:tcW w:w="1642" w:type="dxa"/>
            <w:tcBorders>
              <w:top w:val="single" w:sz="4" w:space="0" w:color="000000"/>
            </w:tcBorders>
          </w:tcPr>
          <w:p>
            <w:pPr>
              <w:pStyle w:val="TableParagraph"/>
              <w:rPr>
                <w:rFonts w:ascii="Times New Roman"/>
                <w:sz w:val="22"/>
              </w:rPr>
            </w:pPr>
          </w:p>
        </w:tc>
        <w:tc>
          <w:tcPr>
            <w:tcW w:w="1441" w:type="dxa"/>
            <w:tcBorders>
              <w:top w:val="single" w:sz="4" w:space="0" w:color="000000"/>
            </w:tcBorders>
          </w:tcPr>
          <w:p>
            <w:pPr>
              <w:pStyle w:val="TableParagraph"/>
              <w:spacing w:line="265" w:lineRule="exact"/>
              <w:ind w:left="175"/>
              <w:rPr>
                <w:sz w:val="22"/>
              </w:rPr>
            </w:pPr>
            <w:r>
              <w:rPr>
                <w:sz w:val="22"/>
              </w:rPr>
              <w:t>H:L;</w:t>
            </w:r>
            <w:r>
              <w:rPr>
                <w:spacing w:val="-5"/>
                <w:sz w:val="22"/>
              </w:rPr>
              <w:t> </w:t>
            </w:r>
            <w:r>
              <w:rPr>
                <w:spacing w:val="-2"/>
                <w:sz w:val="22"/>
              </w:rPr>
              <w:t>10:50</w:t>
            </w:r>
          </w:p>
        </w:tc>
        <w:tc>
          <w:tcPr>
            <w:tcW w:w="1546" w:type="dxa"/>
            <w:tcBorders>
              <w:top w:val="single" w:sz="4" w:space="0" w:color="000000"/>
            </w:tcBorders>
          </w:tcPr>
          <w:p>
            <w:pPr>
              <w:pStyle w:val="TableParagraph"/>
              <w:spacing w:line="265" w:lineRule="exact"/>
              <w:ind w:right="202"/>
              <w:jc w:val="right"/>
              <w:rPr>
                <w:sz w:val="22"/>
              </w:rPr>
            </w:pPr>
            <w:r>
              <w:rPr>
                <w:spacing w:val="-2"/>
                <w:sz w:val="22"/>
              </w:rPr>
              <w:t>23.333±0.955</w:t>
            </w:r>
          </w:p>
        </w:tc>
        <w:tc>
          <w:tcPr>
            <w:tcW w:w="949" w:type="dxa"/>
            <w:tcBorders>
              <w:top w:val="single" w:sz="4" w:space="0" w:color="000000"/>
            </w:tcBorders>
          </w:tcPr>
          <w:p>
            <w:pPr>
              <w:pStyle w:val="TableParagraph"/>
              <w:spacing w:line="265" w:lineRule="exact"/>
              <w:ind w:left="149" w:right="50"/>
              <w:jc w:val="center"/>
              <w:rPr>
                <w:sz w:val="22"/>
              </w:rPr>
            </w:pPr>
            <w:r>
              <w:rPr>
                <w:spacing w:val="-2"/>
                <w:sz w:val="22"/>
              </w:rPr>
              <w:t>0.000</w:t>
            </w:r>
          </w:p>
        </w:tc>
        <w:tc>
          <w:tcPr>
            <w:tcW w:w="761" w:type="dxa"/>
            <w:tcBorders>
              <w:top w:val="single" w:sz="4" w:space="0" w:color="000000"/>
            </w:tcBorders>
          </w:tcPr>
          <w:p>
            <w:pPr>
              <w:pStyle w:val="TableParagraph"/>
              <w:spacing w:line="265" w:lineRule="exact"/>
              <w:ind w:left="248"/>
              <w:rPr>
                <w:sz w:val="22"/>
              </w:rPr>
            </w:pPr>
            <w:r>
              <w:rPr>
                <w:spacing w:val="-5"/>
                <w:sz w:val="22"/>
              </w:rPr>
              <w:t>SF</w:t>
            </w:r>
          </w:p>
        </w:tc>
      </w:tr>
      <w:tr>
        <w:trPr>
          <w:trHeight w:val="383" w:hRule="atLeast"/>
        </w:trPr>
        <w:tc>
          <w:tcPr>
            <w:tcW w:w="1642" w:type="dxa"/>
          </w:tcPr>
          <w:p>
            <w:pPr>
              <w:pStyle w:val="TableParagraph"/>
              <w:rPr>
                <w:rFonts w:ascii="Times New Roman"/>
                <w:sz w:val="22"/>
              </w:rPr>
            </w:pPr>
          </w:p>
        </w:tc>
        <w:tc>
          <w:tcPr>
            <w:tcW w:w="1441" w:type="dxa"/>
          </w:tcPr>
          <w:p>
            <w:pPr>
              <w:pStyle w:val="TableParagraph"/>
              <w:spacing w:before="72"/>
              <w:ind w:left="175"/>
              <w:rPr>
                <w:sz w:val="22"/>
              </w:rPr>
            </w:pPr>
            <w:r>
              <w:rPr>
                <w:sz w:val="22"/>
              </w:rPr>
              <w:t>H:L;</w:t>
            </w:r>
            <w:r>
              <w:rPr>
                <w:spacing w:val="-5"/>
                <w:sz w:val="22"/>
              </w:rPr>
              <w:t> </w:t>
            </w:r>
            <w:r>
              <w:rPr>
                <w:spacing w:val="-2"/>
                <w:sz w:val="22"/>
              </w:rPr>
              <w:t>20:50</w:t>
            </w:r>
          </w:p>
        </w:tc>
        <w:tc>
          <w:tcPr>
            <w:tcW w:w="1546" w:type="dxa"/>
          </w:tcPr>
          <w:p>
            <w:pPr>
              <w:pStyle w:val="TableParagraph"/>
              <w:spacing w:before="72"/>
              <w:ind w:right="202"/>
              <w:jc w:val="right"/>
              <w:rPr>
                <w:sz w:val="22"/>
              </w:rPr>
            </w:pPr>
            <w:r>
              <w:rPr>
                <w:spacing w:val="-2"/>
                <w:sz w:val="22"/>
              </w:rPr>
              <w:t>23.833±0.872</w:t>
            </w:r>
          </w:p>
        </w:tc>
        <w:tc>
          <w:tcPr>
            <w:tcW w:w="949" w:type="dxa"/>
          </w:tcPr>
          <w:p>
            <w:pPr>
              <w:pStyle w:val="TableParagraph"/>
              <w:spacing w:before="72"/>
              <w:ind w:left="149" w:right="50"/>
              <w:jc w:val="center"/>
              <w:rPr>
                <w:sz w:val="22"/>
              </w:rPr>
            </w:pPr>
            <w:r>
              <w:rPr>
                <w:spacing w:val="-2"/>
                <w:sz w:val="22"/>
              </w:rPr>
              <w:t>0.000</w:t>
            </w:r>
          </w:p>
        </w:tc>
        <w:tc>
          <w:tcPr>
            <w:tcW w:w="761" w:type="dxa"/>
          </w:tcPr>
          <w:p>
            <w:pPr>
              <w:pStyle w:val="TableParagraph"/>
              <w:spacing w:before="72"/>
              <w:ind w:left="248"/>
              <w:rPr>
                <w:sz w:val="22"/>
              </w:rPr>
            </w:pPr>
            <w:r>
              <w:rPr>
                <w:spacing w:val="-5"/>
                <w:sz w:val="22"/>
              </w:rPr>
              <w:t>SF</w:t>
            </w:r>
          </w:p>
        </w:tc>
      </w:tr>
      <w:tr>
        <w:trPr>
          <w:trHeight w:val="596" w:hRule="atLeast"/>
        </w:trPr>
        <w:tc>
          <w:tcPr>
            <w:tcW w:w="1642" w:type="dxa"/>
          </w:tcPr>
          <w:p>
            <w:pPr>
              <w:pStyle w:val="TableParagraph"/>
              <w:spacing w:before="2"/>
              <w:ind w:left="108"/>
              <w:rPr>
                <w:sz w:val="22"/>
              </w:rPr>
            </w:pPr>
            <w:r>
              <w:rPr>
                <w:sz w:val="22"/>
              </w:rPr>
              <w:t>Lemon</w:t>
            </w:r>
            <w:r>
              <w:rPr>
                <w:spacing w:val="-4"/>
                <w:sz w:val="22"/>
              </w:rPr>
              <w:t> </w:t>
            </w:r>
            <w:r>
              <w:rPr>
                <w:spacing w:val="-2"/>
                <w:sz w:val="22"/>
              </w:rPr>
              <w:t>(25%)</w:t>
            </w:r>
          </w:p>
          <w:p>
            <w:pPr>
              <w:pStyle w:val="TableParagraph"/>
              <w:spacing w:before="14"/>
              <w:ind w:left="108"/>
              <w:rPr>
                <w:sz w:val="22"/>
              </w:rPr>
            </w:pPr>
            <w:r>
              <w:rPr>
                <w:spacing w:val="-2"/>
                <w:sz w:val="22"/>
              </w:rPr>
              <w:t>(15.333±0.558)</w:t>
            </w:r>
          </w:p>
        </w:tc>
        <w:tc>
          <w:tcPr>
            <w:tcW w:w="1441" w:type="dxa"/>
          </w:tcPr>
          <w:p>
            <w:pPr>
              <w:pStyle w:val="TableParagraph"/>
              <w:spacing w:before="143"/>
              <w:ind w:left="175"/>
              <w:rPr>
                <w:sz w:val="22"/>
              </w:rPr>
            </w:pPr>
            <w:r>
              <w:rPr>
                <w:sz w:val="22"/>
              </w:rPr>
              <w:t>H:L;</w:t>
            </w:r>
            <w:r>
              <w:rPr>
                <w:spacing w:val="-5"/>
                <w:sz w:val="22"/>
              </w:rPr>
              <w:t> </w:t>
            </w:r>
            <w:r>
              <w:rPr>
                <w:spacing w:val="-2"/>
                <w:sz w:val="22"/>
              </w:rPr>
              <w:t>30:50</w:t>
            </w:r>
          </w:p>
        </w:tc>
        <w:tc>
          <w:tcPr>
            <w:tcW w:w="1546" w:type="dxa"/>
          </w:tcPr>
          <w:p>
            <w:pPr>
              <w:pStyle w:val="TableParagraph"/>
              <w:spacing w:before="143"/>
              <w:ind w:right="202"/>
              <w:jc w:val="right"/>
              <w:rPr>
                <w:sz w:val="22"/>
              </w:rPr>
            </w:pPr>
            <w:r>
              <w:rPr>
                <w:spacing w:val="-2"/>
                <w:sz w:val="22"/>
              </w:rPr>
              <w:t>21.333±0.715</w:t>
            </w:r>
          </w:p>
        </w:tc>
        <w:tc>
          <w:tcPr>
            <w:tcW w:w="949" w:type="dxa"/>
          </w:tcPr>
          <w:p>
            <w:pPr>
              <w:pStyle w:val="TableParagraph"/>
              <w:spacing w:before="143"/>
              <w:ind w:left="149" w:right="50"/>
              <w:jc w:val="center"/>
              <w:rPr>
                <w:sz w:val="22"/>
              </w:rPr>
            </w:pPr>
            <w:r>
              <w:rPr>
                <w:spacing w:val="-2"/>
                <w:sz w:val="22"/>
              </w:rPr>
              <w:t>0.000</w:t>
            </w:r>
          </w:p>
        </w:tc>
        <w:tc>
          <w:tcPr>
            <w:tcW w:w="761" w:type="dxa"/>
          </w:tcPr>
          <w:p>
            <w:pPr>
              <w:pStyle w:val="TableParagraph"/>
              <w:spacing w:before="143"/>
              <w:ind w:left="248"/>
              <w:rPr>
                <w:sz w:val="22"/>
              </w:rPr>
            </w:pPr>
            <w:r>
              <w:rPr>
                <w:spacing w:val="-5"/>
                <w:sz w:val="22"/>
              </w:rPr>
              <w:t>SF</w:t>
            </w:r>
          </w:p>
        </w:tc>
      </w:tr>
      <w:tr>
        <w:trPr>
          <w:trHeight w:val="383" w:hRule="atLeast"/>
        </w:trPr>
        <w:tc>
          <w:tcPr>
            <w:tcW w:w="1642" w:type="dxa"/>
          </w:tcPr>
          <w:p>
            <w:pPr>
              <w:pStyle w:val="TableParagraph"/>
              <w:rPr>
                <w:rFonts w:ascii="Times New Roman"/>
                <w:sz w:val="22"/>
              </w:rPr>
            </w:pPr>
          </w:p>
        </w:tc>
        <w:tc>
          <w:tcPr>
            <w:tcW w:w="1441" w:type="dxa"/>
          </w:tcPr>
          <w:p>
            <w:pPr>
              <w:pStyle w:val="TableParagraph"/>
              <w:spacing w:before="3"/>
              <w:ind w:left="175"/>
              <w:rPr>
                <w:sz w:val="22"/>
              </w:rPr>
            </w:pPr>
            <w:r>
              <w:rPr>
                <w:sz w:val="22"/>
              </w:rPr>
              <w:t>H:L;</w:t>
            </w:r>
            <w:r>
              <w:rPr>
                <w:spacing w:val="-5"/>
                <w:sz w:val="22"/>
              </w:rPr>
              <w:t> </w:t>
            </w:r>
            <w:r>
              <w:rPr>
                <w:spacing w:val="-2"/>
                <w:sz w:val="22"/>
              </w:rPr>
              <w:t>40:50</w:t>
            </w:r>
          </w:p>
        </w:tc>
        <w:tc>
          <w:tcPr>
            <w:tcW w:w="1546" w:type="dxa"/>
          </w:tcPr>
          <w:p>
            <w:pPr>
              <w:pStyle w:val="TableParagraph"/>
              <w:spacing w:before="3"/>
              <w:ind w:right="202"/>
              <w:jc w:val="right"/>
              <w:rPr>
                <w:sz w:val="22"/>
              </w:rPr>
            </w:pPr>
            <w:r>
              <w:rPr>
                <w:spacing w:val="-2"/>
                <w:sz w:val="22"/>
              </w:rPr>
              <w:t>23.833±0.703</w:t>
            </w:r>
          </w:p>
        </w:tc>
        <w:tc>
          <w:tcPr>
            <w:tcW w:w="949" w:type="dxa"/>
          </w:tcPr>
          <w:p>
            <w:pPr>
              <w:pStyle w:val="TableParagraph"/>
              <w:spacing w:before="3"/>
              <w:ind w:left="149" w:right="50"/>
              <w:jc w:val="center"/>
              <w:rPr>
                <w:sz w:val="22"/>
              </w:rPr>
            </w:pPr>
            <w:r>
              <w:rPr>
                <w:spacing w:val="-2"/>
                <w:sz w:val="22"/>
              </w:rPr>
              <w:t>0.000</w:t>
            </w:r>
          </w:p>
        </w:tc>
        <w:tc>
          <w:tcPr>
            <w:tcW w:w="761" w:type="dxa"/>
          </w:tcPr>
          <w:p>
            <w:pPr>
              <w:pStyle w:val="TableParagraph"/>
              <w:spacing w:before="3"/>
              <w:ind w:left="248"/>
              <w:rPr>
                <w:sz w:val="22"/>
              </w:rPr>
            </w:pPr>
            <w:r>
              <w:rPr>
                <w:spacing w:val="-5"/>
                <w:sz w:val="22"/>
              </w:rPr>
              <w:t>SF</w:t>
            </w:r>
          </w:p>
        </w:tc>
      </w:tr>
      <w:tr>
        <w:trPr>
          <w:trHeight w:val="519" w:hRule="atLeast"/>
        </w:trPr>
        <w:tc>
          <w:tcPr>
            <w:tcW w:w="1642" w:type="dxa"/>
            <w:tcBorders>
              <w:bottom w:val="single" w:sz="4" w:space="0" w:color="000000"/>
            </w:tcBorders>
          </w:tcPr>
          <w:p>
            <w:pPr>
              <w:pStyle w:val="TableParagraph"/>
              <w:rPr>
                <w:rFonts w:ascii="Times New Roman"/>
                <w:sz w:val="22"/>
              </w:rPr>
            </w:pPr>
          </w:p>
        </w:tc>
        <w:tc>
          <w:tcPr>
            <w:tcW w:w="1441" w:type="dxa"/>
            <w:tcBorders>
              <w:bottom w:val="single" w:sz="4" w:space="0" w:color="000000"/>
            </w:tcBorders>
          </w:tcPr>
          <w:p>
            <w:pPr>
              <w:pStyle w:val="TableParagraph"/>
              <w:spacing w:before="72"/>
              <w:ind w:left="175"/>
              <w:rPr>
                <w:sz w:val="22"/>
              </w:rPr>
            </w:pPr>
            <w:r>
              <w:rPr>
                <w:sz w:val="22"/>
              </w:rPr>
              <w:t>H:L;</w:t>
            </w:r>
            <w:r>
              <w:rPr>
                <w:spacing w:val="-5"/>
                <w:sz w:val="22"/>
              </w:rPr>
              <w:t> </w:t>
            </w:r>
            <w:r>
              <w:rPr>
                <w:spacing w:val="-2"/>
                <w:sz w:val="22"/>
              </w:rPr>
              <w:t>50:50</w:t>
            </w:r>
          </w:p>
        </w:tc>
        <w:tc>
          <w:tcPr>
            <w:tcW w:w="1546" w:type="dxa"/>
            <w:tcBorders>
              <w:bottom w:val="single" w:sz="4" w:space="0" w:color="000000"/>
            </w:tcBorders>
          </w:tcPr>
          <w:p>
            <w:pPr>
              <w:pStyle w:val="TableParagraph"/>
              <w:spacing w:before="72"/>
              <w:ind w:right="202"/>
              <w:jc w:val="right"/>
              <w:rPr>
                <w:sz w:val="22"/>
              </w:rPr>
            </w:pPr>
            <w:r>
              <w:rPr>
                <w:spacing w:val="-2"/>
                <w:sz w:val="22"/>
              </w:rPr>
              <w:t>25.833±1.014</w:t>
            </w:r>
          </w:p>
        </w:tc>
        <w:tc>
          <w:tcPr>
            <w:tcW w:w="949" w:type="dxa"/>
            <w:tcBorders>
              <w:bottom w:val="single" w:sz="4" w:space="0" w:color="000000"/>
            </w:tcBorders>
          </w:tcPr>
          <w:p>
            <w:pPr>
              <w:pStyle w:val="TableParagraph"/>
              <w:spacing w:before="72"/>
              <w:ind w:left="149" w:right="50"/>
              <w:jc w:val="center"/>
              <w:rPr>
                <w:sz w:val="22"/>
              </w:rPr>
            </w:pPr>
            <w:r>
              <w:rPr>
                <w:spacing w:val="-2"/>
                <w:sz w:val="22"/>
              </w:rPr>
              <w:t>0.000</w:t>
            </w:r>
          </w:p>
        </w:tc>
        <w:tc>
          <w:tcPr>
            <w:tcW w:w="761" w:type="dxa"/>
            <w:tcBorders>
              <w:bottom w:val="single" w:sz="4" w:space="0" w:color="000000"/>
            </w:tcBorders>
          </w:tcPr>
          <w:p>
            <w:pPr>
              <w:pStyle w:val="TableParagraph"/>
              <w:spacing w:before="72"/>
              <w:ind w:left="248"/>
              <w:rPr>
                <w:sz w:val="22"/>
              </w:rPr>
            </w:pPr>
            <w:r>
              <w:rPr>
                <w:spacing w:val="-5"/>
                <w:sz w:val="22"/>
              </w:rPr>
              <w:t>SF</w:t>
            </w:r>
          </w:p>
        </w:tc>
      </w:tr>
    </w:tbl>
    <w:p>
      <w:pPr>
        <w:pStyle w:val="BodyText"/>
        <w:spacing w:line="259" w:lineRule="auto" w:before="6"/>
        <w:ind w:left="380" w:right="975"/>
      </w:pPr>
      <w:r>
        <w:rPr>
          <w:b/>
        </w:rPr>
        <w:t>Key:</w:t>
      </w:r>
      <w:r>
        <w:rPr>
          <w:b/>
          <w:spacing w:val="34"/>
        </w:rPr>
        <w:t> </w:t>
      </w:r>
      <w:r>
        <w:rPr/>
        <w:t>LOS=Level</w:t>
      </w:r>
      <w:r>
        <w:rPr>
          <w:spacing w:val="32"/>
        </w:rPr>
        <w:t> </w:t>
      </w:r>
      <w:r>
        <w:rPr/>
        <w:t>of</w:t>
      </w:r>
      <w:r>
        <w:rPr>
          <w:spacing w:val="32"/>
        </w:rPr>
        <w:t> </w:t>
      </w:r>
      <w:r>
        <w:rPr/>
        <w:t>significance;</w:t>
      </w:r>
      <w:r>
        <w:rPr>
          <w:spacing w:val="38"/>
        </w:rPr>
        <w:t> </w:t>
      </w:r>
      <w:r>
        <w:rPr/>
        <w:t>NS=Not</w:t>
      </w:r>
      <w:r>
        <w:rPr>
          <w:spacing w:val="33"/>
        </w:rPr>
        <w:t> </w:t>
      </w:r>
      <w:r>
        <w:rPr/>
        <w:t>significantly</w:t>
      </w:r>
      <w:r>
        <w:rPr>
          <w:spacing w:val="33"/>
        </w:rPr>
        <w:t> </w:t>
      </w:r>
      <w:r>
        <w:rPr/>
        <w:t>different;</w:t>
      </w:r>
      <w:r>
        <w:rPr>
          <w:spacing w:val="35"/>
        </w:rPr>
        <w:t> </w:t>
      </w:r>
      <w:r>
        <w:rPr/>
        <w:t>SF=Significantly</w:t>
      </w:r>
      <w:r>
        <w:rPr>
          <w:spacing w:val="33"/>
        </w:rPr>
        <w:t> </w:t>
      </w:r>
      <w:r>
        <w:rPr/>
        <w:t>different;</w:t>
      </w:r>
      <w:r>
        <w:rPr>
          <w:spacing w:val="35"/>
        </w:rPr>
        <w:t> </w:t>
      </w:r>
      <w:r>
        <w:rPr/>
        <w:t>H=Honey and L=Lemon juice.</w:t>
      </w:r>
    </w:p>
    <w:p>
      <w:pPr>
        <w:spacing w:after="0" w:line="259" w:lineRule="auto"/>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0"/>
      </w:pPr>
    </w:p>
    <w:p>
      <w:pPr>
        <w:pStyle w:val="Heading3"/>
        <w:tabs>
          <w:tab w:pos="3980" w:val="left" w:leader="none"/>
        </w:tabs>
        <w:spacing w:before="1"/>
        <w:ind w:left="380"/>
      </w:pPr>
      <w:r>
        <w:rPr/>
        <w:t>Appendix</w:t>
      </w:r>
      <w:r>
        <w:rPr>
          <w:spacing w:val="-5"/>
        </w:rPr>
        <w:t> V:</w:t>
      </w:r>
      <w:r>
        <w:rPr/>
        <w:tab/>
        <w:t>Data</w:t>
      </w:r>
      <w:r>
        <w:rPr>
          <w:spacing w:val="-5"/>
        </w:rPr>
        <w:t> </w:t>
      </w:r>
      <w:r>
        <w:rPr/>
        <w:t>on</w:t>
      </w:r>
      <w:r>
        <w:rPr>
          <w:spacing w:val="-3"/>
        </w:rPr>
        <w:t> </w:t>
      </w:r>
      <w:r>
        <w:rPr/>
        <w:t>Samples</w:t>
      </w:r>
      <w:r>
        <w:rPr>
          <w:spacing w:val="-1"/>
        </w:rPr>
        <w:t> </w:t>
      </w:r>
      <w:r>
        <w:rPr>
          <w:spacing w:val="-2"/>
        </w:rPr>
        <w:t>Collected</w:t>
      </w:r>
    </w:p>
    <w:p>
      <w:pPr>
        <w:pStyle w:val="BodyText"/>
        <w:rPr>
          <w:b/>
          <w:sz w:val="20"/>
        </w:rPr>
      </w:pPr>
    </w:p>
    <w:p>
      <w:pPr>
        <w:pStyle w:val="BodyText"/>
        <w:spacing w:before="122"/>
        <w:rPr>
          <w:b/>
          <w:sz w:val="20"/>
        </w:rPr>
      </w:pPr>
      <w:r>
        <w:rPr/>
        <mc:AlternateContent>
          <mc:Choice Requires="wps">
            <w:drawing>
              <wp:anchor distT="0" distB="0" distL="0" distR="0" allowOverlap="1" layoutInCell="1" locked="0" behindDoc="1" simplePos="0" relativeHeight="487686144">
                <wp:simplePos x="0" y="0"/>
                <wp:positionH relativeFrom="page">
                  <wp:posOffset>896416</wp:posOffset>
                </wp:positionH>
                <wp:positionV relativeFrom="paragraph">
                  <wp:posOffset>247858</wp:posOffset>
                </wp:positionV>
                <wp:extent cx="5769610" cy="6350"/>
                <wp:effectExtent l="0" t="0" r="0" b="0"/>
                <wp:wrapTopAndBottom/>
                <wp:docPr id="518" name="Graphic 518"/>
                <wp:cNvGraphicFramePr>
                  <a:graphicFrameLocks/>
                </wp:cNvGraphicFramePr>
                <a:graphic>
                  <a:graphicData uri="http://schemas.microsoft.com/office/word/2010/wordprocessingShape">
                    <wps:wsp>
                      <wps:cNvPr id="518" name="Graphic 518"/>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19.516396pt;width:454.3pt;height:.48001pt;mso-position-horizontal-relative:page;mso-position-vertical-relative:paragraph;z-index:-15630336;mso-wrap-distance-left:0;mso-wrap-distance-right:0" id="docshape463" filled="true" fillcolor="#000000" stroked="false">
                <v:fill type="solid"/>
                <w10:wrap type="topAndBottom"/>
              </v:rect>
            </w:pict>
          </mc:Fallback>
        </mc:AlternateContent>
      </w:r>
    </w:p>
    <w:p>
      <w:pPr>
        <w:tabs>
          <w:tab w:pos="2269" w:val="left" w:leader="none"/>
          <w:tab w:pos="3980" w:val="left" w:leader="none"/>
          <w:tab w:pos="5572" w:val="left" w:leader="none"/>
          <w:tab w:pos="7833" w:val="left" w:leader="none"/>
        </w:tabs>
        <w:spacing w:before="18" w:after="45"/>
        <w:ind w:left="781" w:right="0" w:firstLine="0"/>
        <w:jc w:val="left"/>
        <w:rPr>
          <w:b/>
          <w:sz w:val="22"/>
        </w:rPr>
      </w:pPr>
      <w:r>
        <w:rPr>
          <w:b/>
          <w:spacing w:val="-2"/>
          <w:sz w:val="22"/>
        </w:rPr>
        <w:t>S/No.</w:t>
      </w:r>
      <w:r>
        <w:rPr>
          <w:b/>
          <w:sz w:val="22"/>
        </w:rPr>
        <w:tab/>
      </w:r>
      <w:r>
        <w:rPr>
          <w:b/>
          <w:spacing w:val="-5"/>
          <w:sz w:val="22"/>
        </w:rPr>
        <w:t>Age</w:t>
      </w:r>
      <w:r>
        <w:rPr>
          <w:b/>
          <w:sz w:val="22"/>
        </w:rPr>
        <w:tab/>
      </w:r>
      <w:r>
        <w:rPr>
          <w:b/>
          <w:spacing w:val="-5"/>
          <w:sz w:val="22"/>
        </w:rPr>
        <w:t>Sex</w:t>
      </w:r>
      <w:r>
        <w:rPr>
          <w:b/>
          <w:sz w:val="22"/>
        </w:rPr>
        <w:tab/>
        <w:t>Sample</w:t>
      </w:r>
      <w:r>
        <w:rPr>
          <w:b/>
          <w:spacing w:val="-12"/>
          <w:sz w:val="22"/>
        </w:rPr>
        <w:t> </w:t>
      </w:r>
      <w:r>
        <w:rPr>
          <w:b/>
          <w:spacing w:val="-2"/>
          <w:sz w:val="22"/>
        </w:rPr>
        <w:t>source</w:t>
      </w:r>
      <w:r>
        <w:rPr>
          <w:b/>
          <w:sz w:val="22"/>
        </w:rPr>
        <w:tab/>
        <w:t>Sample</w:t>
      </w:r>
      <w:r>
        <w:rPr>
          <w:b/>
          <w:spacing w:val="-8"/>
          <w:sz w:val="22"/>
        </w:rPr>
        <w:t> </w:t>
      </w:r>
      <w:r>
        <w:rPr>
          <w:b/>
          <w:spacing w:val="-5"/>
          <w:sz w:val="22"/>
        </w:rPr>
        <w:t>No.</w:t>
      </w:r>
    </w:p>
    <w:p>
      <w:pPr>
        <w:pStyle w:val="BodyText"/>
        <w:spacing w:line="20" w:lineRule="exact"/>
        <w:ind w:left="351"/>
        <w:rPr>
          <w:sz w:val="2"/>
        </w:rPr>
      </w:pPr>
      <w:r>
        <w:rPr>
          <w:sz w:val="2"/>
        </w:rPr>
        <mc:AlternateContent>
          <mc:Choice Requires="wps">
            <w:drawing>
              <wp:inline distT="0" distB="0" distL="0" distR="0">
                <wp:extent cx="5769610" cy="6350"/>
                <wp:effectExtent l="0" t="0" r="0" b="0"/>
                <wp:docPr id="519" name="Group 519"/>
                <wp:cNvGraphicFramePr>
                  <a:graphicFrameLocks/>
                </wp:cNvGraphicFramePr>
                <a:graphic>
                  <a:graphicData uri="http://schemas.microsoft.com/office/word/2010/wordprocessingGroup">
                    <wpg:wgp>
                      <wpg:cNvPr id="519" name="Group 519"/>
                      <wpg:cNvGrpSpPr/>
                      <wpg:grpSpPr>
                        <a:xfrm>
                          <a:off x="0" y="0"/>
                          <a:ext cx="5769610" cy="6350"/>
                          <a:chExt cx="5769610" cy="6350"/>
                        </a:xfrm>
                      </wpg:grpSpPr>
                      <wps:wsp>
                        <wps:cNvPr id="520" name="Graphic 520"/>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3pt;height:.5pt;mso-position-horizontal-relative:char;mso-position-vertical-relative:line" id="docshapegroup464" coordorigin="0,0" coordsize="9086,10">
                <v:rect style="position:absolute;left:0;top:0;width:9086;height:10" id="docshape465" filled="true" fillcolor="#000000" stroked="false">
                  <v:fill type="solid"/>
                </v:rect>
              </v:group>
            </w:pict>
          </mc:Fallback>
        </mc:AlternateContent>
      </w:r>
      <w:r>
        <w:rPr>
          <w:sz w:val="2"/>
        </w:rPr>
      </w:r>
    </w:p>
    <w:p>
      <w:pPr>
        <w:pStyle w:val="BodyText"/>
        <w:rPr>
          <w:b/>
          <w:sz w:val="20"/>
        </w:rPr>
      </w:pPr>
    </w:p>
    <w:p>
      <w:pPr>
        <w:pStyle w:val="BodyText"/>
        <w:spacing w:before="146" w:after="1"/>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7"/>
        <w:gridCol w:w="1570"/>
        <w:gridCol w:w="1593"/>
        <w:gridCol w:w="2565"/>
        <w:gridCol w:w="1864"/>
      </w:tblGrid>
      <w:tr>
        <w:trPr>
          <w:trHeight w:val="560" w:hRule="atLeast"/>
        </w:trPr>
        <w:tc>
          <w:tcPr>
            <w:tcW w:w="1257" w:type="dxa"/>
          </w:tcPr>
          <w:p>
            <w:pPr>
              <w:pStyle w:val="TableParagraph"/>
              <w:spacing w:line="225" w:lineRule="exact"/>
              <w:ind w:right="39"/>
              <w:jc w:val="center"/>
              <w:rPr>
                <w:sz w:val="22"/>
              </w:rPr>
            </w:pPr>
            <w:r>
              <w:rPr>
                <w:spacing w:val="-10"/>
                <w:sz w:val="22"/>
              </w:rPr>
              <w:t>1</w:t>
            </w:r>
          </w:p>
        </w:tc>
        <w:tc>
          <w:tcPr>
            <w:tcW w:w="1570" w:type="dxa"/>
          </w:tcPr>
          <w:p>
            <w:pPr>
              <w:pStyle w:val="TableParagraph"/>
              <w:spacing w:line="225" w:lineRule="exact"/>
              <w:ind w:left="2" w:right="157"/>
              <w:jc w:val="center"/>
              <w:rPr>
                <w:sz w:val="22"/>
              </w:rPr>
            </w:pPr>
            <w:r>
              <w:rPr>
                <w:spacing w:val="-5"/>
                <w:sz w:val="22"/>
              </w:rPr>
              <w:t>31</w:t>
            </w:r>
          </w:p>
        </w:tc>
        <w:tc>
          <w:tcPr>
            <w:tcW w:w="1593" w:type="dxa"/>
          </w:tcPr>
          <w:p>
            <w:pPr>
              <w:pStyle w:val="TableParagraph"/>
              <w:spacing w:line="225" w:lineRule="exact"/>
              <w:ind w:left="99" w:right="1"/>
              <w:jc w:val="center"/>
              <w:rPr>
                <w:sz w:val="22"/>
              </w:rPr>
            </w:pPr>
            <w:r>
              <w:rPr>
                <w:spacing w:val="-10"/>
                <w:sz w:val="22"/>
              </w:rPr>
              <w:t>F</w:t>
            </w:r>
          </w:p>
        </w:tc>
        <w:tc>
          <w:tcPr>
            <w:tcW w:w="2565" w:type="dxa"/>
          </w:tcPr>
          <w:p>
            <w:pPr>
              <w:pStyle w:val="TableParagraph"/>
              <w:spacing w:line="225" w:lineRule="exact"/>
              <w:ind w:left="83" w:right="3"/>
              <w:jc w:val="center"/>
              <w:rPr>
                <w:sz w:val="22"/>
              </w:rPr>
            </w:pPr>
            <w:r>
              <w:rPr>
                <w:spacing w:val="-2"/>
                <w:sz w:val="22"/>
              </w:rPr>
              <w:t>SPUTUM</w:t>
            </w:r>
          </w:p>
        </w:tc>
        <w:tc>
          <w:tcPr>
            <w:tcW w:w="1864" w:type="dxa"/>
          </w:tcPr>
          <w:p>
            <w:pPr>
              <w:pStyle w:val="TableParagraph"/>
              <w:spacing w:line="225" w:lineRule="exact"/>
              <w:ind w:left="5" w:right="112"/>
              <w:jc w:val="center"/>
              <w:rPr>
                <w:sz w:val="22"/>
              </w:rPr>
            </w:pPr>
            <w:r>
              <w:rPr>
                <w:sz w:val="22"/>
              </w:rPr>
              <w:t>SP</w:t>
            </w:r>
            <w:r>
              <w:rPr>
                <w:spacing w:val="1"/>
                <w:sz w:val="22"/>
              </w:rPr>
              <w:t> </w:t>
            </w:r>
            <w:r>
              <w:rPr>
                <w:spacing w:val="-5"/>
                <w:sz w:val="22"/>
              </w:rPr>
              <w:t>300</w:t>
            </w:r>
          </w:p>
        </w:tc>
      </w:tr>
      <w:tr>
        <w:trPr>
          <w:trHeight w:val="930" w:hRule="atLeast"/>
        </w:trPr>
        <w:tc>
          <w:tcPr>
            <w:tcW w:w="1257" w:type="dxa"/>
          </w:tcPr>
          <w:p>
            <w:pPr>
              <w:pStyle w:val="TableParagraph"/>
              <w:spacing w:before="27"/>
              <w:rPr>
                <w:b/>
                <w:sz w:val="22"/>
              </w:rPr>
            </w:pPr>
          </w:p>
          <w:p>
            <w:pPr>
              <w:pStyle w:val="TableParagraph"/>
              <w:ind w:right="39"/>
              <w:jc w:val="center"/>
              <w:rPr>
                <w:sz w:val="22"/>
              </w:rPr>
            </w:pPr>
            <w:r>
              <w:rPr>
                <w:spacing w:val="-10"/>
                <w:sz w:val="22"/>
              </w:rPr>
              <w:t>2</w:t>
            </w:r>
          </w:p>
        </w:tc>
        <w:tc>
          <w:tcPr>
            <w:tcW w:w="1570" w:type="dxa"/>
          </w:tcPr>
          <w:p>
            <w:pPr>
              <w:pStyle w:val="TableParagraph"/>
              <w:spacing w:before="27"/>
              <w:rPr>
                <w:b/>
                <w:sz w:val="22"/>
              </w:rPr>
            </w:pPr>
          </w:p>
          <w:p>
            <w:pPr>
              <w:pStyle w:val="TableParagraph"/>
              <w:ind w:left="2" w:right="157"/>
              <w:jc w:val="center"/>
              <w:rPr>
                <w:sz w:val="22"/>
              </w:rPr>
            </w:pPr>
            <w:r>
              <w:rPr>
                <w:spacing w:val="-5"/>
                <w:sz w:val="22"/>
              </w:rPr>
              <w:t>42</w:t>
            </w:r>
          </w:p>
        </w:tc>
        <w:tc>
          <w:tcPr>
            <w:tcW w:w="1593" w:type="dxa"/>
          </w:tcPr>
          <w:p>
            <w:pPr>
              <w:pStyle w:val="TableParagraph"/>
              <w:spacing w:before="27"/>
              <w:rPr>
                <w:b/>
                <w:sz w:val="22"/>
              </w:rPr>
            </w:pPr>
          </w:p>
          <w:p>
            <w:pPr>
              <w:pStyle w:val="TableParagraph"/>
              <w:ind w:left="99"/>
              <w:jc w:val="center"/>
              <w:rPr>
                <w:sz w:val="22"/>
              </w:rPr>
            </w:pPr>
            <w:r>
              <w:rPr>
                <w:spacing w:val="-10"/>
                <w:sz w:val="22"/>
              </w:rPr>
              <w:t>M</w:t>
            </w:r>
          </w:p>
        </w:tc>
        <w:tc>
          <w:tcPr>
            <w:tcW w:w="2565" w:type="dxa"/>
          </w:tcPr>
          <w:p>
            <w:pPr>
              <w:pStyle w:val="TableParagraph"/>
              <w:spacing w:before="27"/>
              <w:rPr>
                <w:b/>
                <w:sz w:val="22"/>
              </w:rPr>
            </w:pPr>
          </w:p>
          <w:p>
            <w:pPr>
              <w:pStyle w:val="TableParagraph"/>
              <w:ind w:left="83" w:right="4"/>
              <w:jc w:val="center"/>
              <w:rPr>
                <w:sz w:val="22"/>
              </w:rPr>
            </w:pPr>
            <w:r>
              <w:rPr>
                <w:spacing w:val="-2"/>
                <w:sz w:val="22"/>
              </w:rPr>
              <w:t>SPUTUM</w:t>
            </w:r>
          </w:p>
        </w:tc>
        <w:tc>
          <w:tcPr>
            <w:tcW w:w="1864" w:type="dxa"/>
          </w:tcPr>
          <w:p>
            <w:pPr>
              <w:pStyle w:val="TableParagraph"/>
              <w:spacing w:before="27"/>
              <w:rPr>
                <w:b/>
                <w:sz w:val="22"/>
              </w:rPr>
            </w:pPr>
          </w:p>
          <w:p>
            <w:pPr>
              <w:pStyle w:val="TableParagraph"/>
              <w:ind w:right="112"/>
              <w:jc w:val="center"/>
              <w:rPr>
                <w:sz w:val="22"/>
              </w:rPr>
            </w:pPr>
            <w:r>
              <w:rPr>
                <w:sz w:val="22"/>
              </w:rPr>
              <w:t>SP</w:t>
            </w:r>
            <w:r>
              <w:rPr>
                <w:spacing w:val="1"/>
                <w:sz w:val="22"/>
              </w:rPr>
              <w:t> </w:t>
            </w:r>
            <w:r>
              <w:rPr>
                <w:spacing w:val="-5"/>
                <w:sz w:val="22"/>
              </w:rPr>
              <w:t>307</w:t>
            </w:r>
          </w:p>
        </w:tc>
      </w:tr>
      <w:tr>
        <w:trPr>
          <w:trHeight w:val="930" w:hRule="atLeast"/>
        </w:trPr>
        <w:tc>
          <w:tcPr>
            <w:tcW w:w="1257" w:type="dxa"/>
          </w:tcPr>
          <w:p>
            <w:pPr>
              <w:pStyle w:val="TableParagraph"/>
              <w:spacing w:before="57"/>
              <w:rPr>
                <w:b/>
                <w:sz w:val="22"/>
              </w:rPr>
            </w:pPr>
          </w:p>
          <w:p>
            <w:pPr>
              <w:pStyle w:val="TableParagraph"/>
              <w:ind w:right="39"/>
              <w:jc w:val="center"/>
              <w:rPr>
                <w:sz w:val="22"/>
              </w:rPr>
            </w:pPr>
            <w:r>
              <w:rPr>
                <w:spacing w:val="-10"/>
                <w:sz w:val="22"/>
              </w:rPr>
              <w:t>3</w:t>
            </w:r>
          </w:p>
        </w:tc>
        <w:tc>
          <w:tcPr>
            <w:tcW w:w="1570" w:type="dxa"/>
          </w:tcPr>
          <w:p>
            <w:pPr>
              <w:pStyle w:val="TableParagraph"/>
              <w:spacing w:before="57"/>
              <w:rPr>
                <w:b/>
                <w:sz w:val="22"/>
              </w:rPr>
            </w:pPr>
          </w:p>
          <w:p>
            <w:pPr>
              <w:pStyle w:val="TableParagraph"/>
              <w:ind w:right="157"/>
              <w:jc w:val="center"/>
              <w:rPr>
                <w:sz w:val="22"/>
              </w:rPr>
            </w:pPr>
            <w:r>
              <w:rPr>
                <w:spacing w:val="-10"/>
                <w:sz w:val="22"/>
              </w:rPr>
              <w:t>7</w:t>
            </w:r>
          </w:p>
        </w:tc>
        <w:tc>
          <w:tcPr>
            <w:tcW w:w="1593" w:type="dxa"/>
          </w:tcPr>
          <w:p>
            <w:pPr>
              <w:pStyle w:val="TableParagraph"/>
              <w:spacing w:before="57"/>
              <w:rPr>
                <w:b/>
                <w:sz w:val="22"/>
              </w:rPr>
            </w:pPr>
          </w:p>
          <w:p>
            <w:pPr>
              <w:pStyle w:val="TableParagraph"/>
              <w:ind w:left="99"/>
              <w:jc w:val="center"/>
              <w:rPr>
                <w:sz w:val="22"/>
              </w:rPr>
            </w:pPr>
            <w:r>
              <w:rPr>
                <w:spacing w:val="-10"/>
                <w:sz w:val="22"/>
              </w:rPr>
              <w:t>M</w:t>
            </w:r>
          </w:p>
        </w:tc>
        <w:tc>
          <w:tcPr>
            <w:tcW w:w="2565" w:type="dxa"/>
          </w:tcPr>
          <w:p>
            <w:pPr>
              <w:pStyle w:val="TableParagraph"/>
              <w:spacing w:before="57"/>
              <w:rPr>
                <w:b/>
                <w:sz w:val="22"/>
              </w:rPr>
            </w:pPr>
          </w:p>
          <w:p>
            <w:pPr>
              <w:pStyle w:val="TableParagraph"/>
              <w:ind w:left="83" w:right="4"/>
              <w:jc w:val="center"/>
              <w:rPr>
                <w:sz w:val="22"/>
              </w:rPr>
            </w:pPr>
            <w:r>
              <w:rPr>
                <w:spacing w:val="-2"/>
                <w:sz w:val="22"/>
              </w:rPr>
              <w:t>SPUTUM</w:t>
            </w:r>
          </w:p>
        </w:tc>
        <w:tc>
          <w:tcPr>
            <w:tcW w:w="1864" w:type="dxa"/>
          </w:tcPr>
          <w:p>
            <w:pPr>
              <w:pStyle w:val="TableParagraph"/>
              <w:spacing w:before="57"/>
              <w:rPr>
                <w:b/>
                <w:sz w:val="22"/>
              </w:rPr>
            </w:pPr>
          </w:p>
          <w:p>
            <w:pPr>
              <w:pStyle w:val="TableParagraph"/>
              <w:ind w:right="112"/>
              <w:jc w:val="center"/>
              <w:rPr>
                <w:sz w:val="22"/>
              </w:rPr>
            </w:pPr>
            <w:r>
              <w:rPr>
                <w:sz w:val="22"/>
              </w:rPr>
              <w:t>SP</w:t>
            </w:r>
            <w:r>
              <w:rPr>
                <w:spacing w:val="1"/>
                <w:sz w:val="22"/>
              </w:rPr>
              <w:t> </w:t>
            </w:r>
            <w:r>
              <w:rPr>
                <w:spacing w:val="-5"/>
                <w:sz w:val="22"/>
              </w:rPr>
              <w:t>321</w:t>
            </w:r>
          </w:p>
        </w:tc>
      </w:tr>
      <w:tr>
        <w:trPr>
          <w:trHeight w:val="900" w:hRule="atLeast"/>
        </w:trPr>
        <w:tc>
          <w:tcPr>
            <w:tcW w:w="1257" w:type="dxa"/>
          </w:tcPr>
          <w:p>
            <w:pPr>
              <w:pStyle w:val="TableParagraph"/>
              <w:spacing w:before="27"/>
              <w:rPr>
                <w:b/>
                <w:sz w:val="22"/>
              </w:rPr>
            </w:pPr>
          </w:p>
          <w:p>
            <w:pPr>
              <w:pStyle w:val="TableParagraph"/>
              <w:ind w:right="39"/>
              <w:jc w:val="center"/>
              <w:rPr>
                <w:sz w:val="22"/>
              </w:rPr>
            </w:pPr>
            <w:r>
              <w:rPr>
                <w:spacing w:val="-10"/>
                <w:sz w:val="22"/>
              </w:rPr>
              <w:t>4</w:t>
            </w:r>
          </w:p>
        </w:tc>
        <w:tc>
          <w:tcPr>
            <w:tcW w:w="1570" w:type="dxa"/>
          </w:tcPr>
          <w:p>
            <w:pPr>
              <w:pStyle w:val="TableParagraph"/>
              <w:spacing w:before="27"/>
              <w:rPr>
                <w:b/>
                <w:sz w:val="22"/>
              </w:rPr>
            </w:pPr>
          </w:p>
          <w:p>
            <w:pPr>
              <w:pStyle w:val="TableParagraph"/>
              <w:ind w:left="2" w:right="157"/>
              <w:jc w:val="center"/>
              <w:rPr>
                <w:sz w:val="22"/>
              </w:rPr>
            </w:pPr>
            <w:r>
              <w:rPr>
                <w:spacing w:val="-5"/>
                <w:sz w:val="22"/>
              </w:rPr>
              <w:t>14</w:t>
            </w:r>
          </w:p>
        </w:tc>
        <w:tc>
          <w:tcPr>
            <w:tcW w:w="1593" w:type="dxa"/>
          </w:tcPr>
          <w:p>
            <w:pPr>
              <w:pStyle w:val="TableParagraph"/>
              <w:spacing w:before="27"/>
              <w:rPr>
                <w:b/>
                <w:sz w:val="22"/>
              </w:rPr>
            </w:pPr>
          </w:p>
          <w:p>
            <w:pPr>
              <w:pStyle w:val="TableParagraph"/>
              <w:ind w:left="99" w:right="1"/>
              <w:jc w:val="center"/>
              <w:rPr>
                <w:sz w:val="22"/>
              </w:rPr>
            </w:pPr>
            <w:r>
              <w:rPr>
                <w:spacing w:val="-10"/>
                <w:sz w:val="22"/>
              </w:rPr>
              <w:t>F</w:t>
            </w:r>
          </w:p>
        </w:tc>
        <w:tc>
          <w:tcPr>
            <w:tcW w:w="2565" w:type="dxa"/>
          </w:tcPr>
          <w:p>
            <w:pPr>
              <w:pStyle w:val="TableParagraph"/>
              <w:spacing w:before="27"/>
              <w:rPr>
                <w:b/>
                <w:sz w:val="22"/>
              </w:rPr>
            </w:pPr>
          </w:p>
          <w:p>
            <w:pPr>
              <w:pStyle w:val="TableParagraph"/>
              <w:ind w:left="83"/>
              <w:jc w:val="center"/>
              <w:rPr>
                <w:sz w:val="22"/>
              </w:rPr>
            </w:pPr>
            <w:r>
              <w:rPr>
                <w:sz w:val="22"/>
              </w:rPr>
              <w:t>THROAT</w:t>
            </w:r>
            <w:r>
              <w:rPr>
                <w:spacing w:val="-5"/>
                <w:sz w:val="22"/>
              </w:rPr>
              <w:t> </w:t>
            </w:r>
            <w:r>
              <w:rPr>
                <w:spacing w:val="-4"/>
                <w:sz w:val="22"/>
              </w:rPr>
              <w:t>SWAB</w:t>
            </w:r>
          </w:p>
        </w:tc>
        <w:tc>
          <w:tcPr>
            <w:tcW w:w="1864" w:type="dxa"/>
          </w:tcPr>
          <w:p>
            <w:pPr>
              <w:pStyle w:val="TableParagraph"/>
              <w:spacing w:before="27"/>
              <w:rPr>
                <w:b/>
                <w:sz w:val="22"/>
              </w:rPr>
            </w:pPr>
          </w:p>
          <w:p>
            <w:pPr>
              <w:pStyle w:val="TableParagraph"/>
              <w:ind w:left="2" w:right="112"/>
              <w:jc w:val="center"/>
              <w:rPr>
                <w:sz w:val="22"/>
              </w:rPr>
            </w:pPr>
            <w:r>
              <w:rPr>
                <w:sz w:val="22"/>
              </w:rPr>
              <w:t>TS</w:t>
            </w:r>
            <w:r>
              <w:rPr>
                <w:spacing w:val="-1"/>
                <w:sz w:val="22"/>
              </w:rPr>
              <w:t> </w:t>
            </w:r>
            <w:r>
              <w:rPr>
                <w:spacing w:val="-5"/>
                <w:sz w:val="22"/>
              </w:rPr>
              <w:t>312</w:t>
            </w:r>
          </w:p>
        </w:tc>
      </w:tr>
      <w:tr>
        <w:trPr>
          <w:trHeight w:val="750" w:hRule="atLeast"/>
        </w:trPr>
        <w:tc>
          <w:tcPr>
            <w:tcW w:w="1257" w:type="dxa"/>
            <w:tcBorders>
              <w:bottom w:val="single" w:sz="4" w:space="0" w:color="000000"/>
            </w:tcBorders>
          </w:tcPr>
          <w:p>
            <w:pPr>
              <w:pStyle w:val="TableParagraph"/>
              <w:spacing w:before="27"/>
              <w:rPr>
                <w:b/>
                <w:sz w:val="22"/>
              </w:rPr>
            </w:pPr>
          </w:p>
          <w:p>
            <w:pPr>
              <w:pStyle w:val="TableParagraph"/>
              <w:ind w:right="39"/>
              <w:jc w:val="center"/>
              <w:rPr>
                <w:sz w:val="22"/>
              </w:rPr>
            </w:pPr>
            <w:r>
              <w:rPr>
                <w:spacing w:val="-10"/>
                <w:sz w:val="22"/>
              </w:rPr>
              <w:t>5</w:t>
            </w:r>
          </w:p>
        </w:tc>
        <w:tc>
          <w:tcPr>
            <w:tcW w:w="1570" w:type="dxa"/>
            <w:tcBorders>
              <w:bottom w:val="single" w:sz="4" w:space="0" w:color="000000"/>
            </w:tcBorders>
          </w:tcPr>
          <w:p>
            <w:pPr>
              <w:pStyle w:val="TableParagraph"/>
              <w:spacing w:before="27"/>
              <w:rPr>
                <w:b/>
                <w:sz w:val="22"/>
              </w:rPr>
            </w:pPr>
          </w:p>
          <w:p>
            <w:pPr>
              <w:pStyle w:val="TableParagraph"/>
              <w:ind w:left="2" w:right="157"/>
              <w:jc w:val="center"/>
              <w:rPr>
                <w:sz w:val="22"/>
              </w:rPr>
            </w:pPr>
            <w:r>
              <w:rPr>
                <w:spacing w:val="-5"/>
                <w:sz w:val="22"/>
              </w:rPr>
              <w:t>51</w:t>
            </w:r>
          </w:p>
        </w:tc>
        <w:tc>
          <w:tcPr>
            <w:tcW w:w="1593" w:type="dxa"/>
            <w:tcBorders>
              <w:bottom w:val="single" w:sz="4" w:space="0" w:color="000000"/>
            </w:tcBorders>
          </w:tcPr>
          <w:p>
            <w:pPr>
              <w:pStyle w:val="TableParagraph"/>
              <w:spacing w:before="27"/>
              <w:rPr>
                <w:b/>
                <w:sz w:val="22"/>
              </w:rPr>
            </w:pPr>
          </w:p>
          <w:p>
            <w:pPr>
              <w:pStyle w:val="TableParagraph"/>
              <w:ind w:left="99"/>
              <w:jc w:val="center"/>
              <w:rPr>
                <w:sz w:val="22"/>
              </w:rPr>
            </w:pPr>
            <w:r>
              <w:rPr>
                <w:spacing w:val="-10"/>
                <w:sz w:val="22"/>
              </w:rPr>
              <w:t>M</w:t>
            </w:r>
          </w:p>
        </w:tc>
        <w:tc>
          <w:tcPr>
            <w:tcW w:w="2565" w:type="dxa"/>
            <w:tcBorders>
              <w:bottom w:val="single" w:sz="4" w:space="0" w:color="000000"/>
            </w:tcBorders>
          </w:tcPr>
          <w:p>
            <w:pPr>
              <w:pStyle w:val="TableParagraph"/>
              <w:spacing w:before="27"/>
              <w:rPr>
                <w:b/>
                <w:sz w:val="22"/>
              </w:rPr>
            </w:pPr>
          </w:p>
          <w:p>
            <w:pPr>
              <w:pStyle w:val="TableParagraph"/>
              <w:ind w:left="83"/>
              <w:jc w:val="center"/>
              <w:rPr>
                <w:sz w:val="22"/>
              </w:rPr>
            </w:pPr>
            <w:r>
              <w:rPr>
                <w:sz w:val="22"/>
              </w:rPr>
              <w:t>THROAT</w:t>
            </w:r>
            <w:r>
              <w:rPr>
                <w:spacing w:val="-5"/>
                <w:sz w:val="22"/>
              </w:rPr>
              <w:t> </w:t>
            </w:r>
            <w:r>
              <w:rPr>
                <w:spacing w:val="-4"/>
                <w:sz w:val="22"/>
              </w:rPr>
              <w:t>SWAB</w:t>
            </w:r>
          </w:p>
        </w:tc>
        <w:tc>
          <w:tcPr>
            <w:tcW w:w="1864" w:type="dxa"/>
            <w:tcBorders>
              <w:bottom w:val="single" w:sz="4" w:space="0" w:color="000000"/>
            </w:tcBorders>
          </w:tcPr>
          <w:p>
            <w:pPr>
              <w:pStyle w:val="TableParagraph"/>
              <w:spacing w:before="27"/>
              <w:rPr>
                <w:b/>
                <w:sz w:val="22"/>
              </w:rPr>
            </w:pPr>
          </w:p>
          <w:p>
            <w:pPr>
              <w:pStyle w:val="TableParagraph"/>
              <w:ind w:left="2" w:right="112"/>
              <w:jc w:val="center"/>
              <w:rPr>
                <w:sz w:val="22"/>
              </w:rPr>
            </w:pPr>
            <w:r>
              <w:rPr>
                <w:sz w:val="22"/>
              </w:rPr>
              <w:t>TS</w:t>
            </w:r>
            <w:r>
              <w:rPr>
                <w:spacing w:val="-1"/>
                <w:sz w:val="22"/>
              </w:rPr>
              <w:t> </w:t>
            </w:r>
            <w:r>
              <w:rPr>
                <w:spacing w:val="-5"/>
                <w:sz w:val="22"/>
              </w:rPr>
              <w:t>311</w:t>
            </w:r>
          </w:p>
        </w:tc>
      </w:tr>
    </w:tbl>
    <w:p>
      <w:pPr>
        <w:spacing w:after="0"/>
        <w:jc w:val="center"/>
        <w:rPr>
          <w:sz w:val="22"/>
        </w:rPr>
        <w:sectPr>
          <w:pgSz w:w="11910" w:h="16840"/>
          <w:pgMar w:header="0" w:footer="1055" w:top="1920" w:bottom="1240" w:left="1060" w:right="460"/>
        </w:sectPr>
      </w:pPr>
    </w:p>
    <w:p>
      <w:pPr>
        <w:pStyle w:val="BodyText"/>
        <w:spacing w:line="20" w:lineRule="exact"/>
        <w:ind w:left="366"/>
        <w:rPr>
          <w:sz w:val="2"/>
        </w:rPr>
      </w:pPr>
      <w:r>
        <w:rPr>
          <w:sz w:val="2"/>
        </w:rPr>
        <mc:AlternateContent>
          <mc:Choice Requires="wps">
            <w:drawing>
              <wp:inline distT="0" distB="0" distL="0" distR="0">
                <wp:extent cx="5611495" cy="6350"/>
                <wp:effectExtent l="0" t="0" r="0" b="0"/>
                <wp:docPr id="521" name="Group 521"/>
                <wp:cNvGraphicFramePr>
                  <a:graphicFrameLocks/>
                </wp:cNvGraphicFramePr>
                <a:graphic>
                  <a:graphicData uri="http://schemas.microsoft.com/office/word/2010/wordprocessingGroup">
                    <wpg:wgp>
                      <wpg:cNvPr id="521" name="Group 521"/>
                      <wpg:cNvGrpSpPr/>
                      <wpg:grpSpPr>
                        <a:xfrm>
                          <a:off x="0" y="0"/>
                          <a:ext cx="5611495" cy="6350"/>
                          <a:chExt cx="5611495" cy="6350"/>
                        </a:xfrm>
                      </wpg:grpSpPr>
                      <wps:wsp>
                        <wps:cNvPr id="522" name="Graphic 522"/>
                        <wps:cNvSpPr/>
                        <wps:spPr>
                          <a:xfrm>
                            <a:off x="0" y="0"/>
                            <a:ext cx="5611495" cy="6350"/>
                          </a:xfrm>
                          <a:custGeom>
                            <a:avLst/>
                            <a:gdLst/>
                            <a:ahLst/>
                            <a:cxnLst/>
                            <a:rect l="l" t="t" r="r" b="b"/>
                            <a:pathLst>
                              <a:path w="5611495" h="6350">
                                <a:moveTo>
                                  <a:pt x="1723885" y="0"/>
                                </a:moveTo>
                                <a:lnTo>
                                  <a:pt x="758901" y="0"/>
                                </a:lnTo>
                                <a:lnTo>
                                  <a:pt x="752856" y="0"/>
                                </a:lnTo>
                                <a:lnTo>
                                  <a:pt x="0" y="0"/>
                                </a:lnTo>
                                <a:lnTo>
                                  <a:pt x="0" y="6096"/>
                                </a:lnTo>
                                <a:lnTo>
                                  <a:pt x="752805" y="6096"/>
                                </a:lnTo>
                                <a:lnTo>
                                  <a:pt x="758901" y="6096"/>
                                </a:lnTo>
                                <a:lnTo>
                                  <a:pt x="1723885" y="6096"/>
                                </a:lnTo>
                                <a:lnTo>
                                  <a:pt x="1723885" y="0"/>
                                </a:lnTo>
                                <a:close/>
                              </a:path>
                              <a:path w="5611495" h="6350">
                                <a:moveTo>
                                  <a:pt x="4353382" y="0"/>
                                </a:moveTo>
                                <a:lnTo>
                                  <a:pt x="4353382" y="0"/>
                                </a:lnTo>
                                <a:lnTo>
                                  <a:pt x="1723974" y="0"/>
                                </a:lnTo>
                                <a:lnTo>
                                  <a:pt x="1723974" y="6096"/>
                                </a:lnTo>
                                <a:lnTo>
                                  <a:pt x="4353382" y="6096"/>
                                </a:lnTo>
                                <a:lnTo>
                                  <a:pt x="4353382" y="0"/>
                                </a:lnTo>
                                <a:close/>
                              </a:path>
                              <a:path w="5611495" h="6350">
                                <a:moveTo>
                                  <a:pt x="4359592" y="0"/>
                                </a:moveTo>
                                <a:lnTo>
                                  <a:pt x="4353509" y="0"/>
                                </a:lnTo>
                                <a:lnTo>
                                  <a:pt x="4353509" y="6096"/>
                                </a:lnTo>
                                <a:lnTo>
                                  <a:pt x="4359592" y="6096"/>
                                </a:lnTo>
                                <a:lnTo>
                                  <a:pt x="4359592" y="0"/>
                                </a:lnTo>
                                <a:close/>
                              </a:path>
                              <a:path w="5611495" h="6350">
                                <a:moveTo>
                                  <a:pt x="5611114" y="0"/>
                                </a:moveTo>
                                <a:lnTo>
                                  <a:pt x="4359605" y="0"/>
                                </a:lnTo>
                                <a:lnTo>
                                  <a:pt x="4359605" y="6096"/>
                                </a:lnTo>
                                <a:lnTo>
                                  <a:pt x="5611114" y="6096"/>
                                </a:lnTo>
                                <a:lnTo>
                                  <a:pt x="561111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1.85pt;height:.5pt;mso-position-horizontal-relative:char;mso-position-vertical-relative:line" id="docshapegroup466" coordorigin="0,0" coordsize="8837,10">
                <v:shape style="position:absolute;left:0;top:0;width:8837;height:10" id="docshape467" coordorigin="0,0" coordsize="8837,10" path="m2715,0l1195,0,1186,0,1186,0,0,0,0,10,1186,10,1186,10,1195,10,2715,10,2715,0xm6856,0l4616,0,4607,0,4607,0,2725,0,2715,0,2715,10,2725,10,4607,10,4607,10,4616,10,6856,10,6856,0xm6866,0l6856,0,6856,10,6866,10,6866,0xm8836,0l6866,0,6866,10,8836,10,8836,0xe" filled="true" fillcolor="#000000" stroked="false">
                  <v:path arrowok="t"/>
                  <v:fill type="solid"/>
                </v:shape>
              </v:group>
            </w:pict>
          </mc:Fallback>
        </mc:AlternateContent>
      </w:r>
      <w:r>
        <w:rPr>
          <w:sz w:val="2"/>
        </w:rPr>
      </w:r>
    </w:p>
    <w:p>
      <w:pPr>
        <w:pStyle w:val="BodyText"/>
        <w:rPr>
          <w:b/>
          <w:sz w:val="20"/>
        </w:rPr>
      </w:pPr>
    </w:p>
    <w:p>
      <w:pPr>
        <w:pStyle w:val="BodyText"/>
        <w:rPr>
          <w:b/>
          <w:sz w:val="20"/>
        </w:rPr>
      </w:pPr>
    </w:p>
    <w:p>
      <w:pPr>
        <w:pStyle w:val="BodyText"/>
        <w:spacing w:before="44"/>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5"/>
        <w:gridCol w:w="1542"/>
        <w:gridCol w:w="1593"/>
        <w:gridCol w:w="2565"/>
        <w:gridCol w:w="1864"/>
      </w:tblGrid>
      <w:tr>
        <w:trPr>
          <w:trHeight w:val="710" w:hRule="atLeast"/>
        </w:trPr>
        <w:tc>
          <w:tcPr>
            <w:tcW w:w="1285" w:type="dxa"/>
          </w:tcPr>
          <w:p>
            <w:pPr>
              <w:pStyle w:val="TableParagraph"/>
              <w:spacing w:line="225" w:lineRule="exact"/>
              <w:ind w:left="1" w:right="68"/>
              <w:jc w:val="center"/>
              <w:rPr>
                <w:sz w:val="22"/>
              </w:rPr>
            </w:pPr>
            <w:r>
              <w:rPr>
                <w:spacing w:val="-10"/>
                <w:sz w:val="22"/>
              </w:rPr>
              <w:t>6</w:t>
            </w:r>
          </w:p>
        </w:tc>
        <w:tc>
          <w:tcPr>
            <w:tcW w:w="1542" w:type="dxa"/>
          </w:tcPr>
          <w:p>
            <w:pPr>
              <w:pStyle w:val="TableParagraph"/>
              <w:spacing w:line="225" w:lineRule="exact"/>
              <w:ind w:left="565"/>
              <w:rPr>
                <w:sz w:val="22"/>
              </w:rPr>
            </w:pPr>
            <w:r>
              <w:rPr>
                <w:spacing w:val="-5"/>
                <w:sz w:val="22"/>
              </w:rPr>
              <w:t>43</w:t>
            </w:r>
          </w:p>
        </w:tc>
        <w:tc>
          <w:tcPr>
            <w:tcW w:w="1593" w:type="dxa"/>
          </w:tcPr>
          <w:p>
            <w:pPr>
              <w:pStyle w:val="TableParagraph"/>
              <w:spacing w:line="225" w:lineRule="exact"/>
              <w:ind w:left="99" w:right="1"/>
              <w:jc w:val="center"/>
              <w:rPr>
                <w:sz w:val="22"/>
              </w:rPr>
            </w:pPr>
            <w:r>
              <w:rPr>
                <w:spacing w:val="-10"/>
                <w:sz w:val="22"/>
              </w:rPr>
              <w:t>F</w:t>
            </w:r>
          </w:p>
        </w:tc>
        <w:tc>
          <w:tcPr>
            <w:tcW w:w="2565" w:type="dxa"/>
          </w:tcPr>
          <w:p>
            <w:pPr>
              <w:pStyle w:val="TableParagraph"/>
              <w:spacing w:line="225" w:lineRule="exact"/>
              <w:ind w:left="83" w:right="4"/>
              <w:jc w:val="center"/>
              <w:rPr>
                <w:sz w:val="22"/>
              </w:rPr>
            </w:pPr>
            <w:r>
              <w:rPr>
                <w:spacing w:val="-2"/>
                <w:sz w:val="22"/>
              </w:rPr>
              <w:t>SPUTUM</w:t>
            </w:r>
          </w:p>
        </w:tc>
        <w:tc>
          <w:tcPr>
            <w:tcW w:w="1864" w:type="dxa"/>
          </w:tcPr>
          <w:p>
            <w:pPr>
              <w:pStyle w:val="TableParagraph"/>
              <w:spacing w:line="225" w:lineRule="exact"/>
              <w:ind w:right="112"/>
              <w:jc w:val="center"/>
              <w:rPr>
                <w:sz w:val="22"/>
              </w:rPr>
            </w:pPr>
            <w:r>
              <w:rPr>
                <w:sz w:val="22"/>
              </w:rPr>
              <w:t>SP</w:t>
            </w:r>
            <w:r>
              <w:rPr>
                <w:spacing w:val="1"/>
                <w:sz w:val="22"/>
              </w:rPr>
              <w:t> </w:t>
            </w:r>
            <w:r>
              <w:rPr>
                <w:spacing w:val="-5"/>
                <w:sz w:val="22"/>
              </w:rPr>
              <w:t>340</w:t>
            </w:r>
          </w:p>
        </w:tc>
      </w:tr>
      <w:tr>
        <w:trPr>
          <w:trHeight w:val="1200" w:hRule="atLeast"/>
        </w:trPr>
        <w:tc>
          <w:tcPr>
            <w:tcW w:w="1285" w:type="dxa"/>
          </w:tcPr>
          <w:p>
            <w:pPr>
              <w:pStyle w:val="TableParagraph"/>
              <w:spacing w:before="177"/>
              <w:rPr>
                <w:b/>
                <w:sz w:val="22"/>
              </w:rPr>
            </w:pPr>
          </w:p>
          <w:p>
            <w:pPr>
              <w:pStyle w:val="TableParagraph"/>
              <w:ind w:left="1" w:right="68"/>
              <w:jc w:val="center"/>
              <w:rPr>
                <w:sz w:val="22"/>
              </w:rPr>
            </w:pPr>
            <w:r>
              <w:rPr>
                <w:spacing w:val="-10"/>
                <w:sz w:val="22"/>
              </w:rPr>
              <w:t>7</w:t>
            </w:r>
          </w:p>
        </w:tc>
        <w:tc>
          <w:tcPr>
            <w:tcW w:w="1542" w:type="dxa"/>
          </w:tcPr>
          <w:p>
            <w:pPr>
              <w:pStyle w:val="TableParagraph"/>
              <w:spacing w:before="177"/>
              <w:rPr>
                <w:b/>
                <w:sz w:val="22"/>
              </w:rPr>
            </w:pPr>
          </w:p>
          <w:p>
            <w:pPr>
              <w:pStyle w:val="TableParagraph"/>
              <w:ind w:left="621"/>
              <w:rPr>
                <w:sz w:val="22"/>
              </w:rPr>
            </w:pPr>
            <w:r>
              <w:rPr>
                <w:spacing w:val="-10"/>
                <w:sz w:val="22"/>
              </w:rPr>
              <w:t>3</w:t>
            </w:r>
          </w:p>
        </w:tc>
        <w:tc>
          <w:tcPr>
            <w:tcW w:w="1593" w:type="dxa"/>
          </w:tcPr>
          <w:p>
            <w:pPr>
              <w:pStyle w:val="TableParagraph"/>
              <w:spacing w:before="177"/>
              <w:rPr>
                <w:b/>
                <w:sz w:val="22"/>
              </w:rPr>
            </w:pPr>
          </w:p>
          <w:p>
            <w:pPr>
              <w:pStyle w:val="TableParagraph"/>
              <w:ind w:left="99" w:right="1"/>
              <w:jc w:val="center"/>
              <w:rPr>
                <w:sz w:val="22"/>
              </w:rPr>
            </w:pPr>
            <w:r>
              <w:rPr>
                <w:spacing w:val="-10"/>
                <w:sz w:val="22"/>
              </w:rPr>
              <w:t>F</w:t>
            </w:r>
          </w:p>
        </w:tc>
        <w:tc>
          <w:tcPr>
            <w:tcW w:w="2565" w:type="dxa"/>
          </w:tcPr>
          <w:p>
            <w:pPr>
              <w:pStyle w:val="TableParagraph"/>
              <w:spacing w:before="177"/>
              <w:rPr>
                <w:b/>
                <w:sz w:val="22"/>
              </w:rPr>
            </w:pPr>
          </w:p>
          <w:p>
            <w:pPr>
              <w:pStyle w:val="TableParagraph"/>
              <w:ind w:left="83"/>
              <w:jc w:val="center"/>
              <w:rPr>
                <w:sz w:val="22"/>
              </w:rPr>
            </w:pPr>
            <w:r>
              <w:rPr>
                <w:sz w:val="22"/>
              </w:rPr>
              <w:t>THROAT</w:t>
            </w:r>
            <w:r>
              <w:rPr>
                <w:spacing w:val="-5"/>
                <w:sz w:val="22"/>
              </w:rPr>
              <w:t> </w:t>
            </w:r>
            <w:r>
              <w:rPr>
                <w:spacing w:val="-4"/>
                <w:sz w:val="22"/>
              </w:rPr>
              <w:t>SWAB</w:t>
            </w:r>
          </w:p>
        </w:tc>
        <w:tc>
          <w:tcPr>
            <w:tcW w:w="1864" w:type="dxa"/>
          </w:tcPr>
          <w:p>
            <w:pPr>
              <w:pStyle w:val="TableParagraph"/>
              <w:spacing w:before="177"/>
              <w:rPr>
                <w:b/>
                <w:sz w:val="22"/>
              </w:rPr>
            </w:pPr>
          </w:p>
          <w:p>
            <w:pPr>
              <w:pStyle w:val="TableParagraph"/>
              <w:ind w:left="2" w:right="112"/>
              <w:jc w:val="center"/>
              <w:rPr>
                <w:sz w:val="22"/>
              </w:rPr>
            </w:pPr>
            <w:r>
              <w:rPr>
                <w:sz w:val="22"/>
              </w:rPr>
              <w:t>TS</w:t>
            </w:r>
            <w:r>
              <w:rPr>
                <w:spacing w:val="-1"/>
                <w:sz w:val="22"/>
              </w:rPr>
              <w:t> </w:t>
            </w:r>
            <w:r>
              <w:rPr>
                <w:spacing w:val="-5"/>
                <w:sz w:val="22"/>
              </w:rPr>
              <w:t>320</w:t>
            </w:r>
          </w:p>
        </w:tc>
      </w:tr>
      <w:tr>
        <w:trPr>
          <w:trHeight w:val="1050" w:hRule="atLeast"/>
        </w:trPr>
        <w:tc>
          <w:tcPr>
            <w:tcW w:w="1285" w:type="dxa"/>
          </w:tcPr>
          <w:p>
            <w:pPr>
              <w:pStyle w:val="TableParagraph"/>
              <w:spacing w:before="177"/>
              <w:rPr>
                <w:b/>
                <w:sz w:val="22"/>
              </w:rPr>
            </w:pPr>
          </w:p>
          <w:p>
            <w:pPr>
              <w:pStyle w:val="TableParagraph"/>
              <w:ind w:left="1" w:right="68"/>
              <w:jc w:val="center"/>
              <w:rPr>
                <w:sz w:val="22"/>
              </w:rPr>
            </w:pPr>
            <w:r>
              <w:rPr>
                <w:spacing w:val="-10"/>
                <w:sz w:val="22"/>
              </w:rPr>
              <w:t>8</w:t>
            </w:r>
          </w:p>
        </w:tc>
        <w:tc>
          <w:tcPr>
            <w:tcW w:w="1542" w:type="dxa"/>
          </w:tcPr>
          <w:p>
            <w:pPr>
              <w:pStyle w:val="TableParagraph"/>
              <w:spacing w:before="177"/>
              <w:rPr>
                <w:b/>
                <w:sz w:val="22"/>
              </w:rPr>
            </w:pPr>
          </w:p>
          <w:p>
            <w:pPr>
              <w:pStyle w:val="TableParagraph"/>
              <w:ind w:left="565"/>
              <w:rPr>
                <w:sz w:val="22"/>
              </w:rPr>
            </w:pPr>
            <w:r>
              <w:rPr>
                <w:spacing w:val="-5"/>
                <w:sz w:val="22"/>
              </w:rPr>
              <w:t>28</w:t>
            </w:r>
          </w:p>
        </w:tc>
        <w:tc>
          <w:tcPr>
            <w:tcW w:w="1593" w:type="dxa"/>
          </w:tcPr>
          <w:p>
            <w:pPr>
              <w:pStyle w:val="TableParagraph"/>
              <w:spacing w:before="177"/>
              <w:rPr>
                <w:b/>
                <w:sz w:val="22"/>
              </w:rPr>
            </w:pPr>
          </w:p>
          <w:p>
            <w:pPr>
              <w:pStyle w:val="TableParagraph"/>
              <w:ind w:left="99" w:right="1"/>
              <w:jc w:val="center"/>
              <w:rPr>
                <w:sz w:val="22"/>
              </w:rPr>
            </w:pPr>
            <w:r>
              <w:rPr>
                <w:spacing w:val="-10"/>
                <w:sz w:val="22"/>
              </w:rPr>
              <w:t>F</w:t>
            </w:r>
          </w:p>
        </w:tc>
        <w:tc>
          <w:tcPr>
            <w:tcW w:w="2565" w:type="dxa"/>
          </w:tcPr>
          <w:p>
            <w:pPr>
              <w:pStyle w:val="TableParagraph"/>
              <w:spacing w:before="177"/>
              <w:rPr>
                <w:b/>
                <w:sz w:val="22"/>
              </w:rPr>
            </w:pPr>
          </w:p>
          <w:p>
            <w:pPr>
              <w:pStyle w:val="TableParagraph"/>
              <w:ind w:left="83" w:right="4"/>
              <w:jc w:val="center"/>
              <w:rPr>
                <w:sz w:val="22"/>
              </w:rPr>
            </w:pPr>
            <w:r>
              <w:rPr>
                <w:spacing w:val="-2"/>
                <w:sz w:val="22"/>
              </w:rPr>
              <w:t>SPUTUM</w:t>
            </w:r>
          </w:p>
        </w:tc>
        <w:tc>
          <w:tcPr>
            <w:tcW w:w="1864" w:type="dxa"/>
          </w:tcPr>
          <w:p>
            <w:pPr>
              <w:pStyle w:val="TableParagraph"/>
              <w:spacing w:before="177"/>
              <w:rPr>
                <w:b/>
                <w:sz w:val="22"/>
              </w:rPr>
            </w:pPr>
          </w:p>
          <w:p>
            <w:pPr>
              <w:pStyle w:val="TableParagraph"/>
              <w:ind w:right="112"/>
              <w:jc w:val="center"/>
              <w:rPr>
                <w:sz w:val="22"/>
              </w:rPr>
            </w:pPr>
            <w:r>
              <w:rPr>
                <w:sz w:val="22"/>
              </w:rPr>
              <w:t>SP</w:t>
            </w:r>
            <w:r>
              <w:rPr>
                <w:spacing w:val="1"/>
                <w:sz w:val="22"/>
              </w:rPr>
              <w:t> </w:t>
            </w:r>
            <w:r>
              <w:rPr>
                <w:spacing w:val="-5"/>
                <w:sz w:val="22"/>
              </w:rPr>
              <w:t>224</w:t>
            </w:r>
          </w:p>
        </w:tc>
      </w:tr>
      <w:tr>
        <w:trPr>
          <w:trHeight w:val="930" w:hRule="atLeast"/>
        </w:trPr>
        <w:tc>
          <w:tcPr>
            <w:tcW w:w="1285" w:type="dxa"/>
          </w:tcPr>
          <w:p>
            <w:pPr>
              <w:pStyle w:val="TableParagraph"/>
              <w:spacing w:before="27"/>
              <w:rPr>
                <w:b/>
                <w:sz w:val="22"/>
              </w:rPr>
            </w:pPr>
          </w:p>
          <w:p>
            <w:pPr>
              <w:pStyle w:val="TableParagraph"/>
              <w:ind w:left="1" w:right="68"/>
              <w:jc w:val="center"/>
              <w:rPr>
                <w:sz w:val="22"/>
              </w:rPr>
            </w:pPr>
            <w:r>
              <w:rPr>
                <w:spacing w:val="-10"/>
                <w:sz w:val="22"/>
              </w:rPr>
              <w:t>9</w:t>
            </w:r>
          </w:p>
        </w:tc>
        <w:tc>
          <w:tcPr>
            <w:tcW w:w="1542" w:type="dxa"/>
          </w:tcPr>
          <w:p>
            <w:pPr>
              <w:pStyle w:val="TableParagraph"/>
              <w:spacing w:before="27"/>
              <w:rPr>
                <w:b/>
                <w:sz w:val="22"/>
              </w:rPr>
            </w:pPr>
          </w:p>
          <w:p>
            <w:pPr>
              <w:pStyle w:val="TableParagraph"/>
              <w:ind w:left="565"/>
              <w:rPr>
                <w:sz w:val="22"/>
              </w:rPr>
            </w:pPr>
            <w:r>
              <w:rPr>
                <w:spacing w:val="-5"/>
                <w:sz w:val="22"/>
              </w:rPr>
              <w:t>22</w:t>
            </w:r>
          </w:p>
        </w:tc>
        <w:tc>
          <w:tcPr>
            <w:tcW w:w="1593" w:type="dxa"/>
          </w:tcPr>
          <w:p>
            <w:pPr>
              <w:pStyle w:val="TableParagraph"/>
              <w:spacing w:before="27"/>
              <w:rPr>
                <w:b/>
                <w:sz w:val="22"/>
              </w:rPr>
            </w:pPr>
          </w:p>
          <w:p>
            <w:pPr>
              <w:pStyle w:val="TableParagraph"/>
              <w:ind w:left="99"/>
              <w:jc w:val="center"/>
              <w:rPr>
                <w:sz w:val="22"/>
              </w:rPr>
            </w:pPr>
            <w:r>
              <w:rPr>
                <w:spacing w:val="-10"/>
                <w:sz w:val="22"/>
              </w:rPr>
              <w:t>M</w:t>
            </w:r>
          </w:p>
        </w:tc>
        <w:tc>
          <w:tcPr>
            <w:tcW w:w="2565" w:type="dxa"/>
          </w:tcPr>
          <w:p>
            <w:pPr>
              <w:pStyle w:val="TableParagraph"/>
              <w:spacing w:before="27"/>
              <w:rPr>
                <w:b/>
                <w:sz w:val="22"/>
              </w:rPr>
            </w:pPr>
          </w:p>
          <w:p>
            <w:pPr>
              <w:pStyle w:val="TableParagraph"/>
              <w:ind w:left="83"/>
              <w:jc w:val="center"/>
              <w:rPr>
                <w:sz w:val="22"/>
              </w:rPr>
            </w:pPr>
            <w:r>
              <w:rPr>
                <w:sz w:val="22"/>
              </w:rPr>
              <w:t>THROAT</w:t>
            </w:r>
            <w:r>
              <w:rPr>
                <w:spacing w:val="-5"/>
                <w:sz w:val="22"/>
              </w:rPr>
              <w:t> </w:t>
            </w:r>
            <w:r>
              <w:rPr>
                <w:spacing w:val="-4"/>
                <w:sz w:val="22"/>
              </w:rPr>
              <w:t>SWAB</w:t>
            </w:r>
          </w:p>
        </w:tc>
        <w:tc>
          <w:tcPr>
            <w:tcW w:w="1864" w:type="dxa"/>
          </w:tcPr>
          <w:p>
            <w:pPr>
              <w:pStyle w:val="TableParagraph"/>
              <w:spacing w:before="27"/>
              <w:rPr>
                <w:b/>
                <w:sz w:val="22"/>
              </w:rPr>
            </w:pPr>
          </w:p>
          <w:p>
            <w:pPr>
              <w:pStyle w:val="TableParagraph"/>
              <w:ind w:left="2" w:right="112"/>
              <w:jc w:val="center"/>
              <w:rPr>
                <w:sz w:val="22"/>
              </w:rPr>
            </w:pPr>
            <w:r>
              <w:rPr>
                <w:sz w:val="22"/>
              </w:rPr>
              <w:t>TS</w:t>
            </w:r>
            <w:r>
              <w:rPr>
                <w:spacing w:val="-1"/>
                <w:sz w:val="22"/>
              </w:rPr>
              <w:t> </w:t>
            </w:r>
            <w:r>
              <w:rPr>
                <w:spacing w:val="-5"/>
                <w:sz w:val="22"/>
              </w:rPr>
              <w:t>227</w:t>
            </w:r>
          </w:p>
        </w:tc>
      </w:tr>
      <w:tr>
        <w:trPr>
          <w:trHeight w:val="777" w:hRule="atLeast"/>
        </w:trPr>
        <w:tc>
          <w:tcPr>
            <w:tcW w:w="1285" w:type="dxa"/>
            <w:tcBorders>
              <w:bottom w:val="single" w:sz="4" w:space="0" w:color="000000"/>
            </w:tcBorders>
          </w:tcPr>
          <w:p>
            <w:pPr>
              <w:pStyle w:val="TableParagraph"/>
              <w:spacing w:before="57"/>
              <w:rPr>
                <w:b/>
                <w:sz w:val="22"/>
              </w:rPr>
            </w:pPr>
          </w:p>
          <w:p>
            <w:pPr>
              <w:pStyle w:val="TableParagraph"/>
              <w:ind w:right="68"/>
              <w:jc w:val="center"/>
              <w:rPr>
                <w:sz w:val="22"/>
              </w:rPr>
            </w:pPr>
            <w:r>
              <w:rPr>
                <w:spacing w:val="-5"/>
                <w:sz w:val="22"/>
              </w:rPr>
              <w:t>10</w:t>
            </w:r>
          </w:p>
        </w:tc>
        <w:tc>
          <w:tcPr>
            <w:tcW w:w="1542" w:type="dxa"/>
            <w:tcBorders>
              <w:bottom w:val="single" w:sz="4" w:space="0" w:color="000000"/>
            </w:tcBorders>
          </w:tcPr>
          <w:p>
            <w:pPr>
              <w:pStyle w:val="TableParagraph"/>
              <w:spacing w:before="57"/>
              <w:rPr>
                <w:b/>
                <w:sz w:val="22"/>
              </w:rPr>
            </w:pPr>
          </w:p>
          <w:p>
            <w:pPr>
              <w:pStyle w:val="TableParagraph"/>
              <w:ind w:left="621"/>
              <w:rPr>
                <w:sz w:val="22"/>
              </w:rPr>
            </w:pPr>
            <w:r>
              <w:rPr>
                <w:spacing w:val="-10"/>
                <w:sz w:val="22"/>
              </w:rPr>
              <w:t>9</w:t>
            </w:r>
          </w:p>
        </w:tc>
        <w:tc>
          <w:tcPr>
            <w:tcW w:w="1593" w:type="dxa"/>
            <w:tcBorders>
              <w:bottom w:val="single" w:sz="4" w:space="0" w:color="000000"/>
            </w:tcBorders>
          </w:tcPr>
          <w:p>
            <w:pPr>
              <w:pStyle w:val="TableParagraph"/>
              <w:spacing w:before="57"/>
              <w:rPr>
                <w:b/>
                <w:sz w:val="22"/>
              </w:rPr>
            </w:pPr>
          </w:p>
          <w:p>
            <w:pPr>
              <w:pStyle w:val="TableParagraph"/>
              <w:ind w:left="99"/>
              <w:jc w:val="center"/>
              <w:rPr>
                <w:sz w:val="22"/>
              </w:rPr>
            </w:pPr>
            <w:r>
              <w:rPr>
                <w:spacing w:val="-10"/>
                <w:sz w:val="22"/>
              </w:rPr>
              <w:t>M</w:t>
            </w:r>
          </w:p>
        </w:tc>
        <w:tc>
          <w:tcPr>
            <w:tcW w:w="2565" w:type="dxa"/>
            <w:tcBorders>
              <w:bottom w:val="single" w:sz="4" w:space="0" w:color="000000"/>
            </w:tcBorders>
          </w:tcPr>
          <w:p>
            <w:pPr>
              <w:pStyle w:val="TableParagraph"/>
              <w:spacing w:before="57"/>
              <w:rPr>
                <w:b/>
                <w:sz w:val="22"/>
              </w:rPr>
            </w:pPr>
          </w:p>
          <w:p>
            <w:pPr>
              <w:pStyle w:val="TableParagraph"/>
              <w:ind w:left="83" w:right="4"/>
              <w:jc w:val="center"/>
              <w:rPr>
                <w:sz w:val="22"/>
              </w:rPr>
            </w:pPr>
            <w:r>
              <w:rPr>
                <w:spacing w:val="-2"/>
                <w:sz w:val="22"/>
              </w:rPr>
              <w:t>SPUTUM</w:t>
            </w:r>
          </w:p>
        </w:tc>
        <w:tc>
          <w:tcPr>
            <w:tcW w:w="1864" w:type="dxa"/>
            <w:tcBorders>
              <w:bottom w:val="single" w:sz="4" w:space="0" w:color="000000"/>
            </w:tcBorders>
          </w:tcPr>
          <w:p>
            <w:pPr>
              <w:pStyle w:val="TableParagraph"/>
              <w:spacing w:before="57"/>
              <w:rPr>
                <w:b/>
                <w:sz w:val="22"/>
              </w:rPr>
            </w:pPr>
          </w:p>
          <w:p>
            <w:pPr>
              <w:pStyle w:val="TableParagraph"/>
              <w:ind w:right="112"/>
              <w:jc w:val="center"/>
              <w:rPr>
                <w:sz w:val="22"/>
              </w:rPr>
            </w:pPr>
            <w:r>
              <w:rPr>
                <w:sz w:val="22"/>
              </w:rPr>
              <w:t>SP</w:t>
            </w:r>
            <w:r>
              <w:rPr>
                <w:spacing w:val="1"/>
                <w:sz w:val="22"/>
              </w:rPr>
              <w:t> </w:t>
            </w:r>
            <w:r>
              <w:rPr>
                <w:spacing w:val="-5"/>
                <w:sz w:val="22"/>
              </w:rPr>
              <w:t>223</w:t>
            </w:r>
          </w:p>
        </w:tc>
      </w:tr>
    </w:tbl>
    <w:p>
      <w:pPr>
        <w:pStyle w:val="BodyText"/>
        <w:spacing w:before="3"/>
        <w:ind w:left="380"/>
      </w:pPr>
      <w:r>
        <w:rPr>
          <w:b/>
        </w:rPr>
        <w:t>Key:</w:t>
      </w:r>
      <w:r>
        <w:rPr>
          <w:b/>
          <w:spacing w:val="-6"/>
        </w:rPr>
        <w:t> </w:t>
      </w:r>
      <w:r>
        <w:rPr/>
        <w:t>SP=Sputum,</w:t>
      </w:r>
      <w:r>
        <w:rPr>
          <w:spacing w:val="-6"/>
        </w:rPr>
        <w:t> </w:t>
      </w:r>
      <w:r>
        <w:rPr/>
        <w:t>TS=Throat</w:t>
      </w:r>
      <w:r>
        <w:rPr>
          <w:spacing w:val="-6"/>
        </w:rPr>
        <w:t> </w:t>
      </w:r>
      <w:r>
        <w:rPr/>
        <w:t>Swab,</w:t>
      </w:r>
      <w:r>
        <w:rPr>
          <w:spacing w:val="-6"/>
        </w:rPr>
        <w:t> </w:t>
      </w:r>
      <w:r>
        <w:rPr/>
        <w:t>F=Female,</w:t>
      </w:r>
      <w:r>
        <w:rPr>
          <w:spacing w:val="-7"/>
        </w:rPr>
        <w:t> </w:t>
      </w:r>
      <w:r>
        <w:rPr>
          <w:spacing w:val="-2"/>
        </w:rPr>
        <w:t>M=Male.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9"/>
      </w:pPr>
    </w:p>
    <w:p>
      <w:pPr>
        <w:pStyle w:val="Heading3"/>
        <w:ind w:left="421" w:right="1015"/>
        <w:jc w:val="center"/>
      </w:pPr>
      <w:r>
        <w:rPr/>
        <w:t>Data</w:t>
      </w:r>
      <w:r>
        <w:rPr>
          <w:spacing w:val="-3"/>
        </w:rPr>
        <w:t> </w:t>
      </w:r>
      <w:r>
        <w:rPr/>
        <w:t>on</w:t>
      </w:r>
      <w:r>
        <w:rPr>
          <w:spacing w:val="-3"/>
        </w:rPr>
        <w:t> </w:t>
      </w:r>
      <w:r>
        <w:rPr/>
        <w:t>Samples</w:t>
      </w:r>
      <w:r>
        <w:rPr>
          <w:spacing w:val="-1"/>
        </w:rPr>
        <w:t> </w:t>
      </w:r>
      <w:r>
        <w:rPr>
          <w:spacing w:val="-2"/>
        </w:rPr>
        <w:t>Collected</w:t>
      </w:r>
    </w:p>
    <w:p>
      <w:pPr>
        <w:pStyle w:val="BodyText"/>
        <w:spacing w:before="162"/>
        <w:rPr>
          <w:b/>
          <w:sz w:val="20"/>
        </w:rPr>
      </w:pPr>
      <w:r>
        <w:rPr/>
        <mc:AlternateContent>
          <mc:Choice Requires="wps">
            <w:drawing>
              <wp:anchor distT="0" distB="0" distL="0" distR="0" allowOverlap="1" layoutInCell="1" locked="0" behindDoc="1" simplePos="0" relativeHeight="487687680">
                <wp:simplePos x="0" y="0"/>
                <wp:positionH relativeFrom="page">
                  <wp:posOffset>896416</wp:posOffset>
                </wp:positionH>
                <wp:positionV relativeFrom="paragraph">
                  <wp:posOffset>273452</wp:posOffset>
                </wp:positionV>
                <wp:extent cx="5769610" cy="6350"/>
                <wp:effectExtent l="0" t="0" r="0" b="0"/>
                <wp:wrapTopAndBottom/>
                <wp:docPr id="523" name="Graphic 523"/>
                <wp:cNvGraphicFramePr>
                  <a:graphicFrameLocks/>
                </wp:cNvGraphicFramePr>
                <a:graphic>
                  <a:graphicData uri="http://schemas.microsoft.com/office/word/2010/wordprocessingShape">
                    <wps:wsp>
                      <wps:cNvPr id="523" name="Graphic 523"/>
                      <wps:cNvSpPr/>
                      <wps:spPr>
                        <a:xfrm>
                          <a:off x="0" y="0"/>
                          <a:ext cx="5769610" cy="6350"/>
                        </a:xfrm>
                        <a:custGeom>
                          <a:avLst/>
                          <a:gdLst/>
                          <a:ahLst/>
                          <a:cxnLst/>
                          <a:rect l="l" t="t" r="r" b="b"/>
                          <a:pathLst>
                            <a:path w="5769610" h="6350">
                              <a:moveTo>
                                <a:pt x="5769610" y="0"/>
                              </a:moveTo>
                              <a:lnTo>
                                <a:pt x="0" y="0"/>
                              </a:lnTo>
                              <a:lnTo>
                                <a:pt x="0" y="6095"/>
                              </a:lnTo>
                              <a:lnTo>
                                <a:pt x="5769610" y="6095"/>
                              </a:lnTo>
                              <a:lnTo>
                                <a:pt x="5769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21.531729pt;width:454.3pt;height:.47998pt;mso-position-horizontal-relative:page;mso-position-vertical-relative:paragraph;z-index:-15628800;mso-wrap-distance-left:0;mso-wrap-distance-right:0" id="docshape468" filled="true" fillcolor="#000000" stroked="false">
                <v:fill type="solid"/>
                <w10:wrap type="topAndBottom"/>
              </v:rect>
            </w:pict>
          </mc:Fallback>
        </mc:AlternateContent>
      </w:r>
    </w:p>
    <w:p>
      <w:pPr>
        <w:tabs>
          <w:tab w:pos="2170" w:val="left" w:leader="none"/>
          <w:tab w:pos="3810" w:val="left" w:leader="none"/>
          <w:tab w:pos="5471" w:val="left" w:leader="none"/>
        </w:tabs>
        <w:spacing w:before="0" w:after="41"/>
        <w:ind w:left="730" w:right="0" w:firstLine="0"/>
        <w:jc w:val="left"/>
        <w:rPr>
          <w:b/>
          <w:sz w:val="22"/>
        </w:rPr>
      </w:pPr>
      <w:r>
        <w:rPr>
          <w:b/>
          <w:spacing w:val="-2"/>
          <w:sz w:val="22"/>
        </w:rPr>
        <w:t>S/No.</w:t>
      </w:r>
      <w:r>
        <w:rPr>
          <w:b/>
          <w:sz w:val="22"/>
        </w:rPr>
        <w:tab/>
      </w:r>
      <w:r>
        <w:rPr>
          <w:b/>
          <w:spacing w:val="-5"/>
          <w:sz w:val="22"/>
        </w:rPr>
        <w:t>Age</w:t>
      </w:r>
      <w:r>
        <w:rPr>
          <w:b/>
          <w:sz w:val="22"/>
        </w:rPr>
        <w:tab/>
      </w:r>
      <w:r>
        <w:rPr>
          <w:b/>
          <w:spacing w:val="-5"/>
          <w:sz w:val="22"/>
        </w:rPr>
        <w:t>Sex</w:t>
      </w:r>
      <w:r>
        <w:rPr>
          <w:b/>
          <w:sz w:val="22"/>
        </w:rPr>
        <w:tab/>
        <w:t>Sample</w:t>
      </w:r>
      <w:r>
        <w:rPr>
          <w:b/>
          <w:spacing w:val="-4"/>
          <w:sz w:val="22"/>
        </w:rPr>
        <w:t> </w:t>
      </w:r>
      <w:r>
        <w:rPr>
          <w:b/>
          <w:sz w:val="22"/>
        </w:rPr>
        <w:t>source</w:t>
      </w:r>
      <w:r>
        <w:rPr>
          <w:b/>
          <w:spacing w:val="75"/>
          <w:w w:val="150"/>
          <w:sz w:val="22"/>
        </w:rPr>
        <w:t> </w:t>
      </w:r>
      <w:r>
        <w:rPr>
          <w:b/>
          <w:sz w:val="22"/>
        </w:rPr>
        <w:t>Sample</w:t>
      </w:r>
      <w:r>
        <w:rPr>
          <w:b/>
          <w:spacing w:val="-3"/>
          <w:sz w:val="22"/>
        </w:rPr>
        <w:t> </w:t>
      </w:r>
      <w:r>
        <w:rPr>
          <w:b/>
          <w:spacing w:val="-5"/>
          <w:sz w:val="22"/>
        </w:rPr>
        <w:t>No.</w:t>
      </w:r>
    </w:p>
    <w:p>
      <w:pPr>
        <w:pStyle w:val="BodyText"/>
        <w:spacing w:line="20" w:lineRule="exact"/>
        <w:ind w:left="351"/>
        <w:rPr>
          <w:sz w:val="2"/>
        </w:rPr>
      </w:pPr>
      <w:r>
        <w:rPr>
          <w:sz w:val="2"/>
        </w:rPr>
        <mc:AlternateContent>
          <mc:Choice Requires="wps">
            <w:drawing>
              <wp:inline distT="0" distB="0" distL="0" distR="0">
                <wp:extent cx="5769610" cy="6350"/>
                <wp:effectExtent l="0" t="0" r="0" b="0"/>
                <wp:docPr id="524" name="Group 524"/>
                <wp:cNvGraphicFramePr>
                  <a:graphicFrameLocks/>
                </wp:cNvGraphicFramePr>
                <a:graphic>
                  <a:graphicData uri="http://schemas.microsoft.com/office/word/2010/wordprocessingGroup">
                    <wpg:wgp>
                      <wpg:cNvPr id="524" name="Group 524"/>
                      <wpg:cNvGrpSpPr/>
                      <wpg:grpSpPr>
                        <a:xfrm>
                          <a:off x="0" y="0"/>
                          <a:ext cx="5769610" cy="6350"/>
                          <a:chExt cx="5769610" cy="6350"/>
                        </a:xfrm>
                      </wpg:grpSpPr>
                      <wps:wsp>
                        <wps:cNvPr id="525" name="Graphic 525"/>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3pt;height:.5pt;mso-position-horizontal-relative:char;mso-position-vertical-relative:line" id="docshapegroup469" coordorigin="0,0" coordsize="9086,10">
                <v:rect style="position:absolute;left:0;top:0;width:9086;height:10" id="docshape470" filled="true" fillcolor="#000000" stroked="false">
                  <v:fill type="solid"/>
                </v:rect>
              </v:group>
            </w:pict>
          </mc:Fallback>
        </mc:AlternateContent>
      </w:r>
      <w:r>
        <w:rPr>
          <w:sz w:val="2"/>
        </w:rPr>
      </w:r>
    </w:p>
    <w:p>
      <w:pPr>
        <w:pStyle w:val="BodyText"/>
        <w:rPr>
          <w:b/>
          <w:sz w:val="20"/>
        </w:rPr>
      </w:pPr>
    </w:p>
    <w:p>
      <w:pPr>
        <w:pStyle w:val="BodyText"/>
        <w:rPr>
          <w:b/>
          <w:sz w:val="20"/>
        </w:rPr>
      </w:pPr>
    </w:p>
    <w:p>
      <w:pPr>
        <w:pStyle w:val="BodyText"/>
        <w:spacing w:before="205"/>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5"/>
        <w:gridCol w:w="1542"/>
        <w:gridCol w:w="1729"/>
        <w:gridCol w:w="2292"/>
        <w:gridCol w:w="2002"/>
      </w:tblGrid>
      <w:tr>
        <w:trPr>
          <w:trHeight w:val="710" w:hRule="atLeast"/>
        </w:trPr>
        <w:tc>
          <w:tcPr>
            <w:tcW w:w="1285" w:type="dxa"/>
          </w:tcPr>
          <w:p>
            <w:pPr>
              <w:pStyle w:val="TableParagraph"/>
              <w:spacing w:line="225" w:lineRule="exact"/>
              <w:ind w:right="68"/>
              <w:jc w:val="center"/>
              <w:rPr>
                <w:sz w:val="22"/>
              </w:rPr>
            </w:pPr>
            <w:r>
              <w:rPr>
                <w:spacing w:val="-5"/>
                <w:sz w:val="22"/>
              </w:rPr>
              <w:t>11</w:t>
            </w:r>
          </w:p>
        </w:tc>
        <w:tc>
          <w:tcPr>
            <w:tcW w:w="1542" w:type="dxa"/>
          </w:tcPr>
          <w:p>
            <w:pPr>
              <w:pStyle w:val="TableParagraph"/>
              <w:spacing w:line="225" w:lineRule="exact"/>
              <w:ind w:left="565"/>
              <w:rPr>
                <w:sz w:val="22"/>
              </w:rPr>
            </w:pPr>
            <w:r>
              <w:rPr>
                <w:spacing w:val="-5"/>
                <w:sz w:val="22"/>
              </w:rPr>
              <w:t>21</w:t>
            </w:r>
          </w:p>
        </w:tc>
        <w:tc>
          <w:tcPr>
            <w:tcW w:w="1729" w:type="dxa"/>
          </w:tcPr>
          <w:p>
            <w:pPr>
              <w:pStyle w:val="TableParagraph"/>
              <w:spacing w:line="225" w:lineRule="exact"/>
              <w:ind w:right="34"/>
              <w:jc w:val="center"/>
              <w:rPr>
                <w:sz w:val="22"/>
              </w:rPr>
            </w:pPr>
            <w:r>
              <w:rPr>
                <w:spacing w:val="-10"/>
                <w:sz w:val="22"/>
              </w:rPr>
              <w:t>M</w:t>
            </w:r>
          </w:p>
        </w:tc>
        <w:tc>
          <w:tcPr>
            <w:tcW w:w="2292" w:type="dxa"/>
          </w:tcPr>
          <w:p>
            <w:pPr>
              <w:pStyle w:val="TableParagraph"/>
              <w:spacing w:line="225" w:lineRule="exact"/>
              <w:ind w:left="155" w:right="75"/>
              <w:jc w:val="center"/>
              <w:rPr>
                <w:sz w:val="22"/>
              </w:rPr>
            </w:pPr>
            <w:r>
              <w:rPr>
                <w:spacing w:val="-2"/>
                <w:sz w:val="22"/>
              </w:rPr>
              <w:t>SPUTUM</w:t>
            </w:r>
          </w:p>
        </w:tc>
        <w:tc>
          <w:tcPr>
            <w:tcW w:w="2002" w:type="dxa"/>
          </w:tcPr>
          <w:p>
            <w:pPr>
              <w:pStyle w:val="TableParagraph"/>
              <w:spacing w:line="225" w:lineRule="exact"/>
              <w:ind w:left="21"/>
              <w:jc w:val="center"/>
              <w:rPr>
                <w:sz w:val="22"/>
              </w:rPr>
            </w:pPr>
            <w:r>
              <w:rPr>
                <w:sz w:val="22"/>
              </w:rPr>
              <w:t>SP</w:t>
            </w:r>
            <w:r>
              <w:rPr>
                <w:spacing w:val="1"/>
                <w:sz w:val="22"/>
              </w:rPr>
              <w:t> </w:t>
            </w:r>
            <w:r>
              <w:rPr>
                <w:spacing w:val="-5"/>
                <w:sz w:val="22"/>
              </w:rPr>
              <w:t>229</w:t>
            </w:r>
          </w:p>
        </w:tc>
      </w:tr>
      <w:tr>
        <w:trPr>
          <w:trHeight w:val="1200" w:hRule="atLeast"/>
        </w:trPr>
        <w:tc>
          <w:tcPr>
            <w:tcW w:w="1285" w:type="dxa"/>
          </w:tcPr>
          <w:p>
            <w:pPr>
              <w:pStyle w:val="TableParagraph"/>
              <w:spacing w:before="177"/>
              <w:rPr>
                <w:b/>
                <w:sz w:val="22"/>
              </w:rPr>
            </w:pPr>
          </w:p>
          <w:p>
            <w:pPr>
              <w:pStyle w:val="TableParagraph"/>
              <w:ind w:right="68"/>
              <w:jc w:val="center"/>
              <w:rPr>
                <w:sz w:val="22"/>
              </w:rPr>
            </w:pPr>
            <w:r>
              <w:rPr>
                <w:spacing w:val="-5"/>
                <w:sz w:val="22"/>
              </w:rPr>
              <w:t>12</w:t>
            </w:r>
          </w:p>
        </w:tc>
        <w:tc>
          <w:tcPr>
            <w:tcW w:w="1542" w:type="dxa"/>
          </w:tcPr>
          <w:p>
            <w:pPr>
              <w:pStyle w:val="TableParagraph"/>
              <w:spacing w:before="177"/>
              <w:rPr>
                <w:b/>
                <w:sz w:val="22"/>
              </w:rPr>
            </w:pPr>
          </w:p>
          <w:p>
            <w:pPr>
              <w:pStyle w:val="TableParagraph"/>
              <w:ind w:left="565"/>
              <w:rPr>
                <w:sz w:val="22"/>
              </w:rPr>
            </w:pPr>
            <w:r>
              <w:rPr>
                <w:spacing w:val="-5"/>
                <w:sz w:val="22"/>
              </w:rPr>
              <w:t>18</w:t>
            </w:r>
          </w:p>
        </w:tc>
        <w:tc>
          <w:tcPr>
            <w:tcW w:w="1729" w:type="dxa"/>
          </w:tcPr>
          <w:p>
            <w:pPr>
              <w:pStyle w:val="TableParagraph"/>
              <w:spacing w:before="177"/>
              <w:rPr>
                <w:b/>
                <w:sz w:val="22"/>
              </w:rPr>
            </w:pPr>
          </w:p>
          <w:p>
            <w:pPr>
              <w:pStyle w:val="TableParagraph"/>
              <w:ind w:right="34"/>
              <w:jc w:val="center"/>
              <w:rPr>
                <w:sz w:val="22"/>
              </w:rPr>
            </w:pPr>
            <w:r>
              <w:rPr>
                <w:spacing w:val="-10"/>
                <w:sz w:val="22"/>
              </w:rPr>
              <w:t>M</w:t>
            </w:r>
          </w:p>
        </w:tc>
        <w:tc>
          <w:tcPr>
            <w:tcW w:w="2292" w:type="dxa"/>
          </w:tcPr>
          <w:p>
            <w:pPr>
              <w:pStyle w:val="TableParagraph"/>
              <w:spacing w:before="177"/>
              <w:rPr>
                <w:b/>
                <w:sz w:val="22"/>
              </w:rPr>
            </w:pPr>
          </w:p>
          <w:p>
            <w:pPr>
              <w:pStyle w:val="TableParagraph"/>
              <w:ind w:left="155" w:right="75"/>
              <w:jc w:val="center"/>
              <w:rPr>
                <w:sz w:val="22"/>
              </w:rPr>
            </w:pPr>
            <w:r>
              <w:rPr>
                <w:spacing w:val="-2"/>
                <w:sz w:val="22"/>
              </w:rPr>
              <w:t>SPUTUM</w:t>
            </w:r>
          </w:p>
        </w:tc>
        <w:tc>
          <w:tcPr>
            <w:tcW w:w="2002" w:type="dxa"/>
          </w:tcPr>
          <w:p>
            <w:pPr>
              <w:pStyle w:val="TableParagraph"/>
              <w:spacing w:before="177"/>
              <w:rPr>
                <w:b/>
                <w:sz w:val="22"/>
              </w:rPr>
            </w:pPr>
          </w:p>
          <w:p>
            <w:pPr>
              <w:pStyle w:val="TableParagraph"/>
              <w:ind w:left="21"/>
              <w:jc w:val="center"/>
              <w:rPr>
                <w:sz w:val="22"/>
              </w:rPr>
            </w:pPr>
            <w:r>
              <w:rPr>
                <w:sz w:val="22"/>
              </w:rPr>
              <w:t>SP</w:t>
            </w:r>
            <w:r>
              <w:rPr>
                <w:spacing w:val="1"/>
                <w:sz w:val="22"/>
              </w:rPr>
              <w:t> </w:t>
            </w:r>
            <w:r>
              <w:rPr>
                <w:spacing w:val="-5"/>
                <w:sz w:val="22"/>
              </w:rPr>
              <w:t>871</w:t>
            </w:r>
          </w:p>
        </w:tc>
      </w:tr>
      <w:tr>
        <w:trPr>
          <w:trHeight w:val="897" w:hRule="atLeast"/>
        </w:trPr>
        <w:tc>
          <w:tcPr>
            <w:tcW w:w="1285" w:type="dxa"/>
            <w:tcBorders>
              <w:bottom w:val="single" w:sz="4" w:space="0" w:color="000000"/>
            </w:tcBorders>
          </w:tcPr>
          <w:p>
            <w:pPr>
              <w:pStyle w:val="TableParagraph"/>
              <w:spacing w:before="177"/>
              <w:rPr>
                <w:b/>
                <w:sz w:val="22"/>
              </w:rPr>
            </w:pPr>
          </w:p>
          <w:p>
            <w:pPr>
              <w:pStyle w:val="TableParagraph"/>
              <w:ind w:right="68"/>
              <w:jc w:val="center"/>
              <w:rPr>
                <w:sz w:val="22"/>
              </w:rPr>
            </w:pPr>
            <w:r>
              <w:rPr>
                <w:spacing w:val="-5"/>
                <w:sz w:val="22"/>
              </w:rPr>
              <w:t>13</w:t>
            </w:r>
          </w:p>
        </w:tc>
        <w:tc>
          <w:tcPr>
            <w:tcW w:w="1542" w:type="dxa"/>
            <w:tcBorders>
              <w:bottom w:val="single" w:sz="4" w:space="0" w:color="000000"/>
            </w:tcBorders>
          </w:tcPr>
          <w:p>
            <w:pPr>
              <w:pStyle w:val="TableParagraph"/>
              <w:spacing w:before="177"/>
              <w:rPr>
                <w:b/>
                <w:sz w:val="22"/>
              </w:rPr>
            </w:pPr>
          </w:p>
          <w:p>
            <w:pPr>
              <w:pStyle w:val="TableParagraph"/>
              <w:ind w:left="565"/>
              <w:rPr>
                <w:sz w:val="22"/>
              </w:rPr>
            </w:pPr>
            <w:r>
              <w:rPr>
                <w:spacing w:val="-5"/>
                <w:sz w:val="22"/>
              </w:rPr>
              <w:t>37</w:t>
            </w:r>
          </w:p>
        </w:tc>
        <w:tc>
          <w:tcPr>
            <w:tcW w:w="1729" w:type="dxa"/>
            <w:tcBorders>
              <w:bottom w:val="single" w:sz="4" w:space="0" w:color="000000"/>
            </w:tcBorders>
          </w:tcPr>
          <w:p>
            <w:pPr>
              <w:pStyle w:val="TableParagraph"/>
              <w:spacing w:before="177"/>
              <w:rPr>
                <w:b/>
                <w:sz w:val="22"/>
              </w:rPr>
            </w:pPr>
          </w:p>
          <w:p>
            <w:pPr>
              <w:pStyle w:val="TableParagraph"/>
              <w:ind w:right="34"/>
              <w:jc w:val="center"/>
              <w:rPr>
                <w:sz w:val="22"/>
              </w:rPr>
            </w:pPr>
            <w:r>
              <w:rPr>
                <w:spacing w:val="-10"/>
                <w:sz w:val="22"/>
              </w:rPr>
              <w:t>M</w:t>
            </w:r>
          </w:p>
        </w:tc>
        <w:tc>
          <w:tcPr>
            <w:tcW w:w="2292" w:type="dxa"/>
            <w:tcBorders>
              <w:bottom w:val="single" w:sz="4" w:space="0" w:color="000000"/>
            </w:tcBorders>
          </w:tcPr>
          <w:p>
            <w:pPr>
              <w:pStyle w:val="TableParagraph"/>
              <w:spacing w:before="177"/>
              <w:rPr>
                <w:b/>
                <w:sz w:val="22"/>
              </w:rPr>
            </w:pPr>
          </w:p>
          <w:p>
            <w:pPr>
              <w:pStyle w:val="TableParagraph"/>
              <w:ind w:left="155" w:right="75"/>
              <w:jc w:val="center"/>
              <w:rPr>
                <w:sz w:val="22"/>
              </w:rPr>
            </w:pPr>
            <w:r>
              <w:rPr>
                <w:spacing w:val="-2"/>
                <w:sz w:val="22"/>
              </w:rPr>
              <w:t>SPUTUM</w:t>
            </w:r>
          </w:p>
        </w:tc>
        <w:tc>
          <w:tcPr>
            <w:tcW w:w="2002" w:type="dxa"/>
            <w:tcBorders>
              <w:bottom w:val="single" w:sz="4" w:space="0" w:color="000000"/>
            </w:tcBorders>
          </w:tcPr>
          <w:p>
            <w:pPr>
              <w:pStyle w:val="TableParagraph"/>
              <w:spacing w:before="177"/>
              <w:rPr>
                <w:b/>
                <w:sz w:val="22"/>
              </w:rPr>
            </w:pPr>
          </w:p>
          <w:p>
            <w:pPr>
              <w:pStyle w:val="TableParagraph"/>
              <w:ind w:left="21"/>
              <w:jc w:val="center"/>
              <w:rPr>
                <w:sz w:val="22"/>
              </w:rPr>
            </w:pPr>
            <w:r>
              <w:rPr>
                <w:sz w:val="22"/>
              </w:rPr>
              <w:t>SP</w:t>
            </w:r>
            <w:r>
              <w:rPr>
                <w:spacing w:val="1"/>
                <w:sz w:val="22"/>
              </w:rPr>
              <w:t> </w:t>
            </w:r>
            <w:r>
              <w:rPr>
                <w:spacing w:val="-5"/>
                <w:sz w:val="22"/>
              </w:rPr>
              <w:t>867</w:t>
            </w:r>
          </w:p>
        </w:tc>
      </w:tr>
    </w:tbl>
    <w:p>
      <w:pPr>
        <w:spacing w:after="0"/>
        <w:jc w:val="center"/>
        <w:rPr>
          <w:sz w:val="22"/>
        </w:rPr>
        <w:sectPr>
          <w:pgSz w:w="11910" w:h="16840"/>
          <w:pgMar w:header="0" w:footer="1055" w:top="1420" w:bottom="1240" w:left="1060" w:right="460"/>
        </w:sectPr>
      </w:pPr>
    </w:p>
    <w:p>
      <w:pPr>
        <w:pStyle w:val="BodyText"/>
        <w:spacing w:line="20" w:lineRule="exact"/>
        <w:ind w:left="366"/>
        <w:rPr>
          <w:sz w:val="2"/>
        </w:rPr>
      </w:pPr>
      <w:r>
        <w:rPr>
          <w:sz w:val="2"/>
        </w:rPr>
        <mc:AlternateContent>
          <mc:Choice Requires="wps">
            <w:drawing>
              <wp:inline distT="0" distB="0" distL="0" distR="0">
                <wp:extent cx="5611495" cy="6350"/>
                <wp:effectExtent l="0" t="0" r="0" b="0"/>
                <wp:docPr id="526" name="Group 526"/>
                <wp:cNvGraphicFramePr>
                  <a:graphicFrameLocks/>
                </wp:cNvGraphicFramePr>
                <a:graphic>
                  <a:graphicData uri="http://schemas.microsoft.com/office/word/2010/wordprocessingGroup">
                    <wpg:wgp>
                      <wpg:cNvPr id="526" name="Group 526"/>
                      <wpg:cNvGrpSpPr/>
                      <wpg:grpSpPr>
                        <a:xfrm>
                          <a:off x="0" y="0"/>
                          <a:ext cx="5611495" cy="6350"/>
                          <a:chExt cx="5611495" cy="6350"/>
                        </a:xfrm>
                      </wpg:grpSpPr>
                      <wps:wsp>
                        <wps:cNvPr id="527" name="Graphic 527"/>
                        <wps:cNvSpPr/>
                        <wps:spPr>
                          <a:xfrm>
                            <a:off x="0" y="0"/>
                            <a:ext cx="5611495" cy="6350"/>
                          </a:xfrm>
                          <a:custGeom>
                            <a:avLst/>
                            <a:gdLst/>
                            <a:ahLst/>
                            <a:cxnLst/>
                            <a:rect l="l" t="t" r="r" b="b"/>
                            <a:pathLst>
                              <a:path w="5611495" h="6350">
                                <a:moveTo>
                                  <a:pt x="1723885" y="0"/>
                                </a:moveTo>
                                <a:lnTo>
                                  <a:pt x="758901" y="0"/>
                                </a:lnTo>
                                <a:lnTo>
                                  <a:pt x="752856" y="0"/>
                                </a:lnTo>
                                <a:lnTo>
                                  <a:pt x="0" y="0"/>
                                </a:lnTo>
                                <a:lnTo>
                                  <a:pt x="0" y="6096"/>
                                </a:lnTo>
                                <a:lnTo>
                                  <a:pt x="752805" y="6096"/>
                                </a:lnTo>
                                <a:lnTo>
                                  <a:pt x="758901" y="6096"/>
                                </a:lnTo>
                                <a:lnTo>
                                  <a:pt x="1723885" y="6096"/>
                                </a:lnTo>
                                <a:lnTo>
                                  <a:pt x="1723885" y="0"/>
                                </a:lnTo>
                                <a:close/>
                              </a:path>
                              <a:path w="5611495" h="6350">
                                <a:moveTo>
                                  <a:pt x="4353382" y="0"/>
                                </a:moveTo>
                                <a:lnTo>
                                  <a:pt x="4353382" y="0"/>
                                </a:lnTo>
                                <a:lnTo>
                                  <a:pt x="1723974" y="0"/>
                                </a:lnTo>
                                <a:lnTo>
                                  <a:pt x="1723974" y="6096"/>
                                </a:lnTo>
                                <a:lnTo>
                                  <a:pt x="4353382" y="6096"/>
                                </a:lnTo>
                                <a:lnTo>
                                  <a:pt x="4353382" y="0"/>
                                </a:lnTo>
                                <a:close/>
                              </a:path>
                              <a:path w="5611495" h="6350">
                                <a:moveTo>
                                  <a:pt x="4359592" y="0"/>
                                </a:moveTo>
                                <a:lnTo>
                                  <a:pt x="4353509" y="0"/>
                                </a:lnTo>
                                <a:lnTo>
                                  <a:pt x="4353509" y="6096"/>
                                </a:lnTo>
                                <a:lnTo>
                                  <a:pt x="4359592" y="6096"/>
                                </a:lnTo>
                                <a:lnTo>
                                  <a:pt x="4359592" y="0"/>
                                </a:lnTo>
                                <a:close/>
                              </a:path>
                              <a:path w="5611495" h="6350">
                                <a:moveTo>
                                  <a:pt x="5611114" y="0"/>
                                </a:moveTo>
                                <a:lnTo>
                                  <a:pt x="4359605" y="0"/>
                                </a:lnTo>
                                <a:lnTo>
                                  <a:pt x="4359605" y="6096"/>
                                </a:lnTo>
                                <a:lnTo>
                                  <a:pt x="5611114" y="6096"/>
                                </a:lnTo>
                                <a:lnTo>
                                  <a:pt x="561111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1.85pt;height:.5pt;mso-position-horizontal-relative:char;mso-position-vertical-relative:line" id="docshapegroup471" coordorigin="0,0" coordsize="8837,10">
                <v:shape style="position:absolute;left:0;top:0;width:8837;height:10" id="docshape472" coordorigin="0,0" coordsize="8837,10" path="m2715,0l1195,0,1186,0,1186,0,0,0,0,10,1186,10,1186,10,1195,10,2715,10,2715,0xm6856,0l4616,0,4607,0,4607,0,2725,0,2715,0,2715,10,2725,10,4607,10,4607,10,4616,10,6856,10,6856,0xm6866,0l6856,0,6856,10,6866,10,6866,0xm8836,0l6866,0,6866,10,8836,10,8836,0xe" filled="true" fillcolor="#000000" stroked="false">
                  <v:path arrowok="t"/>
                  <v:fill type="solid"/>
                </v:shape>
              </v:group>
            </w:pict>
          </mc:Fallback>
        </mc:AlternateContent>
      </w:r>
      <w:r>
        <w:rPr>
          <w:sz w:val="2"/>
        </w:rPr>
      </w:r>
    </w:p>
    <w:p>
      <w:pPr>
        <w:pStyle w:val="BodyText"/>
        <w:rPr>
          <w:b/>
          <w:sz w:val="20"/>
        </w:rPr>
      </w:pPr>
    </w:p>
    <w:p>
      <w:pPr>
        <w:pStyle w:val="BodyText"/>
        <w:rPr>
          <w:b/>
          <w:sz w:val="20"/>
        </w:rPr>
      </w:pPr>
    </w:p>
    <w:p>
      <w:pPr>
        <w:pStyle w:val="BodyText"/>
        <w:spacing w:before="59"/>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5"/>
        <w:gridCol w:w="1542"/>
        <w:gridCol w:w="1691"/>
        <w:gridCol w:w="2371"/>
        <w:gridCol w:w="1961"/>
      </w:tblGrid>
      <w:tr>
        <w:trPr>
          <w:trHeight w:val="710" w:hRule="atLeast"/>
        </w:trPr>
        <w:tc>
          <w:tcPr>
            <w:tcW w:w="1285" w:type="dxa"/>
          </w:tcPr>
          <w:p>
            <w:pPr>
              <w:pStyle w:val="TableParagraph"/>
              <w:spacing w:line="225" w:lineRule="exact"/>
              <w:ind w:right="68"/>
              <w:jc w:val="center"/>
              <w:rPr>
                <w:sz w:val="22"/>
              </w:rPr>
            </w:pPr>
            <w:r>
              <w:rPr>
                <w:spacing w:val="-5"/>
                <w:sz w:val="22"/>
              </w:rPr>
              <w:t>14</w:t>
            </w:r>
          </w:p>
        </w:tc>
        <w:tc>
          <w:tcPr>
            <w:tcW w:w="1542" w:type="dxa"/>
          </w:tcPr>
          <w:p>
            <w:pPr>
              <w:pStyle w:val="TableParagraph"/>
              <w:spacing w:line="225" w:lineRule="exact"/>
              <w:ind w:left="565"/>
              <w:rPr>
                <w:sz w:val="22"/>
              </w:rPr>
            </w:pPr>
            <w:r>
              <w:rPr>
                <w:spacing w:val="-5"/>
                <w:sz w:val="22"/>
              </w:rPr>
              <w:t>20</w:t>
            </w:r>
          </w:p>
        </w:tc>
        <w:tc>
          <w:tcPr>
            <w:tcW w:w="1691" w:type="dxa"/>
          </w:tcPr>
          <w:p>
            <w:pPr>
              <w:pStyle w:val="TableParagraph"/>
              <w:spacing w:line="225" w:lineRule="exact"/>
              <w:ind w:left="1" w:right="1"/>
              <w:jc w:val="center"/>
              <w:rPr>
                <w:sz w:val="22"/>
              </w:rPr>
            </w:pPr>
            <w:r>
              <w:rPr>
                <w:spacing w:val="-10"/>
                <w:sz w:val="22"/>
              </w:rPr>
              <w:t>F</w:t>
            </w:r>
          </w:p>
        </w:tc>
        <w:tc>
          <w:tcPr>
            <w:tcW w:w="2371" w:type="dxa"/>
          </w:tcPr>
          <w:p>
            <w:pPr>
              <w:pStyle w:val="TableParagraph"/>
              <w:spacing w:line="225" w:lineRule="exact"/>
              <w:ind w:left="81" w:right="4"/>
              <w:jc w:val="center"/>
              <w:rPr>
                <w:sz w:val="22"/>
              </w:rPr>
            </w:pPr>
            <w:r>
              <w:rPr>
                <w:spacing w:val="-2"/>
                <w:sz w:val="22"/>
              </w:rPr>
              <w:t>SPUTUM</w:t>
            </w:r>
          </w:p>
        </w:tc>
        <w:tc>
          <w:tcPr>
            <w:tcW w:w="1961" w:type="dxa"/>
          </w:tcPr>
          <w:p>
            <w:pPr>
              <w:pStyle w:val="TableParagraph"/>
              <w:spacing w:line="225" w:lineRule="exact"/>
              <w:ind w:right="17"/>
              <w:jc w:val="center"/>
              <w:rPr>
                <w:sz w:val="22"/>
              </w:rPr>
            </w:pPr>
            <w:r>
              <w:rPr>
                <w:sz w:val="22"/>
              </w:rPr>
              <w:t>SP</w:t>
            </w:r>
            <w:r>
              <w:rPr>
                <w:spacing w:val="1"/>
                <w:sz w:val="22"/>
              </w:rPr>
              <w:t> </w:t>
            </w:r>
            <w:r>
              <w:rPr>
                <w:spacing w:val="-5"/>
                <w:sz w:val="22"/>
              </w:rPr>
              <w:t>228</w:t>
            </w:r>
          </w:p>
        </w:tc>
      </w:tr>
      <w:tr>
        <w:trPr>
          <w:trHeight w:val="1050" w:hRule="atLeast"/>
        </w:trPr>
        <w:tc>
          <w:tcPr>
            <w:tcW w:w="1285" w:type="dxa"/>
          </w:tcPr>
          <w:p>
            <w:pPr>
              <w:pStyle w:val="TableParagraph"/>
              <w:spacing w:before="177"/>
              <w:rPr>
                <w:b/>
                <w:sz w:val="22"/>
              </w:rPr>
            </w:pPr>
          </w:p>
          <w:p>
            <w:pPr>
              <w:pStyle w:val="TableParagraph"/>
              <w:ind w:right="68"/>
              <w:jc w:val="center"/>
              <w:rPr>
                <w:sz w:val="22"/>
              </w:rPr>
            </w:pPr>
            <w:r>
              <w:rPr>
                <w:spacing w:val="-5"/>
                <w:sz w:val="22"/>
              </w:rPr>
              <w:t>15</w:t>
            </w:r>
          </w:p>
        </w:tc>
        <w:tc>
          <w:tcPr>
            <w:tcW w:w="1542" w:type="dxa"/>
          </w:tcPr>
          <w:p>
            <w:pPr>
              <w:pStyle w:val="TableParagraph"/>
              <w:spacing w:before="177"/>
              <w:rPr>
                <w:b/>
                <w:sz w:val="22"/>
              </w:rPr>
            </w:pPr>
          </w:p>
          <w:p>
            <w:pPr>
              <w:pStyle w:val="TableParagraph"/>
              <w:ind w:left="621"/>
              <w:rPr>
                <w:sz w:val="22"/>
              </w:rPr>
            </w:pPr>
            <w:r>
              <w:rPr>
                <w:spacing w:val="-10"/>
                <w:sz w:val="22"/>
              </w:rPr>
              <w:t>5</w:t>
            </w:r>
          </w:p>
        </w:tc>
        <w:tc>
          <w:tcPr>
            <w:tcW w:w="1691" w:type="dxa"/>
          </w:tcPr>
          <w:p>
            <w:pPr>
              <w:pStyle w:val="TableParagraph"/>
              <w:spacing w:before="177"/>
              <w:rPr>
                <w:b/>
                <w:sz w:val="22"/>
              </w:rPr>
            </w:pPr>
          </w:p>
          <w:p>
            <w:pPr>
              <w:pStyle w:val="TableParagraph"/>
              <w:ind w:left="1" w:right="1"/>
              <w:jc w:val="center"/>
              <w:rPr>
                <w:sz w:val="22"/>
              </w:rPr>
            </w:pPr>
            <w:r>
              <w:rPr>
                <w:spacing w:val="-10"/>
                <w:sz w:val="22"/>
              </w:rPr>
              <w:t>F</w:t>
            </w:r>
          </w:p>
        </w:tc>
        <w:tc>
          <w:tcPr>
            <w:tcW w:w="2371" w:type="dxa"/>
          </w:tcPr>
          <w:p>
            <w:pPr>
              <w:pStyle w:val="TableParagraph"/>
              <w:spacing w:before="177"/>
              <w:rPr>
                <w:b/>
                <w:sz w:val="22"/>
              </w:rPr>
            </w:pPr>
          </w:p>
          <w:p>
            <w:pPr>
              <w:pStyle w:val="TableParagraph"/>
              <w:ind w:left="81" w:right="4"/>
              <w:jc w:val="center"/>
              <w:rPr>
                <w:sz w:val="22"/>
              </w:rPr>
            </w:pPr>
            <w:r>
              <w:rPr>
                <w:spacing w:val="-2"/>
                <w:sz w:val="22"/>
              </w:rPr>
              <w:t>SPUTUM</w:t>
            </w:r>
          </w:p>
        </w:tc>
        <w:tc>
          <w:tcPr>
            <w:tcW w:w="1961" w:type="dxa"/>
          </w:tcPr>
          <w:p>
            <w:pPr>
              <w:pStyle w:val="TableParagraph"/>
              <w:spacing w:before="177"/>
              <w:rPr>
                <w:b/>
                <w:sz w:val="22"/>
              </w:rPr>
            </w:pPr>
          </w:p>
          <w:p>
            <w:pPr>
              <w:pStyle w:val="TableParagraph"/>
              <w:ind w:right="17"/>
              <w:jc w:val="center"/>
              <w:rPr>
                <w:sz w:val="22"/>
              </w:rPr>
            </w:pPr>
            <w:r>
              <w:rPr>
                <w:sz w:val="22"/>
              </w:rPr>
              <w:t>SP</w:t>
            </w:r>
            <w:r>
              <w:rPr>
                <w:spacing w:val="1"/>
                <w:sz w:val="22"/>
              </w:rPr>
              <w:t> </w:t>
            </w:r>
            <w:r>
              <w:rPr>
                <w:spacing w:val="-5"/>
                <w:sz w:val="22"/>
              </w:rPr>
              <w:t>870</w:t>
            </w:r>
          </w:p>
        </w:tc>
      </w:tr>
      <w:tr>
        <w:trPr>
          <w:trHeight w:val="900" w:hRule="atLeast"/>
        </w:trPr>
        <w:tc>
          <w:tcPr>
            <w:tcW w:w="1285" w:type="dxa"/>
          </w:tcPr>
          <w:p>
            <w:pPr>
              <w:pStyle w:val="TableParagraph"/>
              <w:spacing w:before="27"/>
              <w:rPr>
                <w:b/>
                <w:sz w:val="22"/>
              </w:rPr>
            </w:pPr>
          </w:p>
          <w:p>
            <w:pPr>
              <w:pStyle w:val="TableParagraph"/>
              <w:ind w:right="68"/>
              <w:jc w:val="center"/>
              <w:rPr>
                <w:sz w:val="22"/>
              </w:rPr>
            </w:pPr>
            <w:r>
              <w:rPr>
                <w:spacing w:val="-5"/>
                <w:sz w:val="22"/>
              </w:rPr>
              <w:t>16</w:t>
            </w:r>
          </w:p>
        </w:tc>
        <w:tc>
          <w:tcPr>
            <w:tcW w:w="1542" w:type="dxa"/>
          </w:tcPr>
          <w:p>
            <w:pPr>
              <w:pStyle w:val="TableParagraph"/>
              <w:spacing w:before="27"/>
              <w:rPr>
                <w:b/>
                <w:sz w:val="22"/>
              </w:rPr>
            </w:pPr>
          </w:p>
          <w:p>
            <w:pPr>
              <w:pStyle w:val="TableParagraph"/>
              <w:ind w:left="565"/>
              <w:rPr>
                <w:sz w:val="22"/>
              </w:rPr>
            </w:pPr>
            <w:r>
              <w:rPr>
                <w:spacing w:val="-5"/>
                <w:sz w:val="22"/>
              </w:rPr>
              <w:t>36</w:t>
            </w:r>
          </w:p>
        </w:tc>
        <w:tc>
          <w:tcPr>
            <w:tcW w:w="1691" w:type="dxa"/>
          </w:tcPr>
          <w:p>
            <w:pPr>
              <w:pStyle w:val="TableParagraph"/>
              <w:spacing w:before="27"/>
              <w:rPr>
                <w:b/>
                <w:sz w:val="22"/>
              </w:rPr>
            </w:pPr>
          </w:p>
          <w:p>
            <w:pPr>
              <w:pStyle w:val="TableParagraph"/>
              <w:ind w:left="1" w:right="1"/>
              <w:jc w:val="center"/>
              <w:rPr>
                <w:sz w:val="22"/>
              </w:rPr>
            </w:pPr>
            <w:r>
              <w:rPr>
                <w:spacing w:val="-10"/>
                <w:sz w:val="22"/>
              </w:rPr>
              <w:t>F</w:t>
            </w:r>
          </w:p>
        </w:tc>
        <w:tc>
          <w:tcPr>
            <w:tcW w:w="2371" w:type="dxa"/>
          </w:tcPr>
          <w:p>
            <w:pPr>
              <w:pStyle w:val="TableParagraph"/>
              <w:spacing w:before="27"/>
              <w:rPr>
                <w:b/>
                <w:sz w:val="22"/>
              </w:rPr>
            </w:pPr>
          </w:p>
          <w:p>
            <w:pPr>
              <w:pStyle w:val="TableParagraph"/>
              <w:ind w:left="81" w:right="4"/>
              <w:jc w:val="center"/>
              <w:rPr>
                <w:sz w:val="22"/>
              </w:rPr>
            </w:pPr>
            <w:r>
              <w:rPr>
                <w:spacing w:val="-2"/>
                <w:sz w:val="22"/>
              </w:rPr>
              <w:t>SPUTUM</w:t>
            </w:r>
          </w:p>
        </w:tc>
        <w:tc>
          <w:tcPr>
            <w:tcW w:w="1961" w:type="dxa"/>
          </w:tcPr>
          <w:p>
            <w:pPr>
              <w:pStyle w:val="TableParagraph"/>
              <w:spacing w:before="27"/>
              <w:rPr>
                <w:b/>
                <w:sz w:val="22"/>
              </w:rPr>
            </w:pPr>
          </w:p>
          <w:p>
            <w:pPr>
              <w:pStyle w:val="TableParagraph"/>
              <w:ind w:right="17"/>
              <w:jc w:val="center"/>
              <w:rPr>
                <w:sz w:val="22"/>
              </w:rPr>
            </w:pPr>
            <w:r>
              <w:rPr>
                <w:sz w:val="22"/>
              </w:rPr>
              <w:t>SP</w:t>
            </w:r>
            <w:r>
              <w:rPr>
                <w:spacing w:val="1"/>
                <w:sz w:val="22"/>
              </w:rPr>
              <w:t> </w:t>
            </w:r>
            <w:r>
              <w:rPr>
                <w:spacing w:val="-5"/>
                <w:sz w:val="22"/>
              </w:rPr>
              <w:t>868</w:t>
            </w:r>
          </w:p>
        </w:tc>
      </w:tr>
      <w:tr>
        <w:trPr>
          <w:trHeight w:val="1050" w:hRule="atLeast"/>
        </w:trPr>
        <w:tc>
          <w:tcPr>
            <w:tcW w:w="1285" w:type="dxa"/>
          </w:tcPr>
          <w:p>
            <w:pPr>
              <w:pStyle w:val="TableParagraph"/>
              <w:spacing w:before="27"/>
              <w:rPr>
                <w:b/>
                <w:sz w:val="22"/>
              </w:rPr>
            </w:pPr>
          </w:p>
          <w:p>
            <w:pPr>
              <w:pStyle w:val="TableParagraph"/>
              <w:ind w:right="68"/>
              <w:jc w:val="center"/>
              <w:rPr>
                <w:sz w:val="22"/>
              </w:rPr>
            </w:pPr>
            <w:r>
              <w:rPr>
                <w:spacing w:val="-5"/>
                <w:sz w:val="22"/>
              </w:rPr>
              <w:t>17</w:t>
            </w:r>
          </w:p>
        </w:tc>
        <w:tc>
          <w:tcPr>
            <w:tcW w:w="1542" w:type="dxa"/>
          </w:tcPr>
          <w:p>
            <w:pPr>
              <w:pStyle w:val="TableParagraph"/>
              <w:spacing w:before="27"/>
              <w:rPr>
                <w:b/>
                <w:sz w:val="22"/>
              </w:rPr>
            </w:pPr>
          </w:p>
          <w:p>
            <w:pPr>
              <w:pStyle w:val="TableParagraph"/>
              <w:ind w:left="565"/>
              <w:rPr>
                <w:sz w:val="22"/>
              </w:rPr>
            </w:pPr>
            <w:r>
              <w:rPr>
                <w:spacing w:val="-5"/>
                <w:sz w:val="22"/>
              </w:rPr>
              <w:t>38</w:t>
            </w:r>
          </w:p>
        </w:tc>
        <w:tc>
          <w:tcPr>
            <w:tcW w:w="1691" w:type="dxa"/>
          </w:tcPr>
          <w:p>
            <w:pPr>
              <w:pStyle w:val="TableParagraph"/>
              <w:spacing w:before="27"/>
              <w:rPr>
                <w:b/>
                <w:sz w:val="22"/>
              </w:rPr>
            </w:pPr>
          </w:p>
          <w:p>
            <w:pPr>
              <w:pStyle w:val="TableParagraph"/>
              <w:ind w:left="1"/>
              <w:jc w:val="center"/>
              <w:rPr>
                <w:sz w:val="22"/>
              </w:rPr>
            </w:pPr>
            <w:r>
              <w:rPr>
                <w:spacing w:val="-10"/>
                <w:sz w:val="22"/>
              </w:rPr>
              <w:t>M</w:t>
            </w:r>
          </w:p>
        </w:tc>
        <w:tc>
          <w:tcPr>
            <w:tcW w:w="2371" w:type="dxa"/>
          </w:tcPr>
          <w:p>
            <w:pPr>
              <w:pStyle w:val="TableParagraph"/>
              <w:spacing w:before="27"/>
              <w:rPr>
                <w:b/>
                <w:sz w:val="22"/>
              </w:rPr>
            </w:pPr>
          </w:p>
          <w:p>
            <w:pPr>
              <w:pStyle w:val="TableParagraph"/>
              <w:ind w:left="81" w:right="4"/>
              <w:jc w:val="center"/>
              <w:rPr>
                <w:sz w:val="22"/>
              </w:rPr>
            </w:pPr>
            <w:r>
              <w:rPr>
                <w:spacing w:val="-2"/>
                <w:sz w:val="22"/>
              </w:rPr>
              <w:t>SPUTUM</w:t>
            </w:r>
          </w:p>
        </w:tc>
        <w:tc>
          <w:tcPr>
            <w:tcW w:w="1961" w:type="dxa"/>
          </w:tcPr>
          <w:p>
            <w:pPr>
              <w:pStyle w:val="TableParagraph"/>
              <w:spacing w:before="27"/>
              <w:rPr>
                <w:b/>
                <w:sz w:val="22"/>
              </w:rPr>
            </w:pPr>
          </w:p>
          <w:p>
            <w:pPr>
              <w:pStyle w:val="TableParagraph"/>
              <w:ind w:right="17"/>
              <w:jc w:val="center"/>
              <w:rPr>
                <w:sz w:val="22"/>
              </w:rPr>
            </w:pPr>
            <w:r>
              <w:rPr>
                <w:sz w:val="22"/>
              </w:rPr>
              <w:t>SP</w:t>
            </w:r>
            <w:r>
              <w:rPr>
                <w:spacing w:val="1"/>
                <w:sz w:val="22"/>
              </w:rPr>
              <w:t> </w:t>
            </w:r>
            <w:r>
              <w:rPr>
                <w:spacing w:val="-5"/>
                <w:sz w:val="22"/>
              </w:rPr>
              <w:t>883</w:t>
            </w:r>
          </w:p>
        </w:tc>
      </w:tr>
      <w:tr>
        <w:trPr>
          <w:trHeight w:val="1199" w:hRule="atLeast"/>
        </w:trPr>
        <w:tc>
          <w:tcPr>
            <w:tcW w:w="1285" w:type="dxa"/>
          </w:tcPr>
          <w:p>
            <w:pPr>
              <w:pStyle w:val="TableParagraph"/>
              <w:spacing w:before="177"/>
              <w:rPr>
                <w:b/>
                <w:sz w:val="22"/>
              </w:rPr>
            </w:pPr>
          </w:p>
          <w:p>
            <w:pPr>
              <w:pStyle w:val="TableParagraph"/>
              <w:ind w:right="68"/>
              <w:jc w:val="center"/>
              <w:rPr>
                <w:sz w:val="22"/>
              </w:rPr>
            </w:pPr>
            <w:r>
              <w:rPr>
                <w:spacing w:val="-5"/>
                <w:sz w:val="22"/>
              </w:rPr>
              <w:t>18</w:t>
            </w:r>
          </w:p>
        </w:tc>
        <w:tc>
          <w:tcPr>
            <w:tcW w:w="1542" w:type="dxa"/>
          </w:tcPr>
          <w:p>
            <w:pPr>
              <w:pStyle w:val="TableParagraph"/>
              <w:spacing w:before="177"/>
              <w:rPr>
                <w:b/>
                <w:sz w:val="22"/>
              </w:rPr>
            </w:pPr>
          </w:p>
          <w:p>
            <w:pPr>
              <w:pStyle w:val="TableParagraph"/>
              <w:ind w:left="565"/>
              <w:rPr>
                <w:sz w:val="22"/>
              </w:rPr>
            </w:pPr>
            <w:r>
              <w:rPr>
                <w:spacing w:val="-5"/>
                <w:sz w:val="22"/>
              </w:rPr>
              <w:t>27</w:t>
            </w:r>
          </w:p>
        </w:tc>
        <w:tc>
          <w:tcPr>
            <w:tcW w:w="1691" w:type="dxa"/>
          </w:tcPr>
          <w:p>
            <w:pPr>
              <w:pStyle w:val="TableParagraph"/>
              <w:spacing w:before="177"/>
              <w:rPr>
                <w:b/>
                <w:sz w:val="22"/>
              </w:rPr>
            </w:pPr>
          </w:p>
          <w:p>
            <w:pPr>
              <w:pStyle w:val="TableParagraph"/>
              <w:ind w:left="1" w:right="1"/>
              <w:jc w:val="center"/>
              <w:rPr>
                <w:sz w:val="22"/>
              </w:rPr>
            </w:pPr>
            <w:r>
              <w:rPr>
                <w:spacing w:val="-10"/>
                <w:sz w:val="22"/>
              </w:rPr>
              <w:t>F</w:t>
            </w:r>
          </w:p>
        </w:tc>
        <w:tc>
          <w:tcPr>
            <w:tcW w:w="2371" w:type="dxa"/>
          </w:tcPr>
          <w:p>
            <w:pPr>
              <w:pStyle w:val="TableParagraph"/>
              <w:spacing w:before="177"/>
              <w:rPr>
                <w:b/>
                <w:sz w:val="22"/>
              </w:rPr>
            </w:pPr>
          </w:p>
          <w:p>
            <w:pPr>
              <w:pStyle w:val="TableParagraph"/>
              <w:ind w:left="81"/>
              <w:jc w:val="center"/>
              <w:rPr>
                <w:sz w:val="22"/>
              </w:rPr>
            </w:pPr>
            <w:r>
              <w:rPr>
                <w:sz w:val="22"/>
              </w:rPr>
              <w:t>EAR</w:t>
            </w:r>
            <w:r>
              <w:rPr>
                <w:spacing w:val="-2"/>
                <w:sz w:val="22"/>
              </w:rPr>
              <w:t> </w:t>
            </w:r>
            <w:r>
              <w:rPr>
                <w:spacing w:val="-4"/>
                <w:sz w:val="22"/>
              </w:rPr>
              <w:t>SWAB</w:t>
            </w:r>
          </w:p>
        </w:tc>
        <w:tc>
          <w:tcPr>
            <w:tcW w:w="1961" w:type="dxa"/>
          </w:tcPr>
          <w:p>
            <w:pPr>
              <w:pStyle w:val="TableParagraph"/>
              <w:spacing w:before="177"/>
              <w:rPr>
                <w:b/>
                <w:sz w:val="22"/>
              </w:rPr>
            </w:pPr>
          </w:p>
          <w:p>
            <w:pPr>
              <w:pStyle w:val="TableParagraph"/>
              <w:ind w:left="2" w:right="17"/>
              <w:jc w:val="center"/>
              <w:rPr>
                <w:sz w:val="22"/>
              </w:rPr>
            </w:pPr>
            <w:r>
              <w:rPr>
                <w:sz w:val="22"/>
              </w:rPr>
              <w:t>ES</w:t>
            </w:r>
            <w:r>
              <w:rPr>
                <w:spacing w:val="-1"/>
                <w:sz w:val="22"/>
              </w:rPr>
              <w:t> </w:t>
            </w:r>
            <w:r>
              <w:rPr>
                <w:spacing w:val="-5"/>
                <w:sz w:val="22"/>
              </w:rPr>
              <w:t>876</w:t>
            </w:r>
          </w:p>
        </w:tc>
      </w:tr>
      <w:tr>
        <w:trPr>
          <w:trHeight w:val="1200" w:hRule="atLeast"/>
        </w:trPr>
        <w:tc>
          <w:tcPr>
            <w:tcW w:w="1285" w:type="dxa"/>
          </w:tcPr>
          <w:p>
            <w:pPr>
              <w:pStyle w:val="TableParagraph"/>
              <w:spacing w:before="177"/>
              <w:rPr>
                <w:b/>
                <w:sz w:val="22"/>
              </w:rPr>
            </w:pPr>
          </w:p>
          <w:p>
            <w:pPr>
              <w:pStyle w:val="TableParagraph"/>
              <w:ind w:right="68"/>
              <w:jc w:val="center"/>
              <w:rPr>
                <w:sz w:val="22"/>
              </w:rPr>
            </w:pPr>
            <w:r>
              <w:rPr>
                <w:spacing w:val="-5"/>
                <w:sz w:val="22"/>
              </w:rPr>
              <w:t>19</w:t>
            </w:r>
          </w:p>
        </w:tc>
        <w:tc>
          <w:tcPr>
            <w:tcW w:w="1542" w:type="dxa"/>
          </w:tcPr>
          <w:p>
            <w:pPr>
              <w:pStyle w:val="TableParagraph"/>
              <w:spacing w:before="177"/>
              <w:rPr>
                <w:b/>
                <w:sz w:val="22"/>
              </w:rPr>
            </w:pPr>
          </w:p>
          <w:p>
            <w:pPr>
              <w:pStyle w:val="TableParagraph"/>
              <w:ind w:left="565"/>
              <w:rPr>
                <w:sz w:val="22"/>
              </w:rPr>
            </w:pPr>
            <w:r>
              <w:rPr>
                <w:spacing w:val="-5"/>
                <w:sz w:val="22"/>
              </w:rPr>
              <w:t>25</w:t>
            </w:r>
          </w:p>
        </w:tc>
        <w:tc>
          <w:tcPr>
            <w:tcW w:w="1691" w:type="dxa"/>
          </w:tcPr>
          <w:p>
            <w:pPr>
              <w:pStyle w:val="TableParagraph"/>
              <w:spacing w:before="177"/>
              <w:rPr>
                <w:b/>
                <w:sz w:val="22"/>
              </w:rPr>
            </w:pPr>
          </w:p>
          <w:p>
            <w:pPr>
              <w:pStyle w:val="TableParagraph"/>
              <w:ind w:left="1"/>
              <w:jc w:val="center"/>
              <w:rPr>
                <w:sz w:val="22"/>
              </w:rPr>
            </w:pPr>
            <w:r>
              <w:rPr>
                <w:spacing w:val="-10"/>
                <w:sz w:val="22"/>
              </w:rPr>
              <w:t>M</w:t>
            </w:r>
          </w:p>
        </w:tc>
        <w:tc>
          <w:tcPr>
            <w:tcW w:w="2371" w:type="dxa"/>
          </w:tcPr>
          <w:p>
            <w:pPr>
              <w:pStyle w:val="TableParagraph"/>
              <w:spacing w:before="177"/>
              <w:rPr>
                <w:b/>
                <w:sz w:val="22"/>
              </w:rPr>
            </w:pPr>
          </w:p>
          <w:p>
            <w:pPr>
              <w:pStyle w:val="TableParagraph"/>
              <w:ind w:left="81"/>
              <w:jc w:val="center"/>
              <w:rPr>
                <w:sz w:val="22"/>
              </w:rPr>
            </w:pPr>
            <w:r>
              <w:rPr>
                <w:sz w:val="22"/>
              </w:rPr>
              <w:t>EAR</w:t>
            </w:r>
            <w:r>
              <w:rPr>
                <w:spacing w:val="-2"/>
                <w:sz w:val="22"/>
              </w:rPr>
              <w:t> </w:t>
            </w:r>
            <w:r>
              <w:rPr>
                <w:spacing w:val="-4"/>
                <w:sz w:val="22"/>
              </w:rPr>
              <w:t>SWAB</w:t>
            </w:r>
          </w:p>
        </w:tc>
        <w:tc>
          <w:tcPr>
            <w:tcW w:w="1961" w:type="dxa"/>
          </w:tcPr>
          <w:p>
            <w:pPr>
              <w:pStyle w:val="TableParagraph"/>
              <w:spacing w:before="177"/>
              <w:rPr>
                <w:b/>
                <w:sz w:val="22"/>
              </w:rPr>
            </w:pPr>
          </w:p>
          <w:p>
            <w:pPr>
              <w:pStyle w:val="TableParagraph"/>
              <w:ind w:left="2" w:right="17"/>
              <w:jc w:val="center"/>
              <w:rPr>
                <w:sz w:val="22"/>
              </w:rPr>
            </w:pPr>
            <w:r>
              <w:rPr>
                <w:sz w:val="22"/>
              </w:rPr>
              <w:t>ES</w:t>
            </w:r>
            <w:r>
              <w:rPr>
                <w:spacing w:val="-1"/>
                <w:sz w:val="22"/>
              </w:rPr>
              <w:t> </w:t>
            </w:r>
            <w:r>
              <w:rPr>
                <w:spacing w:val="-5"/>
                <w:sz w:val="22"/>
              </w:rPr>
              <w:t>235</w:t>
            </w:r>
          </w:p>
        </w:tc>
      </w:tr>
      <w:tr>
        <w:trPr>
          <w:trHeight w:val="899" w:hRule="atLeast"/>
        </w:trPr>
        <w:tc>
          <w:tcPr>
            <w:tcW w:w="1285" w:type="dxa"/>
            <w:tcBorders>
              <w:bottom w:val="single" w:sz="4" w:space="0" w:color="000000"/>
            </w:tcBorders>
          </w:tcPr>
          <w:p>
            <w:pPr>
              <w:pStyle w:val="TableParagraph"/>
              <w:spacing w:before="177"/>
              <w:rPr>
                <w:b/>
                <w:sz w:val="22"/>
              </w:rPr>
            </w:pPr>
          </w:p>
          <w:p>
            <w:pPr>
              <w:pStyle w:val="TableParagraph"/>
              <w:ind w:right="68"/>
              <w:jc w:val="center"/>
              <w:rPr>
                <w:sz w:val="22"/>
              </w:rPr>
            </w:pPr>
            <w:r>
              <w:rPr>
                <w:spacing w:val="-5"/>
                <w:sz w:val="22"/>
              </w:rPr>
              <w:t>20</w:t>
            </w:r>
          </w:p>
        </w:tc>
        <w:tc>
          <w:tcPr>
            <w:tcW w:w="1542" w:type="dxa"/>
            <w:tcBorders>
              <w:bottom w:val="single" w:sz="4" w:space="0" w:color="000000"/>
            </w:tcBorders>
          </w:tcPr>
          <w:p>
            <w:pPr>
              <w:pStyle w:val="TableParagraph"/>
              <w:spacing w:before="177"/>
              <w:rPr>
                <w:b/>
                <w:sz w:val="22"/>
              </w:rPr>
            </w:pPr>
          </w:p>
          <w:p>
            <w:pPr>
              <w:pStyle w:val="TableParagraph"/>
              <w:ind w:left="621"/>
              <w:rPr>
                <w:sz w:val="22"/>
              </w:rPr>
            </w:pPr>
            <w:r>
              <w:rPr>
                <w:spacing w:val="-10"/>
                <w:sz w:val="22"/>
              </w:rPr>
              <w:t>2</w:t>
            </w:r>
          </w:p>
        </w:tc>
        <w:tc>
          <w:tcPr>
            <w:tcW w:w="1691" w:type="dxa"/>
            <w:tcBorders>
              <w:bottom w:val="single" w:sz="4" w:space="0" w:color="000000"/>
            </w:tcBorders>
          </w:tcPr>
          <w:p>
            <w:pPr>
              <w:pStyle w:val="TableParagraph"/>
              <w:spacing w:before="177"/>
              <w:rPr>
                <w:b/>
                <w:sz w:val="22"/>
              </w:rPr>
            </w:pPr>
          </w:p>
          <w:p>
            <w:pPr>
              <w:pStyle w:val="TableParagraph"/>
              <w:ind w:left="1"/>
              <w:jc w:val="center"/>
              <w:rPr>
                <w:sz w:val="22"/>
              </w:rPr>
            </w:pPr>
            <w:r>
              <w:rPr>
                <w:spacing w:val="-10"/>
                <w:sz w:val="22"/>
              </w:rPr>
              <w:t>M</w:t>
            </w:r>
          </w:p>
        </w:tc>
        <w:tc>
          <w:tcPr>
            <w:tcW w:w="2371" w:type="dxa"/>
            <w:tcBorders>
              <w:bottom w:val="single" w:sz="4" w:space="0" w:color="000000"/>
            </w:tcBorders>
          </w:tcPr>
          <w:p>
            <w:pPr>
              <w:pStyle w:val="TableParagraph"/>
              <w:spacing w:before="177"/>
              <w:rPr>
                <w:b/>
                <w:sz w:val="22"/>
              </w:rPr>
            </w:pPr>
          </w:p>
          <w:p>
            <w:pPr>
              <w:pStyle w:val="TableParagraph"/>
              <w:ind w:left="81"/>
              <w:jc w:val="center"/>
              <w:rPr>
                <w:sz w:val="22"/>
              </w:rPr>
            </w:pPr>
            <w:r>
              <w:rPr>
                <w:sz w:val="22"/>
              </w:rPr>
              <w:t>EAR</w:t>
            </w:r>
            <w:r>
              <w:rPr>
                <w:spacing w:val="-2"/>
                <w:sz w:val="22"/>
              </w:rPr>
              <w:t> </w:t>
            </w:r>
            <w:r>
              <w:rPr>
                <w:spacing w:val="-4"/>
                <w:sz w:val="22"/>
              </w:rPr>
              <w:t>SWAB</w:t>
            </w:r>
          </w:p>
        </w:tc>
        <w:tc>
          <w:tcPr>
            <w:tcW w:w="1961" w:type="dxa"/>
            <w:tcBorders>
              <w:bottom w:val="single" w:sz="4" w:space="0" w:color="000000"/>
            </w:tcBorders>
          </w:tcPr>
          <w:p>
            <w:pPr>
              <w:pStyle w:val="TableParagraph"/>
              <w:spacing w:before="177"/>
              <w:rPr>
                <w:b/>
                <w:sz w:val="22"/>
              </w:rPr>
            </w:pPr>
          </w:p>
          <w:p>
            <w:pPr>
              <w:pStyle w:val="TableParagraph"/>
              <w:ind w:left="2" w:right="17"/>
              <w:jc w:val="center"/>
              <w:rPr>
                <w:sz w:val="22"/>
              </w:rPr>
            </w:pPr>
            <w:r>
              <w:rPr>
                <w:sz w:val="22"/>
              </w:rPr>
              <w:t>ES</w:t>
            </w:r>
            <w:r>
              <w:rPr>
                <w:spacing w:val="-1"/>
                <w:sz w:val="22"/>
              </w:rPr>
              <w:t> </w:t>
            </w:r>
            <w:r>
              <w:rPr>
                <w:spacing w:val="-5"/>
                <w:sz w:val="22"/>
              </w:rPr>
              <w:t>225</w:t>
            </w:r>
          </w:p>
        </w:tc>
      </w:tr>
    </w:tbl>
    <w:p>
      <w:pPr>
        <w:pStyle w:val="BodyText"/>
        <w:spacing w:before="4"/>
        <w:ind w:left="1100"/>
      </w:pPr>
      <w:r>
        <w:rPr>
          <w:b/>
        </w:rPr>
        <w:t>Key:</w:t>
      </w:r>
      <w:r>
        <w:rPr>
          <w:b/>
          <w:spacing w:val="-5"/>
        </w:rPr>
        <w:t> </w:t>
      </w:r>
      <w:r>
        <w:rPr/>
        <w:t>ES=Ear</w:t>
      </w:r>
      <w:r>
        <w:rPr>
          <w:spacing w:val="-4"/>
        </w:rPr>
        <w:t> </w:t>
      </w:r>
      <w:r>
        <w:rPr/>
        <w:t>Swab,</w:t>
      </w:r>
      <w:r>
        <w:rPr>
          <w:spacing w:val="-4"/>
        </w:rPr>
        <w:t> </w:t>
      </w:r>
      <w:r>
        <w:rPr/>
        <w:t>SP=Sputum,</w:t>
      </w:r>
      <w:r>
        <w:rPr>
          <w:spacing w:val="-4"/>
        </w:rPr>
        <w:t> </w:t>
      </w:r>
      <w:r>
        <w:rPr/>
        <w:t>F=Female,</w:t>
      </w:r>
      <w:r>
        <w:rPr>
          <w:spacing w:val="-5"/>
        </w:rPr>
        <w:t> </w:t>
      </w:r>
      <w:r>
        <w:rPr>
          <w:spacing w:val="-2"/>
        </w:rPr>
        <w:t>M=Male.</w:t>
      </w:r>
    </w:p>
    <w:p>
      <w:pPr>
        <w:pStyle w:val="BodyText"/>
      </w:pPr>
    </w:p>
    <w:p>
      <w:pPr>
        <w:pStyle w:val="BodyText"/>
      </w:pPr>
    </w:p>
    <w:p>
      <w:pPr>
        <w:pStyle w:val="BodyText"/>
      </w:pPr>
    </w:p>
    <w:p>
      <w:pPr>
        <w:pStyle w:val="BodyText"/>
        <w:spacing w:before="6"/>
      </w:pPr>
    </w:p>
    <w:p>
      <w:pPr>
        <w:pStyle w:val="Heading3"/>
        <w:ind w:left="421" w:right="1015"/>
        <w:jc w:val="center"/>
      </w:pPr>
      <w:r>
        <w:rPr/>
        <w:t>Data</w:t>
      </w:r>
      <w:r>
        <w:rPr>
          <w:spacing w:val="-3"/>
        </w:rPr>
        <w:t> </w:t>
      </w:r>
      <w:r>
        <w:rPr/>
        <w:t>on</w:t>
      </w:r>
      <w:r>
        <w:rPr>
          <w:spacing w:val="-3"/>
        </w:rPr>
        <w:t> </w:t>
      </w:r>
      <w:r>
        <w:rPr/>
        <w:t>Samples</w:t>
      </w:r>
      <w:r>
        <w:rPr>
          <w:spacing w:val="-1"/>
        </w:rPr>
        <w:t> </w:t>
      </w:r>
      <w:r>
        <w:rPr>
          <w:spacing w:val="-2"/>
        </w:rPr>
        <w:t>Collected</w:t>
      </w:r>
    </w:p>
    <w:p>
      <w:pPr>
        <w:pStyle w:val="BodyText"/>
        <w:spacing w:before="163"/>
        <w:rPr>
          <w:b/>
          <w:sz w:val="20"/>
        </w:rPr>
      </w:pPr>
      <w:r>
        <w:rPr/>
        <mc:AlternateContent>
          <mc:Choice Requires="wps">
            <w:drawing>
              <wp:anchor distT="0" distB="0" distL="0" distR="0" allowOverlap="1" layoutInCell="1" locked="0" behindDoc="1" simplePos="0" relativeHeight="487689216">
                <wp:simplePos x="0" y="0"/>
                <wp:positionH relativeFrom="page">
                  <wp:posOffset>896416</wp:posOffset>
                </wp:positionH>
                <wp:positionV relativeFrom="paragraph">
                  <wp:posOffset>273857</wp:posOffset>
                </wp:positionV>
                <wp:extent cx="5769610" cy="6350"/>
                <wp:effectExtent l="0" t="0" r="0" b="0"/>
                <wp:wrapTopAndBottom/>
                <wp:docPr id="528" name="Graphic 528"/>
                <wp:cNvGraphicFramePr>
                  <a:graphicFrameLocks/>
                </wp:cNvGraphicFramePr>
                <a:graphic>
                  <a:graphicData uri="http://schemas.microsoft.com/office/word/2010/wordprocessingShape">
                    <wps:wsp>
                      <wps:cNvPr id="528" name="Graphic 528"/>
                      <wps:cNvSpPr/>
                      <wps:spPr>
                        <a:xfrm>
                          <a:off x="0" y="0"/>
                          <a:ext cx="5769610" cy="6350"/>
                        </a:xfrm>
                        <a:custGeom>
                          <a:avLst/>
                          <a:gdLst/>
                          <a:ahLst/>
                          <a:cxnLst/>
                          <a:rect l="l" t="t" r="r" b="b"/>
                          <a:pathLst>
                            <a:path w="5769610" h="6350">
                              <a:moveTo>
                                <a:pt x="5769610" y="0"/>
                              </a:moveTo>
                              <a:lnTo>
                                <a:pt x="0" y="0"/>
                              </a:lnTo>
                              <a:lnTo>
                                <a:pt x="0" y="6095"/>
                              </a:lnTo>
                              <a:lnTo>
                                <a:pt x="5769610" y="6095"/>
                              </a:lnTo>
                              <a:lnTo>
                                <a:pt x="5769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21.56362pt;width:454.3pt;height:.47998pt;mso-position-horizontal-relative:page;mso-position-vertical-relative:paragraph;z-index:-15627264;mso-wrap-distance-left:0;mso-wrap-distance-right:0" id="docshape473" filled="true" fillcolor="#000000" stroked="false">
                <v:fill type="solid"/>
                <w10:wrap type="topAndBottom"/>
              </v:rect>
            </w:pict>
          </mc:Fallback>
        </mc:AlternateContent>
      </w:r>
    </w:p>
    <w:p>
      <w:pPr>
        <w:tabs>
          <w:tab w:pos="2170" w:val="left" w:leader="none"/>
          <w:tab w:pos="3810" w:val="left" w:leader="none"/>
          <w:tab w:pos="5471" w:val="left" w:leader="none"/>
        </w:tabs>
        <w:spacing w:before="18" w:after="45"/>
        <w:ind w:left="730" w:right="0" w:firstLine="0"/>
        <w:jc w:val="left"/>
        <w:rPr>
          <w:b/>
          <w:sz w:val="22"/>
        </w:rPr>
      </w:pPr>
      <w:r>
        <w:rPr>
          <w:b/>
          <w:spacing w:val="-2"/>
          <w:sz w:val="22"/>
        </w:rPr>
        <w:t>S/No.</w:t>
      </w:r>
      <w:r>
        <w:rPr>
          <w:b/>
          <w:sz w:val="22"/>
        </w:rPr>
        <w:tab/>
      </w:r>
      <w:r>
        <w:rPr>
          <w:b/>
          <w:spacing w:val="-5"/>
          <w:sz w:val="22"/>
        </w:rPr>
        <w:t>Age</w:t>
      </w:r>
      <w:r>
        <w:rPr>
          <w:b/>
          <w:sz w:val="22"/>
        </w:rPr>
        <w:tab/>
      </w:r>
      <w:r>
        <w:rPr>
          <w:b/>
          <w:spacing w:val="-5"/>
          <w:sz w:val="22"/>
        </w:rPr>
        <w:t>Sex</w:t>
      </w:r>
      <w:r>
        <w:rPr>
          <w:b/>
          <w:sz w:val="22"/>
        </w:rPr>
        <w:tab/>
        <w:t>Sample</w:t>
      </w:r>
      <w:r>
        <w:rPr>
          <w:b/>
          <w:spacing w:val="-5"/>
          <w:sz w:val="22"/>
        </w:rPr>
        <w:t> </w:t>
      </w:r>
      <w:r>
        <w:rPr>
          <w:b/>
          <w:sz w:val="22"/>
        </w:rPr>
        <w:t>source</w:t>
      </w:r>
      <w:r>
        <w:rPr>
          <w:b/>
          <w:spacing w:val="51"/>
          <w:sz w:val="22"/>
        </w:rPr>
        <w:t> </w:t>
      </w:r>
      <w:r>
        <w:rPr>
          <w:b/>
          <w:sz w:val="22"/>
        </w:rPr>
        <w:t>Sample</w:t>
      </w:r>
      <w:r>
        <w:rPr>
          <w:b/>
          <w:spacing w:val="-4"/>
          <w:sz w:val="22"/>
        </w:rPr>
        <w:t> </w:t>
      </w:r>
      <w:r>
        <w:rPr>
          <w:b/>
          <w:spacing w:val="-5"/>
          <w:sz w:val="22"/>
        </w:rPr>
        <w:t>No.</w:t>
      </w:r>
    </w:p>
    <w:p>
      <w:pPr>
        <w:pStyle w:val="BodyText"/>
        <w:spacing w:line="20" w:lineRule="exact"/>
        <w:ind w:left="351"/>
        <w:rPr>
          <w:sz w:val="2"/>
        </w:rPr>
      </w:pPr>
      <w:r>
        <w:rPr>
          <w:sz w:val="2"/>
        </w:rPr>
        <mc:AlternateContent>
          <mc:Choice Requires="wps">
            <w:drawing>
              <wp:inline distT="0" distB="0" distL="0" distR="0">
                <wp:extent cx="5769610" cy="6350"/>
                <wp:effectExtent l="0" t="0" r="0" b="0"/>
                <wp:docPr id="529" name="Group 529"/>
                <wp:cNvGraphicFramePr>
                  <a:graphicFrameLocks/>
                </wp:cNvGraphicFramePr>
                <a:graphic>
                  <a:graphicData uri="http://schemas.microsoft.com/office/word/2010/wordprocessingGroup">
                    <wpg:wgp>
                      <wpg:cNvPr id="529" name="Group 529"/>
                      <wpg:cNvGrpSpPr/>
                      <wpg:grpSpPr>
                        <a:xfrm>
                          <a:off x="0" y="0"/>
                          <a:ext cx="5769610" cy="6350"/>
                          <a:chExt cx="5769610" cy="6350"/>
                        </a:xfrm>
                      </wpg:grpSpPr>
                      <wps:wsp>
                        <wps:cNvPr id="530" name="Graphic 530"/>
                        <wps:cNvSpPr/>
                        <wps:spPr>
                          <a:xfrm>
                            <a:off x="0" y="0"/>
                            <a:ext cx="5769610" cy="6350"/>
                          </a:xfrm>
                          <a:custGeom>
                            <a:avLst/>
                            <a:gdLst/>
                            <a:ahLst/>
                            <a:cxnLst/>
                            <a:rect l="l" t="t" r="r" b="b"/>
                            <a:pathLst>
                              <a:path w="5769610" h="6350">
                                <a:moveTo>
                                  <a:pt x="5769610" y="0"/>
                                </a:moveTo>
                                <a:lnTo>
                                  <a:pt x="0" y="0"/>
                                </a:lnTo>
                                <a:lnTo>
                                  <a:pt x="0" y="6095"/>
                                </a:lnTo>
                                <a:lnTo>
                                  <a:pt x="5769610" y="6095"/>
                                </a:lnTo>
                                <a:lnTo>
                                  <a:pt x="57696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3pt;height:.5pt;mso-position-horizontal-relative:char;mso-position-vertical-relative:line" id="docshapegroup474" coordorigin="0,0" coordsize="9086,10">
                <v:rect style="position:absolute;left:0;top:0;width:9086;height:10" id="docshape475" filled="true" fillcolor="#000000" stroked="false">
                  <v:fill type="solid"/>
                </v:rect>
              </v:group>
            </w:pict>
          </mc:Fallback>
        </mc:AlternateContent>
      </w:r>
      <w:r>
        <w:rPr>
          <w:sz w:val="2"/>
        </w:rPr>
      </w:r>
    </w:p>
    <w:p>
      <w:pPr>
        <w:pStyle w:val="BodyText"/>
        <w:rPr>
          <w:b/>
          <w:sz w:val="20"/>
        </w:rPr>
      </w:pPr>
    </w:p>
    <w:p>
      <w:pPr>
        <w:pStyle w:val="BodyText"/>
        <w:rPr>
          <w:b/>
          <w:sz w:val="20"/>
        </w:rPr>
      </w:pPr>
    </w:p>
    <w:p>
      <w:pPr>
        <w:pStyle w:val="BodyText"/>
        <w:spacing w:before="219"/>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5"/>
        <w:gridCol w:w="1542"/>
        <w:gridCol w:w="1691"/>
        <w:gridCol w:w="2371"/>
        <w:gridCol w:w="1961"/>
      </w:tblGrid>
      <w:tr>
        <w:trPr>
          <w:trHeight w:val="710" w:hRule="atLeast"/>
        </w:trPr>
        <w:tc>
          <w:tcPr>
            <w:tcW w:w="1285" w:type="dxa"/>
          </w:tcPr>
          <w:p>
            <w:pPr>
              <w:pStyle w:val="TableParagraph"/>
              <w:spacing w:line="225" w:lineRule="exact"/>
              <w:ind w:right="68"/>
              <w:jc w:val="center"/>
              <w:rPr>
                <w:sz w:val="22"/>
              </w:rPr>
            </w:pPr>
            <w:r>
              <w:rPr>
                <w:spacing w:val="-5"/>
                <w:sz w:val="22"/>
              </w:rPr>
              <w:t>21</w:t>
            </w:r>
          </w:p>
        </w:tc>
        <w:tc>
          <w:tcPr>
            <w:tcW w:w="1542" w:type="dxa"/>
          </w:tcPr>
          <w:p>
            <w:pPr>
              <w:pStyle w:val="TableParagraph"/>
              <w:spacing w:line="225" w:lineRule="exact"/>
              <w:ind w:left="565"/>
              <w:rPr>
                <w:sz w:val="22"/>
              </w:rPr>
            </w:pPr>
            <w:r>
              <w:rPr>
                <w:spacing w:val="-5"/>
                <w:sz w:val="22"/>
              </w:rPr>
              <w:t>32</w:t>
            </w:r>
          </w:p>
        </w:tc>
        <w:tc>
          <w:tcPr>
            <w:tcW w:w="1691" w:type="dxa"/>
          </w:tcPr>
          <w:p>
            <w:pPr>
              <w:pStyle w:val="TableParagraph"/>
              <w:spacing w:line="225" w:lineRule="exact"/>
              <w:ind w:left="1"/>
              <w:jc w:val="center"/>
              <w:rPr>
                <w:sz w:val="22"/>
              </w:rPr>
            </w:pPr>
            <w:r>
              <w:rPr>
                <w:spacing w:val="-10"/>
                <w:sz w:val="22"/>
              </w:rPr>
              <w:t>M</w:t>
            </w:r>
          </w:p>
        </w:tc>
        <w:tc>
          <w:tcPr>
            <w:tcW w:w="2371" w:type="dxa"/>
          </w:tcPr>
          <w:p>
            <w:pPr>
              <w:pStyle w:val="TableParagraph"/>
              <w:spacing w:line="225" w:lineRule="exact"/>
              <w:ind w:left="81" w:right="4"/>
              <w:jc w:val="center"/>
              <w:rPr>
                <w:sz w:val="22"/>
              </w:rPr>
            </w:pPr>
            <w:r>
              <w:rPr>
                <w:spacing w:val="-2"/>
                <w:sz w:val="22"/>
              </w:rPr>
              <w:t>SPUTUM</w:t>
            </w:r>
          </w:p>
        </w:tc>
        <w:tc>
          <w:tcPr>
            <w:tcW w:w="1961" w:type="dxa"/>
          </w:tcPr>
          <w:p>
            <w:pPr>
              <w:pStyle w:val="TableParagraph"/>
              <w:spacing w:line="225" w:lineRule="exact"/>
              <w:ind w:right="17"/>
              <w:jc w:val="center"/>
              <w:rPr>
                <w:sz w:val="22"/>
              </w:rPr>
            </w:pPr>
            <w:r>
              <w:rPr>
                <w:sz w:val="22"/>
              </w:rPr>
              <w:t>SP</w:t>
            </w:r>
            <w:r>
              <w:rPr>
                <w:spacing w:val="1"/>
                <w:sz w:val="22"/>
              </w:rPr>
              <w:t> </w:t>
            </w:r>
            <w:r>
              <w:rPr>
                <w:spacing w:val="-5"/>
                <w:sz w:val="22"/>
              </w:rPr>
              <w:t>803</w:t>
            </w:r>
          </w:p>
        </w:tc>
      </w:tr>
      <w:tr>
        <w:trPr>
          <w:trHeight w:val="1080" w:hRule="atLeast"/>
        </w:trPr>
        <w:tc>
          <w:tcPr>
            <w:tcW w:w="1285" w:type="dxa"/>
          </w:tcPr>
          <w:p>
            <w:pPr>
              <w:pStyle w:val="TableParagraph"/>
              <w:spacing w:before="177"/>
              <w:rPr>
                <w:b/>
                <w:sz w:val="22"/>
              </w:rPr>
            </w:pPr>
          </w:p>
          <w:p>
            <w:pPr>
              <w:pStyle w:val="TableParagraph"/>
              <w:ind w:right="68"/>
              <w:jc w:val="center"/>
              <w:rPr>
                <w:sz w:val="22"/>
              </w:rPr>
            </w:pPr>
            <w:r>
              <w:rPr>
                <w:spacing w:val="-5"/>
                <w:sz w:val="22"/>
              </w:rPr>
              <w:t>22</w:t>
            </w:r>
          </w:p>
        </w:tc>
        <w:tc>
          <w:tcPr>
            <w:tcW w:w="1542" w:type="dxa"/>
          </w:tcPr>
          <w:p>
            <w:pPr>
              <w:pStyle w:val="TableParagraph"/>
              <w:spacing w:before="177"/>
              <w:rPr>
                <w:b/>
                <w:sz w:val="22"/>
              </w:rPr>
            </w:pPr>
          </w:p>
          <w:p>
            <w:pPr>
              <w:pStyle w:val="TableParagraph"/>
              <w:ind w:left="565"/>
              <w:rPr>
                <w:sz w:val="22"/>
              </w:rPr>
            </w:pPr>
            <w:r>
              <w:rPr>
                <w:spacing w:val="-5"/>
                <w:sz w:val="22"/>
              </w:rPr>
              <w:t>17</w:t>
            </w:r>
          </w:p>
        </w:tc>
        <w:tc>
          <w:tcPr>
            <w:tcW w:w="1691" w:type="dxa"/>
          </w:tcPr>
          <w:p>
            <w:pPr>
              <w:pStyle w:val="TableParagraph"/>
              <w:spacing w:before="177"/>
              <w:rPr>
                <w:b/>
                <w:sz w:val="22"/>
              </w:rPr>
            </w:pPr>
          </w:p>
          <w:p>
            <w:pPr>
              <w:pStyle w:val="TableParagraph"/>
              <w:ind w:left="1"/>
              <w:jc w:val="center"/>
              <w:rPr>
                <w:sz w:val="22"/>
              </w:rPr>
            </w:pPr>
            <w:r>
              <w:rPr>
                <w:spacing w:val="-10"/>
                <w:sz w:val="22"/>
              </w:rPr>
              <w:t>M</w:t>
            </w:r>
          </w:p>
        </w:tc>
        <w:tc>
          <w:tcPr>
            <w:tcW w:w="2371" w:type="dxa"/>
          </w:tcPr>
          <w:p>
            <w:pPr>
              <w:pStyle w:val="TableParagraph"/>
              <w:spacing w:before="177"/>
              <w:rPr>
                <w:b/>
                <w:sz w:val="22"/>
              </w:rPr>
            </w:pPr>
          </w:p>
          <w:p>
            <w:pPr>
              <w:pStyle w:val="TableParagraph"/>
              <w:ind w:left="81"/>
              <w:jc w:val="center"/>
              <w:rPr>
                <w:sz w:val="22"/>
              </w:rPr>
            </w:pPr>
            <w:r>
              <w:rPr>
                <w:sz w:val="22"/>
              </w:rPr>
              <w:t>EAR</w:t>
            </w:r>
            <w:r>
              <w:rPr>
                <w:spacing w:val="-2"/>
                <w:sz w:val="22"/>
              </w:rPr>
              <w:t> </w:t>
            </w:r>
            <w:r>
              <w:rPr>
                <w:spacing w:val="-4"/>
                <w:sz w:val="22"/>
              </w:rPr>
              <w:t>SWAB</w:t>
            </w:r>
          </w:p>
        </w:tc>
        <w:tc>
          <w:tcPr>
            <w:tcW w:w="1961" w:type="dxa"/>
          </w:tcPr>
          <w:p>
            <w:pPr>
              <w:pStyle w:val="TableParagraph"/>
              <w:spacing w:before="177"/>
              <w:rPr>
                <w:b/>
                <w:sz w:val="22"/>
              </w:rPr>
            </w:pPr>
          </w:p>
          <w:p>
            <w:pPr>
              <w:pStyle w:val="TableParagraph"/>
              <w:ind w:left="2" w:right="17"/>
              <w:jc w:val="center"/>
              <w:rPr>
                <w:sz w:val="22"/>
              </w:rPr>
            </w:pPr>
            <w:r>
              <w:rPr>
                <w:sz w:val="22"/>
              </w:rPr>
              <w:t>ES</w:t>
            </w:r>
            <w:r>
              <w:rPr>
                <w:spacing w:val="-1"/>
                <w:sz w:val="22"/>
              </w:rPr>
              <w:t> </w:t>
            </w:r>
            <w:r>
              <w:rPr>
                <w:spacing w:val="-5"/>
                <w:sz w:val="22"/>
              </w:rPr>
              <w:t>877</w:t>
            </w:r>
          </w:p>
        </w:tc>
      </w:tr>
      <w:tr>
        <w:trPr>
          <w:trHeight w:val="777" w:hRule="atLeast"/>
        </w:trPr>
        <w:tc>
          <w:tcPr>
            <w:tcW w:w="1285" w:type="dxa"/>
            <w:tcBorders>
              <w:bottom w:val="single" w:sz="4" w:space="0" w:color="000000"/>
            </w:tcBorders>
          </w:tcPr>
          <w:p>
            <w:pPr>
              <w:pStyle w:val="TableParagraph"/>
              <w:spacing w:before="57"/>
              <w:rPr>
                <w:b/>
                <w:sz w:val="22"/>
              </w:rPr>
            </w:pPr>
          </w:p>
          <w:p>
            <w:pPr>
              <w:pStyle w:val="TableParagraph"/>
              <w:ind w:right="68"/>
              <w:jc w:val="center"/>
              <w:rPr>
                <w:sz w:val="22"/>
              </w:rPr>
            </w:pPr>
            <w:r>
              <w:rPr>
                <w:spacing w:val="-5"/>
                <w:sz w:val="22"/>
              </w:rPr>
              <w:t>23</w:t>
            </w:r>
          </w:p>
        </w:tc>
        <w:tc>
          <w:tcPr>
            <w:tcW w:w="1542" w:type="dxa"/>
            <w:tcBorders>
              <w:bottom w:val="single" w:sz="4" w:space="0" w:color="000000"/>
            </w:tcBorders>
          </w:tcPr>
          <w:p>
            <w:pPr>
              <w:pStyle w:val="TableParagraph"/>
              <w:spacing w:before="57"/>
              <w:rPr>
                <w:b/>
                <w:sz w:val="22"/>
              </w:rPr>
            </w:pPr>
          </w:p>
          <w:p>
            <w:pPr>
              <w:pStyle w:val="TableParagraph"/>
              <w:ind w:left="565"/>
              <w:rPr>
                <w:sz w:val="22"/>
              </w:rPr>
            </w:pPr>
            <w:r>
              <w:rPr>
                <w:spacing w:val="-5"/>
                <w:sz w:val="22"/>
              </w:rPr>
              <w:t>13</w:t>
            </w:r>
          </w:p>
        </w:tc>
        <w:tc>
          <w:tcPr>
            <w:tcW w:w="1691" w:type="dxa"/>
            <w:tcBorders>
              <w:bottom w:val="single" w:sz="4" w:space="0" w:color="000000"/>
            </w:tcBorders>
          </w:tcPr>
          <w:p>
            <w:pPr>
              <w:pStyle w:val="TableParagraph"/>
              <w:spacing w:before="57"/>
              <w:rPr>
                <w:b/>
                <w:sz w:val="22"/>
              </w:rPr>
            </w:pPr>
          </w:p>
          <w:p>
            <w:pPr>
              <w:pStyle w:val="TableParagraph"/>
              <w:ind w:left="1"/>
              <w:jc w:val="center"/>
              <w:rPr>
                <w:sz w:val="22"/>
              </w:rPr>
            </w:pPr>
            <w:r>
              <w:rPr>
                <w:spacing w:val="-10"/>
                <w:sz w:val="22"/>
              </w:rPr>
              <w:t>M</w:t>
            </w:r>
          </w:p>
        </w:tc>
        <w:tc>
          <w:tcPr>
            <w:tcW w:w="2371" w:type="dxa"/>
            <w:tcBorders>
              <w:bottom w:val="single" w:sz="4" w:space="0" w:color="000000"/>
            </w:tcBorders>
          </w:tcPr>
          <w:p>
            <w:pPr>
              <w:pStyle w:val="TableParagraph"/>
              <w:spacing w:before="57"/>
              <w:rPr>
                <w:b/>
                <w:sz w:val="22"/>
              </w:rPr>
            </w:pPr>
          </w:p>
          <w:p>
            <w:pPr>
              <w:pStyle w:val="TableParagraph"/>
              <w:ind w:left="81" w:right="4"/>
              <w:jc w:val="center"/>
              <w:rPr>
                <w:sz w:val="22"/>
              </w:rPr>
            </w:pPr>
            <w:r>
              <w:rPr>
                <w:spacing w:val="-2"/>
                <w:sz w:val="22"/>
              </w:rPr>
              <w:t>SPUTUM</w:t>
            </w:r>
          </w:p>
        </w:tc>
        <w:tc>
          <w:tcPr>
            <w:tcW w:w="1961" w:type="dxa"/>
            <w:tcBorders>
              <w:bottom w:val="single" w:sz="4" w:space="0" w:color="000000"/>
            </w:tcBorders>
          </w:tcPr>
          <w:p>
            <w:pPr>
              <w:pStyle w:val="TableParagraph"/>
              <w:spacing w:before="57"/>
              <w:rPr>
                <w:b/>
                <w:sz w:val="22"/>
              </w:rPr>
            </w:pPr>
          </w:p>
          <w:p>
            <w:pPr>
              <w:pStyle w:val="TableParagraph"/>
              <w:ind w:right="17"/>
              <w:jc w:val="center"/>
              <w:rPr>
                <w:sz w:val="22"/>
              </w:rPr>
            </w:pPr>
            <w:r>
              <w:rPr>
                <w:sz w:val="22"/>
              </w:rPr>
              <w:t>SP</w:t>
            </w:r>
            <w:r>
              <w:rPr>
                <w:spacing w:val="1"/>
                <w:sz w:val="22"/>
              </w:rPr>
              <w:t> </w:t>
            </w:r>
            <w:r>
              <w:rPr>
                <w:spacing w:val="-5"/>
                <w:sz w:val="22"/>
              </w:rPr>
              <w:t>231</w:t>
            </w:r>
          </w:p>
        </w:tc>
      </w:tr>
    </w:tbl>
    <w:p>
      <w:pPr>
        <w:spacing w:after="0"/>
        <w:jc w:val="center"/>
        <w:rPr>
          <w:sz w:val="22"/>
        </w:rPr>
        <w:sectPr>
          <w:pgSz w:w="11910" w:h="16840"/>
          <w:pgMar w:header="0" w:footer="1055" w:top="1420" w:bottom="1240" w:left="1060" w:right="460"/>
        </w:sectPr>
      </w:pPr>
    </w:p>
    <w:p>
      <w:pPr>
        <w:pStyle w:val="BodyText"/>
        <w:spacing w:line="20" w:lineRule="exact"/>
        <w:ind w:left="366"/>
        <w:rPr>
          <w:sz w:val="2"/>
        </w:rPr>
      </w:pPr>
      <w:r>
        <w:rPr>
          <w:sz w:val="2"/>
        </w:rPr>
        <mc:AlternateContent>
          <mc:Choice Requires="wps">
            <w:drawing>
              <wp:inline distT="0" distB="0" distL="0" distR="0">
                <wp:extent cx="5611495" cy="6350"/>
                <wp:effectExtent l="0" t="0" r="0" b="0"/>
                <wp:docPr id="531" name="Group 531"/>
                <wp:cNvGraphicFramePr>
                  <a:graphicFrameLocks/>
                </wp:cNvGraphicFramePr>
                <a:graphic>
                  <a:graphicData uri="http://schemas.microsoft.com/office/word/2010/wordprocessingGroup">
                    <wpg:wgp>
                      <wpg:cNvPr id="531" name="Group 531"/>
                      <wpg:cNvGrpSpPr/>
                      <wpg:grpSpPr>
                        <a:xfrm>
                          <a:off x="0" y="0"/>
                          <a:ext cx="5611495" cy="6350"/>
                          <a:chExt cx="5611495" cy="6350"/>
                        </a:xfrm>
                      </wpg:grpSpPr>
                      <wps:wsp>
                        <wps:cNvPr id="532" name="Graphic 532"/>
                        <wps:cNvSpPr/>
                        <wps:spPr>
                          <a:xfrm>
                            <a:off x="0" y="0"/>
                            <a:ext cx="5611495" cy="6350"/>
                          </a:xfrm>
                          <a:custGeom>
                            <a:avLst/>
                            <a:gdLst/>
                            <a:ahLst/>
                            <a:cxnLst/>
                            <a:rect l="l" t="t" r="r" b="b"/>
                            <a:pathLst>
                              <a:path w="5611495" h="6350">
                                <a:moveTo>
                                  <a:pt x="1723885" y="0"/>
                                </a:moveTo>
                                <a:lnTo>
                                  <a:pt x="758901" y="0"/>
                                </a:lnTo>
                                <a:lnTo>
                                  <a:pt x="752856" y="0"/>
                                </a:lnTo>
                                <a:lnTo>
                                  <a:pt x="0" y="0"/>
                                </a:lnTo>
                                <a:lnTo>
                                  <a:pt x="0" y="6096"/>
                                </a:lnTo>
                                <a:lnTo>
                                  <a:pt x="752805" y="6096"/>
                                </a:lnTo>
                                <a:lnTo>
                                  <a:pt x="758901" y="6096"/>
                                </a:lnTo>
                                <a:lnTo>
                                  <a:pt x="1723885" y="6096"/>
                                </a:lnTo>
                                <a:lnTo>
                                  <a:pt x="1723885" y="0"/>
                                </a:lnTo>
                                <a:close/>
                              </a:path>
                              <a:path w="5611495" h="6350">
                                <a:moveTo>
                                  <a:pt x="4353382" y="0"/>
                                </a:moveTo>
                                <a:lnTo>
                                  <a:pt x="4353382" y="0"/>
                                </a:lnTo>
                                <a:lnTo>
                                  <a:pt x="1723974" y="0"/>
                                </a:lnTo>
                                <a:lnTo>
                                  <a:pt x="1723974" y="6096"/>
                                </a:lnTo>
                                <a:lnTo>
                                  <a:pt x="4353382" y="6096"/>
                                </a:lnTo>
                                <a:lnTo>
                                  <a:pt x="4353382" y="0"/>
                                </a:lnTo>
                                <a:close/>
                              </a:path>
                              <a:path w="5611495" h="6350">
                                <a:moveTo>
                                  <a:pt x="4359592" y="0"/>
                                </a:moveTo>
                                <a:lnTo>
                                  <a:pt x="4353509" y="0"/>
                                </a:lnTo>
                                <a:lnTo>
                                  <a:pt x="4353509" y="6096"/>
                                </a:lnTo>
                                <a:lnTo>
                                  <a:pt x="4359592" y="6096"/>
                                </a:lnTo>
                                <a:lnTo>
                                  <a:pt x="4359592" y="0"/>
                                </a:lnTo>
                                <a:close/>
                              </a:path>
                              <a:path w="5611495" h="6350">
                                <a:moveTo>
                                  <a:pt x="5611114" y="0"/>
                                </a:moveTo>
                                <a:lnTo>
                                  <a:pt x="4359605" y="0"/>
                                </a:lnTo>
                                <a:lnTo>
                                  <a:pt x="4359605" y="6096"/>
                                </a:lnTo>
                                <a:lnTo>
                                  <a:pt x="5611114" y="6096"/>
                                </a:lnTo>
                                <a:lnTo>
                                  <a:pt x="561111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1.85pt;height:.5pt;mso-position-horizontal-relative:char;mso-position-vertical-relative:line" id="docshapegroup476" coordorigin="0,0" coordsize="8837,10">
                <v:shape style="position:absolute;left:0;top:0;width:8837;height:10" id="docshape477" coordorigin="0,0" coordsize="8837,10" path="m2715,0l1195,0,1186,0,1186,0,0,0,0,10,1186,10,1186,10,1195,10,2715,10,2715,0xm6856,0l4616,0,4607,0,4607,0,2725,0,2715,0,2715,10,2725,10,4607,10,4607,10,4616,10,6856,10,6856,0xm6866,0l6856,0,6856,10,6866,10,6866,0xm8836,0l6866,0,6866,10,8836,10,8836,0xe" filled="true" fillcolor="#000000" stroked="false">
                  <v:path arrowok="t"/>
                  <v:fill type="solid"/>
                </v:shape>
              </v:group>
            </w:pict>
          </mc:Fallback>
        </mc:AlternateContent>
      </w:r>
      <w:r>
        <w:rPr>
          <w:sz w:val="2"/>
        </w:rPr>
      </w:r>
    </w:p>
    <w:p>
      <w:pPr>
        <w:pStyle w:val="BodyText"/>
        <w:rPr>
          <w:b/>
          <w:sz w:val="20"/>
        </w:rPr>
      </w:pPr>
    </w:p>
    <w:p>
      <w:pPr>
        <w:pStyle w:val="BodyText"/>
        <w:rPr>
          <w:b/>
          <w:sz w:val="20"/>
        </w:rPr>
      </w:pPr>
    </w:p>
    <w:p>
      <w:pPr>
        <w:pStyle w:val="BodyText"/>
        <w:spacing w:before="59"/>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5"/>
        <w:gridCol w:w="1542"/>
        <w:gridCol w:w="1691"/>
        <w:gridCol w:w="2365"/>
        <w:gridCol w:w="1967"/>
      </w:tblGrid>
      <w:tr>
        <w:trPr>
          <w:trHeight w:val="560" w:hRule="atLeast"/>
        </w:trPr>
        <w:tc>
          <w:tcPr>
            <w:tcW w:w="1285" w:type="dxa"/>
          </w:tcPr>
          <w:p>
            <w:pPr>
              <w:pStyle w:val="TableParagraph"/>
              <w:spacing w:line="225" w:lineRule="exact"/>
              <w:ind w:right="68"/>
              <w:jc w:val="center"/>
              <w:rPr>
                <w:sz w:val="22"/>
              </w:rPr>
            </w:pPr>
            <w:r>
              <w:rPr>
                <w:spacing w:val="-5"/>
                <w:sz w:val="22"/>
              </w:rPr>
              <w:t>24</w:t>
            </w:r>
          </w:p>
        </w:tc>
        <w:tc>
          <w:tcPr>
            <w:tcW w:w="1542" w:type="dxa"/>
          </w:tcPr>
          <w:p>
            <w:pPr>
              <w:pStyle w:val="TableParagraph"/>
              <w:spacing w:line="225" w:lineRule="exact"/>
              <w:ind w:left="565"/>
              <w:rPr>
                <w:sz w:val="22"/>
              </w:rPr>
            </w:pPr>
            <w:r>
              <w:rPr>
                <w:spacing w:val="-5"/>
                <w:sz w:val="22"/>
              </w:rPr>
              <w:t>39</w:t>
            </w:r>
          </w:p>
        </w:tc>
        <w:tc>
          <w:tcPr>
            <w:tcW w:w="1691" w:type="dxa"/>
          </w:tcPr>
          <w:p>
            <w:pPr>
              <w:pStyle w:val="TableParagraph"/>
              <w:spacing w:line="225" w:lineRule="exact"/>
              <w:ind w:left="1" w:right="1"/>
              <w:jc w:val="center"/>
              <w:rPr>
                <w:sz w:val="22"/>
              </w:rPr>
            </w:pPr>
            <w:r>
              <w:rPr>
                <w:spacing w:val="-10"/>
                <w:sz w:val="22"/>
              </w:rPr>
              <w:t>F</w:t>
            </w:r>
          </w:p>
        </w:tc>
        <w:tc>
          <w:tcPr>
            <w:tcW w:w="2365" w:type="dxa"/>
          </w:tcPr>
          <w:p>
            <w:pPr>
              <w:pStyle w:val="TableParagraph"/>
              <w:spacing w:line="225" w:lineRule="exact"/>
              <w:ind w:left="87" w:right="4"/>
              <w:jc w:val="center"/>
              <w:rPr>
                <w:sz w:val="22"/>
              </w:rPr>
            </w:pPr>
            <w:r>
              <w:rPr>
                <w:spacing w:val="-2"/>
                <w:sz w:val="22"/>
              </w:rPr>
              <w:t>SPUTUM</w:t>
            </w:r>
          </w:p>
        </w:tc>
        <w:tc>
          <w:tcPr>
            <w:tcW w:w="1967" w:type="dxa"/>
          </w:tcPr>
          <w:p>
            <w:pPr>
              <w:pStyle w:val="TableParagraph"/>
              <w:spacing w:line="225" w:lineRule="exact"/>
              <w:ind w:right="11"/>
              <w:jc w:val="center"/>
              <w:rPr>
                <w:sz w:val="22"/>
              </w:rPr>
            </w:pPr>
            <w:r>
              <w:rPr>
                <w:sz w:val="22"/>
              </w:rPr>
              <w:t>SP</w:t>
            </w:r>
            <w:r>
              <w:rPr>
                <w:spacing w:val="1"/>
                <w:sz w:val="22"/>
              </w:rPr>
              <w:t> </w:t>
            </w:r>
            <w:r>
              <w:rPr>
                <w:spacing w:val="-5"/>
                <w:sz w:val="22"/>
              </w:rPr>
              <w:t>232</w:t>
            </w:r>
          </w:p>
        </w:tc>
      </w:tr>
      <w:tr>
        <w:trPr>
          <w:trHeight w:val="900" w:hRule="atLeast"/>
        </w:trPr>
        <w:tc>
          <w:tcPr>
            <w:tcW w:w="1285" w:type="dxa"/>
          </w:tcPr>
          <w:p>
            <w:pPr>
              <w:pStyle w:val="TableParagraph"/>
              <w:spacing w:before="27"/>
              <w:rPr>
                <w:b/>
                <w:sz w:val="22"/>
              </w:rPr>
            </w:pPr>
          </w:p>
          <w:p>
            <w:pPr>
              <w:pStyle w:val="TableParagraph"/>
              <w:ind w:right="68"/>
              <w:jc w:val="center"/>
              <w:rPr>
                <w:sz w:val="22"/>
              </w:rPr>
            </w:pPr>
            <w:r>
              <w:rPr>
                <w:spacing w:val="-5"/>
                <w:sz w:val="22"/>
              </w:rPr>
              <w:t>25</w:t>
            </w:r>
          </w:p>
        </w:tc>
        <w:tc>
          <w:tcPr>
            <w:tcW w:w="1542" w:type="dxa"/>
          </w:tcPr>
          <w:p>
            <w:pPr>
              <w:pStyle w:val="TableParagraph"/>
              <w:spacing w:before="27"/>
              <w:rPr>
                <w:b/>
                <w:sz w:val="22"/>
              </w:rPr>
            </w:pPr>
          </w:p>
          <w:p>
            <w:pPr>
              <w:pStyle w:val="TableParagraph"/>
              <w:ind w:left="565"/>
              <w:rPr>
                <w:sz w:val="22"/>
              </w:rPr>
            </w:pPr>
            <w:r>
              <w:rPr>
                <w:spacing w:val="-5"/>
                <w:sz w:val="22"/>
              </w:rPr>
              <w:t>29</w:t>
            </w:r>
          </w:p>
        </w:tc>
        <w:tc>
          <w:tcPr>
            <w:tcW w:w="1691" w:type="dxa"/>
          </w:tcPr>
          <w:p>
            <w:pPr>
              <w:pStyle w:val="TableParagraph"/>
              <w:spacing w:before="27"/>
              <w:rPr>
                <w:b/>
                <w:sz w:val="22"/>
              </w:rPr>
            </w:pPr>
          </w:p>
          <w:p>
            <w:pPr>
              <w:pStyle w:val="TableParagraph"/>
              <w:ind w:left="1"/>
              <w:jc w:val="center"/>
              <w:rPr>
                <w:sz w:val="22"/>
              </w:rPr>
            </w:pPr>
            <w:r>
              <w:rPr>
                <w:spacing w:val="-10"/>
                <w:sz w:val="22"/>
              </w:rPr>
              <w:t>M</w:t>
            </w:r>
          </w:p>
        </w:tc>
        <w:tc>
          <w:tcPr>
            <w:tcW w:w="2365" w:type="dxa"/>
          </w:tcPr>
          <w:p>
            <w:pPr>
              <w:pStyle w:val="TableParagraph"/>
              <w:spacing w:before="27"/>
              <w:rPr>
                <w:b/>
                <w:sz w:val="22"/>
              </w:rPr>
            </w:pPr>
          </w:p>
          <w:p>
            <w:pPr>
              <w:pStyle w:val="TableParagraph"/>
              <w:ind w:left="87" w:right="5"/>
              <w:jc w:val="center"/>
              <w:rPr>
                <w:sz w:val="22"/>
              </w:rPr>
            </w:pPr>
            <w:r>
              <w:rPr>
                <w:sz w:val="22"/>
              </w:rPr>
              <w:t>NASAL</w:t>
            </w:r>
            <w:r>
              <w:rPr>
                <w:spacing w:val="-5"/>
                <w:sz w:val="22"/>
              </w:rPr>
              <w:t> S.</w:t>
            </w:r>
          </w:p>
        </w:tc>
        <w:tc>
          <w:tcPr>
            <w:tcW w:w="1967" w:type="dxa"/>
          </w:tcPr>
          <w:p>
            <w:pPr>
              <w:pStyle w:val="TableParagraph"/>
              <w:spacing w:before="27"/>
              <w:rPr>
                <w:b/>
                <w:sz w:val="22"/>
              </w:rPr>
            </w:pPr>
          </w:p>
          <w:p>
            <w:pPr>
              <w:pStyle w:val="TableParagraph"/>
              <w:ind w:left="2" w:right="11"/>
              <w:jc w:val="center"/>
              <w:rPr>
                <w:sz w:val="22"/>
              </w:rPr>
            </w:pPr>
            <w:r>
              <w:rPr>
                <w:sz w:val="22"/>
              </w:rPr>
              <w:t>NS</w:t>
            </w:r>
            <w:r>
              <w:rPr>
                <w:spacing w:val="-1"/>
                <w:sz w:val="22"/>
              </w:rPr>
              <w:t> </w:t>
            </w:r>
            <w:r>
              <w:rPr>
                <w:spacing w:val="-5"/>
                <w:sz w:val="22"/>
              </w:rPr>
              <w:t>893</w:t>
            </w:r>
          </w:p>
        </w:tc>
      </w:tr>
      <w:tr>
        <w:trPr>
          <w:trHeight w:val="900" w:hRule="atLeast"/>
        </w:trPr>
        <w:tc>
          <w:tcPr>
            <w:tcW w:w="1285" w:type="dxa"/>
          </w:tcPr>
          <w:p>
            <w:pPr>
              <w:pStyle w:val="TableParagraph"/>
              <w:spacing w:before="27"/>
              <w:rPr>
                <w:b/>
                <w:sz w:val="22"/>
              </w:rPr>
            </w:pPr>
          </w:p>
          <w:p>
            <w:pPr>
              <w:pStyle w:val="TableParagraph"/>
              <w:ind w:right="68"/>
              <w:jc w:val="center"/>
              <w:rPr>
                <w:sz w:val="22"/>
              </w:rPr>
            </w:pPr>
            <w:r>
              <w:rPr>
                <w:spacing w:val="-5"/>
                <w:sz w:val="22"/>
              </w:rPr>
              <w:t>26</w:t>
            </w:r>
          </w:p>
        </w:tc>
        <w:tc>
          <w:tcPr>
            <w:tcW w:w="1542" w:type="dxa"/>
          </w:tcPr>
          <w:p>
            <w:pPr>
              <w:pStyle w:val="TableParagraph"/>
              <w:spacing w:before="27"/>
              <w:rPr>
                <w:b/>
                <w:sz w:val="22"/>
              </w:rPr>
            </w:pPr>
          </w:p>
          <w:p>
            <w:pPr>
              <w:pStyle w:val="TableParagraph"/>
              <w:ind w:left="565"/>
              <w:rPr>
                <w:sz w:val="22"/>
              </w:rPr>
            </w:pPr>
            <w:r>
              <w:rPr>
                <w:spacing w:val="-5"/>
                <w:sz w:val="22"/>
              </w:rPr>
              <w:t>21</w:t>
            </w:r>
          </w:p>
        </w:tc>
        <w:tc>
          <w:tcPr>
            <w:tcW w:w="1691" w:type="dxa"/>
          </w:tcPr>
          <w:p>
            <w:pPr>
              <w:pStyle w:val="TableParagraph"/>
              <w:spacing w:before="27"/>
              <w:rPr>
                <w:b/>
                <w:sz w:val="22"/>
              </w:rPr>
            </w:pPr>
          </w:p>
          <w:p>
            <w:pPr>
              <w:pStyle w:val="TableParagraph"/>
              <w:ind w:left="1"/>
              <w:jc w:val="center"/>
              <w:rPr>
                <w:sz w:val="22"/>
              </w:rPr>
            </w:pPr>
            <w:r>
              <w:rPr>
                <w:spacing w:val="-10"/>
                <w:sz w:val="22"/>
              </w:rPr>
              <w:t>M</w:t>
            </w:r>
          </w:p>
        </w:tc>
        <w:tc>
          <w:tcPr>
            <w:tcW w:w="2365" w:type="dxa"/>
          </w:tcPr>
          <w:p>
            <w:pPr>
              <w:pStyle w:val="TableParagraph"/>
              <w:spacing w:before="27"/>
              <w:rPr>
                <w:b/>
                <w:sz w:val="22"/>
              </w:rPr>
            </w:pPr>
          </w:p>
          <w:p>
            <w:pPr>
              <w:pStyle w:val="TableParagraph"/>
              <w:ind w:left="87" w:right="4"/>
              <w:jc w:val="center"/>
              <w:rPr>
                <w:sz w:val="22"/>
              </w:rPr>
            </w:pPr>
            <w:r>
              <w:rPr>
                <w:spacing w:val="-2"/>
                <w:sz w:val="22"/>
              </w:rPr>
              <w:t>SPUTUM</w:t>
            </w:r>
          </w:p>
        </w:tc>
        <w:tc>
          <w:tcPr>
            <w:tcW w:w="1967" w:type="dxa"/>
          </w:tcPr>
          <w:p>
            <w:pPr>
              <w:pStyle w:val="TableParagraph"/>
              <w:spacing w:before="27"/>
              <w:rPr>
                <w:b/>
                <w:sz w:val="22"/>
              </w:rPr>
            </w:pPr>
          </w:p>
          <w:p>
            <w:pPr>
              <w:pStyle w:val="TableParagraph"/>
              <w:ind w:right="11"/>
              <w:jc w:val="center"/>
              <w:rPr>
                <w:sz w:val="22"/>
              </w:rPr>
            </w:pPr>
            <w:r>
              <w:rPr>
                <w:sz w:val="22"/>
              </w:rPr>
              <w:t>SP</w:t>
            </w:r>
            <w:r>
              <w:rPr>
                <w:spacing w:val="1"/>
                <w:sz w:val="22"/>
              </w:rPr>
              <w:t> </w:t>
            </w:r>
            <w:r>
              <w:rPr>
                <w:spacing w:val="-5"/>
                <w:sz w:val="22"/>
              </w:rPr>
              <w:t>241</w:t>
            </w:r>
          </w:p>
        </w:tc>
      </w:tr>
      <w:tr>
        <w:trPr>
          <w:trHeight w:val="900" w:hRule="atLeast"/>
        </w:trPr>
        <w:tc>
          <w:tcPr>
            <w:tcW w:w="1285" w:type="dxa"/>
          </w:tcPr>
          <w:p>
            <w:pPr>
              <w:pStyle w:val="TableParagraph"/>
              <w:spacing w:before="27"/>
              <w:rPr>
                <w:b/>
                <w:sz w:val="22"/>
              </w:rPr>
            </w:pPr>
          </w:p>
          <w:p>
            <w:pPr>
              <w:pStyle w:val="TableParagraph"/>
              <w:ind w:right="68"/>
              <w:jc w:val="center"/>
              <w:rPr>
                <w:sz w:val="22"/>
              </w:rPr>
            </w:pPr>
            <w:r>
              <w:rPr>
                <w:spacing w:val="-5"/>
                <w:sz w:val="22"/>
              </w:rPr>
              <w:t>27</w:t>
            </w:r>
          </w:p>
        </w:tc>
        <w:tc>
          <w:tcPr>
            <w:tcW w:w="1542" w:type="dxa"/>
          </w:tcPr>
          <w:p>
            <w:pPr>
              <w:pStyle w:val="TableParagraph"/>
              <w:spacing w:before="27"/>
              <w:rPr>
                <w:b/>
                <w:sz w:val="22"/>
              </w:rPr>
            </w:pPr>
          </w:p>
          <w:p>
            <w:pPr>
              <w:pStyle w:val="TableParagraph"/>
              <w:ind w:left="621"/>
              <w:rPr>
                <w:sz w:val="22"/>
              </w:rPr>
            </w:pPr>
            <w:r>
              <w:rPr>
                <w:spacing w:val="-10"/>
                <w:sz w:val="22"/>
              </w:rPr>
              <w:t>6</w:t>
            </w:r>
          </w:p>
        </w:tc>
        <w:tc>
          <w:tcPr>
            <w:tcW w:w="1691" w:type="dxa"/>
          </w:tcPr>
          <w:p>
            <w:pPr>
              <w:pStyle w:val="TableParagraph"/>
              <w:spacing w:before="27"/>
              <w:rPr>
                <w:b/>
                <w:sz w:val="22"/>
              </w:rPr>
            </w:pPr>
          </w:p>
          <w:p>
            <w:pPr>
              <w:pStyle w:val="TableParagraph"/>
              <w:ind w:left="1" w:right="1"/>
              <w:jc w:val="center"/>
              <w:rPr>
                <w:sz w:val="22"/>
              </w:rPr>
            </w:pPr>
            <w:r>
              <w:rPr>
                <w:spacing w:val="-10"/>
                <w:sz w:val="22"/>
              </w:rPr>
              <w:t>F</w:t>
            </w:r>
          </w:p>
        </w:tc>
        <w:tc>
          <w:tcPr>
            <w:tcW w:w="2365" w:type="dxa"/>
          </w:tcPr>
          <w:p>
            <w:pPr>
              <w:pStyle w:val="TableParagraph"/>
              <w:spacing w:before="27"/>
              <w:rPr>
                <w:b/>
                <w:sz w:val="22"/>
              </w:rPr>
            </w:pPr>
          </w:p>
          <w:p>
            <w:pPr>
              <w:pStyle w:val="TableParagraph"/>
              <w:ind w:left="87" w:right="4"/>
              <w:jc w:val="center"/>
              <w:rPr>
                <w:sz w:val="22"/>
              </w:rPr>
            </w:pPr>
            <w:r>
              <w:rPr>
                <w:spacing w:val="-2"/>
                <w:sz w:val="22"/>
              </w:rPr>
              <w:t>SPUTUM</w:t>
            </w:r>
          </w:p>
        </w:tc>
        <w:tc>
          <w:tcPr>
            <w:tcW w:w="1967" w:type="dxa"/>
          </w:tcPr>
          <w:p>
            <w:pPr>
              <w:pStyle w:val="TableParagraph"/>
              <w:spacing w:before="27"/>
              <w:rPr>
                <w:b/>
                <w:sz w:val="22"/>
              </w:rPr>
            </w:pPr>
          </w:p>
          <w:p>
            <w:pPr>
              <w:pStyle w:val="TableParagraph"/>
              <w:ind w:right="11"/>
              <w:jc w:val="center"/>
              <w:rPr>
                <w:sz w:val="22"/>
              </w:rPr>
            </w:pPr>
            <w:r>
              <w:rPr>
                <w:sz w:val="22"/>
              </w:rPr>
              <w:t>SP</w:t>
            </w:r>
            <w:r>
              <w:rPr>
                <w:spacing w:val="1"/>
                <w:sz w:val="22"/>
              </w:rPr>
              <w:t> </w:t>
            </w:r>
            <w:r>
              <w:rPr>
                <w:spacing w:val="-5"/>
                <w:sz w:val="22"/>
              </w:rPr>
              <w:t>890</w:t>
            </w:r>
          </w:p>
        </w:tc>
      </w:tr>
      <w:tr>
        <w:trPr>
          <w:trHeight w:val="750" w:hRule="atLeast"/>
        </w:trPr>
        <w:tc>
          <w:tcPr>
            <w:tcW w:w="1285" w:type="dxa"/>
          </w:tcPr>
          <w:p>
            <w:pPr>
              <w:pStyle w:val="TableParagraph"/>
              <w:spacing w:before="27"/>
              <w:rPr>
                <w:b/>
                <w:sz w:val="22"/>
              </w:rPr>
            </w:pPr>
          </w:p>
          <w:p>
            <w:pPr>
              <w:pStyle w:val="TableParagraph"/>
              <w:ind w:right="68"/>
              <w:jc w:val="center"/>
              <w:rPr>
                <w:sz w:val="22"/>
              </w:rPr>
            </w:pPr>
            <w:r>
              <w:rPr>
                <w:spacing w:val="-5"/>
                <w:sz w:val="22"/>
              </w:rPr>
              <w:t>28</w:t>
            </w:r>
          </w:p>
        </w:tc>
        <w:tc>
          <w:tcPr>
            <w:tcW w:w="1542" w:type="dxa"/>
          </w:tcPr>
          <w:p>
            <w:pPr>
              <w:pStyle w:val="TableParagraph"/>
              <w:spacing w:before="27"/>
              <w:rPr>
                <w:b/>
                <w:sz w:val="22"/>
              </w:rPr>
            </w:pPr>
          </w:p>
          <w:p>
            <w:pPr>
              <w:pStyle w:val="TableParagraph"/>
              <w:ind w:left="565"/>
              <w:rPr>
                <w:sz w:val="22"/>
              </w:rPr>
            </w:pPr>
            <w:r>
              <w:rPr>
                <w:spacing w:val="-5"/>
                <w:sz w:val="22"/>
              </w:rPr>
              <w:t>48</w:t>
            </w:r>
          </w:p>
        </w:tc>
        <w:tc>
          <w:tcPr>
            <w:tcW w:w="1691" w:type="dxa"/>
          </w:tcPr>
          <w:p>
            <w:pPr>
              <w:pStyle w:val="TableParagraph"/>
              <w:spacing w:before="27"/>
              <w:rPr>
                <w:b/>
                <w:sz w:val="22"/>
              </w:rPr>
            </w:pPr>
          </w:p>
          <w:p>
            <w:pPr>
              <w:pStyle w:val="TableParagraph"/>
              <w:ind w:left="1" w:right="1"/>
              <w:jc w:val="center"/>
              <w:rPr>
                <w:sz w:val="22"/>
              </w:rPr>
            </w:pPr>
            <w:r>
              <w:rPr>
                <w:spacing w:val="-10"/>
                <w:sz w:val="22"/>
              </w:rPr>
              <w:t>F</w:t>
            </w:r>
          </w:p>
        </w:tc>
        <w:tc>
          <w:tcPr>
            <w:tcW w:w="2365" w:type="dxa"/>
          </w:tcPr>
          <w:p>
            <w:pPr>
              <w:pStyle w:val="TableParagraph"/>
              <w:spacing w:before="27"/>
              <w:rPr>
                <w:b/>
                <w:sz w:val="22"/>
              </w:rPr>
            </w:pPr>
          </w:p>
          <w:p>
            <w:pPr>
              <w:pStyle w:val="TableParagraph"/>
              <w:ind w:left="87" w:right="4"/>
              <w:jc w:val="center"/>
              <w:rPr>
                <w:sz w:val="22"/>
              </w:rPr>
            </w:pPr>
            <w:r>
              <w:rPr>
                <w:spacing w:val="-2"/>
                <w:sz w:val="22"/>
              </w:rPr>
              <w:t>SPUTUM</w:t>
            </w:r>
          </w:p>
        </w:tc>
        <w:tc>
          <w:tcPr>
            <w:tcW w:w="1967" w:type="dxa"/>
          </w:tcPr>
          <w:p>
            <w:pPr>
              <w:pStyle w:val="TableParagraph"/>
              <w:spacing w:before="27"/>
              <w:rPr>
                <w:b/>
                <w:sz w:val="22"/>
              </w:rPr>
            </w:pPr>
          </w:p>
          <w:p>
            <w:pPr>
              <w:pStyle w:val="TableParagraph"/>
              <w:ind w:right="11"/>
              <w:jc w:val="center"/>
              <w:rPr>
                <w:sz w:val="22"/>
              </w:rPr>
            </w:pPr>
            <w:r>
              <w:rPr>
                <w:sz w:val="22"/>
              </w:rPr>
              <w:t>SP</w:t>
            </w:r>
            <w:r>
              <w:rPr>
                <w:spacing w:val="1"/>
                <w:sz w:val="22"/>
              </w:rPr>
              <w:t> </w:t>
            </w:r>
            <w:r>
              <w:rPr>
                <w:spacing w:val="-5"/>
                <w:sz w:val="22"/>
              </w:rPr>
              <w:t>888</w:t>
            </w:r>
          </w:p>
        </w:tc>
      </w:tr>
      <w:tr>
        <w:trPr>
          <w:trHeight w:val="749" w:hRule="atLeast"/>
        </w:trPr>
        <w:tc>
          <w:tcPr>
            <w:tcW w:w="1285" w:type="dxa"/>
          </w:tcPr>
          <w:p>
            <w:pPr>
              <w:pStyle w:val="TableParagraph"/>
              <w:spacing w:before="145"/>
              <w:ind w:right="68"/>
              <w:jc w:val="center"/>
              <w:rPr>
                <w:sz w:val="22"/>
              </w:rPr>
            </w:pPr>
            <w:r>
              <w:rPr>
                <w:spacing w:val="-5"/>
                <w:sz w:val="22"/>
              </w:rPr>
              <w:t>29</w:t>
            </w:r>
          </w:p>
        </w:tc>
        <w:tc>
          <w:tcPr>
            <w:tcW w:w="1542" w:type="dxa"/>
          </w:tcPr>
          <w:p>
            <w:pPr>
              <w:pStyle w:val="TableParagraph"/>
              <w:spacing w:before="145"/>
              <w:ind w:left="565"/>
              <w:rPr>
                <w:sz w:val="22"/>
              </w:rPr>
            </w:pPr>
            <w:r>
              <w:rPr>
                <w:spacing w:val="-5"/>
                <w:sz w:val="22"/>
              </w:rPr>
              <w:t>17</w:t>
            </w:r>
          </w:p>
        </w:tc>
        <w:tc>
          <w:tcPr>
            <w:tcW w:w="1691" w:type="dxa"/>
          </w:tcPr>
          <w:p>
            <w:pPr>
              <w:pStyle w:val="TableParagraph"/>
              <w:spacing w:before="145"/>
              <w:ind w:left="1" w:right="1"/>
              <w:jc w:val="center"/>
              <w:rPr>
                <w:sz w:val="22"/>
              </w:rPr>
            </w:pPr>
            <w:r>
              <w:rPr>
                <w:spacing w:val="-10"/>
                <w:sz w:val="22"/>
              </w:rPr>
              <w:t>F</w:t>
            </w:r>
          </w:p>
        </w:tc>
        <w:tc>
          <w:tcPr>
            <w:tcW w:w="2365" w:type="dxa"/>
          </w:tcPr>
          <w:p>
            <w:pPr>
              <w:pStyle w:val="TableParagraph"/>
              <w:spacing w:before="145"/>
              <w:ind w:left="87"/>
              <w:jc w:val="center"/>
              <w:rPr>
                <w:sz w:val="22"/>
              </w:rPr>
            </w:pPr>
            <w:r>
              <w:rPr>
                <w:sz w:val="22"/>
              </w:rPr>
              <w:t>EAR</w:t>
            </w:r>
            <w:r>
              <w:rPr>
                <w:spacing w:val="-2"/>
                <w:sz w:val="22"/>
              </w:rPr>
              <w:t> </w:t>
            </w:r>
            <w:r>
              <w:rPr>
                <w:spacing w:val="-4"/>
                <w:sz w:val="22"/>
              </w:rPr>
              <w:t>SWAB</w:t>
            </w:r>
          </w:p>
        </w:tc>
        <w:tc>
          <w:tcPr>
            <w:tcW w:w="1967" w:type="dxa"/>
          </w:tcPr>
          <w:p>
            <w:pPr>
              <w:pStyle w:val="TableParagraph"/>
              <w:spacing w:before="145"/>
              <w:ind w:left="2" w:right="11"/>
              <w:jc w:val="center"/>
              <w:rPr>
                <w:sz w:val="22"/>
              </w:rPr>
            </w:pPr>
            <w:r>
              <w:rPr>
                <w:sz w:val="22"/>
              </w:rPr>
              <w:t>ES</w:t>
            </w:r>
            <w:r>
              <w:rPr>
                <w:spacing w:val="-1"/>
                <w:sz w:val="22"/>
              </w:rPr>
              <w:t> </w:t>
            </w:r>
            <w:r>
              <w:rPr>
                <w:spacing w:val="-5"/>
                <w:sz w:val="22"/>
              </w:rPr>
              <w:t>248</w:t>
            </w:r>
          </w:p>
        </w:tc>
      </w:tr>
      <w:tr>
        <w:trPr>
          <w:trHeight w:val="749" w:hRule="atLeast"/>
        </w:trPr>
        <w:tc>
          <w:tcPr>
            <w:tcW w:w="1285" w:type="dxa"/>
            <w:tcBorders>
              <w:bottom w:val="single" w:sz="4" w:space="0" w:color="000000"/>
            </w:tcBorders>
          </w:tcPr>
          <w:p>
            <w:pPr>
              <w:pStyle w:val="TableParagraph"/>
              <w:spacing w:before="27"/>
              <w:rPr>
                <w:b/>
                <w:sz w:val="22"/>
              </w:rPr>
            </w:pPr>
          </w:p>
          <w:p>
            <w:pPr>
              <w:pStyle w:val="TableParagraph"/>
              <w:ind w:right="68"/>
              <w:jc w:val="center"/>
              <w:rPr>
                <w:sz w:val="22"/>
              </w:rPr>
            </w:pPr>
            <w:r>
              <w:rPr>
                <w:spacing w:val="-5"/>
                <w:sz w:val="22"/>
              </w:rPr>
              <w:t>30</w:t>
            </w:r>
          </w:p>
        </w:tc>
        <w:tc>
          <w:tcPr>
            <w:tcW w:w="1542" w:type="dxa"/>
            <w:tcBorders>
              <w:bottom w:val="single" w:sz="4" w:space="0" w:color="000000"/>
            </w:tcBorders>
          </w:tcPr>
          <w:p>
            <w:pPr>
              <w:pStyle w:val="TableParagraph"/>
              <w:spacing w:before="27"/>
              <w:rPr>
                <w:b/>
                <w:sz w:val="22"/>
              </w:rPr>
            </w:pPr>
          </w:p>
          <w:p>
            <w:pPr>
              <w:pStyle w:val="TableParagraph"/>
              <w:ind w:left="565"/>
              <w:rPr>
                <w:sz w:val="22"/>
              </w:rPr>
            </w:pPr>
            <w:r>
              <w:rPr>
                <w:spacing w:val="-5"/>
                <w:sz w:val="22"/>
              </w:rPr>
              <w:t>12</w:t>
            </w:r>
          </w:p>
        </w:tc>
        <w:tc>
          <w:tcPr>
            <w:tcW w:w="1691" w:type="dxa"/>
            <w:tcBorders>
              <w:bottom w:val="single" w:sz="4" w:space="0" w:color="000000"/>
            </w:tcBorders>
          </w:tcPr>
          <w:p>
            <w:pPr>
              <w:pStyle w:val="TableParagraph"/>
              <w:spacing w:before="27"/>
              <w:rPr>
                <w:b/>
                <w:sz w:val="22"/>
              </w:rPr>
            </w:pPr>
          </w:p>
          <w:p>
            <w:pPr>
              <w:pStyle w:val="TableParagraph"/>
              <w:ind w:left="1" w:right="1"/>
              <w:jc w:val="center"/>
              <w:rPr>
                <w:sz w:val="22"/>
              </w:rPr>
            </w:pPr>
            <w:r>
              <w:rPr>
                <w:spacing w:val="-10"/>
                <w:sz w:val="22"/>
              </w:rPr>
              <w:t>F</w:t>
            </w:r>
          </w:p>
        </w:tc>
        <w:tc>
          <w:tcPr>
            <w:tcW w:w="2365" w:type="dxa"/>
            <w:tcBorders>
              <w:bottom w:val="single" w:sz="4" w:space="0" w:color="000000"/>
            </w:tcBorders>
          </w:tcPr>
          <w:p>
            <w:pPr>
              <w:pStyle w:val="TableParagraph"/>
              <w:spacing w:before="27"/>
              <w:rPr>
                <w:b/>
                <w:sz w:val="22"/>
              </w:rPr>
            </w:pPr>
          </w:p>
          <w:p>
            <w:pPr>
              <w:pStyle w:val="TableParagraph"/>
              <w:ind w:left="87" w:right="4"/>
              <w:jc w:val="center"/>
              <w:rPr>
                <w:sz w:val="22"/>
              </w:rPr>
            </w:pPr>
            <w:r>
              <w:rPr>
                <w:spacing w:val="-2"/>
                <w:sz w:val="22"/>
              </w:rPr>
              <w:t>SPUTUM</w:t>
            </w:r>
          </w:p>
        </w:tc>
        <w:tc>
          <w:tcPr>
            <w:tcW w:w="1967" w:type="dxa"/>
            <w:tcBorders>
              <w:bottom w:val="single" w:sz="4" w:space="0" w:color="000000"/>
            </w:tcBorders>
          </w:tcPr>
          <w:p>
            <w:pPr>
              <w:pStyle w:val="TableParagraph"/>
              <w:spacing w:before="27"/>
              <w:rPr>
                <w:b/>
                <w:sz w:val="22"/>
              </w:rPr>
            </w:pPr>
          </w:p>
          <w:p>
            <w:pPr>
              <w:pStyle w:val="TableParagraph"/>
              <w:ind w:right="11"/>
              <w:jc w:val="center"/>
              <w:rPr>
                <w:sz w:val="22"/>
              </w:rPr>
            </w:pPr>
            <w:r>
              <w:rPr>
                <w:sz w:val="22"/>
              </w:rPr>
              <w:t>SP</w:t>
            </w:r>
            <w:r>
              <w:rPr>
                <w:spacing w:val="1"/>
                <w:sz w:val="22"/>
              </w:rPr>
              <w:t> </w:t>
            </w:r>
            <w:r>
              <w:rPr>
                <w:spacing w:val="-5"/>
                <w:sz w:val="22"/>
              </w:rPr>
              <w:t>246</w:t>
            </w:r>
          </w:p>
        </w:tc>
      </w:tr>
    </w:tbl>
    <w:p>
      <w:pPr>
        <w:pStyle w:val="BodyText"/>
        <w:spacing w:before="4"/>
        <w:ind w:left="1100"/>
      </w:pPr>
      <w:r>
        <w:rPr>
          <w:b/>
        </w:rPr>
        <w:t>Key:</w:t>
      </w:r>
      <w:r>
        <w:rPr>
          <w:b/>
          <w:spacing w:val="-7"/>
        </w:rPr>
        <w:t> </w:t>
      </w:r>
      <w:r>
        <w:rPr/>
        <w:t>ES=Ear</w:t>
      </w:r>
      <w:r>
        <w:rPr>
          <w:spacing w:val="-5"/>
        </w:rPr>
        <w:t> </w:t>
      </w:r>
      <w:r>
        <w:rPr/>
        <w:t>Swab,</w:t>
      </w:r>
      <w:r>
        <w:rPr>
          <w:spacing w:val="-4"/>
        </w:rPr>
        <w:t> </w:t>
      </w:r>
      <w:r>
        <w:rPr/>
        <w:t>NS=Nasal</w:t>
      </w:r>
      <w:r>
        <w:rPr>
          <w:spacing w:val="-5"/>
        </w:rPr>
        <w:t> </w:t>
      </w:r>
      <w:r>
        <w:rPr/>
        <w:t>Secretion,</w:t>
      </w:r>
      <w:r>
        <w:rPr>
          <w:spacing w:val="-4"/>
        </w:rPr>
        <w:t> </w:t>
      </w:r>
      <w:r>
        <w:rPr/>
        <w:t>SP=Sputum,</w:t>
      </w:r>
      <w:r>
        <w:rPr>
          <w:spacing w:val="-5"/>
        </w:rPr>
        <w:t> </w:t>
      </w:r>
      <w:r>
        <w:rPr/>
        <w:t>F=Female,</w:t>
      </w:r>
      <w:r>
        <w:rPr>
          <w:spacing w:val="-6"/>
        </w:rPr>
        <w:t> </w:t>
      </w:r>
      <w:r>
        <w:rPr>
          <w:spacing w:val="-2"/>
        </w:rPr>
        <w:t>M=Male.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5"/>
      </w:pPr>
    </w:p>
    <w:p>
      <w:pPr>
        <w:pStyle w:val="Heading3"/>
        <w:ind w:left="421" w:right="1015"/>
        <w:jc w:val="center"/>
      </w:pPr>
      <w:r>
        <w:rPr/>
        <w:t>Data</w:t>
      </w:r>
      <w:r>
        <w:rPr>
          <w:spacing w:val="-3"/>
        </w:rPr>
        <w:t> </w:t>
      </w:r>
      <w:r>
        <w:rPr/>
        <w:t>on</w:t>
      </w:r>
      <w:r>
        <w:rPr>
          <w:spacing w:val="-3"/>
        </w:rPr>
        <w:t> </w:t>
      </w:r>
      <w:r>
        <w:rPr/>
        <w:t>Samples</w:t>
      </w:r>
      <w:r>
        <w:rPr>
          <w:spacing w:val="-1"/>
        </w:rPr>
        <w:t> </w:t>
      </w:r>
      <w:r>
        <w:rPr>
          <w:spacing w:val="-2"/>
        </w:rPr>
        <w:t>Collected</w:t>
      </w:r>
    </w:p>
    <w:p>
      <w:pPr>
        <w:pStyle w:val="BodyText"/>
        <w:spacing w:before="162"/>
        <w:rPr>
          <w:b/>
          <w:sz w:val="20"/>
        </w:rPr>
      </w:pPr>
      <w:r>
        <w:rPr/>
        <mc:AlternateContent>
          <mc:Choice Requires="wps">
            <w:drawing>
              <wp:anchor distT="0" distB="0" distL="0" distR="0" allowOverlap="1" layoutInCell="1" locked="0" behindDoc="1" simplePos="0" relativeHeight="487690752">
                <wp:simplePos x="0" y="0"/>
                <wp:positionH relativeFrom="page">
                  <wp:posOffset>896416</wp:posOffset>
                </wp:positionH>
                <wp:positionV relativeFrom="paragraph">
                  <wp:posOffset>273724</wp:posOffset>
                </wp:positionV>
                <wp:extent cx="5769610" cy="6985"/>
                <wp:effectExtent l="0" t="0" r="0" b="0"/>
                <wp:wrapTopAndBottom/>
                <wp:docPr id="533" name="Graphic 533"/>
                <wp:cNvGraphicFramePr>
                  <a:graphicFrameLocks/>
                </wp:cNvGraphicFramePr>
                <a:graphic>
                  <a:graphicData uri="http://schemas.microsoft.com/office/word/2010/wordprocessingShape">
                    <wps:wsp>
                      <wps:cNvPr id="533" name="Graphic 533"/>
                      <wps:cNvSpPr/>
                      <wps:spPr>
                        <a:xfrm>
                          <a:off x="0" y="0"/>
                          <a:ext cx="5769610" cy="6985"/>
                        </a:xfrm>
                        <a:custGeom>
                          <a:avLst/>
                          <a:gdLst/>
                          <a:ahLst/>
                          <a:cxnLst/>
                          <a:rect l="l" t="t" r="r" b="b"/>
                          <a:pathLst>
                            <a:path w="5769610" h="6985">
                              <a:moveTo>
                                <a:pt x="5769610" y="0"/>
                              </a:moveTo>
                              <a:lnTo>
                                <a:pt x="0" y="0"/>
                              </a:lnTo>
                              <a:lnTo>
                                <a:pt x="0" y="6401"/>
                              </a:lnTo>
                              <a:lnTo>
                                <a:pt x="5769610" y="6401"/>
                              </a:lnTo>
                              <a:lnTo>
                                <a:pt x="5769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21.553148pt;width:454.3pt;height:.50403pt;mso-position-horizontal-relative:page;mso-position-vertical-relative:paragraph;z-index:-15625728;mso-wrap-distance-left:0;mso-wrap-distance-right:0" id="docshape478" filled="true" fillcolor="#000000" stroked="false">
                <v:fill type="solid"/>
                <w10:wrap type="topAndBottom"/>
              </v:rect>
            </w:pict>
          </mc:Fallback>
        </mc:AlternateContent>
      </w:r>
    </w:p>
    <w:p>
      <w:pPr>
        <w:tabs>
          <w:tab w:pos="2170" w:val="left" w:leader="none"/>
          <w:tab w:pos="3810" w:val="left" w:leader="none"/>
          <w:tab w:pos="5471" w:val="left" w:leader="none"/>
        </w:tabs>
        <w:spacing w:before="18" w:after="42"/>
        <w:ind w:left="730" w:right="0" w:firstLine="0"/>
        <w:jc w:val="left"/>
        <w:rPr>
          <w:b/>
          <w:sz w:val="22"/>
        </w:rPr>
      </w:pPr>
      <w:r>
        <w:rPr>
          <w:b/>
          <w:spacing w:val="-2"/>
          <w:sz w:val="22"/>
        </w:rPr>
        <w:t>S/No.</w:t>
      </w:r>
      <w:r>
        <w:rPr>
          <w:b/>
          <w:sz w:val="22"/>
        </w:rPr>
        <w:tab/>
      </w:r>
      <w:r>
        <w:rPr>
          <w:b/>
          <w:spacing w:val="-5"/>
          <w:sz w:val="22"/>
        </w:rPr>
        <w:t>Age</w:t>
      </w:r>
      <w:r>
        <w:rPr>
          <w:b/>
          <w:sz w:val="22"/>
        </w:rPr>
        <w:tab/>
      </w:r>
      <w:r>
        <w:rPr>
          <w:b/>
          <w:spacing w:val="-5"/>
          <w:sz w:val="22"/>
        </w:rPr>
        <w:t>Sex</w:t>
      </w:r>
      <w:r>
        <w:rPr>
          <w:b/>
          <w:sz w:val="22"/>
        </w:rPr>
        <w:tab/>
        <w:t>Sample</w:t>
      </w:r>
      <w:r>
        <w:rPr>
          <w:b/>
          <w:spacing w:val="-4"/>
          <w:sz w:val="22"/>
        </w:rPr>
        <w:t> </w:t>
      </w:r>
      <w:r>
        <w:rPr>
          <w:b/>
          <w:sz w:val="22"/>
        </w:rPr>
        <w:t>source</w:t>
      </w:r>
      <w:r>
        <w:rPr>
          <w:b/>
          <w:spacing w:val="75"/>
          <w:w w:val="150"/>
          <w:sz w:val="22"/>
        </w:rPr>
        <w:t> </w:t>
      </w:r>
      <w:r>
        <w:rPr>
          <w:b/>
          <w:sz w:val="22"/>
        </w:rPr>
        <w:t>Sample</w:t>
      </w:r>
      <w:r>
        <w:rPr>
          <w:b/>
          <w:spacing w:val="-3"/>
          <w:sz w:val="22"/>
        </w:rPr>
        <w:t> </w:t>
      </w:r>
      <w:r>
        <w:rPr>
          <w:b/>
          <w:spacing w:val="-5"/>
          <w:sz w:val="22"/>
        </w:rPr>
        <w:t>No.</w:t>
      </w:r>
    </w:p>
    <w:p>
      <w:pPr>
        <w:pStyle w:val="BodyText"/>
        <w:spacing w:line="20" w:lineRule="exact"/>
        <w:ind w:left="351"/>
        <w:rPr>
          <w:sz w:val="2"/>
        </w:rPr>
      </w:pPr>
      <w:r>
        <w:rPr>
          <w:sz w:val="2"/>
        </w:rPr>
        <mc:AlternateContent>
          <mc:Choice Requires="wps">
            <w:drawing>
              <wp:inline distT="0" distB="0" distL="0" distR="0">
                <wp:extent cx="5769610" cy="6350"/>
                <wp:effectExtent l="0" t="0" r="0" b="0"/>
                <wp:docPr id="534" name="Group 534"/>
                <wp:cNvGraphicFramePr>
                  <a:graphicFrameLocks/>
                </wp:cNvGraphicFramePr>
                <a:graphic>
                  <a:graphicData uri="http://schemas.microsoft.com/office/word/2010/wordprocessingGroup">
                    <wpg:wgp>
                      <wpg:cNvPr id="534" name="Group 534"/>
                      <wpg:cNvGrpSpPr/>
                      <wpg:grpSpPr>
                        <a:xfrm>
                          <a:off x="0" y="0"/>
                          <a:ext cx="5769610" cy="6350"/>
                          <a:chExt cx="5769610" cy="6350"/>
                        </a:xfrm>
                      </wpg:grpSpPr>
                      <wps:wsp>
                        <wps:cNvPr id="535" name="Graphic 535"/>
                        <wps:cNvSpPr/>
                        <wps:spPr>
                          <a:xfrm>
                            <a:off x="0" y="0"/>
                            <a:ext cx="5769610" cy="6350"/>
                          </a:xfrm>
                          <a:custGeom>
                            <a:avLst/>
                            <a:gdLst/>
                            <a:ahLst/>
                            <a:cxnLst/>
                            <a:rect l="l" t="t" r="r" b="b"/>
                            <a:pathLst>
                              <a:path w="5769610" h="6350">
                                <a:moveTo>
                                  <a:pt x="5769610" y="0"/>
                                </a:moveTo>
                                <a:lnTo>
                                  <a:pt x="0" y="0"/>
                                </a:lnTo>
                                <a:lnTo>
                                  <a:pt x="0" y="6095"/>
                                </a:lnTo>
                                <a:lnTo>
                                  <a:pt x="5769610" y="6095"/>
                                </a:lnTo>
                                <a:lnTo>
                                  <a:pt x="57696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3pt;height:.5pt;mso-position-horizontal-relative:char;mso-position-vertical-relative:line" id="docshapegroup479" coordorigin="0,0" coordsize="9086,10">
                <v:rect style="position:absolute;left:0;top:0;width:9086;height:10" id="docshape480" filled="true" fillcolor="#000000" stroked="false">
                  <v:fill type="solid"/>
                </v:rect>
              </v:group>
            </w:pict>
          </mc:Fallback>
        </mc:AlternateContent>
      </w:r>
      <w:r>
        <w:rPr>
          <w:sz w:val="2"/>
        </w:rPr>
      </w:r>
    </w:p>
    <w:p>
      <w:pPr>
        <w:pStyle w:val="BodyText"/>
        <w:rPr>
          <w:b/>
          <w:sz w:val="20"/>
        </w:rPr>
      </w:pPr>
    </w:p>
    <w:p>
      <w:pPr>
        <w:pStyle w:val="BodyText"/>
        <w:spacing w:before="149"/>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5"/>
        <w:gridCol w:w="1542"/>
        <w:gridCol w:w="1593"/>
        <w:gridCol w:w="2565"/>
        <w:gridCol w:w="1864"/>
      </w:tblGrid>
      <w:tr>
        <w:trPr>
          <w:trHeight w:val="710" w:hRule="atLeast"/>
        </w:trPr>
        <w:tc>
          <w:tcPr>
            <w:tcW w:w="1285" w:type="dxa"/>
          </w:tcPr>
          <w:p>
            <w:pPr>
              <w:pStyle w:val="TableParagraph"/>
              <w:spacing w:line="225" w:lineRule="exact"/>
              <w:ind w:right="68"/>
              <w:jc w:val="center"/>
              <w:rPr>
                <w:sz w:val="22"/>
              </w:rPr>
            </w:pPr>
            <w:r>
              <w:rPr>
                <w:spacing w:val="-5"/>
                <w:sz w:val="22"/>
              </w:rPr>
              <w:t>31</w:t>
            </w:r>
          </w:p>
        </w:tc>
        <w:tc>
          <w:tcPr>
            <w:tcW w:w="1542" w:type="dxa"/>
          </w:tcPr>
          <w:p>
            <w:pPr>
              <w:pStyle w:val="TableParagraph"/>
              <w:spacing w:line="225" w:lineRule="exact"/>
              <w:ind w:left="565"/>
              <w:rPr>
                <w:sz w:val="22"/>
              </w:rPr>
            </w:pPr>
            <w:r>
              <w:rPr>
                <w:spacing w:val="-5"/>
                <w:sz w:val="22"/>
              </w:rPr>
              <w:t>25</w:t>
            </w:r>
          </w:p>
        </w:tc>
        <w:tc>
          <w:tcPr>
            <w:tcW w:w="1593" w:type="dxa"/>
          </w:tcPr>
          <w:p>
            <w:pPr>
              <w:pStyle w:val="TableParagraph"/>
              <w:spacing w:line="225" w:lineRule="exact"/>
              <w:ind w:left="99"/>
              <w:jc w:val="center"/>
              <w:rPr>
                <w:sz w:val="22"/>
              </w:rPr>
            </w:pPr>
            <w:r>
              <w:rPr>
                <w:spacing w:val="-10"/>
                <w:sz w:val="22"/>
              </w:rPr>
              <w:t>M</w:t>
            </w:r>
          </w:p>
        </w:tc>
        <w:tc>
          <w:tcPr>
            <w:tcW w:w="2565" w:type="dxa"/>
          </w:tcPr>
          <w:p>
            <w:pPr>
              <w:pStyle w:val="TableParagraph"/>
              <w:spacing w:line="225" w:lineRule="exact"/>
              <w:ind w:left="83"/>
              <w:jc w:val="center"/>
              <w:rPr>
                <w:sz w:val="22"/>
              </w:rPr>
            </w:pPr>
            <w:r>
              <w:rPr>
                <w:sz w:val="22"/>
              </w:rPr>
              <w:t>THROAT</w:t>
            </w:r>
            <w:r>
              <w:rPr>
                <w:spacing w:val="-5"/>
                <w:sz w:val="22"/>
              </w:rPr>
              <w:t> </w:t>
            </w:r>
            <w:r>
              <w:rPr>
                <w:spacing w:val="-4"/>
                <w:sz w:val="22"/>
              </w:rPr>
              <w:t>SWAB</w:t>
            </w:r>
          </w:p>
        </w:tc>
        <w:tc>
          <w:tcPr>
            <w:tcW w:w="1864" w:type="dxa"/>
          </w:tcPr>
          <w:p>
            <w:pPr>
              <w:pStyle w:val="TableParagraph"/>
              <w:spacing w:line="225" w:lineRule="exact"/>
              <w:ind w:left="2" w:right="112"/>
              <w:jc w:val="center"/>
              <w:rPr>
                <w:sz w:val="22"/>
              </w:rPr>
            </w:pPr>
            <w:r>
              <w:rPr>
                <w:sz w:val="22"/>
              </w:rPr>
              <w:t>TS</w:t>
            </w:r>
            <w:r>
              <w:rPr>
                <w:spacing w:val="-1"/>
                <w:sz w:val="22"/>
              </w:rPr>
              <w:t> </w:t>
            </w:r>
            <w:r>
              <w:rPr>
                <w:spacing w:val="-5"/>
                <w:sz w:val="22"/>
              </w:rPr>
              <w:t>245</w:t>
            </w:r>
          </w:p>
        </w:tc>
      </w:tr>
      <w:tr>
        <w:trPr>
          <w:trHeight w:val="1079" w:hRule="atLeast"/>
        </w:trPr>
        <w:tc>
          <w:tcPr>
            <w:tcW w:w="1285" w:type="dxa"/>
          </w:tcPr>
          <w:p>
            <w:pPr>
              <w:pStyle w:val="TableParagraph"/>
              <w:spacing w:before="177"/>
              <w:rPr>
                <w:b/>
                <w:sz w:val="22"/>
              </w:rPr>
            </w:pPr>
          </w:p>
          <w:p>
            <w:pPr>
              <w:pStyle w:val="TableParagraph"/>
              <w:ind w:right="68"/>
              <w:jc w:val="center"/>
              <w:rPr>
                <w:sz w:val="22"/>
              </w:rPr>
            </w:pPr>
            <w:r>
              <w:rPr>
                <w:spacing w:val="-5"/>
                <w:sz w:val="22"/>
              </w:rPr>
              <w:t>32</w:t>
            </w:r>
          </w:p>
        </w:tc>
        <w:tc>
          <w:tcPr>
            <w:tcW w:w="1542" w:type="dxa"/>
          </w:tcPr>
          <w:p>
            <w:pPr>
              <w:pStyle w:val="TableParagraph"/>
              <w:spacing w:before="177"/>
              <w:rPr>
                <w:b/>
                <w:sz w:val="22"/>
              </w:rPr>
            </w:pPr>
          </w:p>
          <w:p>
            <w:pPr>
              <w:pStyle w:val="TableParagraph"/>
              <w:ind w:left="565"/>
              <w:rPr>
                <w:sz w:val="22"/>
              </w:rPr>
            </w:pPr>
            <w:r>
              <w:rPr>
                <w:spacing w:val="-5"/>
                <w:sz w:val="22"/>
              </w:rPr>
              <w:t>22</w:t>
            </w:r>
          </w:p>
        </w:tc>
        <w:tc>
          <w:tcPr>
            <w:tcW w:w="1593" w:type="dxa"/>
          </w:tcPr>
          <w:p>
            <w:pPr>
              <w:pStyle w:val="TableParagraph"/>
              <w:spacing w:before="177"/>
              <w:rPr>
                <w:b/>
                <w:sz w:val="22"/>
              </w:rPr>
            </w:pPr>
          </w:p>
          <w:p>
            <w:pPr>
              <w:pStyle w:val="TableParagraph"/>
              <w:ind w:left="99" w:right="1"/>
              <w:jc w:val="center"/>
              <w:rPr>
                <w:sz w:val="22"/>
              </w:rPr>
            </w:pPr>
            <w:r>
              <w:rPr>
                <w:spacing w:val="-10"/>
                <w:sz w:val="22"/>
              </w:rPr>
              <w:t>F</w:t>
            </w:r>
          </w:p>
        </w:tc>
        <w:tc>
          <w:tcPr>
            <w:tcW w:w="2565" w:type="dxa"/>
          </w:tcPr>
          <w:p>
            <w:pPr>
              <w:pStyle w:val="TableParagraph"/>
              <w:spacing w:before="177"/>
              <w:rPr>
                <w:b/>
                <w:sz w:val="22"/>
              </w:rPr>
            </w:pPr>
          </w:p>
          <w:p>
            <w:pPr>
              <w:pStyle w:val="TableParagraph"/>
              <w:ind w:left="83" w:right="4"/>
              <w:jc w:val="center"/>
              <w:rPr>
                <w:sz w:val="22"/>
              </w:rPr>
            </w:pPr>
            <w:r>
              <w:rPr>
                <w:spacing w:val="-2"/>
                <w:sz w:val="22"/>
              </w:rPr>
              <w:t>SPUTUM</w:t>
            </w:r>
          </w:p>
        </w:tc>
        <w:tc>
          <w:tcPr>
            <w:tcW w:w="1864" w:type="dxa"/>
          </w:tcPr>
          <w:p>
            <w:pPr>
              <w:pStyle w:val="TableParagraph"/>
              <w:spacing w:before="177"/>
              <w:rPr>
                <w:b/>
                <w:sz w:val="22"/>
              </w:rPr>
            </w:pPr>
          </w:p>
          <w:p>
            <w:pPr>
              <w:pStyle w:val="TableParagraph"/>
              <w:ind w:right="112"/>
              <w:jc w:val="center"/>
              <w:rPr>
                <w:sz w:val="22"/>
              </w:rPr>
            </w:pPr>
            <w:r>
              <w:rPr>
                <w:sz w:val="22"/>
              </w:rPr>
              <w:t>SP</w:t>
            </w:r>
            <w:r>
              <w:rPr>
                <w:spacing w:val="1"/>
                <w:sz w:val="22"/>
              </w:rPr>
              <w:t> </w:t>
            </w:r>
            <w:r>
              <w:rPr>
                <w:spacing w:val="-5"/>
                <w:sz w:val="22"/>
              </w:rPr>
              <w:t>892</w:t>
            </w:r>
          </w:p>
        </w:tc>
      </w:tr>
      <w:tr>
        <w:trPr>
          <w:trHeight w:val="780" w:hRule="atLeast"/>
        </w:trPr>
        <w:tc>
          <w:tcPr>
            <w:tcW w:w="1285" w:type="dxa"/>
            <w:tcBorders>
              <w:bottom w:val="single" w:sz="4" w:space="0" w:color="000000"/>
            </w:tcBorders>
          </w:tcPr>
          <w:p>
            <w:pPr>
              <w:pStyle w:val="TableParagraph"/>
              <w:spacing w:before="57"/>
              <w:rPr>
                <w:b/>
                <w:sz w:val="22"/>
              </w:rPr>
            </w:pPr>
          </w:p>
          <w:p>
            <w:pPr>
              <w:pStyle w:val="TableParagraph"/>
              <w:ind w:right="68"/>
              <w:jc w:val="center"/>
              <w:rPr>
                <w:sz w:val="22"/>
              </w:rPr>
            </w:pPr>
            <w:r>
              <w:rPr>
                <w:spacing w:val="-5"/>
                <w:sz w:val="22"/>
              </w:rPr>
              <w:t>33</w:t>
            </w:r>
          </w:p>
        </w:tc>
        <w:tc>
          <w:tcPr>
            <w:tcW w:w="1542" w:type="dxa"/>
            <w:tcBorders>
              <w:bottom w:val="single" w:sz="4" w:space="0" w:color="000000"/>
            </w:tcBorders>
          </w:tcPr>
          <w:p>
            <w:pPr>
              <w:pStyle w:val="TableParagraph"/>
              <w:spacing w:before="57"/>
              <w:rPr>
                <w:b/>
                <w:sz w:val="22"/>
              </w:rPr>
            </w:pPr>
          </w:p>
          <w:p>
            <w:pPr>
              <w:pStyle w:val="TableParagraph"/>
              <w:ind w:left="565"/>
              <w:rPr>
                <w:sz w:val="22"/>
              </w:rPr>
            </w:pPr>
            <w:r>
              <w:rPr>
                <w:spacing w:val="-5"/>
                <w:sz w:val="22"/>
              </w:rPr>
              <w:t>34</w:t>
            </w:r>
          </w:p>
        </w:tc>
        <w:tc>
          <w:tcPr>
            <w:tcW w:w="1593" w:type="dxa"/>
            <w:tcBorders>
              <w:bottom w:val="single" w:sz="4" w:space="0" w:color="000000"/>
            </w:tcBorders>
          </w:tcPr>
          <w:p>
            <w:pPr>
              <w:pStyle w:val="TableParagraph"/>
              <w:spacing w:before="57"/>
              <w:rPr>
                <w:b/>
                <w:sz w:val="22"/>
              </w:rPr>
            </w:pPr>
          </w:p>
          <w:p>
            <w:pPr>
              <w:pStyle w:val="TableParagraph"/>
              <w:ind w:left="99"/>
              <w:jc w:val="center"/>
              <w:rPr>
                <w:sz w:val="22"/>
              </w:rPr>
            </w:pPr>
            <w:r>
              <w:rPr>
                <w:spacing w:val="-10"/>
                <w:sz w:val="22"/>
              </w:rPr>
              <w:t>M</w:t>
            </w:r>
          </w:p>
        </w:tc>
        <w:tc>
          <w:tcPr>
            <w:tcW w:w="2565" w:type="dxa"/>
            <w:tcBorders>
              <w:bottom w:val="single" w:sz="4" w:space="0" w:color="000000"/>
            </w:tcBorders>
          </w:tcPr>
          <w:p>
            <w:pPr>
              <w:pStyle w:val="TableParagraph"/>
              <w:spacing w:before="57"/>
              <w:rPr>
                <w:b/>
                <w:sz w:val="22"/>
              </w:rPr>
            </w:pPr>
          </w:p>
          <w:p>
            <w:pPr>
              <w:pStyle w:val="TableParagraph"/>
              <w:ind w:left="83" w:right="4"/>
              <w:jc w:val="center"/>
              <w:rPr>
                <w:sz w:val="22"/>
              </w:rPr>
            </w:pPr>
            <w:r>
              <w:rPr>
                <w:spacing w:val="-2"/>
                <w:sz w:val="22"/>
              </w:rPr>
              <w:t>SPUTUM</w:t>
            </w:r>
          </w:p>
        </w:tc>
        <w:tc>
          <w:tcPr>
            <w:tcW w:w="1864" w:type="dxa"/>
            <w:tcBorders>
              <w:bottom w:val="single" w:sz="4" w:space="0" w:color="000000"/>
            </w:tcBorders>
          </w:tcPr>
          <w:p>
            <w:pPr>
              <w:pStyle w:val="TableParagraph"/>
              <w:spacing w:before="57"/>
              <w:rPr>
                <w:b/>
                <w:sz w:val="22"/>
              </w:rPr>
            </w:pPr>
          </w:p>
          <w:p>
            <w:pPr>
              <w:pStyle w:val="TableParagraph"/>
              <w:ind w:right="112"/>
              <w:jc w:val="center"/>
              <w:rPr>
                <w:sz w:val="22"/>
              </w:rPr>
            </w:pPr>
            <w:r>
              <w:rPr>
                <w:sz w:val="22"/>
              </w:rPr>
              <w:t>SP</w:t>
            </w:r>
            <w:r>
              <w:rPr>
                <w:spacing w:val="1"/>
                <w:sz w:val="22"/>
              </w:rPr>
              <w:t> </w:t>
            </w:r>
            <w:r>
              <w:rPr>
                <w:spacing w:val="-5"/>
                <w:sz w:val="22"/>
              </w:rPr>
              <w:t>249</w:t>
            </w:r>
          </w:p>
        </w:tc>
      </w:tr>
    </w:tbl>
    <w:p>
      <w:pPr>
        <w:spacing w:after="0"/>
        <w:jc w:val="center"/>
        <w:rPr>
          <w:sz w:val="22"/>
        </w:rPr>
        <w:sectPr>
          <w:pgSz w:w="11910" w:h="16840"/>
          <w:pgMar w:header="0" w:footer="1055" w:top="1420" w:bottom="1240" w:left="1060" w:right="460"/>
        </w:sectPr>
      </w:pPr>
    </w:p>
    <w:p>
      <w:pPr>
        <w:pStyle w:val="BodyText"/>
        <w:spacing w:line="20" w:lineRule="exact"/>
        <w:ind w:left="366"/>
        <w:rPr>
          <w:sz w:val="2"/>
        </w:rPr>
      </w:pPr>
      <w:r>
        <w:rPr>
          <w:sz w:val="2"/>
        </w:rPr>
        <mc:AlternateContent>
          <mc:Choice Requires="wps">
            <w:drawing>
              <wp:inline distT="0" distB="0" distL="0" distR="0">
                <wp:extent cx="5611495" cy="6350"/>
                <wp:effectExtent l="0" t="0" r="0" b="0"/>
                <wp:docPr id="536" name="Group 536"/>
                <wp:cNvGraphicFramePr>
                  <a:graphicFrameLocks/>
                </wp:cNvGraphicFramePr>
                <a:graphic>
                  <a:graphicData uri="http://schemas.microsoft.com/office/word/2010/wordprocessingGroup">
                    <wpg:wgp>
                      <wpg:cNvPr id="536" name="Group 536"/>
                      <wpg:cNvGrpSpPr/>
                      <wpg:grpSpPr>
                        <a:xfrm>
                          <a:off x="0" y="0"/>
                          <a:ext cx="5611495" cy="6350"/>
                          <a:chExt cx="5611495" cy="6350"/>
                        </a:xfrm>
                      </wpg:grpSpPr>
                      <wps:wsp>
                        <wps:cNvPr id="537" name="Graphic 537"/>
                        <wps:cNvSpPr/>
                        <wps:spPr>
                          <a:xfrm>
                            <a:off x="0" y="0"/>
                            <a:ext cx="5611495" cy="6350"/>
                          </a:xfrm>
                          <a:custGeom>
                            <a:avLst/>
                            <a:gdLst/>
                            <a:ahLst/>
                            <a:cxnLst/>
                            <a:rect l="l" t="t" r="r" b="b"/>
                            <a:pathLst>
                              <a:path w="5611495" h="6350">
                                <a:moveTo>
                                  <a:pt x="1723885" y="0"/>
                                </a:moveTo>
                                <a:lnTo>
                                  <a:pt x="758901" y="0"/>
                                </a:lnTo>
                                <a:lnTo>
                                  <a:pt x="752856" y="0"/>
                                </a:lnTo>
                                <a:lnTo>
                                  <a:pt x="0" y="0"/>
                                </a:lnTo>
                                <a:lnTo>
                                  <a:pt x="0" y="6096"/>
                                </a:lnTo>
                                <a:lnTo>
                                  <a:pt x="752805" y="6096"/>
                                </a:lnTo>
                                <a:lnTo>
                                  <a:pt x="758901" y="6096"/>
                                </a:lnTo>
                                <a:lnTo>
                                  <a:pt x="1723885" y="6096"/>
                                </a:lnTo>
                                <a:lnTo>
                                  <a:pt x="1723885" y="0"/>
                                </a:lnTo>
                                <a:close/>
                              </a:path>
                              <a:path w="5611495" h="6350">
                                <a:moveTo>
                                  <a:pt x="4353382" y="0"/>
                                </a:moveTo>
                                <a:lnTo>
                                  <a:pt x="4353382" y="0"/>
                                </a:lnTo>
                                <a:lnTo>
                                  <a:pt x="1723974" y="0"/>
                                </a:lnTo>
                                <a:lnTo>
                                  <a:pt x="1723974" y="6096"/>
                                </a:lnTo>
                                <a:lnTo>
                                  <a:pt x="4353382" y="6096"/>
                                </a:lnTo>
                                <a:lnTo>
                                  <a:pt x="4353382" y="0"/>
                                </a:lnTo>
                                <a:close/>
                              </a:path>
                              <a:path w="5611495" h="6350">
                                <a:moveTo>
                                  <a:pt x="4359592" y="0"/>
                                </a:moveTo>
                                <a:lnTo>
                                  <a:pt x="4353509" y="0"/>
                                </a:lnTo>
                                <a:lnTo>
                                  <a:pt x="4353509" y="6096"/>
                                </a:lnTo>
                                <a:lnTo>
                                  <a:pt x="4359592" y="6096"/>
                                </a:lnTo>
                                <a:lnTo>
                                  <a:pt x="4359592" y="0"/>
                                </a:lnTo>
                                <a:close/>
                              </a:path>
                              <a:path w="5611495" h="6350">
                                <a:moveTo>
                                  <a:pt x="5611114" y="0"/>
                                </a:moveTo>
                                <a:lnTo>
                                  <a:pt x="4359605" y="0"/>
                                </a:lnTo>
                                <a:lnTo>
                                  <a:pt x="4359605" y="6096"/>
                                </a:lnTo>
                                <a:lnTo>
                                  <a:pt x="5611114" y="6096"/>
                                </a:lnTo>
                                <a:lnTo>
                                  <a:pt x="561111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1.85pt;height:.5pt;mso-position-horizontal-relative:char;mso-position-vertical-relative:line" id="docshapegroup481" coordorigin="0,0" coordsize="8837,10">
                <v:shape style="position:absolute;left:0;top:0;width:8837;height:10" id="docshape482" coordorigin="0,0" coordsize="8837,10" path="m2715,0l1195,0,1186,0,1186,0,0,0,0,10,1186,10,1186,10,1195,10,2715,10,2715,0xm6856,0l4616,0,4607,0,4607,0,2725,0,2715,0,2715,10,2725,10,4607,10,4607,10,4616,10,6856,10,6856,0xm6866,0l6856,0,6856,10,6866,10,6866,0xm8836,0l6866,0,6866,10,8836,10,8836,0xe" filled="true" fillcolor="#000000" stroked="false">
                  <v:path arrowok="t"/>
                  <v:fill type="solid"/>
                </v:shape>
              </v:group>
            </w:pict>
          </mc:Fallback>
        </mc:AlternateContent>
      </w:r>
      <w:r>
        <w:rPr>
          <w:sz w:val="2"/>
        </w:rPr>
      </w:r>
    </w:p>
    <w:p>
      <w:pPr>
        <w:pStyle w:val="BodyText"/>
        <w:spacing w:before="233"/>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5"/>
        <w:gridCol w:w="1542"/>
        <w:gridCol w:w="1593"/>
        <w:gridCol w:w="2537"/>
        <w:gridCol w:w="1891"/>
      </w:tblGrid>
      <w:tr>
        <w:trPr>
          <w:trHeight w:val="590" w:hRule="atLeast"/>
        </w:trPr>
        <w:tc>
          <w:tcPr>
            <w:tcW w:w="1285" w:type="dxa"/>
          </w:tcPr>
          <w:p>
            <w:pPr>
              <w:pStyle w:val="TableParagraph"/>
              <w:spacing w:line="225" w:lineRule="exact"/>
              <w:ind w:right="68"/>
              <w:jc w:val="center"/>
              <w:rPr>
                <w:sz w:val="22"/>
              </w:rPr>
            </w:pPr>
            <w:r>
              <w:rPr>
                <w:spacing w:val="-5"/>
                <w:sz w:val="22"/>
              </w:rPr>
              <w:t>34</w:t>
            </w:r>
          </w:p>
        </w:tc>
        <w:tc>
          <w:tcPr>
            <w:tcW w:w="1542" w:type="dxa"/>
          </w:tcPr>
          <w:p>
            <w:pPr>
              <w:pStyle w:val="TableParagraph"/>
              <w:spacing w:line="225" w:lineRule="exact"/>
              <w:ind w:left="565"/>
              <w:rPr>
                <w:sz w:val="22"/>
              </w:rPr>
            </w:pPr>
            <w:r>
              <w:rPr>
                <w:spacing w:val="-5"/>
                <w:sz w:val="22"/>
              </w:rPr>
              <w:t>51</w:t>
            </w:r>
          </w:p>
        </w:tc>
        <w:tc>
          <w:tcPr>
            <w:tcW w:w="1593" w:type="dxa"/>
          </w:tcPr>
          <w:p>
            <w:pPr>
              <w:pStyle w:val="TableParagraph"/>
              <w:spacing w:line="225" w:lineRule="exact"/>
              <w:ind w:left="99"/>
              <w:jc w:val="center"/>
              <w:rPr>
                <w:sz w:val="22"/>
              </w:rPr>
            </w:pPr>
            <w:r>
              <w:rPr>
                <w:spacing w:val="-10"/>
                <w:sz w:val="22"/>
              </w:rPr>
              <w:t>M</w:t>
            </w:r>
          </w:p>
        </w:tc>
        <w:tc>
          <w:tcPr>
            <w:tcW w:w="2537" w:type="dxa"/>
          </w:tcPr>
          <w:p>
            <w:pPr>
              <w:pStyle w:val="TableParagraph"/>
              <w:spacing w:line="225" w:lineRule="exact"/>
              <w:ind w:left="111" w:right="4"/>
              <w:jc w:val="center"/>
              <w:rPr>
                <w:sz w:val="22"/>
              </w:rPr>
            </w:pPr>
            <w:r>
              <w:rPr>
                <w:spacing w:val="-2"/>
                <w:sz w:val="22"/>
              </w:rPr>
              <w:t>SPUTUM</w:t>
            </w:r>
          </w:p>
        </w:tc>
        <w:tc>
          <w:tcPr>
            <w:tcW w:w="1891" w:type="dxa"/>
          </w:tcPr>
          <w:p>
            <w:pPr>
              <w:pStyle w:val="TableParagraph"/>
              <w:spacing w:line="225" w:lineRule="exact"/>
              <w:ind w:right="685"/>
              <w:jc w:val="right"/>
              <w:rPr>
                <w:sz w:val="22"/>
              </w:rPr>
            </w:pPr>
            <w:r>
              <w:rPr>
                <w:sz w:val="22"/>
              </w:rPr>
              <w:t>SP</w:t>
            </w:r>
            <w:r>
              <w:rPr>
                <w:spacing w:val="1"/>
                <w:sz w:val="22"/>
              </w:rPr>
              <w:t> </w:t>
            </w:r>
            <w:r>
              <w:rPr>
                <w:spacing w:val="-5"/>
                <w:sz w:val="22"/>
              </w:rPr>
              <w:t>891</w:t>
            </w:r>
          </w:p>
        </w:tc>
      </w:tr>
      <w:tr>
        <w:trPr>
          <w:trHeight w:val="930" w:hRule="atLeast"/>
        </w:trPr>
        <w:tc>
          <w:tcPr>
            <w:tcW w:w="1285" w:type="dxa"/>
          </w:tcPr>
          <w:p>
            <w:pPr>
              <w:pStyle w:val="TableParagraph"/>
              <w:spacing w:before="57"/>
              <w:rPr>
                <w:b/>
                <w:sz w:val="22"/>
              </w:rPr>
            </w:pPr>
          </w:p>
          <w:p>
            <w:pPr>
              <w:pStyle w:val="TableParagraph"/>
              <w:ind w:right="68"/>
              <w:jc w:val="center"/>
              <w:rPr>
                <w:sz w:val="22"/>
              </w:rPr>
            </w:pPr>
            <w:r>
              <w:rPr>
                <w:spacing w:val="-5"/>
                <w:sz w:val="22"/>
              </w:rPr>
              <w:t>35</w:t>
            </w:r>
          </w:p>
        </w:tc>
        <w:tc>
          <w:tcPr>
            <w:tcW w:w="1542" w:type="dxa"/>
          </w:tcPr>
          <w:p>
            <w:pPr>
              <w:pStyle w:val="TableParagraph"/>
              <w:spacing w:before="57"/>
              <w:rPr>
                <w:b/>
                <w:sz w:val="22"/>
              </w:rPr>
            </w:pPr>
          </w:p>
          <w:p>
            <w:pPr>
              <w:pStyle w:val="TableParagraph"/>
              <w:ind w:left="565"/>
              <w:rPr>
                <w:sz w:val="22"/>
              </w:rPr>
            </w:pPr>
            <w:r>
              <w:rPr>
                <w:spacing w:val="-5"/>
                <w:sz w:val="22"/>
              </w:rPr>
              <w:t>12</w:t>
            </w:r>
          </w:p>
        </w:tc>
        <w:tc>
          <w:tcPr>
            <w:tcW w:w="1593" w:type="dxa"/>
          </w:tcPr>
          <w:p>
            <w:pPr>
              <w:pStyle w:val="TableParagraph"/>
              <w:spacing w:before="57"/>
              <w:rPr>
                <w:b/>
                <w:sz w:val="22"/>
              </w:rPr>
            </w:pPr>
          </w:p>
          <w:p>
            <w:pPr>
              <w:pStyle w:val="TableParagraph"/>
              <w:ind w:left="99"/>
              <w:jc w:val="center"/>
              <w:rPr>
                <w:sz w:val="22"/>
              </w:rPr>
            </w:pPr>
            <w:r>
              <w:rPr>
                <w:spacing w:val="-10"/>
                <w:sz w:val="22"/>
              </w:rPr>
              <w:t>M</w:t>
            </w:r>
          </w:p>
        </w:tc>
        <w:tc>
          <w:tcPr>
            <w:tcW w:w="2537" w:type="dxa"/>
          </w:tcPr>
          <w:p>
            <w:pPr>
              <w:pStyle w:val="TableParagraph"/>
              <w:spacing w:before="57"/>
              <w:rPr>
                <w:b/>
                <w:sz w:val="22"/>
              </w:rPr>
            </w:pPr>
          </w:p>
          <w:p>
            <w:pPr>
              <w:pStyle w:val="TableParagraph"/>
              <w:ind w:left="111"/>
              <w:jc w:val="center"/>
              <w:rPr>
                <w:sz w:val="22"/>
              </w:rPr>
            </w:pPr>
            <w:r>
              <w:rPr>
                <w:sz w:val="22"/>
              </w:rPr>
              <w:t>THROAT</w:t>
            </w:r>
            <w:r>
              <w:rPr>
                <w:spacing w:val="-5"/>
                <w:sz w:val="22"/>
              </w:rPr>
              <w:t> </w:t>
            </w:r>
            <w:r>
              <w:rPr>
                <w:spacing w:val="-4"/>
                <w:sz w:val="22"/>
              </w:rPr>
              <w:t>SWAB</w:t>
            </w:r>
          </w:p>
        </w:tc>
        <w:tc>
          <w:tcPr>
            <w:tcW w:w="1891" w:type="dxa"/>
          </w:tcPr>
          <w:p>
            <w:pPr>
              <w:pStyle w:val="TableParagraph"/>
              <w:spacing w:before="57"/>
              <w:rPr>
                <w:b/>
                <w:sz w:val="22"/>
              </w:rPr>
            </w:pPr>
          </w:p>
          <w:p>
            <w:pPr>
              <w:pStyle w:val="TableParagraph"/>
              <w:ind w:right="687"/>
              <w:jc w:val="right"/>
              <w:rPr>
                <w:sz w:val="22"/>
              </w:rPr>
            </w:pPr>
            <w:r>
              <w:rPr>
                <w:sz w:val="22"/>
              </w:rPr>
              <w:t>TS</w:t>
            </w:r>
            <w:r>
              <w:rPr>
                <w:spacing w:val="-1"/>
                <w:sz w:val="22"/>
              </w:rPr>
              <w:t> </w:t>
            </w:r>
            <w:r>
              <w:rPr>
                <w:spacing w:val="-5"/>
                <w:sz w:val="22"/>
              </w:rPr>
              <w:t>241</w:t>
            </w:r>
          </w:p>
        </w:tc>
      </w:tr>
      <w:tr>
        <w:trPr>
          <w:trHeight w:val="900" w:hRule="atLeast"/>
        </w:trPr>
        <w:tc>
          <w:tcPr>
            <w:tcW w:w="1285" w:type="dxa"/>
          </w:tcPr>
          <w:p>
            <w:pPr>
              <w:pStyle w:val="TableParagraph"/>
              <w:spacing w:before="27"/>
              <w:rPr>
                <w:b/>
                <w:sz w:val="22"/>
              </w:rPr>
            </w:pPr>
          </w:p>
          <w:p>
            <w:pPr>
              <w:pStyle w:val="TableParagraph"/>
              <w:ind w:right="68"/>
              <w:jc w:val="center"/>
              <w:rPr>
                <w:sz w:val="22"/>
              </w:rPr>
            </w:pPr>
            <w:r>
              <w:rPr>
                <w:spacing w:val="-5"/>
                <w:sz w:val="22"/>
              </w:rPr>
              <w:t>36</w:t>
            </w:r>
          </w:p>
        </w:tc>
        <w:tc>
          <w:tcPr>
            <w:tcW w:w="1542" w:type="dxa"/>
          </w:tcPr>
          <w:p>
            <w:pPr>
              <w:pStyle w:val="TableParagraph"/>
              <w:spacing w:before="27"/>
              <w:rPr>
                <w:b/>
                <w:sz w:val="22"/>
              </w:rPr>
            </w:pPr>
          </w:p>
          <w:p>
            <w:pPr>
              <w:pStyle w:val="TableParagraph"/>
              <w:ind w:left="565"/>
              <w:rPr>
                <w:sz w:val="22"/>
              </w:rPr>
            </w:pPr>
            <w:r>
              <w:rPr>
                <w:spacing w:val="-5"/>
                <w:sz w:val="22"/>
              </w:rPr>
              <w:t>19</w:t>
            </w:r>
          </w:p>
        </w:tc>
        <w:tc>
          <w:tcPr>
            <w:tcW w:w="1593" w:type="dxa"/>
          </w:tcPr>
          <w:p>
            <w:pPr>
              <w:pStyle w:val="TableParagraph"/>
              <w:spacing w:before="27"/>
              <w:rPr>
                <w:b/>
                <w:sz w:val="22"/>
              </w:rPr>
            </w:pPr>
          </w:p>
          <w:p>
            <w:pPr>
              <w:pStyle w:val="TableParagraph"/>
              <w:ind w:left="99"/>
              <w:jc w:val="center"/>
              <w:rPr>
                <w:sz w:val="22"/>
              </w:rPr>
            </w:pPr>
            <w:r>
              <w:rPr>
                <w:spacing w:val="-10"/>
                <w:sz w:val="22"/>
              </w:rPr>
              <w:t>M</w:t>
            </w:r>
          </w:p>
        </w:tc>
        <w:tc>
          <w:tcPr>
            <w:tcW w:w="2537" w:type="dxa"/>
          </w:tcPr>
          <w:p>
            <w:pPr>
              <w:pStyle w:val="TableParagraph"/>
              <w:spacing w:before="27"/>
              <w:rPr>
                <w:b/>
                <w:sz w:val="22"/>
              </w:rPr>
            </w:pPr>
          </w:p>
          <w:p>
            <w:pPr>
              <w:pStyle w:val="TableParagraph"/>
              <w:ind w:left="111"/>
              <w:jc w:val="center"/>
              <w:rPr>
                <w:sz w:val="22"/>
              </w:rPr>
            </w:pPr>
            <w:r>
              <w:rPr>
                <w:sz w:val="22"/>
              </w:rPr>
              <w:t>THROAT</w:t>
            </w:r>
            <w:r>
              <w:rPr>
                <w:spacing w:val="-5"/>
                <w:sz w:val="22"/>
              </w:rPr>
              <w:t> </w:t>
            </w:r>
            <w:r>
              <w:rPr>
                <w:spacing w:val="-4"/>
                <w:sz w:val="22"/>
              </w:rPr>
              <w:t>SWAB</w:t>
            </w:r>
          </w:p>
        </w:tc>
        <w:tc>
          <w:tcPr>
            <w:tcW w:w="1891" w:type="dxa"/>
          </w:tcPr>
          <w:p>
            <w:pPr>
              <w:pStyle w:val="TableParagraph"/>
              <w:spacing w:before="27"/>
              <w:rPr>
                <w:b/>
                <w:sz w:val="22"/>
              </w:rPr>
            </w:pPr>
          </w:p>
          <w:p>
            <w:pPr>
              <w:pStyle w:val="TableParagraph"/>
              <w:ind w:right="632"/>
              <w:jc w:val="right"/>
              <w:rPr>
                <w:sz w:val="22"/>
              </w:rPr>
            </w:pPr>
            <w:r>
              <w:rPr>
                <w:sz w:val="22"/>
              </w:rPr>
              <w:t>TS</w:t>
            </w:r>
            <w:r>
              <w:rPr>
                <w:spacing w:val="-1"/>
                <w:sz w:val="22"/>
              </w:rPr>
              <w:t> </w:t>
            </w:r>
            <w:r>
              <w:rPr>
                <w:spacing w:val="-4"/>
                <w:sz w:val="22"/>
              </w:rPr>
              <w:t>1097</w:t>
            </w:r>
          </w:p>
        </w:tc>
      </w:tr>
      <w:tr>
        <w:trPr>
          <w:trHeight w:val="900" w:hRule="atLeast"/>
        </w:trPr>
        <w:tc>
          <w:tcPr>
            <w:tcW w:w="1285" w:type="dxa"/>
          </w:tcPr>
          <w:p>
            <w:pPr>
              <w:pStyle w:val="TableParagraph"/>
              <w:spacing w:before="27"/>
              <w:rPr>
                <w:b/>
                <w:sz w:val="22"/>
              </w:rPr>
            </w:pPr>
          </w:p>
          <w:p>
            <w:pPr>
              <w:pStyle w:val="TableParagraph"/>
              <w:ind w:right="68"/>
              <w:jc w:val="center"/>
              <w:rPr>
                <w:sz w:val="22"/>
              </w:rPr>
            </w:pPr>
            <w:r>
              <w:rPr>
                <w:spacing w:val="-5"/>
                <w:sz w:val="22"/>
              </w:rPr>
              <w:t>37</w:t>
            </w:r>
          </w:p>
        </w:tc>
        <w:tc>
          <w:tcPr>
            <w:tcW w:w="1542" w:type="dxa"/>
          </w:tcPr>
          <w:p>
            <w:pPr>
              <w:pStyle w:val="TableParagraph"/>
              <w:spacing w:before="27"/>
              <w:rPr>
                <w:b/>
                <w:sz w:val="22"/>
              </w:rPr>
            </w:pPr>
          </w:p>
          <w:p>
            <w:pPr>
              <w:pStyle w:val="TableParagraph"/>
              <w:ind w:left="565"/>
              <w:rPr>
                <w:sz w:val="22"/>
              </w:rPr>
            </w:pPr>
            <w:r>
              <w:rPr>
                <w:spacing w:val="-5"/>
                <w:sz w:val="22"/>
              </w:rPr>
              <w:t>35</w:t>
            </w:r>
          </w:p>
        </w:tc>
        <w:tc>
          <w:tcPr>
            <w:tcW w:w="1593" w:type="dxa"/>
          </w:tcPr>
          <w:p>
            <w:pPr>
              <w:pStyle w:val="TableParagraph"/>
              <w:spacing w:before="27"/>
              <w:rPr>
                <w:b/>
                <w:sz w:val="22"/>
              </w:rPr>
            </w:pPr>
          </w:p>
          <w:p>
            <w:pPr>
              <w:pStyle w:val="TableParagraph"/>
              <w:ind w:left="99"/>
              <w:jc w:val="center"/>
              <w:rPr>
                <w:sz w:val="22"/>
              </w:rPr>
            </w:pPr>
            <w:r>
              <w:rPr>
                <w:spacing w:val="-10"/>
                <w:sz w:val="22"/>
              </w:rPr>
              <w:t>M</w:t>
            </w:r>
          </w:p>
        </w:tc>
        <w:tc>
          <w:tcPr>
            <w:tcW w:w="2537" w:type="dxa"/>
          </w:tcPr>
          <w:p>
            <w:pPr>
              <w:pStyle w:val="TableParagraph"/>
              <w:spacing w:before="2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27"/>
              <w:rPr>
                <w:b/>
                <w:sz w:val="22"/>
              </w:rPr>
            </w:pPr>
          </w:p>
          <w:p>
            <w:pPr>
              <w:pStyle w:val="TableParagraph"/>
              <w:ind w:right="685"/>
              <w:jc w:val="right"/>
              <w:rPr>
                <w:sz w:val="22"/>
              </w:rPr>
            </w:pPr>
            <w:r>
              <w:rPr>
                <w:sz w:val="22"/>
              </w:rPr>
              <w:t>SP</w:t>
            </w:r>
            <w:r>
              <w:rPr>
                <w:spacing w:val="1"/>
                <w:sz w:val="22"/>
              </w:rPr>
              <w:t> </w:t>
            </w:r>
            <w:r>
              <w:rPr>
                <w:spacing w:val="-5"/>
                <w:sz w:val="22"/>
              </w:rPr>
              <w:t>255</w:t>
            </w:r>
          </w:p>
        </w:tc>
      </w:tr>
      <w:tr>
        <w:trPr>
          <w:trHeight w:val="1050" w:hRule="atLeast"/>
        </w:trPr>
        <w:tc>
          <w:tcPr>
            <w:tcW w:w="1285" w:type="dxa"/>
          </w:tcPr>
          <w:p>
            <w:pPr>
              <w:pStyle w:val="TableParagraph"/>
              <w:spacing w:before="27"/>
              <w:rPr>
                <w:b/>
                <w:sz w:val="22"/>
              </w:rPr>
            </w:pPr>
          </w:p>
          <w:p>
            <w:pPr>
              <w:pStyle w:val="TableParagraph"/>
              <w:ind w:right="68"/>
              <w:jc w:val="center"/>
              <w:rPr>
                <w:sz w:val="22"/>
              </w:rPr>
            </w:pPr>
            <w:r>
              <w:rPr>
                <w:spacing w:val="-5"/>
                <w:sz w:val="22"/>
              </w:rPr>
              <w:t>38</w:t>
            </w:r>
          </w:p>
        </w:tc>
        <w:tc>
          <w:tcPr>
            <w:tcW w:w="1542" w:type="dxa"/>
          </w:tcPr>
          <w:p>
            <w:pPr>
              <w:pStyle w:val="TableParagraph"/>
              <w:spacing w:before="27"/>
              <w:rPr>
                <w:b/>
                <w:sz w:val="22"/>
              </w:rPr>
            </w:pPr>
          </w:p>
          <w:p>
            <w:pPr>
              <w:pStyle w:val="TableParagraph"/>
              <w:ind w:left="565"/>
              <w:rPr>
                <w:sz w:val="22"/>
              </w:rPr>
            </w:pPr>
            <w:r>
              <w:rPr>
                <w:spacing w:val="-5"/>
                <w:sz w:val="22"/>
              </w:rPr>
              <w:t>16</w:t>
            </w:r>
          </w:p>
        </w:tc>
        <w:tc>
          <w:tcPr>
            <w:tcW w:w="1593" w:type="dxa"/>
          </w:tcPr>
          <w:p>
            <w:pPr>
              <w:pStyle w:val="TableParagraph"/>
              <w:spacing w:before="27"/>
              <w:rPr>
                <w:b/>
                <w:sz w:val="22"/>
              </w:rPr>
            </w:pPr>
          </w:p>
          <w:p>
            <w:pPr>
              <w:pStyle w:val="TableParagraph"/>
              <w:ind w:left="99" w:right="1"/>
              <w:jc w:val="center"/>
              <w:rPr>
                <w:sz w:val="22"/>
              </w:rPr>
            </w:pPr>
            <w:r>
              <w:rPr>
                <w:spacing w:val="-10"/>
                <w:sz w:val="22"/>
              </w:rPr>
              <w:t>F</w:t>
            </w:r>
          </w:p>
        </w:tc>
        <w:tc>
          <w:tcPr>
            <w:tcW w:w="2537" w:type="dxa"/>
          </w:tcPr>
          <w:p>
            <w:pPr>
              <w:pStyle w:val="TableParagraph"/>
              <w:spacing w:before="2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27"/>
              <w:rPr>
                <w:b/>
                <w:sz w:val="22"/>
              </w:rPr>
            </w:pPr>
          </w:p>
          <w:p>
            <w:pPr>
              <w:pStyle w:val="TableParagraph"/>
              <w:ind w:right="630"/>
              <w:jc w:val="right"/>
              <w:rPr>
                <w:sz w:val="22"/>
              </w:rPr>
            </w:pPr>
            <w:r>
              <w:rPr>
                <w:sz w:val="22"/>
              </w:rPr>
              <w:t>SP</w:t>
            </w:r>
            <w:r>
              <w:rPr>
                <w:spacing w:val="1"/>
                <w:sz w:val="22"/>
              </w:rPr>
              <w:t> </w:t>
            </w:r>
            <w:r>
              <w:rPr>
                <w:spacing w:val="-4"/>
                <w:sz w:val="22"/>
              </w:rPr>
              <w:t>1096</w:t>
            </w:r>
          </w:p>
        </w:tc>
      </w:tr>
      <w:tr>
        <w:trPr>
          <w:trHeight w:val="1050" w:hRule="atLeast"/>
        </w:trPr>
        <w:tc>
          <w:tcPr>
            <w:tcW w:w="1285" w:type="dxa"/>
          </w:tcPr>
          <w:p>
            <w:pPr>
              <w:pStyle w:val="TableParagraph"/>
              <w:spacing w:before="177"/>
              <w:rPr>
                <w:b/>
                <w:sz w:val="22"/>
              </w:rPr>
            </w:pPr>
          </w:p>
          <w:p>
            <w:pPr>
              <w:pStyle w:val="TableParagraph"/>
              <w:ind w:right="68"/>
              <w:jc w:val="center"/>
              <w:rPr>
                <w:sz w:val="22"/>
              </w:rPr>
            </w:pPr>
            <w:r>
              <w:rPr>
                <w:spacing w:val="-5"/>
                <w:sz w:val="22"/>
              </w:rPr>
              <w:t>39</w:t>
            </w:r>
          </w:p>
        </w:tc>
        <w:tc>
          <w:tcPr>
            <w:tcW w:w="1542" w:type="dxa"/>
          </w:tcPr>
          <w:p>
            <w:pPr>
              <w:pStyle w:val="TableParagraph"/>
              <w:spacing w:before="177"/>
              <w:rPr>
                <w:b/>
                <w:sz w:val="22"/>
              </w:rPr>
            </w:pPr>
          </w:p>
          <w:p>
            <w:pPr>
              <w:pStyle w:val="TableParagraph"/>
              <w:ind w:left="565"/>
              <w:rPr>
                <w:sz w:val="22"/>
              </w:rPr>
            </w:pPr>
            <w:r>
              <w:rPr>
                <w:spacing w:val="-5"/>
                <w:sz w:val="22"/>
              </w:rPr>
              <w:t>38</w:t>
            </w:r>
          </w:p>
        </w:tc>
        <w:tc>
          <w:tcPr>
            <w:tcW w:w="1593" w:type="dxa"/>
          </w:tcPr>
          <w:p>
            <w:pPr>
              <w:pStyle w:val="TableParagraph"/>
              <w:spacing w:before="177"/>
              <w:rPr>
                <w:b/>
                <w:sz w:val="22"/>
              </w:rPr>
            </w:pPr>
          </w:p>
          <w:p>
            <w:pPr>
              <w:pStyle w:val="TableParagraph"/>
              <w:ind w:left="99"/>
              <w:jc w:val="center"/>
              <w:rPr>
                <w:sz w:val="22"/>
              </w:rPr>
            </w:pPr>
            <w:r>
              <w:rPr>
                <w:spacing w:val="-10"/>
                <w:sz w:val="22"/>
              </w:rPr>
              <w:t>M</w:t>
            </w:r>
          </w:p>
        </w:tc>
        <w:tc>
          <w:tcPr>
            <w:tcW w:w="2537" w:type="dxa"/>
          </w:tcPr>
          <w:p>
            <w:pPr>
              <w:pStyle w:val="TableParagraph"/>
              <w:spacing w:before="177"/>
              <w:rPr>
                <w:b/>
                <w:sz w:val="22"/>
              </w:rPr>
            </w:pPr>
          </w:p>
          <w:p>
            <w:pPr>
              <w:pStyle w:val="TableParagraph"/>
              <w:ind w:left="111"/>
              <w:jc w:val="center"/>
              <w:rPr>
                <w:sz w:val="22"/>
              </w:rPr>
            </w:pPr>
            <w:r>
              <w:rPr>
                <w:sz w:val="22"/>
              </w:rPr>
              <w:t>EAR</w:t>
            </w:r>
            <w:r>
              <w:rPr>
                <w:spacing w:val="-2"/>
                <w:sz w:val="22"/>
              </w:rPr>
              <w:t> </w:t>
            </w:r>
            <w:r>
              <w:rPr>
                <w:spacing w:val="-4"/>
                <w:sz w:val="22"/>
              </w:rPr>
              <w:t>SWAB</w:t>
            </w:r>
          </w:p>
        </w:tc>
        <w:tc>
          <w:tcPr>
            <w:tcW w:w="1891" w:type="dxa"/>
          </w:tcPr>
          <w:p>
            <w:pPr>
              <w:pStyle w:val="TableParagraph"/>
              <w:spacing w:before="177"/>
              <w:rPr>
                <w:b/>
                <w:sz w:val="22"/>
              </w:rPr>
            </w:pPr>
          </w:p>
          <w:p>
            <w:pPr>
              <w:pStyle w:val="TableParagraph"/>
              <w:ind w:right="687"/>
              <w:jc w:val="right"/>
              <w:rPr>
                <w:sz w:val="22"/>
              </w:rPr>
            </w:pPr>
            <w:r>
              <w:rPr>
                <w:sz w:val="22"/>
              </w:rPr>
              <w:t>ES</w:t>
            </w:r>
            <w:r>
              <w:rPr>
                <w:spacing w:val="-1"/>
                <w:sz w:val="22"/>
              </w:rPr>
              <w:t> </w:t>
            </w:r>
            <w:r>
              <w:rPr>
                <w:spacing w:val="-5"/>
                <w:sz w:val="22"/>
              </w:rPr>
              <w:t>895</w:t>
            </w:r>
          </w:p>
        </w:tc>
      </w:tr>
      <w:tr>
        <w:trPr>
          <w:trHeight w:val="747" w:hRule="atLeast"/>
        </w:trPr>
        <w:tc>
          <w:tcPr>
            <w:tcW w:w="1285" w:type="dxa"/>
            <w:tcBorders>
              <w:bottom w:val="single" w:sz="4" w:space="0" w:color="000000"/>
            </w:tcBorders>
          </w:tcPr>
          <w:p>
            <w:pPr>
              <w:pStyle w:val="TableParagraph"/>
              <w:spacing w:before="27"/>
              <w:rPr>
                <w:b/>
                <w:sz w:val="22"/>
              </w:rPr>
            </w:pPr>
          </w:p>
          <w:p>
            <w:pPr>
              <w:pStyle w:val="TableParagraph"/>
              <w:ind w:right="68"/>
              <w:jc w:val="center"/>
              <w:rPr>
                <w:sz w:val="22"/>
              </w:rPr>
            </w:pPr>
            <w:r>
              <w:rPr>
                <w:spacing w:val="-5"/>
                <w:sz w:val="22"/>
              </w:rPr>
              <w:t>40</w:t>
            </w:r>
          </w:p>
        </w:tc>
        <w:tc>
          <w:tcPr>
            <w:tcW w:w="1542" w:type="dxa"/>
            <w:tcBorders>
              <w:bottom w:val="single" w:sz="4" w:space="0" w:color="000000"/>
            </w:tcBorders>
          </w:tcPr>
          <w:p>
            <w:pPr>
              <w:pStyle w:val="TableParagraph"/>
              <w:spacing w:before="27"/>
              <w:rPr>
                <w:b/>
                <w:sz w:val="22"/>
              </w:rPr>
            </w:pPr>
          </w:p>
          <w:p>
            <w:pPr>
              <w:pStyle w:val="TableParagraph"/>
              <w:ind w:left="565"/>
              <w:rPr>
                <w:sz w:val="22"/>
              </w:rPr>
            </w:pPr>
            <w:r>
              <w:rPr>
                <w:spacing w:val="-5"/>
                <w:sz w:val="22"/>
              </w:rPr>
              <w:t>33</w:t>
            </w:r>
          </w:p>
        </w:tc>
        <w:tc>
          <w:tcPr>
            <w:tcW w:w="1593" w:type="dxa"/>
            <w:tcBorders>
              <w:bottom w:val="single" w:sz="4" w:space="0" w:color="000000"/>
            </w:tcBorders>
          </w:tcPr>
          <w:p>
            <w:pPr>
              <w:pStyle w:val="TableParagraph"/>
              <w:spacing w:before="27"/>
              <w:rPr>
                <w:b/>
                <w:sz w:val="22"/>
              </w:rPr>
            </w:pPr>
          </w:p>
          <w:p>
            <w:pPr>
              <w:pStyle w:val="TableParagraph"/>
              <w:ind w:left="99" w:right="1"/>
              <w:jc w:val="center"/>
              <w:rPr>
                <w:sz w:val="22"/>
              </w:rPr>
            </w:pPr>
            <w:r>
              <w:rPr>
                <w:spacing w:val="-10"/>
                <w:sz w:val="22"/>
              </w:rPr>
              <w:t>F</w:t>
            </w:r>
          </w:p>
        </w:tc>
        <w:tc>
          <w:tcPr>
            <w:tcW w:w="2537" w:type="dxa"/>
            <w:tcBorders>
              <w:bottom w:val="single" w:sz="4" w:space="0" w:color="000000"/>
            </w:tcBorders>
          </w:tcPr>
          <w:p>
            <w:pPr>
              <w:pStyle w:val="TableParagraph"/>
              <w:spacing w:before="27"/>
              <w:rPr>
                <w:b/>
                <w:sz w:val="22"/>
              </w:rPr>
            </w:pPr>
          </w:p>
          <w:p>
            <w:pPr>
              <w:pStyle w:val="TableParagraph"/>
              <w:ind w:left="111" w:right="4"/>
              <w:jc w:val="center"/>
              <w:rPr>
                <w:sz w:val="22"/>
              </w:rPr>
            </w:pPr>
            <w:r>
              <w:rPr>
                <w:spacing w:val="-2"/>
                <w:sz w:val="22"/>
              </w:rPr>
              <w:t>SPUTUM</w:t>
            </w:r>
          </w:p>
        </w:tc>
        <w:tc>
          <w:tcPr>
            <w:tcW w:w="1891" w:type="dxa"/>
            <w:tcBorders>
              <w:bottom w:val="single" w:sz="4" w:space="0" w:color="000000"/>
            </w:tcBorders>
          </w:tcPr>
          <w:p>
            <w:pPr>
              <w:pStyle w:val="TableParagraph"/>
              <w:spacing w:before="27"/>
              <w:rPr>
                <w:b/>
                <w:sz w:val="22"/>
              </w:rPr>
            </w:pPr>
          </w:p>
          <w:p>
            <w:pPr>
              <w:pStyle w:val="TableParagraph"/>
              <w:ind w:right="685"/>
              <w:jc w:val="right"/>
              <w:rPr>
                <w:sz w:val="22"/>
              </w:rPr>
            </w:pPr>
            <w:r>
              <w:rPr>
                <w:sz w:val="22"/>
              </w:rPr>
              <w:t>SP</w:t>
            </w:r>
            <w:r>
              <w:rPr>
                <w:spacing w:val="1"/>
                <w:sz w:val="22"/>
              </w:rPr>
              <w:t> </w:t>
            </w:r>
            <w:r>
              <w:rPr>
                <w:spacing w:val="-5"/>
                <w:sz w:val="22"/>
              </w:rPr>
              <w:t>334</w:t>
            </w:r>
          </w:p>
        </w:tc>
      </w:tr>
    </w:tbl>
    <w:p>
      <w:pPr>
        <w:pStyle w:val="BodyText"/>
        <w:spacing w:before="3"/>
        <w:ind w:left="1100"/>
      </w:pPr>
      <w:r>
        <w:rPr>
          <w:b/>
        </w:rPr>
        <w:t>Key:</w:t>
      </w:r>
      <w:r>
        <w:rPr>
          <w:b/>
          <w:spacing w:val="-7"/>
        </w:rPr>
        <w:t> </w:t>
      </w:r>
      <w:r>
        <w:rPr/>
        <w:t>ES=Ear</w:t>
      </w:r>
      <w:r>
        <w:rPr>
          <w:spacing w:val="-4"/>
        </w:rPr>
        <w:t> </w:t>
      </w:r>
      <w:r>
        <w:rPr/>
        <w:t>Swab,</w:t>
      </w:r>
      <w:r>
        <w:rPr>
          <w:spacing w:val="-5"/>
        </w:rPr>
        <w:t> </w:t>
      </w:r>
      <w:r>
        <w:rPr/>
        <w:t>SP=Sputum,</w:t>
      </w:r>
      <w:r>
        <w:rPr>
          <w:spacing w:val="-4"/>
        </w:rPr>
        <w:t> </w:t>
      </w:r>
      <w:r>
        <w:rPr/>
        <w:t>TS=Throat</w:t>
      </w:r>
      <w:r>
        <w:rPr>
          <w:spacing w:val="-5"/>
        </w:rPr>
        <w:t> </w:t>
      </w:r>
      <w:r>
        <w:rPr/>
        <w:t>Swab,</w:t>
      </w:r>
      <w:r>
        <w:rPr>
          <w:spacing w:val="-4"/>
        </w:rPr>
        <w:t> </w:t>
      </w:r>
      <w:r>
        <w:rPr/>
        <w:t>F=Female,</w:t>
      </w:r>
      <w:r>
        <w:rPr>
          <w:spacing w:val="-7"/>
        </w:rPr>
        <w:t> </w:t>
      </w:r>
      <w:r>
        <w:rPr>
          <w:spacing w:val="-2"/>
        </w:rPr>
        <w:t>M=Male.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9"/>
      </w:pPr>
    </w:p>
    <w:p>
      <w:pPr>
        <w:pStyle w:val="Heading3"/>
        <w:ind w:left="421" w:right="1015"/>
        <w:jc w:val="center"/>
      </w:pPr>
      <w:r>
        <w:rPr/>
        <w:t>Data</w:t>
      </w:r>
      <w:r>
        <w:rPr>
          <w:spacing w:val="-3"/>
        </w:rPr>
        <w:t> </w:t>
      </w:r>
      <w:r>
        <w:rPr/>
        <w:t>on</w:t>
      </w:r>
      <w:r>
        <w:rPr>
          <w:spacing w:val="-3"/>
        </w:rPr>
        <w:t> </w:t>
      </w:r>
      <w:r>
        <w:rPr/>
        <w:t>Samples</w:t>
      </w:r>
      <w:r>
        <w:rPr>
          <w:spacing w:val="-1"/>
        </w:rPr>
        <w:t> </w:t>
      </w:r>
      <w:r>
        <w:rPr>
          <w:spacing w:val="-2"/>
        </w:rPr>
        <w:t>Collected</w:t>
      </w:r>
    </w:p>
    <w:p>
      <w:pPr>
        <w:pStyle w:val="BodyText"/>
        <w:spacing w:before="163"/>
        <w:rPr>
          <w:b/>
          <w:sz w:val="20"/>
        </w:rPr>
      </w:pPr>
      <w:r>
        <w:rPr/>
        <mc:AlternateContent>
          <mc:Choice Requires="wps">
            <w:drawing>
              <wp:anchor distT="0" distB="0" distL="0" distR="0" allowOverlap="1" layoutInCell="1" locked="0" behindDoc="1" simplePos="0" relativeHeight="487692288">
                <wp:simplePos x="0" y="0"/>
                <wp:positionH relativeFrom="page">
                  <wp:posOffset>896416</wp:posOffset>
                </wp:positionH>
                <wp:positionV relativeFrom="paragraph">
                  <wp:posOffset>273833</wp:posOffset>
                </wp:positionV>
                <wp:extent cx="5769610" cy="6350"/>
                <wp:effectExtent l="0" t="0" r="0" b="0"/>
                <wp:wrapTopAndBottom/>
                <wp:docPr id="538" name="Graphic 538"/>
                <wp:cNvGraphicFramePr>
                  <a:graphicFrameLocks/>
                </wp:cNvGraphicFramePr>
                <a:graphic>
                  <a:graphicData uri="http://schemas.microsoft.com/office/word/2010/wordprocessingShape">
                    <wps:wsp>
                      <wps:cNvPr id="538" name="Graphic 538"/>
                      <wps:cNvSpPr/>
                      <wps:spPr>
                        <a:xfrm>
                          <a:off x="0" y="0"/>
                          <a:ext cx="5769610" cy="6350"/>
                        </a:xfrm>
                        <a:custGeom>
                          <a:avLst/>
                          <a:gdLst/>
                          <a:ahLst/>
                          <a:cxnLst/>
                          <a:rect l="l" t="t" r="r" b="b"/>
                          <a:pathLst>
                            <a:path w="5769610" h="6350">
                              <a:moveTo>
                                <a:pt x="5769610" y="0"/>
                              </a:moveTo>
                              <a:lnTo>
                                <a:pt x="0" y="0"/>
                              </a:lnTo>
                              <a:lnTo>
                                <a:pt x="0" y="6095"/>
                              </a:lnTo>
                              <a:lnTo>
                                <a:pt x="5769610" y="6095"/>
                              </a:lnTo>
                              <a:lnTo>
                                <a:pt x="5769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21.561729pt;width:454.3pt;height:.47998pt;mso-position-horizontal-relative:page;mso-position-vertical-relative:paragraph;z-index:-15624192;mso-wrap-distance-left:0;mso-wrap-distance-right:0" id="docshape483" filled="true" fillcolor="#000000" stroked="false">
                <v:fill type="solid"/>
                <w10:wrap type="topAndBottom"/>
              </v:rect>
            </w:pict>
          </mc:Fallback>
        </mc:AlternateContent>
      </w:r>
    </w:p>
    <w:p>
      <w:pPr>
        <w:tabs>
          <w:tab w:pos="2170" w:val="left" w:leader="none"/>
          <w:tab w:pos="3810" w:val="left" w:leader="none"/>
          <w:tab w:pos="5471" w:val="left" w:leader="none"/>
        </w:tabs>
        <w:spacing w:before="18" w:after="45"/>
        <w:ind w:left="730" w:right="0" w:firstLine="0"/>
        <w:jc w:val="left"/>
        <w:rPr>
          <w:b/>
          <w:sz w:val="22"/>
        </w:rPr>
      </w:pPr>
      <w:r>
        <w:rPr>
          <w:b/>
          <w:spacing w:val="-2"/>
          <w:sz w:val="22"/>
        </w:rPr>
        <w:t>S/No.</w:t>
      </w:r>
      <w:r>
        <w:rPr>
          <w:b/>
          <w:sz w:val="22"/>
        </w:rPr>
        <w:tab/>
      </w:r>
      <w:r>
        <w:rPr>
          <w:b/>
          <w:spacing w:val="-5"/>
          <w:sz w:val="22"/>
        </w:rPr>
        <w:t>Age</w:t>
      </w:r>
      <w:r>
        <w:rPr>
          <w:b/>
          <w:sz w:val="22"/>
        </w:rPr>
        <w:tab/>
      </w:r>
      <w:r>
        <w:rPr>
          <w:b/>
          <w:spacing w:val="-5"/>
          <w:sz w:val="22"/>
        </w:rPr>
        <w:t>Sex</w:t>
      </w:r>
      <w:r>
        <w:rPr>
          <w:b/>
          <w:sz w:val="22"/>
        </w:rPr>
        <w:tab/>
        <w:t>Sample</w:t>
      </w:r>
      <w:r>
        <w:rPr>
          <w:b/>
          <w:spacing w:val="-4"/>
          <w:sz w:val="22"/>
        </w:rPr>
        <w:t> </w:t>
      </w:r>
      <w:r>
        <w:rPr>
          <w:b/>
          <w:sz w:val="22"/>
        </w:rPr>
        <w:t>source</w:t>
      </w:r>
      <w:r>
        <w:rPr>
          <w:b/>
          <w:spacing w:val="75"/>
          <w:w w:val="150"/>
          <w:sz w:val="22"/>
        </w:rPr>
        <w:t> </w:t>
      </w:r>
      <w:r>
        <w:rPr>
          <w:b/>
          <w:sz w:val="22"/>
        </w:rPr>
        <w:t>Sample</w:t>
      </w:r>
      <w:r>
        <w:rPr>
          <w:b/>
          <w:spacing w:val="-3"/>
          <w:sz w:val="22"/>
        </w:rPr>
        <w:t> </w:t>
      </w:r>
      <w:r>
        <w:rPr>
          <w:b/>
          <w:spacing w:val="-5"/>
          <w:sz w:val="22"/>
        </w:rPr>
        <w:t>No.</w:t>
      </w:r>
    </w:p>
    <w:p>
      <w:pPr>
        <w:pStyle w:val="BodyText"/>
        <w:spacing w:line="20" w:lineRule="exact"/>
        <w:ind w:left="351"/>
        <w:rPr>
          <w:sz w:val="2"/>
        </w:rPr>
      </w:pPr>
      <w:r>
        <w:rPr>
          <w:sz w:val="2"/>
        </w:rPr>
        <mc:AlternateContent>
          <mc:Choice Requires="wps">
            <w:drawing>
              <wp:inline distT="0" distB="0" distL="0" distR="0">
                <wp:extent cx="5769610" cy="6350"/>
                <wp:effectExtent l="0" t="0" r="0" b="0"/>
                <wp:docPr id="539" name="Group 539"/>
                <wp:cNvGraphicFramePr>
                  <a:graphicFrameLocks/>
                </wp:cNvGraphicFramePr>
                <a:graphic>
                  <a:graphicData uri="http://schemas.microsoft.com/office/word/2010/wordprocessingGroup">
                    <wpg:wgp>
                      <wpg:cNvPr id="539" name="Group 539"/>
                      <wpg:cNvGrpSpPr/>
                      <wpg:grpSpPr>
                        <a:xfrm>
                          <a:off x="0" y="0"/>
                          <a:ext cx="5769610" cy="6350"/>
                          <a:chExt cx="5769610" cy="6350"/>
                        </a:xfrm>
                      </wpg:grpSpPr>
                      <wps:wsp>
                        <wps:cNvPr id="540" name="Graphic 540"/>
                        <wps:cNvSpPr/>
                        <wps:spPr>
                          <a:xfrm>
                            <a:off x="0" y="0"/>
                            <a:ext cx="5769610" cy="6350"/>
                          </a:xfrm>
                          <a:custGeom>
                            <a:avLst/>
                            <a:gdLst/>
                            <a:ahLst/>
                            <a:cxnLst/>
                            <a:rect l="l" t="t" r="r" b="b"/>
                            <a:pathLst>
                              <a:path w="5769610" h="6350">
                                <a:moveTo>
                                  <a:pt x="5769610" y="0"/>
                                </a:moveTo>
                                <a:lnTo>
                                  <a:pt x="0" y="0"/>
                                </a:lnTo>
                                <a:lnTo>
                                  <a:pt x="0" y="6095"/>
                                </a:lnTo>
                                <a:lnTo>
                                  <a:pt x="5769610" y="6095"/>
                                </a:lnTo>
                                <a:lnTo>
                                  <a:pt x="57696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3pt;height:.5pt;mso-position-horizontal-relative:char;mso-position-vertical-relative:line" id="docshapegroup484" coordorigin="0,0" coordsize="9086,10">
                <v:rect style="position:absolute;left:0;top:0;width:9086;height:10" id="docshape485" filled="true" fillcolor="#000000" stroked="false">
                  <v:fill type="solid"/>
                </v:rect>
              </v:group>
            </w:pict>
          </mc:Fallback>
        </mc:AlternateContent>
      </w:r>
      <w:r>
        <w:rPr>
          <w:sz w:val="2"/>
        </w:rPr>
      </w:r>
    </w:p>
    <w:p>
      <w:pPr>
        <w:pStyle w:val="BodyText"/>
        <w:rPr>
          <w:b/>
          <w:sz w:val="20"/>
        </w:rPr>
      </w:pPr>
    </w:p>
    <w:p>
      <w:pPr>
        <w:pStyle w:val="BodyText"/>
        <w:spacing w:before="206" w:after="1"/>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5"/>
        <w:gridCol w:w="1542"/>
        <w:gridCol w:w="1593"/>
        <w:gridCol w:w="2565"/>
        <w:gridCol w:w="1864"/>
      </w:tblGrid>
      <w:tr>
        <w:trPr>
          <w:trHeight w:val="590" w:hRule="atLeast"/>
        </w:trPr>
        <w:tc>
          <w:tcPr>
            <w:tcW w:w="1285" w:type="dxa"/>
          </w:tcPr>
          <w:p>
            <w:pPr>
              <w:pStyle w:val="TableParagraph"/>
              <w:spacing w:line="225" w:lineRule="exact"/>
              <w:ind w:right="68"/>
              <w:jc w:val="center"/>
              <w:rPr>
                <w:sz w:val="22"/>
              </w:rPr>
            </w:pPr>
            <w:r>
              <w:rPr>
                <w:spacing w:val="-5"/>
                <w:sz w:val="22"/>
              </w:rPr>
              <w:t>41</w:t>
            </w:r>
          </w:p>
        </w:tc>
        <w:tc>
          <w:tcPr>
            <w:tcW w:w="1542" w:type="dxa"/>
          </w:tcPr>
          <w:p>
            <w:pPr>
              <w:pStyle w:val="TableParagraph"/>
              <w:spacing w:line="225" w:lineRule="exact"/>
              <w:ind w:left="565"/>
              <w:rPr>
                <w:sz w:val="22"/>
              </w:rPr>
            </w:pPr>
            <w:r>
              <w:rPr>
                <w:spacing w:val="-5"/>
                <w:sz w:val="22"/>
              </w:rPr>
              <w:t>10</w:t>
            </w:r>
          </w:p>
        </w:tc>
        <w:tc>
          <w:tcPr>
            <w:tcW w:w="1593" w:type="dxa"/>
          </w:tcPr>
          <w:p>
            <w:pPr>
              <w:pStyle w:val="TableParagraph"/>
              <w:spacing w:line="225" w:lineRule="exact"/>
              <w:ind w:left="99"/>
              <w:jc w:val="center"/>
              <w:rPr>
                <w:sz w:val="22"/>
              </w:rPr>
            </w:pPr>
            <w:r>
              <w:rPr>
                <w:spacing w:val="-10"/>
                <w:sz w:val="22"/>
              </w:rPr>
              <w:t>M</w:t>
            </w:r>
          </w:p>
        </w:tc>
        <w:tc>
          <w:tcPr>
            <w:tcW w:w="2565" w:type="dxa"/>
          </w:tcPr>
          <w:p>
            <w:pPr>
              <w:pStyle w:val="TableParagraph"/>
              <w:spacing w:line="225" w:lineRule="exact"/>
              <w:ind w:left="83"/>
              <w:jc w:val="center"/>
              <w:rPr>
                <w:sz w:val="22"/>
              </w:rPr>
            </w:pPr>
            <w:r>
              <w:rPr>
                <w:sz w:val="22"/>
              </w:rPr>
              <w:t>THROAT</w:t>
            </w:r>
            <w:r>
              <w:rPr>
                <w:spacing w:val="-5"/>
                <w:sz w:val="22"/>
              </w:rPr>
              <w:t> </w:t>
            </w:r>
            <w:r>
              <w:rPr>
                <w:spacing w:val="-4"/>
                <w:sz w:val="22"/>
              </w:rPr>
              <w:t>SWAB</w:t>
            </w:r>
          </w:p>
        </w:tc>
        <w:tc>
          <w:tcPr>
            <w:tcW w:w="1864" w:type="dxa"/>
          </w:tcPr>
          <w:p>
            <w:pPr>
              <w:pStyle w:val="TableParagraph"/>
              <w:spacing w:line="225" w:lineRule="exact"/>
              <w:ind w:left="2" w:right="112"/>
              <w:jc w:val="center"/>
              <w:rPr>
                <w:sz w:val="22"/>
              </w:rPr>
            </w:pPr>
            <w:r>
              <w:rPr>
                <w:sz w:val="22"/>
              </w:rPr>
              <w:t>TS</w:t>
            </w:r>
            <w:r>
              <w:rPr>
                <w:spacing w:val="-1"/>
                <w:sz w:val="22"/>
              </w:rPr>
              <w:t> </w:t>
            </w:r>
            <w:r>
              <w:rPr>
                <w:spacing w:val="-5"/>
                <w:sz w:val="22"/>
              </w:rPr>
              <w:t>339</w:t>
            </w:r>
          </w:p>
        </w:tc>
      </w:tr>
      <w:tr>
        <w:trPr>
          <w:trHeight w:val="779" w:hRule="atLeast"/>
        </w:trPr>
        <w:tc>
          <w:tcPr>
            <w:tcW w:w="1285" w:type="dxa"/>
            <w:tcBorders>
              <w:bottom w:val="single" w:sz="4" w:space="0" w:color="000000"/>
            </w:tcBorders>
          </w:tcPr>
          <w:p>
            <w:pPr>
              <w:pStyle w:val="TableParagraph"/>
              <w:spacing w:before="57"/>
              <w:rPr>
                <w:b/>
                <w:sz w:val="22"/>
              </w:rPr>
            </w:pPr>
          </w:p>
          <w:p>
            <w:pPr>
              <w:pStyle w:val="TableParagraph"/>
              <w:ind w:right="68"/>
              <w:jc w:val="center"/>
              <w:rPr>
                <w:sz w:val="22"/>
              </w:rPr>
            </w:pPr>
            <w:r>
              <w:rPr>
                <w:spacing w:val="-5"/>
                <w:sz w:val="22"/>
              </w:rPr>
              <w:t>42</w:t>
            </w:r>
          </w:p>
        </w:tc>
        <w:tc>
          <w:tcPr>
            <w:tcW w:w="1542" w:type="dxa"/>
            <w:tcBorders>
              <w:bottom w:val="single" w:sz="4" w:space="0" w:color="000000"/>
            </w:tcBorders>
          </w:tcPr>
          <w:p>
            <w:pPr>
              <w:pStyle w:val="TableParagraph"/>
              <w:spacing w:before="57"/>
              <w:rPr>
                <w:b/>
                <w:sz w:val="22"/>
              </w:rPr>
            </w:pPr>
          </w:p>
          <w:p>
            <w:pPr>
              <w:pStyle w:val="TableParagraph"/>
              <w:ind w:left="565"/>
              <w:rPr>
                <w:sz w:val="22"/>
              </w:rPr>
            </w:pPr>
            <w:r>
              <w:rPr>
                <w:spacing w:val="-5"/>
                <w:sz w:val="22"/>
              </w:rPr>
              <w:t>28</w:t>
            </w:r>
          </w:p>
        </w:tc>
        <w:tc>
          <w:tcPr>
            <w:tcW w:w="1593" w:type="dxa"/>
            <w:tcBorders>
              <w:bottom w:val="single" w:sz="4" w:space="0" w:color="000000"/>
            </w:tcBorders>
          </w:tcPr>
          <w:p>
            <w:pPr>
              <w:pStyle w:val="TableParagraph"/>
              <w:spacing w:before="57"/>
              <w:rPr>
                <w:b/>
                <w:sz w:val="22"/>
              </w:rPr>
            </w:pPr>
          </w:p>
          <w:p>
            <w:pPr>
              <w:pStyle w:val="TableParagraph"/>
              <w:ind w:left="99" w:right="1"/>
              <w:jc w:val="center"/>
              <w:rPr>
                <w:sz w:val="22"/>
              </w:rPr>
            </w:pPr>
            <w:r>
              <w:rPr>
                <w:spacing w:val="-10"/>
                <w:sz w:val="22"/>
              </w:rPr>
              <w:t>F</w:t>
            </w:r>
          </w:p>
        </w:tc>
        <w:tc>
          <w:tcPr>
            <w:tcW w:w="2565" w:type="dxa"/>
            <w:tcBorders>
              <w:bottom w:val="single" w:sz="4" w:space="0" w:color="000000"/>
            </w:tcBorders>
          </w:tcPr>
          <w:p>
            <w:pPr>
              <w:pStyle w:val="TableParagraph"/>
              <w:spacing w:before="57"/>
              <w:rPr>
                <w:b/>
                <w:sz w:val="22"/>
              </w:rPr>
            </w:pPr>
          </w:p>
          <w:p>
            <w:pPr>
              <w:pStyle w:val="TableParagraph"/>
              <w:ind w:left="83" w:right="4"/>
              <w:jc w:val="center"/>
              <w:rPr>
                <w:sz w:val="22"/>
              </w:rPr>
            </w:pPr>
            <w:r>
              <w:rPr>
                <w:spacing w:val="-2"/>
                <w:sz w:val="22"/>
              </w:rPr>
              <w:t>SPUTUM</w:t>
            </w:r>
          </w:p>
        </w:tc>
        <w:tc>
          <w:tcPr>
            <w:tcW w:w="1864" w:type="dxa"/>
            <w:tcBorders>
              <w:bottom w:val="single" w:sz="4" w:space="0" w:color="000000"/>
            </w:tcBorders>
          </w:tcPr>
          <w:p>
            <w:pPr>
              <w:pStyle w:val="TableParagraph"/>
              <w:spacing w:before="57"/>
              <w:rPr>
                <w:b/>
                <w:sz w:val="22"/>
              </w:rPr>
            </w:pPr>
          </w:p>
          <w:p>
            <w:pPr>
              <w:pStyle w:val="TableParagraph"/>
              <w:ind w:right="112"/>
              <w:jc w:val="center"/>
              <w:rPr>
                <w:sz w:val="22"/>
              </w:rPr>
            </w:pPr>
            <w:r>
              <w:rPr>
                <w:sz w:val="22"/>
              </w:rPr>
              <w:t>SP</w:t>
            </w:r>
            <w:r>
              <w:rPr>
                <w:spacing w:val="1"/>
                <w:sz w:val="22"/>
              </w:rPr>
              <w:t> </w:t>
            </w:r>
            <w:r>
              <w:rPr>
                <w:spacing w:val="-5"/>
                <w:sz w:val="22"/>
              </w:rPr>
              <w:t>258</w:t>
            </w:r>
          </w:p>
        </w:tc>
      </w:tr>
    </w:tbl>
    <w:p>
      <w:pPr>
        <w:spacing w:after="0"/>
        <w:jc w:val="center"/>
        <w:rPr>
          <w:sz w:val="22"/>
        </w:rPr>
        <w:sectPr>
          <w:pgSz w:w="11910" w:h="16840"/>
          <w:pgMar w:header="0" w:footer="1055" w:top="1420" w:bottom="1240" w:left="1060" w:right="460"/>
        </w:sectPr>
      </w:pPr>
    </w:p>
    <w:p>
      <w:pPr>
        <w:pStyle w:val="BodyText"/>
        <w:spacing w:line="20" w:lineRule="exact"/>
        <w:ind w:left="366"/>
        <w:rPr>
          <w:sz w:val="2"/>
        </w:rPr>
      </w:pPr>
      <w:r>
        <w:rPr>
          <w:sz w:val="2"/>
        </w:rPr>
        <mc:AlternateContent>
          <mc:Choice Requires="wps">
            <w:drawing>
              <wp:inline distT="0" distB="0" distL="0" distR="0">
                <wp:extent cx="5611495" cy="6350"/>
                <wp:effectExtent l="0" t="0" r="0" b="0"/>
                <wp:docPr id="541" name="Group 541"/>
                <wp:cNvGraphicFramePr>
                  <a:graphicFrameLocks/>
                </wp:cNvGraphicFramePr>
                <a:graphic>
                  <a:graphicData uri="http://schemas.microsoft.com/office/word/2010/wordprocessingGroup">
                    <wpg:wgp>
                      <wpg:cNvPr id="541" name="Group 541"/>
                      <wpg:cNvGrpSpPr/>
                      <wpg:grpSpPr>
                        <a:xfrm>
                          <a:off x="0" y="0"/>
                          <a:ext cx="5611495" cy="6350"/>
                          <a:chExt cx="5611495" cy="6350"/>
                        </a:xfrm>
                      </wpg:grpSpPr>
                      <wps:wsp>
                        <wps:cNvPr id="542" name="Graphic 542"/>
                        <wps:cNvSpPr/>
                        <wps:spPr>
                          <a:xfrm>
                            <a:off x="0" y="0"/>
                            <a:ext cx="5611495" cy="6350"/>
                          </a:xfrm>
                          <a:custGeom>
                            <a:avLst/>
                            <a:gdLst/>
                            <a:ahLst/>
                            <a:cxnLst/>
                            <a:rect l="l" t="t" r="r" b="b"/>
                            <a:pathLst>
                              <a:path w="5611495" h="6350">
                                <a:moveTo>
                                  <a:pt x="1723885" y="0"/>
                                </a:moveTo>
                                <a:lnTo>
                                  <a:pt x="758901" y="0"/>
                                </a:lnTo>
                                <a:lnTo>
                                  <a:pt x="752856" y="0"/>
                                </a:lnTo>
                                <a:lnTo>
                                  <a:pt x="0" y="0"/>
                                </a:lnTo>
                                <a:lnTo>
                                  <a:pt x="0" y="6096"/>
                                </a:lnTo>
                                <a:lnTo>
                                  <a:pt x="752805" y="6096"/>
                                </a:lnTo>
                                <a:lnTo>
                                  <a:pt x="758901" y="6096"/>
                                </a:lnTo>
                                <a:lnTo>
                                  <a:pt x="1723885" y="6096"/>
                                </a:lnTo>
                                <a:lnTo>
                                  <a:pt x="1723885" y="0"/>
                                </a:lnTo>
                                <a:close/>
                              </a:path>
                              <a:path w="5611495" h="6350">
                                <a:moveTo>
                                  <a:pt x="4353382" y="0"/>
                                </a:moveTo>
                                <a:lnTo>
                                  <a:pt x="4353382" y="0"/>
                                </a:lnTo>
                                <a:lnTo>
                                  <a:pt x="1723974" y="0"/>
                                </a:lnTo>
                                <a:lnTo>
                                  <a:pt x="1723974" y="6096"/>
                                </a:lnTo>
                                <a:lnTo>
                                  <a:pt x="4353382" y="6096"/>
                                </a:lnTo>
                                <a:lnTo>
                                  <a:pt x="4353382" y="0"/>
                                </a:lnTo>
                                <a:close/>
                              </a:path>
                              <a:path w="5611495" h="6350">
                                <a:moveTo>
                                  <a:pt x="4359592" y="0"/>
                                </a:moveTo>
                                <a:lnTo>
                                  <a:pt x="4353509" y="0"/>
                                </a:lnTo>
                                <a:lnTo>
                                  <a:pt x="4353509" y="6096"/>
                                </a:lnTo>
                                <a:lnTo>
                                  <a:pt x="4359592" y="6096"/>
                                </a:lnTo>
                                <a:lnTo>
                                  <a:pt x="4359592" y="0"/>
                                </a:lnTo>
                                <a:close/>
                              </a:path>
                              <a:path w="5611495" h="6350">
                                <a:moveTo>
                                  <a:pt x="5611114" y="0"/>
                                </a:moveTo>
                                <a:lnTo>
                                  <a:pt x="4359605" y="0"/>
                                </a:lnTo>
                                <a:lnTo>
                                  <a:pt x="4359605" y="6096"/>
                                </a:lnTo>
                                <a:lnTo>
                                  <a:pt x="5611114" y="6096"/>
                                </a:lnTo>
                                <a:lnTo>
                                  <a:pt x="561111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1.85pt;height:.5pt;mso-position-horizontal-relative:char;mso-position-vertical-relative:line" id="docshapegroup486" coordorigin="0,0" coordsize="8837,10">
                <v:shape style="position:absolute;left:0;top:0;width:8837;height:10" id="docshape487" coordorigin="0,0" coordsize="8837,10" path="m2715,0l1195,0,1186,0,1186,0,0,0,0,10,1186,10,1186,10,1195,10,2715,10,2715,0xm6856,0l4616,0,4607,0,4607,0,2725,0,2715,0,2715,10,2725,10,4607,10,4607,10,4616,10,6856,10,6856,0xm6866,0l6856,0,6856,10,6866,10,6866,0xm8836,0l6866,0,6866,10,8836,10,8836,0xe" filled="true" fillcolor="#000000" stroked="false">
                  <v:path arrowok="t"/>
                  <v:fill type="solid"/>
                </v:shape>
              </v:group>
            </w:pict>
          </mc:Fallback>
        </mc:AlternateContent>
      </w:r>
      <w:r>
        <w:rPr>
          <w:sz w:val="2"/>
        </w:rPr>
      </w:r>
    </w:p>
    <w:p>
      <w:pPr>
        <w:pStyle w:val="BodyText"/>
        <w:spacing w:before="233"/>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5"/>
        <w:gridCol w:w="1542"/>
        <w:gridCol w:w="1691"/>
        <w:gridCol w:w="2365"/>
        <w:gridCol w:w="1967"/>
      </w:tblGrid>
      <w:tr>
        <w:trPr>
          <w:trHeight w:val="560" w:hRule="atLeast"/>
        </w:trPr>
        <w:tc>
          <w:tcPr>
            <w:tcW w:w="1285" w:type="dxa"/>
          </w:tcPr>
          <w:p>
            <w:pPr>
              <w:pStyle w:val="TableParagraph"/>
              <w:spacing w:line="225" w:lineRule="exact"/>
              <w:ind w:right="68"/>
              <w:jc w:val="center"/>
              <w:rPr>
                <w:sz w:val="22"/>
              </w:rPr>
            </w:pPr>
            <w:r>
              <w:rPr>
                <w:spacing w:val="-5"/>
                <w:sz w:val="22"/>
              </w:rPr>
              <w:t>43</w:t>
            </w:r>
          </w:p>
        </w:tc>
        <w:tc>
          <w:tcPr>
            <w:tcW w:w="1542" w:type="dxa"/>
          </w:tcPr>
          <w:p>
            <w:pPr>
              <w:pStyle w:val="TableParagraph"/>
              <w:spacing w:line="225" w:lineRule="exact"/>
              <w:ind w:left="565"/>
              <w:rPr>
                <w:sz w:val="22"/>
              </w:rPr>
            </w:pPr>
            <w:r>
              <w:rPr>
                <w:spacing w:val="-5"/>
                <w:sz w:val="22"/>
              </w:rPr>
              <w:t>13</w:t>
            </w:r>
          </w:p>
        </w:tc>
        <w:tc>
          <w:tcPr>
            <w:tcW w:w="1691" w:type="dxa"/>
          </w:tcPr>
          <w:p>
            <w:pPr>
              <w:pStyle w:val="TableParagraph"/>
              <w:spacing w:line="225" w:lineRule="exact"/>
              <w:ind w:left="1" w:right="1"/>
              <w:jc w:val="center"/>
              <w:rPr>
                <w:sz w:val="22"/>
              </w:rPr>
            </w:pPr>
            <w:r>
              <w:rPr>
                <w:spacing w:val="-10"/>
                <w:sz w:val="22"/>
              </w:rPr>
              <w:t>F</w:t>
            </w:r>
          </w:p>
        </w:tc>
        <w:tc>
          <w:tcPr>
            <w:tcW w:w="2365" w:type="dxa"/>
          </w:tcPr>
          <w:p>
            <w:pPr>
              <w:pStyle w:val="TableParagraph"/>
              <w:spacing w:line="225" w:lineRule="exact"/>
              <w:ind w:left="87"/>
              <w:jc w:val="center"/>
              <w:rPr>
                <w:sz w:val="22"/>
              </w:rPr>
            </w:pPr>
            <w:r>
              <w:rPr>
                <w:sz w:val="22"/>
              </w:rPr>
              <w:t>EAR</w:t>
            </w:r>
            <w:r>
              <w:rPr>
                <w:spacing w:val="-2"/>
                <w:sz w:val="22"/>
              </w:rPr>
              <w:t> </w:t>
            </w:r>
            <w:r>
              <w:rPr>
                <w:spacing w:val="-4"/>
                <w:sz w:val="22"/>
              </w:rPr>
              <w:t>SWAB</w:t>
            </w:r>
          </w:p>
        </w:tc>
        <w:tc>
          <w:tcPr>
            <w:tcW w:w="1967" w:type="dxa"/>
          </w:tcPr>
          <w:p>
            <w:pPr>
              <w:pStyle w:val="TableParagraph"/>
              <w:spacing w:line="225" w:lineRule="exact"/>
              <w:ind w:left="2" w:right="11"/>
              <w:jc w:val="center"/>
              <w:rPr>
                <w:sz w:val="22"/>
              </w:rPr>
            </w:pPr>
            <w:r>
              <w:rPr>
                <w:sz w:val="22"/>
              </w:rPr>
              <w:t>ES</w:t>
            </w:r>
            <w:r>
              <w:rPr>
                <w:spacing w:val="-1"/>
                <w:sz w:val="22"/>
              </w:rPr>
              <w:t> </w:t>
            </w:r>
            <w:r>
              <w:rPr>
                <w:spacing w:val="-5"/>
                <w:sz w:val="22"/>
              </w:rPr>
              <w:t>350</w:t>
            </w:r>
          </w:p>
        </w:tc>
      </w:tr>
      <w:tr>
        <w:trPr>
          <w:trHeight w:val="900" w:hRule="atLeast"/>
        </w:trPr>
        <w:tc>
          <w:tcPr>
            <w:tcW w:w="1285" w:type="dxa"/>
          </w:tcPr>
          <w:p>
            <w:pPr>
              <w:pStyle w:val="TableParagraph"/>
              <w:spacing w:before="27"/>
              <w:rPr>
                <w:b/>
                <w:sz w:val="22"/>
              </w:rPr>
            </w:pPr>
          </w:p>
          <w:p>
            <w:pPr>
              <w:pStyle w:val="TableParagraph"/>
              <w:ind w:right="68"/>
              <w:jc w:val="center"/>
              <w:rPr>
                <w:sz w:val="22"/>
              </w:rPr>
            </w:pPr>
            <w:r>
              <w:rPr>
                <w:spacing w:val="-5"/>
                <w:sz w:val="22"/>
              </w:rPr>
              <w:t>44</w:t>
            </w:r>
          </w:p>
        </w:tc>
        <w:tc>
          <w:tcPr>
            <w:tcW w:w="1542" w:type="dxa"/>
          </w:tcPr>
          <w:p>
            <w:pPr>
              <w:pStyle w:val="TableParagraph"/>
              <w:spacing w:before="27"/>
              <w:rPr>
                <w:b/>
                <w:sz w:val="22"/>
              </w:rPr>
            </w:pPr>
          </w:p>
          <w:p>
            <w:pPr>
              <w:pStyle w:val="TableParagraph"/>
              <w:ind w:left="565"/>
              <w:rPr>
                <w:sz w:val="22"/>
              </w:rPr>
            </w:pPr>
            <w:r>
              <w:rPr>
                <w:spacing w:val="-5"/>
                <w:sz w:val="22"/>
              </w:rPr>
              <w:t>26</w:t>
            </w:r>
          </w:p>
        </w:tc>
        <w:tc>
          <w:tcPr>
            <w:tcW w:w="1691" w:type="dxa"/>
          </w:tcPr>
          <w:p>
            <w:pPr>
              <w:pStyle w:val="TableParagraph"/>
              <w:spacing w:before="27"/>
              <w:rPr>
                <w:b/>
                <w:sz w:val="22"/>
              </w:rPr>
            </w:pPr>
          </w:p>
          <w:p>
            <w:pPr>
              <w:pStyle w:val="TableParagraph"/>
              <w:ind w:left="1" w:right="1"/>
              <w:jc w:val="center"/>
              <w:rPr>
                <w:sz w:val="22"/>
              </w:rPr>
            </w:pPr>
            <w:r>
              <w:rPr>
                <w:spacing w:val="-10"/>
                <w:sz w:val="22"/>
              </w:rPr>
              <w:t>F</w:t>
            </w:r>
          </w:p>
        </w:tc>
        <w:tc>
          <w:tcPr>
            <w:tcW w:w="2365" w:type="dxa"/>
          </w:tcPr>
          <w:p>
            <w:pPr>
              <w:pStyle w:val="TableParagraph"/>
              <w:spacing w:before="27"/>
              <w:rPr>
                <w:b/>
                <w:sz w:val="22"/>
              </w:rPr>
            </w:pPr>
          </w:p>
          <w:p>
            <w:pPr>
              <w:pStyle w:val="TableParagraph"/>
              <w:ind w:left="87" w:right="5"/>
              <w:jc w:val="center"/>
              <w:rPr>
                <w:sz w:val="22"/>
              </w:rPr>
            </w:pPr>
            <w:r>
              <w:rPr>
                <w:sz w:val="22"/>
              </w:rPr>
              <w:t>NASAL</w:t>
            </w:r>
            <w:r>
              <w:rPr>
                <w:spacing w:val="-5"/>
                <w:sz w:val="22"/>
              </w:rPr>
              <w:t> S.</w:t>
            </w:r>
          </w:p>
        </w:tc>
        <w:tc>
          <w:tcPr>
            <w:tcW w:w="1967" w:type="dxa"/>
          </w:tcPr>
          <w:p>
            <w:pPr>
              <w:pStyle w:val="TableParagraph"/>
              <w:spacing w:before="27"/>
              <w:rPr>
                <w:b/>
                <w:sz w:val="22"/>
              </w:rPr>
            </w:pPr>
          </w:p>
          <w:p>
            <w:pPr>
              <w:pStyle w:val="TableParagraph"/>
              <w:ind w:left="2" w:right="11"/>
              <w:jc w:val="center"/>
              <w:rPr>
                <w:sz w:val="22"/>
              </w:rPr>
            </w:pPr>
            <w:r>
              <w:rPr>
                <w:sz w:val="22"/>
              </w:rPr>
              <w:t>NS</w:t>
            </w:r>
            <w:r>
              <w:rPr>
                <w:spacing w:val="-1"/>
                <w:sz w:val="22"/>
              </w:rPr>
              <w:t> </w:t>
            </w:r>
            <w:r>
              <w:rPr>
                <w:spacing w:val="-5"/>
                <w:sz w:val="22"/>
              </w:rPr>
              <w:t>256</w:t>
            </w:r>
          </w:p>
        </w:tc>
      </w:tr>
      <w:tr>
        <w:trPr>
          <w:trHeight w:val="930" w:hRule="atLeast"/>
        </w:trPr>
        <w:tc>
          <w:tcPr>
            <w:tcW w:w="1285" w:type="dxa"/>
          </w:tcPr>
          <w:p>
            <w:pPr>
              <w:pStyle w:val="TableParagraph"/>
              <w:spacing w:before="27"/>
              <w:rPr>
                <w:b/>
                <w:sz w:val="22"/>
              </w:rPr>
            </w:pPr>
          </w:p>
          <w:p>
            <w:pPr>
              <w:pStyle w:val="TableParagraph"/>
              <w:ind w:right="68"/>
              <w:jc w:val="center"/>
              <w:rPr>
                <w:sz w:val="22"/>
              </w:rPr>
            </w:pPr>
            <w:r>
              <w:rPr>
                <w:spacing w:val="-5"/>
                <w:sz w:val="22"/>
              </w:rPr>
              <w:t>45</w:t>
            </w:r>
          </w:p>
        </w:tc>
        <w:tc>
          <w:tcPr>
            <w:tcW w:w="1542" w:type="dxa"/>
          </w:tcPr>
          <w:p>
            <w:pPr>
              <w:pStyle w:val="TableParagraph"/>
              <w:spacing w:before="27"/>
              <w:rPr>
                <w:b/>
                <w:sz w:val="22"/>
              </w:rPr>
            </w:pPr>
          </w:p>
          <w:p>
            <w:pPr>
              <w:pStyle w:val="TableParagraph"/>
              <w:ind w:left="565"/>
              <w:rPr>
                <w:sz w:val="22"/>
              </w:rPr>
            </w:pPr>
            <w:r>
              <w:rPr>
                <w:spacing w:val="-5"/>
                <w:sz w:val="22"/>
              </w:rPr>
              <w:t>48</w:t>
            </w:r>
          </w:p>
        </w:tc>
        <w:tc>
          <w:tcPr>
            <w:tcW w:w="1691" w:type="dxa"/>
          </w:tcPr>
          <w:p>
            <w:pPr>
              <w:pStyle w:val="TableParagraph"/>
              <w:spacing w:before="27"/>
              <w:rPr>
                <w:b/>
                <w:sz w:val="22"/>
              </w:rPr>
            </w:pPr>
          </w:p>
          <w:p>
            <w:pPr>
              <w:pStyle w:val="TableParagraph"/>
              <w:ind w:left="1" w:right="1"/>
              <w:jc w:val="center"/>
              <w:rPr>
                <w:sz w:val="22"/>
              </w:rPr>
            </w:pPr>
            <w:r>
              <w:rPr>
                <w:spacing w:val="-10"/>
                <w:sz w:val="22"/>
              </w:rPr>
              <w:t>F</w:t>
            </w:r>
          </w:p>
        </w:tc>
        <w:tc>
          <w:tcPr>
            <w:tcW w:w="2365" w:type="dxa"/>
          </w:tcPr>
          <w:p>
            <w:pPr>
              <w:pStyle w:val="TableParagraph"/>
              <w:spacing w:before="27"/>
              <w:rPr>
                <w:b/>
                <w:sz w:val="22"/>
              </w:rPr>
            </w:pPr>
          </w:p>
          <w:p>
            <w:pPr>
              <w:pStyle w:val="TableParagraph"/>
              <w:ind w:left="87" w:right="5"/>
              <w:jc w:val="center"/>
              <w:rPr>
                <w:sz w:val="22"/>
              </w:rPr>
            </w:pPr>
            <w:r>
              <w:rPr>
                <w:sz w:val="22"/>
              </w:rPr>
              <w:t>NASAL</w:t>
            </w:r>
            <w:r>
              <w:rPr>
                <w:spacing w:val="-5"/>
                <w:sz w:val="22"/>
              </w:rPr>
              <w:t> S.</w:t>
            </w:r>
          </w:p>
        </w:tc>
        <w:tc>
          <w:tcPr>
            <w:tcW w:w="1967" w:type="dxa"/>
          </w:tcPr>
          <w:p>
            <w:pPr>
              <w:pStyle w:val="TableParagraph"/>
              <w:spacing w:before="27"/>
              <w:rPr>
                <w:b/>
                <w:sz w:val="22"/>
              </w:rPr>
            </w:pPr>
          </w:p>
          <w:p>
            <w:pPr>
              <w:pStyle w:val="TableParagraph"/>
              <w:ind w:left="2" w:right="11"/>
              <w:jc w:val="center"/>
              <w:rPr>
                <w:sz w:val="22"/>
              </w:rPr>
            </w:pPr>
            <w:r>
              <w:rPr>
                <w:sz w:val="22"/>
              </w:rPr>
              <w:t>NS</w:t>
            </w:r>
            <w:r>
              <w:rPr>
                <w:spacing w:val="-1"/>
                <w:sz w:val="22"/>
              </w:rPr>
              <w:t> </w:t>
            </w:r>
            <w:r>
              <w:rPr>
                <w:spacing w:val="-5"/>
                <w:sz w:val="22"/>
              </w:rPr>
              <w:t>340</w:t>
            </w:r>
          </w:p>
        </w:tc>
      </w:tr>
      <w:tr>
        <w:trPr>
          <w:trHeight w:val="930" w:hRule="atLeast"/>
        </w:trPr>
        <w:tc>
          <w:tcPr>
            <w:tcW w:w="1285" w:type="dxa"/>
          </w:tcPr>
          <w:p>
            <w:pPr>
              <w:pStyle w:val="TableParagraph"/>
              <w:spacing w:before="57"/>
              <w:rPr>
                <w:b/>
                <w:sz w:val="22"/>
              </w:rPr>
            </w:pPr>
          </w:p>
          <w:p>
            <w:pPr>
              <w:pStyle w:val="TableParagraph"/>
              <w:ind w:right="68"/>
              <w:jc w:val="center"/>
              <w:rPr>
                <w:sz w:val="22"/>
              </w:rPr>
            </w:pPr>
            <w:r>
              <w:rPr>
                <w:spacing w:val="-5"/>
                <w:sz w:val="22"/>
              </w:rPr>
              <w:t>46</w:t>
            </w:r>
          </w:p>
        </w:tc>
        <w:tc>
          <w:tcPr>
            <w:tcW w:w="1542" w:type="dxa"/>
          </w:tcPr>
          <w:p>
            <w:pPr>
              <w:pStyle w:val="TableParagraph"/>
              <w:spacing w:before="57"/>
              <w:rPr>
                <w:b/>
                <w:sz w:val="22"/>
              </w:rPr>
            </w:pPr>
          </w:p>
          <w:p>
            <w:pPr>
              <w:pStyle w:val="TableParagraph"/>
              <w:ind w:left="565"/>
              <w:rPr>
                <w:sz w:val="22"/>
              </w:rPr>
            </w:pPr>
            <w:r>
              <w:rPr>
                <w:spacing w:val="-5"/>
                <w:sz w:val="22"/>
              </w:rPr>
              <w:t>19</w:t>
            </w:r>
          </w:p>
        </w:tc>
        <w:tc>
          <w:tcPr>
            <w:tcW w:w="1691" w:type="dxa"/>
          </w:tcPr>
          <w:p>
            <w:pPr>
              <w:pStyle w:val="TableParagraph"/>
              <w:spacing w:before="57"/>
              <w:rPr>
                <w:b/>
                <w:sz w:val="22"/>
              </w:rPr>
            </w:pPr>
          </w:p>
          <w:p>
            <w:pPr>
              <w:pStyle w:val="TableParagraph"/>
              <w:ind w:left="1"/>
              <w:jc w:val="center"/>
              <w:rPr>
                <w:sz w:val="22"/>
              </w:rPr>
            </w:pPr>
            <w:r>
              <w:rPr>
                <w:spacing w:val="-10"/>
                <w:sz w:val="22"/>
              </w:rPr>
              <w:t>M</w:t>
            </w:r>
          </w:p>
        </w:tc>
        <w:tc>
          <w:tcPr>
            <w:tcW w:w="2365" w:type="dxa"/>
          </w:tcPr>
          <w:p>
            <w:pPr>
              <w:pStyle w:val="TableParagraph"/>
              <w:spacing w:before="57"/>
              <w:rPr>
                <w:b/>
                <w:sz w:val="22"/>
              </w:rPr>
            </w:pPr>
          </w:p>
          <w:p>
            <w:pPr>
              <w:pStyle w:val="TableParagraph"/>
              <w:ind w:left="87"/>
              <w:jc w:val="center"/>
              <w:rPr>
                <w:sz w:val="22"/>
              </w:rPr>
            </w:pPr>
            <w:r>
              <w:rPr>
                <w:sz w:val="22"/>
              </w:rPr>
              <w:t>EAR</w:t>
            </w:r>
            <w:r>
              <w:rPr>
                <w:spacing w:val="-2"/>
                <w:sz w:val="22"/>
              </w:rPr>
              <w:t> </w:t>
            </w:r>
            <w:r>
              <w:rPr>
                <w:spacing w:val="-4"/>
                <w:sz w:val="22"/>
              </w:rPr>
              <w:t>SWAB</w:t>
            </w:r>
          </w:p>
        </w:tc>
        <w:tc>
          <w:tcPr>
            <w:tcW w:w="1967" w:type="dxa"/>
          </w:tcPr>
          <w:p>
            <w:pPr>
              <w:pStyle w:val="TableParagraph"/>
              <w:spacing w:before="57"/>
              <w:rPr>
                <w:b/>
                <w:sz w:val="22"/>
              </w:rPr>
            </w:pPr>
          </w:p>
          <w:p>
            <w:pPr>
              <w:pStyle w:val="TableParagraph"/>
              <w:ind w:left="2" w:right="11"/>
              <w:jc w:val="center"/>
              <w:rPr>
                <w:sz w:val="22"/>
              </w:rPr>
            </w:pPr>
            <w:r>
              <w:rPr>
                <w:sz w:val="22"/>
              </w:rPr>
              <w:t>ES</w:t>
            </w:r>
            <w:r>
              <w:rPr>
                <w:spacing w:val="-1"/>
                <w:sz w:val="22"/>
              </w:rPr>
              <w:t> </w:t>
            </w:r>
            <w:r>
              <w:rPr>
                <w:spacing w:val="-5"/>
                <w:sz w:val="22"/>
              </w:rPr>
              <w:t>165</w:t>
            </w:r>
          </w:p>
        </w:tc>
      </w:tr>
      <w:tr>
        <w:trPr>
          <w:trHeight w:val="1050" w:hRule="atLeast"/>
        </w:trPr>
        <w:tc>
          <w:tcPr>
            <w:tcW w:w="1285" w:type="dxa"/>
          </w:tcPr>
          <w:p>
            <w:pPr>
              <w:pStyle w:val="TableParagraph"/>
              <w:spacing w:before="27"/>
              <w:rPr>
                <w:b/>
                <w:sz w:val="22"/>
              </w:rPr>
            </w:pPr>
          </w:p>
          <w:p>
            <w:pPr>
              <w:pStyle w:val="TableParagraph"/>
              <w:ind w:right="68"/>
              <w:jc w:val="center"/>
              <w:rPr>
                <w:sz w:val="22"/>
              </w:rPr>
            </w:pPr>
            <w:r>
              <w:rPr>
                <w:spacing w:val="-5"/>
                <w:sz w:val="22"/>
              </w:rPr>
              <w:t>47</w:t>
            </w:r>
          </w:p>
        </w:tc>
        <w:tc>
          <w:tcPr>
            <w:tcW w:w="1542" w:type="dxa"/>
          </w:tcPr>
          <w:p>
            <w:pPr>
              <w:pStyle w:val="TableParagraph"/>
              <w:spacing w:before="27"/>
              <w:rPr>
                <w:b/>
                <w:sz w:val="22"/>
              </w:rPr>
            </w:pPr>
          </w:p>
          <w:p>
            <w:pPr>
              <w:pStyle w:val="TableParagraph"/>
              <w:ind w:left="565"/>
              <w:rPr>
                <w:sz w:val="22"/>
              </w:rPr>
            </w:pPr>
            <w:r>
              <w:rPr>
                <w:spacing w:val="-5"/>
                <w:sz w:val="22"/>
              </w:rPr>
              <w:t>45</w:t>
            </w:r>
          </w:p>
        </w:tc>
        <w:tc>
          <w:tcPr>
            <w:tcW w:w="1691" w:type="dxa"/>
          </w:tcPr>
          <w:p>
            <w:pPr>
              <w:pStyle w:val="TableParagraph"/>
              <w:spacing w:before="27"/>
              <w:rPr>
                <w:b/>
                <w:sz w:val="22"/>
              </w:rPr>
            </w:pPr>
          </w:p>
          <w:p>
            <w:pPr>
              <w:pStyle w:val="TableParagraph"/>
              <w:ind w:left="1" w:right="1"/>
              <w:jc w:val="center"/>
              <w:rPr>
                <w:sz w:val="22"/>
              </w:rPr>
            </w:pPr>
            <w:r>
              <w:rPr>
                <w:spacing w:val="-10"/>
                <w:sz w:val="22"/>
              </w:rPr>
              <w:t>F</w:t>
            </w:r>
          </w:p>
        </w:tc>
        <w:tc>
          <w:tcPr>
            <w:tcW w:w="2365" w:type="dxa"/>
          </w:tcPr>
          <w:p>
            <w:pPr>
              <w:pStyle w:val="TableParagraph"/>
              <w:spacing w:before="27"/>
              <w:rPr>
                <w:b/>
                <w:sz w:val="22"/>
              </w:rPr>
            </w:pPr>
          </w:p>
          <w:p>
            <w:pPr>
              <w:pStyle w:val="TableParagraph"/>
              <w:ind w:left="87" w:right="4"/>
              <w:jc w:val="center"/>
              <w:rPr>
                <w:sz w:val="22"/>
              </w:rPr>
            </w:pPr>
            <w:r>
              <w:rPr>
                <w:spacing w:val="-2"/>
                <w:sz w:val="22"/>
              </w:rPr>
              <w:t>SPUTUM</w:t>
            </w:r>
          </w:p>
        </w:tc>
        <w:tc>
          <w:tcPr>
            <w:tcW w:w="1967" w:type="dxa"/>
          </w:tcPr>
          <w:p>
            <w:pPr>
              <w:pStyle w:val="TableParagraph"/>
              <w:spacing w:before="27"/>
              <w:rPr>
                <w:b/>
                <w:sz w:val="22"/>
              </w:rPr>
            </w:pPr>
          </w:p>
          <w:p>
            <w:pPr>
              <w:pStyle w:val="TableParagraph"/>
              <w:ind w:right="11"/>
              <w:jc w:val="center"/>
              <w:rPr>
                <w:sz w:val="22"/>
              </w:rPr>
            </w:pPr>
            <w:r>
              <w:rPr>
                <w:sz w:val="22"/>
              </w:rPr>
              <w:t>SP</w:t>
            </w:r>
            <w:r>
              <w:rPr>
                <w:spacing w:val="1"/>
                <w:sz w:val="22"/>
              </w:rPr>
              <w:t> </w:t>
            </w:r>
            <w:r>
              <w:rPr>
                <w:spacing w:val="-5"/>
                <w:sz w:val="22"/>
              </w:rPr>
              <w:t>898</w:t>
            </w:r>
          </w:p>
        </w:tc>
      </w:tr>
      <w:tr>
        <w:trPr>
          <w:trHeight w:val="1050" w:hRule="atLeast"/>
        </w:trPr>
        <w:tc>
          <w:tcPr>
            <w:tcW w:w="1285" w:type="dxa"/>
          </w:tcPr>
          <w:p>
            <w:pPr>
              <w:pStyle w:val="TableParagraph"/>
              <w:spacing w:before="177"/>
              <w:rPr>
                <w:b/>
                <w:sz w:val="22"/>
              </w:rPr>
            </w:pPr>
          </w:p>
          <w:p>
            <w:pPr>
              <w:pStyle w:val="TableParagraph"/>
              <w:ind w:right="68"/>
              <w:jc w:val="center"/>
              <w:rPr>
                <w:sz w:val="22"/>
              </w:rPr>
            </w:pPr>
            <w:r>
              <w:rPr>
                <w:spacing w:val="-5"/>
                <w:sz w:val="22"/>
              </w:rPr>
              <w:t>48</w:t>
            </w:r>
          </w:p>
        </w:tc>
        <w:tc>
          <w:tcPr>
            <w:tcW w:w="1542" w:type="dxa"/>
          </w:tcPr>
          <w:p>
            <w:pPr>
              <w:pStyle w:val="TableParagraph"/>
              <w:spacing w:before="177"/>
              <w:rPr>
                <w:b/>
                <w:sz w:val="22"/>
              </w:rPr>
            </w:pPr>
          </w:p>
          <w:p>
            <w:pPr>
              <w:pStyle w:val="TableParagraph"/>
              <w:ind w:left="565"/>
              <w:rPr>
                <w:sz w:val="22"/>
              </w:rPr>
            </w:pPr>
            <w:r>
              <w:rPr>
                <w:spacing w:val="-5"/>
                <w:sz w:val="22"/>
              </w:rPr>
              <w:t>26</w:t>
            </w:r>
          </w:p>
        </w:tc>
        <w:tc>
          <w:tcPr>
            <w:tcW w:w="1691" w:type="dxa"/>
          </w:tcPr>
          <w:p>
            <w:pPr>
              <w:pStyle w:val="TableParagraph"/>
              <w:spacing w:before="177"/>
              <w:rPr>
                <w:b/>
                <w:sz w:val="22"/>
              </w:rPr>
            </w:pPr>
          </w:p>
          <w:p>
            <w:pPr>
              <w:pStyle w:val="TableParagraph"/>
              <w:ind w:left="1"/>
              <w:jc w:val="center"/>
              <w:rPr>
                <w:sz w:val="22"/>
              </w:rPr>
            </w:pPr>
            <w:r>
              <w:rPr>
                <w:spacing w:val="-10"/>
                <w:sz w:val="22"/>
              </w:rPr>
              <w:t>M</w:t>
            </w:r>
          </w:p>
        </w:tc>
        <w:tc>
          <w:tcPr>
            <w:tcW w:w="2365" w:type="dxa"/>
          </w:tcPr>
          <w:p>
            <w:pPr>
              <w:pStyle w:val="TableParagraph"/>
              <w:spacing w:before="177"/>
              <w:rPr>
                <w:b/>
                <w:sz w:val="22"/>
              </w:rPr>
            </w:pPr>
          </w:p>
          <w:p>
            <w:pPr>
              <w:pStyle w:val="TableParagraph"/>
              <w:ind w:left="87" w:right="4"/>
              <w:jc w:val="center"/>
              <w:rPr>
                <w:sz w:val="22"/>
              </w:rPr>
            </w:pPr>
            <w:r>
              <w:rPr>
                <w:spacing w:val="-2"/>
                <w:sz w:val="22"/>
              </w:rPr>
              <w:t>SPUTUM</w:t>
            </w:r>
          </w:p>
        </w:tc>
        <w:tc>
          <w:tcPr>
            <w:tcW w:w="1967" w:type="dxa"/>
          </w:tcPr>
          <w:p>
            <w:pPr>
              <w:pStyle w:val="TableParagraph"/>
              <w:spacing w:before="177"/>
              <w:rPr>
                <w:b/>
                <w:sz w:val="22"/>
              </w:rPr>
            </w:pPr>
          </w:p>
          <w:p>
            <w:pPr>
              <w:pStyle w:val="TableParagraph"/>
              <w:ind w:right="11"/>
              <w:jc w:val="center"/>
              <w:rPr>
                <w:sz w:val="22"/>
              </w:rPr>
            </w:pPr>
            <w:r>
              <w:rPr>
                <w:sz w:val="22"/>
              </w:rPr>
              <w:t>SP</w:t>
            </w:r>
            <w:r>
              <w:rPr>
                <w:spacing w:val="1"/>
                <w:sz w:val="22"/>
              </w:rPr>
              <w:t> </w:t>
            </w:r>
            <w:r>
              <w:rPr>
                <w:spacing w:val="-5"/>
                <w:sz w:val="22"/>
              </w:rPr>
              <w:t>259</w:t>
            </w:r>
          </w:p>
        </w:tc>
      </w:tr>
      <w:tr>
        <w:trPr>
          <w:trHeight w:val="1050" w:hRule="atLeast"/>
        </w:trPr>
        <w:tc>
          <w:tcPr>
            <w:tcW w:w="1285" w:type="dxa"/>
          </w:tcPr>
          <w:p>
            <w:pPr>
              <w:pStyle w:val="TableParagraph"/>
              <w:spacing w:before="27"/>
              <w:rPr>
                <w:b/>
                <w:sz w:val="22"/>
              </w:rPr>
            </w:pPr>
          </w:p>
          <w:p>
            <w:pPr>
              <w:pStyle w:val="TableParagraph"/>
              <w:ind w:right="68"/>
              <w:jc w:val="center"/>
              <w:rPr>
                <w:sz w:val="22"/>
              </w:rPr>
            </w:pPr>
            <w:r>
              <w:rPr>
                <w:spacing w:val="-5"/>
                <w:sz w:val="22"/>
              </w:rPr>
              <w:t>49</w:t>
            </w:r>
          </w:p>
        </w:tc>
        <w:tc>
          <w:tcPr>
            <w:tcW w:w="1542" w:type="dxa"/>
          </w:tcPr>
          <w:p>
            <w:pPr>
              <w:pStyle w:val="TableParagraph"/>
              <w:spacing w:before="27"/>
              <w:rPr>
                <w:b/>
                <w:sz w:val="22"/>
              </w:rPr>
            </w:pPr>
          </w:p>
          <w:p>
            <w:pPr>
              <w:pStyle w:val="TableParagraph"/>
              <w:ind w:left="565"/>
              <w:rPr>
                <w:sz w:val="22"/>
              </w:rPr>
            </w:pPr>
            <w:r>
              <w:rPr>
                <w:spacing w:val="-5"/>
                <w:sz w:val="22"/>
              </w:rPr>
              <w:t>17</w:t>
            </w:r>
          </w:p>
        </w:tc>
        <w:tc>
          <w:tcPr>
            <w:tcW w:w="1691" w:type="dxa"/>
          </w:tcPr>
          <w:p>
            <w:pPr>
              <w:pStyle w:val="TableParagraph"/>
              <w:spacing w:before="27"/>
              <w:rPr>
                <w:b/>
                <w:sz w:val="22"/>
              </w:rPr>
            </w:pPr>
          </w:p>
          <w:p>
            <w:pPr>
              <w:pStyle w:val="TableParagraph"/>
              <w:ind w:left="1"/>
              <w:jc w:val="center"/>
              <w:rPr>
                <w:sz w:val="22"/>
              </w:rPr>
            </w:pPr>
            <w:r>
              <w:rPr>
                <w:spacing w:val="-10"/>
                <w:sz w:val="22"/>
              </w:rPr>
              <w:t>M</w:t>
            </w:r>
          </w:p>
        </w:tc>
        <w:tc>
          <w:tcPr>
            <w:tcW w:w="2365" w:type="dxa"/>
          </w:tcPr>
          <w:p>
            <w:pPr>
              <w:pStyle w:val="TableParagraph"/>
              <w:spacing w:before="27"/>
              <w:rPr>
                <w:b/>
                <w:sz w:val="22"/>
              </w:rPr>
            </w:pPr>
          </w:p>
          <w:p>
            <w:pPr>
              <w:pStyle w:val="TableParagraph"/>
              <w:ind w:left="87" w:right="3"/>
              <w:jc w:val="center"/>
              <w:rPr>
                <w:sz w:val="22"/>
              </w:rPr>
            </w:pPr>
            <w:r>
              <w:rPr>
                <w:spacing w:val="-2"/>
                <w:sz w:val="22"/>
              </w:rPr>
              <w:t>SPUTUM</w:t>
            </w:r>
          </w:p>
        </w:tc>
        <w:tc>
          <w:tcPr>
            <w:tcW w:w="1967" w:type="dxa"/>
          </w:tcPr>
          <w:p>
            <w:pPr>
              <w:pStyle w:val="TableParagraph"/>
              <w:spacing w:before="27"/>
              <w:rPr>
                <w:b/>
                <w:sz w:val="22"/>
              </w:rPr>
            </w:pPr>
          </w:p>
          <w:p>
            <w:pPr>
              <w:pStyle w:val="TableParagraph"/>
              <w:ind w:right="11"/>
              <w:jc w:val="center"/>
              <w:rPr>
                <w:sz w:val="22"/>
              </w:rPr>
            </w:pPr>
            <w:r>
              <w:rPr>
                <w:sz w:val="22"/>
              </w:rPr>
              <w:t>SP</w:t>
            </w:r>
            <w:r>
              <w:rPr>
                <w:spacing w:val="1"/>
                <w:sz w:val="22"/>
              </w:rPr>
              <w:t> </w:t>
            </w:r>
            <w:r>
              <w:rPr>
                <w:spacing w:val="-5"/>
                <w:sz w:val="22"/>
              </w:rPr>
              <w:t>899</w:t>
            </w:r>
          </w:p>
        </w:tc>
      </w:tr>
      <w:tr>
        <w:trPr>
          <w:trHeight w:val="897" w:hRule="atLeast"/>
        </w:trPr>
        <w:tc>
          <w:tcPr>
            <w:tcW w:w="1285" w:type="dxa"/>
            <w:tcBorders>
              <w:bottom w:val="single" w:sz="4" w:space="0" w:color="000000"/>
            </w:tcBorders>
          </w:tcPr>
          <w:p>
            <w:pPr>
              <w:pStyle w:val="TableParagraph"/>
              <w:spacing w:before="177"/>
              <w:rPr>
                <w:b/>
                <w:sz w:val="22"/>
              </w:rPr>
            </w:pPr>
          </w:p>
          <w:p>
            <w:pPr>
              <w:pStyle w:val="TableParagraph"/>
              <w:ind w:right="68"/>
              <w:jc w:val="center"/>
              <w:rPr>
                <w:sz w:val="22"/>
              </w:rPr>
            </w:pPr>
            <w:r>
              <w:rPr>
                <w:spacing w:val="-5"/>
                <w:sz w:val="22"/>
              </w:rPr>
              <w:t>50</w:t>
            </w:r>
          </w:p>
        </w:tc>
        <w:tc>
          <w:tcPr>
            <w:tcW w:w="1542" w:type="dxa"/>
            <w:tcBorders>
              <w:bottom w:val="single" w:sz="4" w:space="0" w:color="000000"/>
            </w:tcBorders>
          </w:tcPr>
          <w:p>
            <w:pPr>
              <w:pStyle w:val="TableParagraph"/>
              <w:spacing w:before="177"/>
              <w:rPr>
                <w:b/>
                <w:sz w:val="22"/>
              </w:rPr>
            </w:pPr>
          </w:p>
          <w:p>
            <w:pPr>
              <w:pStyle w:val="TableParagraph"/>
              <w:ind w:left="565"/>
              <w:rPr>
                <w:sz w:val="22"/>
              </w:rPr>
            </w:pPr>
            <w:r>
              <w:rPr>
                <w:spacing w:val="-5"/>
                <w:sz w:val="22"/>
              </w:rPr>
              <w:t>11</w:t>
            </w:r>
          </w:p>
        </w:tc>
        <w:tc>
          <w:tcPr>
            <w:tcW w:w="1691" w:type="dxa"/>
            <w:tcBorders>
              <w:bottom w:val="single" w:sz="4" w:space="0" w:color="000000"/>
            </w:tcBorders>
          </w:tcPr>
          <w:p>
            <w:pPr>
              <w:pStyle w:val="TableParagraph"/>
              <w:spacing w:before="177"/>
              <w:rPr>
                <w:b/>
                <w:sz w:val="22"/>
              </w:rPr>
            </w:pPr>
          </w:p>
          <w:p>
            <w:pPr>
              <w:pStyle w:val="TableParagraph"/>
              <w:ind w:left="1" w:right="1"/>
              <w:jc w:val="center"/>
              <w:rPr>
                <w:sz w:val="22"/>
              </w:rPr>
            </w:pPr>
            <w:r>
              <w:rPr>
                <w:spacing w:val="-10"/>
                <w:sz w:val="22"/>
              </w:rPr>
              <w:t>F</w:t>
            </w:r>
          </w:p>
        </w:tc>
        <w:tc>
          <w:tcPr>
            <w:tcW w:w="2365" w:type="dxa"/>
            <w:tcBorders>
              <w:bottom w:val="single" w:sz="4" w:space="0" w:color="000000"/>
            </w:tcBorders>
          </w:tcPr>
          <w:p>
            <w:pPr>
              <w:pStyle w:val="TableParagraph"/>
              <w:spacing w:before="177"/>
              <w:rPr>
                <w:b/>
                <w:sz w:val="22"/>
              </w:rPr>
            </w:pPr>
          </w:p>
          <w:p>
            <w:pPr>
              <w:pStyle w:val="TableParagraph"/>
              <w:ind w:left="87" w:right="4"/>
              <w:jc w:val="center"/>
              <w:rPr>
                <w:sz w:val="22"/>
              </w:rPr>
            </w:pPr>
            <w:r>
              <w:rPr>
                <w:spacing w:val="-2"/>
                <w:sz w:val="22"/>
              </w:rPr>
              <w:t>SPUTUM</w:t>
            </w:r>
          </w:p>
        </w:tc>
        <w:tc>
          <w:tcPr>
            <w:tcW w:w="1967" w:type="dxa"/>
            <w:tcBorders>
              <w:bottom w:val="single" w:sz="4" w:space="0" w:color="000000"/>
            </w:tcBorders>
          </w:tcPr>
          <w:p>
            <w:pPr>
              <w:pStyle w:val="TableParagraph"/>
              <w:spacing w:before="177"/>
              <w:rPr>
                <w:b/>
                <w:sz w:val="22"/>
              </w:rPr>
            </w:pPr>
          </w:p>
          <w:p>
            <w:pPr>
              <w:pStyle w:val="TableParagraph"/>
              <w:ind w:right="11"/>
              <w:jc w:val="center"/>
              <w:rPr>
                <w:sz w:val="22"/>
              </w:rPr>
            </w:pPr>
            <w:r>
              <w:rPr>
                <w:sz w:val="22"/>
              </w:rPr>
              <w:t>SP</w:t>
            </w:r>
            <w:r>
              <w:rPr>
                <w:spacing w:val="1"/>
                <w:sz w:val="22"/>
              </w:rPr>
              <w:t> </w:t>
            </w:r>
            <w:r>
              <w:rPr>
                <w:spacing w:val="-5"/>
                <w:sz w:val="22"/>
              </w:rPr>
              <w:t>894</w:t>
            </w:r>
          </w:p>
        </w:tc>
      </w:tr>
    </w:tbl>
    <w:p>
      <w:pPr>
        <w:pStyle w:val="BodyText"/>
        <w:spacing w:before="3"/>
        <w:ind w:right="1642"/>
        <w:jc w:val="center"/>
      </w:pPr>
      <w:r>
        <w:rPr>
          <w:b/>
        </w:rPr>
        <w:t>Key:</w:t>
      </w:r>
      <w:r>
        <w:rPr>
          <w:b/>
          <w:spacing w:val="-7"/>
        </w:rPr>
        <w:t> </w:t>
      </w:r>
      <w:r>
        <w:rPr/>
        <w:t>ES=Ear</w:t>
      </w:r>
      <w:r>
        <w:rPr>
          <w:spacing w:val="-4"/>
        </w:rPr>
        <w:t> </w:t>
      </w:r>
      <w:r>
        <w:rPr/>
        <w:t>Swab,</w:t>
      </w:r>
      <w:r>
        <w:rPr>
          <w:spacing w:val="-4"/>
        </w:rPr>
        <w:t> </w:t>
      </w:r>
      <w:r>
        <w:rPr/>
        <w:t>NS=Nasal</w:t>
      </w:r>
      <w:r>
        <w:rPr>
          <w:spacing w:val="-5"/>
        </w:rPr>
        <w:t> </w:t>
      </w:r>
      <w:r>
        <w:rPr/>
        <w:t>Secretion,</w:t>
      </w:r>
      <w:r>
        <w:rPr>
          <w:spacing w:val="-4"/>
        </w:rPr>
        <w:t> </w:t>
      </w:r>
      <w:r>
        <w:rPr/>
        <w:t>SP=Sputum,</w:t>
      </w:r>
      <w:r>
        <w:rPr>
          <w:spacing w:val="-4"/>
        </w:rPr>
        <w:t> </w:t>
      </w:r>
      <w:r>
        <w:rPr/>
        <w:t>TS=Throat</w:t>
      </w:r>
      <w:r>
        <w:rPr>
          <w:spacing w:val="-6"/>
        </w:rPr>
        <w:t> </w:t>
      </w:r>
      <w:r>
        <w:rPr/>
        <w:t>Swab,</w:t>
      </w:r>
      <w:r>
        <w:rPr>
          <w:spacing w:val="-4"/>
        </w:rPr>
        <w:t> </w:t>
      </w:r>
      <w:r>
        <w:rPr/>
        <w:t>F=Female,</w:t>
      </w:r>
      <w:r>
        <w:rPr>
          <w:spacing w:val="-6"/>
        </w:rPr>
        <w:t> </w:t>
      </w:r>
      <w:r>
        <w:rPr>
          <w:spacing w:val="-2"/>
        </w:rPr>
        <w:t>M=Male.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5"/>
      </w:pPr>
    </w:p>
    <w:p>
      <w:pPr>
        <w:pStyle w:val="Heading3"/>
        <w:ind w:left="421" w:right="1015"/>
        <w:jc w:val="center"/>
      </w:pPr>
      <w:r>
        <w:rPr/>
        <w:t>Data</w:t>
      </w:r>
      <w:r>
        <w:rPr>
          <w:spacing w:val="-3"/>
        </w:rPr>
        <w:t> </w:t>
      </w:r>
      <w:r>
        <w:rPr/>
        <w:t>on</w:t>
      </w:r>
      <w:r>
        <w:rPr>
          <w:spacing w:val="-3"/>
        </w:rPr>
        <w:t> </w:t>
      </w:r>
      <w:r>
        <w:rPr/>
        <w:t>Samples</w:t>
      </w:r>
      <w:r>
        <w:rPr>
          <w:spacing w:val="-1"/>
        </w:rPr>
        <w:t> </w:t>
      </w:r>
      <w:r>
        <w:rPr>
          <w:spacing w:val="-2"/>
        </w:rPr>
        <w:t>Collected</w:t>
      </w:r>
    </w:p>
    <w:p>
      <w:pPr>
        <w:pStyle w:val="BodyText"/>
        <w:spacing w:before="165"/>
        <w:rPr>
          <w:b/>
          <w:sz w:val="20"/>
        </w:rPr>
      </w:pPr>
      <w:r>
        <w:rPr/>
        <mc:AlternateContent>
          <mc:Choice Requires="wps">
            <w:drawing>
              <wp:anchor distT="0" distB="0" distL="0" distR="0" allowOverlap="1" layoutInCell="1" locked="0" behindDoc="1" simplePos="0" relativeHeight="487693824">
                <wp:simplePos x="0" y="0"/>
                <wp:positionH relativeFrom="page">
                  <wp:posOffset>896416</wp:posOffset>
                </wp:positionH>
                <wp:positionV relativeFrom="paragraph">
                  <wp:posOffset>275300</wp:posOffset>
                </wp:positionV>
                <wp:extent cx="5769610" cy="6350"/>
                <wp:effectExtent l="0" t="0" r="0" b="0"/>
                <wp:wrapTopAndBottom/>
                <wp:docPr id="543" name="Graphic 543"/>
                <wp:cNvGraphicFramePr>
                  <a:graphicFrameLocks/>
                </wp:cNvGraphicFramePr>
                <a:graphic>
                  <a:graphicData uri="http://schemas.microsoft.com/office/word/2010/wordprocessingShape">
                    <wps:wsp>
                      <wps:cNvPr id="543" name="Graphic 543"/>
                      <wps:cNvSpPr/>
                      <wps:spPr>
                        <a:xfrm>
                          <a:off x="0" y="0"/>
                          <a:ext cx="5769610" cy="6350"/>
                        </a:xfrm>
                        <a:custGeom>
                          <a:avLst/>
                          <a:gdLst/>
                          <a:ahLst/>
                          <a:cxnLst/>
                          <a:rect l="l" t="t" r="r" b="b"/>
                          <a:pathLst>
                            <a:path w="5769610" h="6350">
                              <a:moveTo>
                                <a:pt x="5769610" y="0"/>
                              </a:moveTo>
                              <a:lnTo>
                                <a:pt x="0" y="0"/>
                              </a:lnTo>
                              <a:lnTo>
                                <a:pt x="0" y="6095"/>
                              </a:lnTo>
                              <a:lnTo>
                                <a:pt x="5769610" y="6095"/>
                              </a:lnTo>
                              <a:lnTo>
                                <a:pt x="5769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21.677212pt;width:454.3pt;height:.47998pt;mso-position-horizontal-relative:page;mso-position-vertical-relative:paragraph;z-index:-15622656;mso-wrap-distance-left:0;mso-wrap-distance-right:0" id="docshape488" filled="true" fillcolor="#000000" stroked="false">
                <v:fill type="solid"/>
                <w10:wrap type="topAndBottom"/>
              </v:rect>
            </w:pict>
          </mc:Fallback>
        </mc:AlternateContent>
      </w:r>
    </w:p>
    <w:p>
      <w:pPr>
        <w:tabs>
          <w:tab w:pos="1439" w:val="left" w:leader="none"/>
          <w:tab w:pos="3079" w:val="left" w:leader="none"/>
          <w:tab w:pos="4740" w:val="left" w:leader="none"/>
        </w:tabs>
        <w:spacing w:before="18" w:after="42"/>
        <w:ind w:left="0" w:right="1647" w:firstLine="0"/>
        <w:jc w:val="center"/>
        <w:rPr>
          <w:b/>
          <w:sz w:val="22"/>
        </w:rPr>
      </w:pPr>
      <w:r>
        <w:rPr>
          <w:b/>
          <w:spacing w:val="-2"/>
          <w:sz w:val="22"/>
        </w:rPr>
        <w:t>S/No.</w:t>
      </w:r>
      <w:r>
        <w:rPr>
          <w:b/>
          <w:sz w:val="22"/>
        </w:rPr>
        <w:tab/>
      </w:r>
      <w:r>
        <w:rPr>
          <w:b/>
          <w:spacing w:val="-5"/>
          <w:sz w:val="22"/>
        </w:rPr>
        <w:t>Age</w:t>
      </w:r>
      <w:r>
        <w:rPr>
          <w:b/>
          <w:sz w:val="22"/>
        </w:rPr>
        <w:tab/>
      </w:r>
      <w:r>
        <w:rPr>
          <w:b/>
          <w:spacing w:val="-5"/>
          <w:sz w:val="22"/>
        </w:rPr>
        <w:t>Sex</w:t>
      </w:r>
      <w:r>
        <w:rPr>
          <w:b/>
          <w:sz w:val="22"/>
        </w:rPr>
        <w:tab/>
        <w:t>Sample</w:t>
      </w:r>
      <w:r>
        <w:rPr>
          <w:b/>
          <w:spacing w:val="-4"/>
          <w:sz w:val="22"/>
        </w:rPr>
        <w:t> </w:t>
      </w:r>
      <w:r>
        <w:rPr>
          <w:b/>
          <w:sz w:val="22"/>
        </w:rPr>
        <w:t>source</w:t>
      </w:r>
      <w:r>
        <w:rPr>
          <w:b/>
          <w:spacing w:val="75"/>
          <w:w w:val="150"/>
          <w:sz w:val="22"/>
        </w:rPr>
        <w:t> </w:t>
      </w:r>
      <w:r>
        <w:rPr>
          <w:b/>
          <w:sz w:val="22"/>
        </w:rPr>
        <w:t>Sample</w:t>
      </w:r>
      <w:r>
        <w:rPr>
          <w:b/>
          <w:spacing w:val="-3"/>
          <w:sz w:val="22"/>
        </w:rPr>
        <w:t> </w:t>
      </w:r>
      <w:r>
        <w:rPr>
          <w:b/>
          <w:spacing w:val="-5"/>
          <w:sz w:val="22"/>
        </w:rPr>
        <w:t>No.</w:t>
      </w:r>
    </w:p>
    <w:p>
      <w:pPr>
        <w:pStyle w:val="BodyText"/>
        <w:spacing w:line="20" w:lineRule="exact"/>
        <w:ind w:left="351"/>
        <w:rPr>
          <w:sz w:val="2"/>
        </w:rPr>
      </w:pPr>
      <w:r>
        <w:rPr>
          <w:sz w:val="2"/>
        </w:rPr>
        <mc:AlternateContent>
          <mc:Choice Requires="wps">
            <w:drawing>
              <wp:inline distT="0" distB="0" distL="0" distR="0">
                <wp:extent cx="5769610" cy="6350"/>
                <wp:effectExtent l="0" t="0" r="0" b="0"/>
                <wp:docPr id="544" name="Group 544"/>
                <wp:cNvGraphicFramePr>
                  <a:graphicFrameLocks/>
                </wp:cNvGraphicFramePr>
                <a:graphic>
                  <a:graphicData uri="http://schemas.microsoft.com/office/word/2010/wordprocessingGroup">
                    <wpg:wgp>
                      <wpg:cNvPr id="544" name="Group 544"/>
                      <wpg:cNvGrpSpPr/>
                      <wpg:grpSpPr>
                        <a:xfrm>
                          <a:off x="0" y="0"/>
                          <a:ext cx="5769610" cy="6350"/>
                          <a:chExt cx="5769610" cy="6350"/>
                        </a:xfrm>
                      </wpg:grpSpPr>
                      <wps:wsp>
                        <wps:cNvPr id="545" name="Graphic 545"/>
                        <wps:cNvSpPr/>
                        <wps:spPr>
                          <a:xfrm>
                            <a:off x="0" y="0"/>
                            <a:ext cx="5769610" cy="6350"/>
                          </a:xfrm>
                          <a:custGeom>
                            <a:avLst/>
                            <a:gdLst/>
                            <a:ahLst/>
                            <a:cxnLst/>
                            <a:rect l="l" t="t" r="r" b="b"/>
                            <a:pathLst>
                              <a:path w="5769610" h="6350">
                                <a:moveTo>
                                  <a:pt x="5769610" y="0"/>
                                </a:moveTo>
                                <a:lnTo>
                                  <a:pt x="0" y="0"/>
                                </a:lnTo>
                                <a:lnTo>
                                  <a:pt x="0" y="6095"/>
                                </a:lnTo>
                                <a:lnTo>
                                  <a:pt x="5769610" y="6095"/>
                                </a:lnTo>
                                <a:lnTo>
                                  <a:pt x="57696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3pt;height:.5pt;mso-position-horizontal-relative:char;mso-position-vertical-relative:line" id="docshapegroup489" coordorigin="0,0" coordsize="9086,10">
                <v:rect style="position:absolute;left:0;top:0;width:9086;height:10" id="docshape490" filled="true" fillcolor="#000000" stroked="false">
                  <v:fill type="solid"/>
                </v:rect>
              </v:group>
            </w:pict>
          </mc:Fallback>
        </mc:AlternateContent>
      </w:r>
      <w:r>
        <w:rPr>
          <w:sz w:val="2"/>
        </w:rPr>
      </w:r>
    </w:p>
    <w:p>
      <w:pPr>
        <w:pStyle w:val="BodyText"/>
        <w:rPr>
          <w:b/>
          <w:sz w:val="20"/>
        </w:rPr>
      </w:pPr>
    </w:p>
    <w:p>
      <w:pPr>
        <w:pStyle w:val="BodyText"/>
        <w:spacing w:before="154"/>
        <w:rPr>
          <w:b/>
          <w:sz w:val="20"/>
        </w:rPr>
      </w:pPr>
    </w:p>
    <w:tbl>
      <w:tblPr>
        <w:tblW w:w="0" w:type="auto"/>
        <w:jc w:val="left"/>
        <w:tblInd w:w="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1"/>
        <w:gridCol w:w="1564"/>
        <w:gridCol w:w="1686"/>
        <w:gridCol w:w="2315"/>
        <w:gridCol w:w="1362"/>
      </w:tblGrid>
      <w:tr>
        <w:trPr>
          <w:trHeight w:val="220" w:hRule="atLeast"/>
        </w:trPr>
        <w:tc>
          <w:tcPr>
            <w:tcW w:w="841" w:type="dxa"/>
          </w:tcPr>
          <w:p>
            <w:pPr>
              <w:pStyle w:val="TableParagraph"/>
              <w:spacing w:line="201" w:lineRule="exact"/>
              <w:ind w:left="50"/>
              <w:rPr>
                <w:sz w:val="22"/>
              </w:rPr>
            </w:pPr>
            <w:r>
              <w:rPr>
                <w:spacing w:val="-5"/>
                <w:sz w:val="22"/>
              </w:rPr>
              <w:t>51</w:t>
            </w:r>
          </w:p>
        </w:tc>
        <w:tc>
          <w:tcPr>
            <w:tcW w:w="1564" w:type="dxa"/>
          </w:tcPr>
          <w:p>
            <w:pPr>
              <w:pStyle w:val="TableParagraph"/>
              <w:spacing w:line="201" w:lineRule="exact"/>
              <w:ind w:right="206"/>
              <w:jc w:val="center"/>
              <w:rPr>
                <w:sz w:val="22"/>
              </w:rPr>
            </w:pPr>
            <w:r>
              <w:rPr>
                <w:spacing w:val="-5"/>
                <w:sz w:val="22"/>
              </w:rPr>
              <w:t>23</w:t>
            </w:r>
          </w:p>
        </w:tc>
        <w:tc>
          <w:tcPr>
            <w:tcW w:w="1686" w:type="dxa"/>
          </w:tcPr>
          <w:p>
            <w:pPr>
              <w:pStyle w:val="TableParagraph"/>
              <w:spacing w:line="201" w:lineRule="exact"/>
              <w:ind w:right="37"/>
              <w:jc w:val="center"/>
              <w:rPr>
                <w:sz w:val="22"/>
              </w:rPr>
            </w:pPr>
            <w:r>
              <w:rPr>
                <w:spacing w:val="-10"/>
                <w:sz w:val="22"/>
              </w:rPr>
              <w:t>F</w:t>
            </w:r>
          </w:p>
        </w:tc>
        <w:tc>
          <w:tcPr>
            <w:tcW w:w="2315" w:type="dxa"/>
          </w:tcPr>
          <w:p>
            <w:pPr>
              <w:pStyle w:val="TableParagraph"/>
              <w:spacing w:line="201" w:lineRule="exact"/>
              <w:ind w:left="810"/>
              <w:rPr>
                <w:sz w:val="22"/>
              </w:rPr>
            </w:pPr>
            <w:r>
              <w:rPr>
                <w:spacing w:val="-2"/>
                <w:sz w:val="22"/>
              </w:rPr>
              <w:t>SPUTUM</w:t>
            </w:r>
          </w:p>
        </w:tc>
        <w:tc>
          <w:tcPr>
            <w:tcW w:w="1362" w:type="dxa"/>
          </w:tcPr>
          <w:p>
            <w:pPr>
              <w:pStyle w:val="TableParagraph"/>
              <w:spacing w:line="201" w:lineRule="exact"/>
              <w:ind w:left="708"/>
              <w:rPr>
                <w:sz w:val="22"/>
              </w:rPr>
            </w:pPr>
            <w:r>
              <w:rPr>
                <w:sz w:val="22"/>
              </w:rPr>
              <w:t>SP</w:t>
            </w:r>
            <w:r>
              <w:rPr>
                <w:spacing w:val="1"/>
                <w:sz w:val="22"/>
              </w:rPr>
              <w:t> </w:t>
            </w:r>
            <w:r>
              <w:rPr>
                <w:spacing w:val="-5"/>
                <w:sz w:val="22"/>
              </w:rPr>
              <w:t>896</w:t>
            </w:r>
          </w:p>
        </w:tc>
      </w:tr>
    </w:tbl>
    <w:p>
      <w:pPr>
        <w:spacing w:after="0" w:line="201" w:lineRule="exact"/>
        <w:rPr>
          <w:sz w:val="22"/>
        </w:rPr>
        <w:sectPr>
          <w:pgSz w:w="11910" w:h="16840"/>
          <w:pgMar w:header="0" w:footer="1055" w:top="1420" w:bottom="1240" w:left="1060" w:right="460"/>
        </w:sectPr>
      </w:pPr>
    </w:p>
    <w:p>
      <w:pPr>
        <w:pStyle w:val="BodyText"/>
        <w:rPr>
          <w:b/>
          <w:sz w:val="4"/>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5"/>
        <w:gridCol w:w="1542"/>
        <w:gridCol w:w="1729"/>
        <w:gridCol w:w="2292"/>
        <w:gridCol w:w="2002"/>
      </w:tblGrid>
      <w:tr>
        <w:trPr>
          <w:trHeight w:val="590" w:hRule="atLeast"/>
        </w:trPr>
        <w:tc>
          <w:tcPr>
            <w:tcW w:w="1285" w:type="dxa"/>
          </w:tcPr>
          <w:p>
            <w:pPr>
              <w:pStyle w:val="TableParagraph"/>
              <w:spacing w:line="225" w:lineRule="exact"/>
              <w:ind w:right="68"/>
              <w:jc w:val="center"/>
              <w:rPr>
                <w:sz w:val="22"/>
              </w:rPr>
            </w:pPr>
            <w:r>
              <w:rPr>
                <w:spacing w:val="-5"/>
                <w:sz w:val="22"/>
              </w:rPr>
              <w:t>52</w:t>
            </w:r>
          </w:p>
        </w:tc>
        <w:tc>
          <w:tcPr>
            <w:tcW w:w="1542" w:type="dxa"/>
          </w:tcPr>
          <w:p>
            <w:pPr>
              <w:pStyle w:val="TableParagraph"/>
              <w:spacing w:line="225" w:lineRule="exact"/>
              <w:ind w:left="565"/>
              <w:rPr>
                <w:sz w:val="22"/>
              </w:rPr>
            </w:pPr>
            <w:r>
              <w:rPr>
                <w:spacing w:val="-5"/>
                <w:sz w:val="22"/>
              </w:rPr>
              <w:t>20</w:t>
            </w:r>
          </w:p>
        </w:tc>
        <w:tc>
          <w:tcPr>
            <w:tcW w:w="1729" w:type="dxa"/>
          </w:tcPr>
          <w:p>
            <w:pPr>
              <w:pStyle w:val="TableParagraph"/>
              <w:spacing w:line="225" w:lineRule="exact"/>
              <w:ind w:left="795"/>
              <w:rPr>
                <w:sz w:val="22"/>
              </w:rPr>
            </w:pPr>
            <w:r>
              <w:rPr>
                <w:spacing w:val="-10"/>
                <w:sz w:val="22"/>
              </w:rPr>
              <w:t>F</w:t>
            </w:r>
          </w:p>
        </w:tc>
        <w:tc>
          <w:tcPr>
            <w:tcW w:w="2292" w:type="dxa"/>
          </w:tcPr>
          <w:p>
            <w:pPr>
              <w:pStyle w:val="TableParagraph"/>
              <w:spacing w:line="225" w:lineRule="exact"/>
              <w:ind w:left="155" w:right="75"/>
              <w:jc w:val="center"/>
              <w:rPr>
                <w:sz w:val="22"/>
              </w:rPr>
            </w:pPr>
            <w:r>
              <w:rPr>
                <w:spacing w:val="-2"/>
                <w:sz w:val="22"/>
              </w:rPr>
              <w:t>SPUTUM</w:t>
            </w:r>
          </w:p>
        </w:tc>
        <w:tc>
          <w:tcPr>
            <w:tcW w:w="2002" w:type="dxa"/>
          </w:tcPr>
          <w:p>
            <w:pPr>
              <w:pStyle w:val="TableParagraph"/>
              <w:spacing w:line="225" w:lineRule="exact"/>
              <w:ind w:left="21"/>
              <w:jc w:val="center"/>
              <w:rPr>
                <w:sz w:val="22"/>
              </w:rPr>
            </w:pPr>
            <w:r>
              <w:rPr>
                <w:sz w:val="22"/>
              </w:rPr>
              <w:t>SP </w:t>
            </w:r>
            <w:r>
              <w:rPr>
                <w:spacing w:val="-5"/>
                <w:sz w:val="22"/>
              </w:rPr>
              <w:t>266</w:t>
            </w:r>
          </w:p>
        </w:tc>
      </w:tr>
      <w:tr>
        <w:trPr>
          <w:trHeight w:val="960" w:hRule="atLeast"/>
        </w:trPr>
        <w:tc>
          <w:tcPr>
            <w:tcW w:w="1285" w:type="dxa"/>
          </w:tcPr>
          <w:p>
            <w:pPr>
              <w:pStyle w:val="TableParagraph"/>
              <w:spacing w:before="57"/>
              <w:rPr>
                <w:b/>
                <w:sz w:val="22"/>
              </w:rPr>
            </w:pPr>
          </w:p>
          <w:p>
            <w:pPr>
              <w:pStyle w:val="TableParagraph"/>
              <w:ind w:right="68"/>
              <w:jc w:val="center"/>
              <w:rPr>
                <w:sz w:val="22"/>
              </w:rPr>
            </w:pPr>
            <w:r>
              <w:rPr>
                <w:spacing w:val="-5"/>
                <w:sz w:val="22"/>
              </w:rPr>
              <w:t>53</w:t>
            </w:r>
          </w:p>
        </w:tc>
        <w:tc>
          <w:tcPr>
            <w:tcW w:w="1542" w:type="dxa"/>
          </w:tcPr>
          <w:p>
            <w:pPr>
              <w:pStyle w:val="TableParagraph"/>
              <w:spacing w:before="57"/>
              <w:rPr>
                <w:b/>
                <w:sz w:val="22"/>
              </w:rPr>
            </w:pPr>
          </w:p>
          <w:p>
            <w:pPr>
              <w:pStyle w:val="TableParagraph"/>
              <w:ind w:left="565"/>
              <w:rPr>
                <w:sz w:val="22"/>
              </w:rPr>
            </w:pPr>
            <w:r>
              <w:rPr>
                <w:spacing w:val="-5"/>
                <w:sz w:val="22"/>
              </w:rPr>
              <w:t>12</w:t>
            </w:r>
          </w:p>
        </w:tc>
        <w:tc>
          <w:tcPr>
            <w:tcW w:w="1729" w:type="dxa"/>
          </w:tcPr>
          <w:p>
            <w:pPr>
              <w:pStyle w:val="TableParagraph"/>
              <w:spacing w:before="57"/>
              <w:rPr>
                <w:b/>
                <w:sz w:val="22"/>
              </w:rPr>
            </w:pPr>
          </w:p>
          <w:p>
            <w:pPr>
              <w:pStyle w:val="TableParagraph"/>
              <w:ind w:left="751"/>
              <w:rPr>
                <w:sz w:val="22"/>
              </w:rPr>
            </w:pPr>
            <w:r>
              <w:rPr>
                <w:spacing w:val="-10"/>
                <w:sz w:val="22"/>
              </w:rPr>
              <w:t>M</w:t>
            </w:r>
          </w:p>
        </w:tc>
        <w:tc>
          <w:tcPr>
            <w:tcW w:w="2292" w:type="dxa"/>
          </w:tcPr>
          <w:p>
            <w:pPr>
              <w:pStyle w:val="TableParagraph"/>
              <w:spacing w:before="57"/>
              <w:rPr>
                <w:b/>
                <w:sz w:val="22"/>
              </w:rPr>
            </w:pPr>
          </w:p>
          <w:p>
            <w:pPr>
              <w:pStyle w:val="TableParagraph"/>
              <w:ind w:left="155" w:right="75"/>
              <w:jc w:val="center"/>
              <w:rPr>
                <w:sz w:val="22"/>
              </w:rPr>
            </w:pPr>
            <w:r>
              <w:rPr>
                <w:spacing w:val="-2"/>
                <w:sz w:val="22"/>
              </w:rPr>
              <w:t>SPUTUM</w:t>
            </w:r>
          </w:p>
        </w:tc>
        <w:tc>
          <w:tcPr>
            <w:tcW w:w="2002" w:type="dxa"/>
          </w:tcPr>
          <w:p>
            <w:pPr>
              <w:pStyle w:val="TableParagraph"/>
              <w:spacing w:before="57"/>
              <w:rPr>
                <w:b/>
                <w:sz w:val="22"/>
              </w:rPr>
            </w:pPr>
          </w:p>
          <w:p>
            <w:pPr>
              <w:pStyle w:val="TableParagraph"/>
              <w:ind w:left="21"/>
              <w:jc w:val="center"/>
              <w:rPr>
                <w:sz w:val="22"/>
              </w:rPr>
            </w:pPr>
            <w:r>
              <w:rPr>
                <w:sz w:val="22"/>
              </w:rPr>
              <w:t>SP</w:t>
            </w:r>
            <w:r>
              <w:rPr>
                <w:spacing w:val="1"/>
                <w:sz w:val="22"/>
              </w:rPr>
              <w:t> </w:t>
            </w:r>
            <w:r>
              <w:rPr>
                <w:spacing w:val="-5"/>
                <w:sz w:val="22"/>
              </w:rPr>
              <w:t>265</w:t>
            </w:r>
          </w:p>
        </w:tc>
      </w:tr>
      <w:tr>
        <w:trPr>
          <w:trHeight w:val="1080" w:hRule="atLeast"/>
        </w:trPr>
        <w:tc>
          <w:tcPr>
            <w:tcW w:w="1285" w:type="dxa"/>
          </w:tcPr>
          <w:p>
            <w:pPr>
              <w:pStyle w:val="TableParagraph"/>
              <w:spacing w:before="57"/>
              <w:rPr>
                <w:b/>
                <w:sz w:val="22"/>
              </w:rPr>
            </w:pPr>
          </w:p>
          <w:p>
            <w:pPr>
              <w:pStyle w:val="TableParagraph"/>
              <w:ind w:right="68"/>
              <w:jc w:val="center"/>
              <w:rPr>
                <w:sz w:val="22"/>
              </w:rPr>
            </w:pPr>
            <w:r>
              <w:rPr>
                <w:spacing w:val="-5"/>
                <w:sz w:val="22"/>
              </w:rPr>
              <w:t>54</w:t>
            </w:r>
          </w:p>
        </w:tc>
        <w:tc>
          <w:tcPr>
            <w:tcW w:w="1542" w:type="dxa"/>
          </w:tcPr>
          <w:p>
            <w:pPr>
              <w:pStyle w:val="TableParagraph"/>
              <w:spacing w:before="57"/>
              <w:rPr>
                <w:b/>
                <w:sz w:val="22"/>
              </w:rPr>
            </w:pPr>
          </w:p>
          <w:p>
            <w:pPr>
              <w:pStyle w:val="TableParagraph"/>
              <w:ind w:left="565"/>
              <w:rPr>
                <w:sz w:val="22"/>
              </w:rPr>
            </w:pPr>
            <w:r>
              <w:rPr>
                <w:spacing w:val="-5"/>
                <w:sz w:val="22"/>
              </w:rPr>
              <w:t>50</w:t>
            </w:r>
          </w:p>
        </w:tc>
        <w:tc>
          <w:tcPr>
            <w:tcW w:w="1729" w:type="dxa"/>
          </w:tcPr>
          <w:p>
            <w:pPr>
              <w:pStyle w:val="TableParagraph"/>
              <w:spacing w:before="57"/>
              <w:rPr>
                <w:b/>
                <w:sz w:val="22"/>
              </w:rPr>
            </w:pPr>
          </w:p>
          <w:p>
            <w:pPr>
              <w:pStyle w:val="TableParagraph"/>
              <w:ind w:left="795"/>
              <w:rPr>
                <w:sz w:val="22"/>
              </w:rPr>
            </w:pPr>
            <w:r>
              <w:rPr>
                <w:spacing w:val="-10"/>
                <w:sz w:val="22"/>
              </w:rPr>
              <w:t>F</w:t>
            </w:r>
          </w:p>
        </w:tc>
        <w:tc>
          <w:tcPr>
            <w:tcW w:w="2292" w:type="dxa"/>
          </w:tcPr>
          <w:p>
            <w:pPr>
              <w:pStyle w:val="TableParagraph"/>
              <w:spacing w:before="57"/>
              <w:rPr>
                <w:b/>
                <w:sz w:val="22"/>
              </w:rPr>
            </w:pPr>
          </w:p>
          <w:p>
            <w:pPr>
              <w:pStyle w:val="TableParagraph"/>
              <w:ind w:left="155" w:right="75"/>
              <w:jc w:val="center"/>
              <w:rPr>
                <w:sz w:val="22"/>
              </w:rPr>
            </w:pPr>
            <w:r>
              <w:rPr>
                <w:spacing w:val="-2"/>
                <w:sz w:val="22"/>
              </w:rPr>
              <w:t>SPUTUM</w:t>
            </w:r>
          </w:p>
        </w:tc>
        <w:tc>
          <w:tcPr>
            <w:tcW w:w="2002" w:type="dxa"/>
          </w:tcPr>
          <w:p>
            <w:pPr>
              <w:pStyle w:val="TableParagraph"/>
              <w:spacing w:before="57"/>
              <w:rPr>
                <w:b/>
                <w:sz w:val="22"/>
              </w:rPr>
            </w:pPr>
          </w:p>
          <w:p>
            <w:pPr>
              <w:pStyle w:val="TableParagraph"/>
              <w:ind w:left="21"/>
              <w:jc w:val="center"/>
              <w:rPr>
                <w:sz w:val="22"/>
              </w:rPr>
            </w:pPr>
            <w:r>
              <w:rPr>
                <w:sz w:val="22"/>
              </w:rPr>
              <w:t>SP</w:t>
            </w:r>
            <w:r>
              <w:rPr>
                <w:spacing w:val="1"/>
                <w:sz w:val="22"/>
              </w:rPr>
              <w:t> </w:t>
            </w:r>
            <w:r>
              <w:rPr>
                <w:spacing w:val="-5"/>
                <w:sz w:val="22"/>
              </w:rPr>
              <w:t>268</w:t>
            </w:r>
          </w:p>
        </w:tc>
      </w:tr>
      <w:tr>
        <w:trPr>
          <w:trHeight w:val="1080" w:hRule="atLeast"/>
        </w:trPr>
        <w:tc>
          <w:tcPr>
            <w:tcW w:w="1285" w:type="dxa"/>
          </w:tcPr>
          <w:p>
            <w:pPr>
              <w:pStyle w:val="TableParagraph"/>
              <w:spacing w:before="177"/>
              <w:rPr>
                <w:b/>
                <w:sz w:val="22"/>
              </w:rPr>
            </w:pPr>
          </w:p>
          <w:p>
            <w:pPr>
              <w:pStyle w:val="TableParagraph"/>
              <w:ind w:right="68"/>
              <w:jc w:val="center"/>
              <w:rPr>
                <w:sz w:val="22"/>
              </w:rPr>
            </w:pPr>
            <w:r>
              <w:rPr>
                <w:spacing w:val="-5"/>
                <w:sz w:val="22"/>
              </w:rPr>
              <w:t>55</w:t>
            </w:r>
          </w:p>
        </w:tc>
        <w:tc>
          <w:tcPr>
            <w:tcW w:w="1542" w:type="dxa"/>
          </w:tcPr>
          <w:p>
            <w:pPr>
              <w:pStyle w:val="TableParagraph"/>
              <w:spacing w:before="177"/>
              <w:rPr>
                <w:b/>
                <w:sz w:val="22"/>
              </w:rPr>
            </w:pPr>
          </w:p>
          <w:p>
            <w:pPr>
              <w:pStyle w:val="TableParagraph"/>
              <w:ind w:left="565"/>
              <w:rPr>
                <w:sz w:val="22"/>
              </w:rPr>
            </w:pPr>
            <w:r>
              <w:rPr>
                <w:spacing w:val="-5"/>
                <w:sz w:val="22"/>
              </w:rPr>
              <w:t>24</w:t>
            </w:r>
          </w:p>
        </w:tc>
        <w:tc>
          <w:tcPr>
            <w:tcW w:w="1729" w:type="dxa"/>
          </w:tcPr>
          <w:p>
            <w:pPr>
              <w:pStyle w:val="TableParagraph"/>
              <w:spacing w:before="177"/>
              <w:rPr>
                <w:b/>
                <w:sz w:val="22"/>
              </w:rPr>
            </w:pPr>
          </w:p>
          <w:p>
            <w:pPr>
              <w:pStyle w:val="TableParagraph"/>
              <w:ind w:left="751"/>
              <w:rPr>
                <w:sz w:val="22"/>
              </w:rPr>
            </w:pPr>
            <w:r>
              <w:rPr>
                <w:spacing w:val="-10"/>
                <w:sz w:val="22"/>
              </w:rPr>
              <w:t>M</w:t>
            </w:r>
          </w:p>
        </w:tc>
        <w:tc>
          <w:tcPr>
            <w:tcW w:w="2292" w:type="dxa"/>
          </w:tcPr>
          <w:p>
            <w:pPr>
              <w:pStyle w:val="TableParagraph"/>
              <w:spacing w:before="177"/>
              <w:rPr>
                <w:b/>
                <w:sz w:val="22"/>
              </w:rPr>
            </w:pPr>
          </w:p>
          <w:p>
            <w:pPr>
              <w:pStyle w:val="TableParagraph"/>
              <w:ind w:left="155" w:right="75"/>
              <w:jc w:val="center"/>
              <w:rPr>
                <w:sz w:val="22"/>
              </w:rPr>
            </w:pPr>
            <w:r>
              <w:rPr>
                <w:spacing w:val="-2"/>
                <w:sz w:val="22"/>
              </w:rPr>
              <w:t>SPUTUM</w:t>
            </w:r>
          </w:p>
        </w:tc>
        <w:tc>
          <w:tcPr>
            <w:tcW w:w="2002" w:type="dxa"/>
          </w:tcPr>
          <w:p>
            <w:pPr>
              <w:pStyle w:val="TableParagraph"/>
              <w:spacing w:before="177"/>
              <w:rPr>
                <w:b/>
                <w:sz w:val="22"/>
              </w:rPr>
            </w:pPr>
          </w:p>
          <w:p>
            <w:pPr>
              <w:pStyle w:val="TableParagraph"/>
              <w:ind w:left="21"/>
              <w:jc w:val="center"/>
              <w:rPr>
                <w:sz w:val="22"/>
              </w:rPr>
            </w:pPr>
            <w:r>
              <w:rPr>
                <w:sz w:val="22"/>
              </w:rPr>
              <w:t>SP</w:t>
            </w:r>
            <w:r>
              <w:rPr>
                <w:spacing w:val="1"/>
                <w:sz w:val="22"/>
              </w:rPr>
              <w:t> </w:t>
            </w:r>
            <w:r>
              <w:rPr>
                <w:spacing w:val="-5"/>
                <w:sz w:val="22"/>
              </w:rPr>
              <w:t>897</w:t>
            </w:r>
          </w:p>
        </w:tc>
      </w:tr>
      <w:tr>
        <w:trPr>
          <w:trHeight w:val="1087" w:hRule="atLeast"/>
        </w:trPr>
        <w:tc>
          <w:tcPr>
            <w:tcW w:w="1285" w:type="dxa"/>
          </w:tcPr>
          <w:p>
            <w:pPr>
              <w:pStyle w:val="TableParagraph"/>
              <w:spacing w:before="57"/>
              <w:rPr>
                <w:b/>
                <w:sz w:val="22"/>
              </w:rPr>
            </w:pPr>
          </w:p>
          <w:p>
            <w:pPr>
              <w:pStyle w:val="TableParagraph"/>
              <w:ind w:right="68"/>
              <w:jc w:val="center"/>
              <w:rPr>
                <w:sz w:val="22"/>
              </w:rPr>
            </w:pPr>
            <w:r>
              <w:rPr>
                <w:spacing w:val="-5"/>
                <w:sz w:val="22"/>
              </w:rPr>
              <w:t>56</w:t>
            </w:r>
          </w:p>
        </w:tc>
        <w:tc>
          <w:tcPr>
            <w:tcW w:w="1542" w:type="dxa"/>
          </w:tcPr>
          <w:p>
            <w:pPr>
              <w:pStyle w:val="TableParagraph"/>
              <w:spacing w:before="57"/>
              <w:rPr>
                <w:b/>
                <w:sz w:val="22"/>
              </w:rPr>
            </w:pPr>
          </w:p>
          <w:p>
            <w:pPr>
              <w:pStyle w:val="TableParagraph"/>
              <w:ind w:left="565"/>
              <w:rPr>
                <w:sz w:val="22"/>
              </w:rPr>
            </w:pPr>
            <w:r>
              <w:rPr>
                <w:spacing w:val="-5"/>
                <w:sz w:val="22"/>
              </w:rPr>
              <w:t>29</w:t>
            </w:r>
          </w:p>
        </w:tc>
        <w:tc>
          <w:tcPr>
            <w:tcW w:w="1729" w:type="dxa"/>
          </w:tcPr>
          <w:p>
            <w:pPr>
              <w:pStyle w:val="TableParagraph"/>
              <w:spacing w:before="57"/>
              <w:rPr>
                <w:b/>
                <w:sz w:val="22"/>
              </w:rPr>
            </w:pPr>
          </w:p>
          <w:p>
            <w:pPr>
              <w:pStyle w:val="TableParagraph"/>
              <w:ind w:left="751"/>
              <w:rPr>
                <w:sz w:val="22"/>
              </w:rPr>
            </w:pPr>
            <w:r>
              <w:rPr>
                <w:spacing w:val="-10"/>
                <w:sz w:val="22"/>
              </w:rPr>
              <w:t>M</w:t>
            </w:r>
          </w:p>
        </w:tc>
        <w:tc>
          <w:tcPr>
            <w:tcW w:w="2292" w:type="dxa"/>
          </w:tcPr>
          <w:p>
            <w:pPr>
              <w:pStyle w:val="TableParagraph"/>
              <w:spacing w:before="57"/>
              <w:rPr>
                <w:b/>
                <w:sz w:val="22"/>
              </w:rPr>
            </w:pPr>
          </w:p>
          <w:p>
            <w:pPr>
              <w:pStyle w:val="TableParagraph"/>
              <w:ind w:left="155" w:right="75"/>
              <w:jc w:val="center"/>
              <w:rPr>
                <w:sz w:val="22"/>
              </w:rPr>
            </w:pPr>
            <w:r>
              <w:rPr>
                <w:spacing w:val="-2"/>
                <w:sz w:val="22"/>
              </w:rPr>
              <w:t>SPUTUM</w:t>
            </w:r>
          </w:p>
        </w:tc>
        <w:tc>
          <w:tcPr>
            <w:tcW w:w="2002" w:type="dxa"/>
          </w:tcPr>
          <w:p>
            <w:pPr>
              <w:pStyle w:val="TableParagraph"/>
              <w:spacing w:before="57"/>
              <w:rPr>
                <w:b/>
                <w:sz w:val="22"/>
              </w:rPr>
            </w:pPr>
          </w:p>
          <w:p>
            <w:pPr>
              <w:pStyle w:val="TableParagraph"/>
              <w:ind w:left="21"/>
              <w:jc w:val="center"/>
              <w:rPr>
                <w:sz w:val="22"/>
              </w:rPr>
            </w:pPr>
            <w:r>
              <w:rPr>
                <w:sz w:val="22"/>
              </w:rPr>
              <w:t>SP</w:t>
            </w:r>
            <w:r>
              <w:rPr>
                <w:spacing w:val="1"/>
                <w:sz w:val="22"/>
              </w:rPr>
              <w:t> </w:t>
            </w:r>
            <w:r>
              <w:rPr>
                <w:spacing w:val="-5"/>
                <w:sz w:val="22"/>
              </w:rPr>
              <w:t>203</w:t>
            </w:r>
          </w:p>
        </w:tc>
      </w:tr>
      <w:tr>
        <w:trPr>
          <w:trHeight w:val="1057" w:hRule="atLeast"/>
        </w:trPr>
        <w:tc>
          <w:tcPr>
            <w:tcW w:w="1285" w:type="dxa"/>
          </w:tcPr>
          <w:p>
            <w:pPr>
              <w:pStyle w:val="TableParagraph"/>
              <w:spacing w:before="184"/>
              <w:rPr>
                <w:b/>
                <w:sz w:val="22"/>
              </w:rPr>
            </w:pPr>
          </w:p>
          <w:p>
            <w:pPr>
              <w:pStyle w:val="TableParagraph"/>
              <w:ind w:right="68"/>
              <w:jc w:val="center"/>
              <w:rPr>
                <w:sz w:val="22"/>
              </w:rPr>
            </w:pPr>
            <w:r>
              <w:rPr>
                <w:spacing w:val="-5"/>
                <w:sz w:val="22"/>
              </w:rPr>
              <w:t>57</w:t>
            </w:r>
          </w:p>
        </w:tc>
        <w:tc>
          <w:tcPr>
            <w:tcW w:w="1542" w:type="dxa"/>
          </w:tcPr>
          <w:p>
            <w:pPr>
              <w:pStyle w:val="TableParagraph"/>
              <w:spacing w:before="184"/>
              <w:rPr>
                <w:b/>
                <w:sz w:val="22"/>
              </w:rPr>
            </w:pPr>
          </w:p>
          <w:p>
            <w:pPr>
              <w:pStyle w:val="TableParagraph"/>
              <w:ind w:left="565"/>
              <w:rPr>
                <w:sz w:val="22"/>
              </w:rPr>
            </w:pPr>
            <w:r>
              <w:rPr>
                <w:spacing w:val="-5"/>
                <w:sz w:val="22"/>
              </w:rPr>
              <w:t>31</w:t>
            </w:r>
          </w:p>
        </w:tc>
        <w:tc>
          <w:tcPr>
            <w:tcW w:w="1729" w:type="dxa"/>
          </w:tcPr>
          <w:p>
            <w:pPr>
              <w:pStyle w:val="TableParagraph"/>
              <w:spacing w:before="184"/>
              <w:rPr>
                <w:b/>
                <w:sz w:val="22"/>
              </w:rPr>
            </w:pPr>
          </w:p>
          <w:p>
            <w:pPr>
              <w:pStyle w:val="TableParagraph"/>
              <w:ind w:left="751"/>
              <w:rPr>
                <w:sz w:val="22"/>
              </w:rPr>
            </w:pPr>
            <w:r>
              <w:rPr>
                <w:spacing w:val="-10"/>
                <w:sz w:val="22"/>
              </w:rPr>
              <w:t>M</w:t>
            </w:r>
          </w:p>
        </w:tc>
        <w:tc>
          <w:tcPr>
            <w:tcW w:w="2292" w:type="dxa"/>
          </w:tcPr>
          <w:p>
            <w:pPr>
              <w:pStyle w:val="TableParagraph"/>
              <w:spacing w:before="184"/>
              <w:rPr>
                <w:b/>
                <w:sz w:val="22"/>
              </w:rPr>
            </w:pPr>
          </w:p>
          <w:p>
            <w:pPr>
              <w:pStyle w:val="TableParagraph"/>
              <w:ind w:left="155" w:right="75"/>
              <w:jc w:val="center"/>
              <w:rPr>
                <w:sz w:val="22"/>
              </w:rPr>
            </w:pPr>
            <w:r>
              <w:rPr>
                <w:spacing w:val="-2"/>
                <w:sz w:val="22"/>
              </w:rPr>
              <w:t>SPUTUM</w:t>
            </w:r>
          </w:p>
        </w:tc>
        <w:tc>
          <w:tcPr>
            <w:tcW w:w="2002" w:type="dxa"/>
          </w:tcPr>
          <w:p>
            <w:pPr>
              <w:pStyle w:val="TableParagraph"/>
              <w:spacing w:before="184"/>
              <w:rPr>
                <w:b/>
                <w:sz w:val="22"/>
              </w:rPr>
            </w:pPr>
          </w:p>
          <w:p>
            <w:pPr>
              <w:pStyle w:val="TableParagraph"/>
              <w:ind w:left="21"/>
              <w:jc w:val="center"/>
              <w:rPr>
                <w:sz w:val="22"/>
              </w:rPr>
            </w:pPr>
            <w:r>
              <w:rPr>
                <w:sz w:val="22"/>
              </w:rPr>
              <w:t>SP</w:t>
            </w:r>
            <w:r>
              <w:rPr>
                <w:spacing w:val="1"/>
                <w:sz w:val="22"/>
              </w:rPr>
              <w:t> </w:t>
            </w:r>
            <w:r>
              <w:rPr>
                <w:spacing w:val="-5"/>
                <w:sz w:val="22"/>
              </w:rPr>
              <w:t>267</w:t>
            </w:r>
          </w:p>
        </w:tc>
      </w:tr>
      <w:tr>
        <w:trPr>
          <w:trHeight w:val="930" w:hRule="atLeast"/>
        </w:trPr>
        <w:tc>
          <w:tcPr>
            <w:tcW w:w="1285" w:type="dxa"/>
          </w:tcPr>
          <w:p>
            <w:pPr>
              <w:pStyle w:val="TableParagraph"/>
              <w:spacing w:before="27"/>
              <w:rPr>
                <w:b/>
                <w:sz w:val="22"/>
              </w:rPr>
            </w:pPr>
          </w:p>
          <w:p>
            <w:pPr>
              <w:pStyle w:val="TableParagraph"/>
              <w:ind w:right="68"/>
              <w:jc w:val="center"/>
              <w:rPr>
                <w:sz w:val="22"/>
              </w:rPr>
            </w:pPr>
            <w:r>
              <w:rPr>
                <w:spacing w:val="-5"/>
                <w:sz w:val="22"/>
              </w:rPr>
              <w:t>58</w:t>
            </w:r>
          </w:p>
        </w:tc>
        <w:tc>
          <w:tcPr>
            <w:tcW w:w="1542" w:type="dxa"/>
          </w:tcPr>
          <w:p>
            <w:pPr>
              <w:pStyle w:val="TableParagraph"/>
              <w:spacing w:before="27"/>
              <w:rPr>
                <w:b/>
                <w:sz w:val="22"/>
              </w:rPr>
            </w:pPr>
          </w:p>
          <w:p>
            <w:pPr>
              <w:pStyle w:val="TableParagraph"/>
              <w:ind w:left="565"/>
              <w:rPr>
                <w:sz w:val="22"/>
              </w:rPr>
            </w:pPr>
            <w:r>
              <w:rPr>
                <w:spacing w:val="-5"/>
                <w:sz w:val="22"/>
              </w:rPr>
              <w:t>27</w:t>
            </w:r>
          </w:p>
        </w:tc>
        <w:tc>
          <w:tcPr>
            <w:tcW w:w="1729" w:type="dxa"/>
          </w:tcPr>
          <w:p>
            <w:pPr>
              <w:pStyle w:val="TableParagraph"/>
              <w:spacing w:before="27"/>
              <w:rPr>
                <w:b/>
                <w:sz w:val="22"/>
              </w:rPr>
            </w:pPr>
          </w:p>
          <w:p>
            <w:pPr>
              <w:pStyle w:val="TableParagraph"/>
              <w:ind w:left="751"/>
              <w:rPr>
                <w:sz w:val="22"/>
              </w:rPr>
            </w:pPr>
            <w:r>
              <w:rPr>
                <w:spacing w:val="-10"/>
                <w:sz w:val="22"/>
              </w:rPr>
              <w:t>M</w:t>
            </w:r>
          </w:p>
        </w:tc>
        <w:tc>
          <w:tcPr>
            <w:tcW w:w="2292" w:type="dxa"/>
          </w:tcPr>
          <w:p>
            <w:pPr>
              <w:pStyle w:val="TableParagraph"/>
              <w:spacing w:before="27"/>
              <w:rPr>
                <w:b/>
                <w:sz w:val="22"/>
              </w:rPr>
            </w:pPr>
          </w:p>
          <w:p>
            <w:pPr>
              <w:pStyle w:val="TableParagraph"/>
              <w:ind w:left="155" w:right="75"/>
              <w:jc w:val="center"/>
              <w:rPr>
                <w:sz w:val="22"/>
              </w:rPr>
            </w:pPr>
            <w:r>
              <w:rPr>
                <w:spacing w:val="-2"/>
                <w:sz w:val="22"/>
              </w:rPr>
              <w:t>SPUTUM</w:t>
            </w:r>
          </w:p>
        </w:tc>
        <w:tc>
          <w:tcPr>
            <w:tcW w:w="2002" w:type="dxa"/>
          </w:tcPr>
          <w:p>
            <w:pPr>
              <w:pStyle w:val="TableParagraph"/>
              <w:spacing w:before="27"/>
              <w:rPr>
                <w:b/>
                <w:sz w:val="22"/>
              </w:rPr>
            </w:pPr>
          </w:p>
          <w:p>
            <w:pPr>
              <w:pStyle w:val="TableParagraph"/>
              <w:ind w:left="21"/>
              <w:jc w:val="center"/>
              <w:rPr>
                <w:sz w:val="22"/>
              </w:rPr>
            </w:pPr>
            <w:r>
              <w:rPr>
                <w:sz w:val="22"/>
              </w:rPr>
              <w:t>SP</w:t>
            </w:r>
            <w:r>
              <w:rPr>
                <w:spacing w:val="1"/>
                <w:sz w:val="22"/>
              </w:rPr>
              <w:t> </w:t>
            </w:r>
            <w:r>
              <w:rPr>
                <w:spacing w:val="-5"/>
                <w:sz w:val="22"/>
              </w:rPr>
              <w:t>261</w:t>
            </w:r>
          </w:p>
        </w:tc>
      </w:tr>
      <w:tr>
        <w:trPr>
          <w:trHeight w:val="930" w:hRule="atLeast"/>
        </w:trPr>
        <w:tc>
          <w:tcPr>
            <w:tcW w:w="1285" w:type="dxa"/>
          </w:tcPr>
          <w:p>
            <w:pPr>
              <w:pStyle w:val="TableParagraph"/>
              <w:spacing w:before="57"/>
              <w:rPr>
                <w:b/>
                <w:sz w:val="22"/>
              </w:rPr>
            </w:pPr>
          </w:p>
          <w:p>
            <w:pPr>
              <w:pStyle w:val="TableParagraph"/>
              <w:ind w:right="68"/>
              <w:jc w:val="center"/>
              <w:rPr>
                <w:sz w:val="22"/>
              </w:rPr>
            </w:pPr>
            <w:r>
              <w:rPr>
                <w:spacing w:val="-5"/>
                <w:sz w:val="22"/>
              </w:rPr>
              <w:t>59</w:t>
            </w:r>
          </w:p>
        </w:tc>
        <w:tc>
          <w:tcPr>
            <w:tcW w:w="1542" w:type="dxa"/>
          </w:tcPr>
          <w:p>
            <w:pPr>
              <w:pStyle w:val="TableParagraph"/>
              <w:spacing w:before="57"/>
              <w:rPr>
                <w:b/>
                <w:sz w:val="22"/>
              </w:rPr>
            </w:pPr>
          </w:p>
          <w:p>
            <w:pPr>
              <w:pStyle w:val="TableParagraph"/>
              <w:ind w:left="565"/>
              <w:rPr>
                <w:sz w:val="22"/>
              </w:rPr>
            </w:pPr>
            <w:r>
              <w:rPr>
                <w:spacing w:val="-5"/>
                <w:sz w:val="22"/>
              </w:rPr>
              <w:t>14</w:t>
            </w:r>
          </w:p>
        </w:tc>
        <w:tc>
          <w:tcPr>
            <w:tcW w:w="1729" w:type="dxa"/>
          </w:tcPr>
          <w:p>
            <w:pPr>
              <w:pStyle w:val="TableParagraph"/>
              <w:spacing w:before="57"/>
              <w:rPr>
                <w:b/>
                <w:sz w:val="22"/>
              </w:rPr>
            </w:pPr>
          </w:p>
          <w:p>
            <w:pPr>
              <w:pStyle w:val="TableParagraph"/>
              <w:ind w:left="751"/>
              <w:rPr>
                <w:sz w:val="22"/>
              </w:rPr>
            </w:pPr>
            <w:r>
              <w:rPr>
                <w:spacing w:val="-10"/>
                <w:sz w:val="22"/>
              </w:rPr>
              <w:t>M</w:t>
            </w:r>
          </w:p>
        </w:tc>
        <w:tc>
          <w:tcPr>
            <w:tcW w:w="2292" w:type="dxa"/>
          </w:tcPr>
          <w:p>
            <w:pPr>
              <w:pStyle w:val="TableParagraph"/>
              <w:spacing w:before="57"/>
              <w:rPr>
                <w:b/>
                <w:sz w:val="22"/>
              </w:rPr>
            </w:pPr>
          </w:p>
          <w:p>
            <w:pPr>
              <w:pStyle w:val="TableParagraph"/>
              <w:ind w:left="155" w:right="75"/>
              <w:jc w:val="center"/>
              <w:rPr>
                <w:sz w:val="22"/>
              </w:rPr>
            </w:pPr>
            <w:r>
              <w:rPr>
                <w:spacing w:val="-2"/>
                <w:sz w:val="22"/>
              </w:rPr>
              <w:t>SPUTUM</w:t>
            </w:r>
          </w:p>
        </w:tc>
        <w:tc>
          <w:tcPr>
            <w:tcW w:w="2002" w:type="dxa"/>
          </w:tcPr>
          <w:p>
            <w:pPr>
              <w:pStyle w:val="TableParagraph"/>
              <w:spacing w:before="57"/>
              <w:rPr>
                <w:b/>
                <w:sz w:val="22"/>
              </w:rPr>
            </w:pPr>
          </w:p>
          <w:p>
            <w:pPr>
              <w:pStyle w:val="TableParagraph"/>
              <w:ind w:left="21"/>
              <w:jc w:val="center"/>
              <w:rPr>
                <w:sz w:val="22"/>
              </w:rPr>
            </w:pPr>
            <w:r>
              <w:rPr>
                <w:sz w:val="22"/>
              </w:rPr>
              <w:t>SP</w:t>
            </w:r>
            <w:r>
              <w:rPr>
                <w:spacing w:val="1"/>
                <w:sz w:val="22"/>
              </w:rPr>
              <w:t> </w:t>
            </w:r>
            <w:r>
              <w:rPr>
                <w:spacing w:val="-5"/>
                <w:sz w:val="22"/>
              </w:rPr>
              <w:t>269</w:t>
            </w:r>
          </w:p>
        </w:tc>
      </w:tr>
      <w:tr>
        <w:trPr>
          <w:trHeight w:val="747" w:hRule="atLeast"/>
        </w:trPr>
        <w:tc>
          <w:tcPr>
            <w:tcW w:w="1285" w:type="dxa"/>
            <w:tcBorders>
              <w:bottom w:val="single" w:sz="4" w:space="0" w:color="000000"/>
            </w:tcBorders>
          </w:tcPr>
          <w:p>
            <w:pPr>
              <w:pStyle w:val="TableParagraph"/>
              <w:spacing w:before="27"/>
              <w:rPr>
                <w:b/>
                <w:sz w:val="22"/>
              </w:rPr>
            </w:pPr>
          </w:p>
          <w:p>
            <w:pPr>
              <w:pStyle w:val="TableParagraph"/>
              <w:ind w:right="68"/>
              <w:jc w:val="center"/>
              <w:rPr>
                <w:sz w:val="22"/>
              </w:rPr>
            </w:pPr>
            <w:r>
              <w:rPr>
                <w:spacing w:val="-5"/>
                <w:sz w:val="22"/>
              </w:rPr>
              <w:t>60</w:t>
            </w:r>
          </w:p>
        </w:tc>
        <w:tc>
          <w:tcPr>
            <w:tcW w:w="1542" w:type="dxa"/>
            <w:tcBorders>
              <w:bottom w:val="single" w:sz="4" w:space="0" w:color="000000"/>
            </w:tcBorders>
          </w:tcPr>
          <w:p>
            <w:pPr>
              <w:pStyle w:val="TableParagraph"/>
              <w:spacing w:before="27"/>
              <w:rPr>
                <w:b/>
                <w:sz w:val="22"/>
              </w:rPr>
            </w:pPr>
          </w:p>
          <w:p>
            <w:pPr>
              <w:pStyle w:val="TableParagraph"/>
              <w:ind w:left="565"/>
              <w:rPr>
                <w:sz w:val="22"/>
              </w:rPr>
            </w:pPr>
            <w:r>
              <w:rPr>
                <w:spacing w:val="-5"/>
                <w:sz w:val="22"/>
              </w:rPr>
              <w:t>19</w:t>
            </w:r>
          </w:p>
        </w:tc>
        <w:tc>
          <w:tcPr>
            <w:tcW w:w="1729" w:type="dxa"/>
            <w:tcBorders>
              <w:bottom w:val="single" w:sz="4" w:space="0" w:color="000000"/>
            </w:tcBorders>
          </w:tcPr>
          <w:p>
            <w:pPr>
              <w:pStyle w:val="TableParagraph"/>
              <w:spacing w:before="27"/>
              <w:rPr>
                <w:b/>
                <w:sz w:val="22"/>
              </w:rPr>
            </w:pPr>
          </w:p>
          <w:p>
            <w:pPr>
              <w:pStyle w:val="TableParagraph"/>
              <w:ind w:left="795"/>
              <w:rPr>
                <w:sz w:val="22"/>
              </w:rPr>
            </w:pPr>
            <w:r>
              <w:rPr>
                <w:spacing w:val="-10"/>
                <w:sz w:val="22"/>
              </w:rPr>
              <w:t>F</w:t>
            </w:r>
          </w:p>
        </w:tc>
        <w:tc>
          <w:tcPr>
            <w:tcW w:w="2292" w:type="dxa"/>
            <w:tcBorders>
              <w:bottom w:val="single" w:sz="4" w:space="0" w:color="000000"/>
            </w:tcBorders>
          </w:tcPr>
          <w:p>
            <w:pPr>
              <w:pStyle w:val="TableParagraph"/>
              <w:spacing w:before="27"/>
              <w:rPr>
                <w:b/>
                <w:sz w:val="22"/>
              </w:rPr>
            </w:pPr>
          </w:p>
          <w:p>
            <w:pPr>
              <w:pStyle w:val="TableParagraph"/>
              <w:ind w:left="155" w:right="75"/>
              <w:jc w:val="center"/>
              <w:rPr>
                <w:sz w:val="22"/>
              </w:rPr>
            </w:pPr>
            <w:r>
              <w:rPr>
                <w:spacing w:val="-2"/>
                <w:sz w:val="22"/>
              </w:rPr>
              <w:t>SPUTUM</w:t>
            </w:r>
          </w:p>
        </w:tc>
        <w:tc>
          <w:tcPr>
            <w:tcW w:w="2002" w:type="dxa"/>
            <w:tcBorders>
              <w:bottom w:val="single" w:sz="4" w:space="0" w:color="000000"/>
            </w:tcBorders>
          </w:tcPr>
          <w:p>
            <w:pPr>
              <w:pStyle w:val="TableParagraph"/>
              <w:spacing w:before="27"/>
              <w:rPr>
                <w:b/>
                <w:sz w:val="22"/>
              </w:rPr>
            </w:pPr>
          </w:p>
          <w:p>
            <w:pPr>
              <w:pStyle w:val="TableParagraph"/>
              <w:ind w:left="21"/>
              <w:jc w:val="center"/>
              <w:rPr>
                <w:sz w:val="22"/>
              </w:rPr>
            </w:pPr>
            <w:r>
              <w:rPr>
                <w:sz w:val="22"/>
              </w:rPr>
              <w:t>SP</w:t>
            </w:r>
            <w:r>
              <w:rPr>
                <w:spacing w:val="1"/>
                <w:sz w:val="22"/>
              </w:rPr>
              <w:t> </w:t>
            </w:r>
            <w:r>
              <w:rPr>
                <w:spacing w:val="-5"/>
                <w:sz w:val="22"/>
              </w:rPr>
              <w:t>260</w:t>
            </w:r>
          </w:p>
        </w:tc>
      </w:tr>
    </w:tbl>
    <w:p>
      <w:pPr>
        <w:pStyle w:val="BodyText"/>
        <w:spacing w:before="4"/>
        <w:ind w:left="380"/>
      </w:pPr>
      <w:r>
        <w:rPr>
          <w:b/>
        </w:rPr>
        <w:t>Key:</w:t>
      </w:r>
      <w:r>
        <w:rPr>
          <w:b/>
          <w:spacing w:val="-7"/>
        </w:rPr>
        <w:t> </w:t>
      </w:r>
      <w:r>
        <w:rPr/>
        <w:t>SP=Sputum,</w:t>
      </w:r>
      <w:r>
        <w:rPr>
          <w:spacing w:val="-6"/>
        </w:rPr>
        <w:t> </w:t>
      </w:r>
      <w:r>
        <w:rPr/>
        <w:t>F=Female,</w:t>
      </w:r>
      <w:r>
        <w:rPr>
          <w:spacing w:val="-6"/>
        </w:rPr>
        <w:t> </w:t>
      </w:r>
      <w:r>
        <w:rPr>
          <w:spacing w:val="-2"/>
        </w:rPr>
        <w:t>M=Male.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5"/>
      </w:pPr>
    </w:p>
    <w:p>
      <w:pPr>
        <w:pStyle w:val="Heading3"/>
        <w:ind w:left="421" w:right="1015"/>
        <w:jc w:val="center"/>
      </w:pPr>
      <w:r>
        <w:rPr/>
        <w:t>Data</w:t>
      </w:r>
      <w:r>
        <w:rPr>
          <w:spacing w:val="-3"/>
        </w:rPr>
        <w:t> </w:t>
      </w:r>
      <w:r>
        <w:rPr/>
        <w:t>on</w:t>
      </w:r>
      <w:r>
        <w:rPr>
          <w:spacing w:val="-3"/>
        </w:rPr>
        <w:t> </w:t>
      </w:r>
      <w:r>
        <w:rPr/>
        <w:t>Samples</w:t>
      </w:r>
      <w:r>
        <w:rPr>
          <w:spacing w:val="-1"/>
        </w:rPr>
        <w:t> </w:t>
      </w:r>
      <w:r>
        <w:rPr>
          <w:spacing w:val="-2"/>
        </w:rPr>
        <w:t>Collected</w:t>
      </w:r>
    </w:p>
    <w:p>
      <w:pPr>
        <w:pStyle w:val="BodyText"/>
        <w:spacing w:before="165"/>
        <w:rPr>
          <w:b/>
          <w:sz w:val="20"/>
        </w:rPr>
      </w:pPr>
      <w:r>
        <w:rPr/>
        <mc:AlternateContent>
          <mc:Choice Requires="wps">
            <w:drawing>
              <wp:anchor distT="0" distB="0" distL="0" distR="0" allowOverlap="1" layoutInCell="1" locked="0" behindDoc="1" simplePos="0" relativeHeight="487694848">
                <wp:simplePos x="0" y="0"/>
                <wp:positionH relativeFrom="page">
                  <wp:posOffset>896416</wp:posOffset>
                </wp:positionH>
                <wp:positionV relativeFrom="paragraph">
                  <wp:posOffset>275155</wp:posOffset>
                </wp:positionV>
                <wp:extent cx="5769610" cy="6350"/>
                <wp:effectExtent l="0" t="0" r="0" b="0"/>
                <wp:wrapTopAndBottom/>
                <wp:docPr id="546" name="Graphic 546"/>
                <wp:cNvGraphicFramePr>
                  <a:graphicFrameLocks/>
                </wp:cNvGraphicFramePr>
                <a:graphic>
                  <a:graphicData uri="http://schemas.microsoft.com/office/word/2010/wordprocessingShape">
                    <wps:wsp>
                      <wps:cNvPr id="546" name="Graphic 546"/>
                      <wps:cNvSpPr/>
                      <wps:spPr>
                        <a:xfrm>
                          <a:off x="0" y="0"/>
                          <a:ext cx="5769610" cy="6350"/>
                        </a:xfrm>
                        <a:custGeom>
                          <a:avLst/>
                          <a:gdLst/>
                          <a:ahLst/>
                          <a:cxnLst/>
                          <a:rect l="l" t="t" r="r" b="b"/>
                          <a:pathLst>
                            <a:path w="5769610" h="6350">
                              <a:moveTo>
                                <a:pt x="5769610" y="0"/>
                              </a:moveTo>
                              <a:lnTo>
                                <a:pt x="0" y="0"/>
                              </a:lnTo>
                              <a:lnTo>
                                <a:pt x="0" y="6095"/>
                              </a:lnTo>
                              <a:lnTo>
                                <a:pt x="5769610" y="6095"/>
                              </a:lnTo>
                              <a:lnTo>
                                <a:pt x="5769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21.665802pt;width:454.3pt;height:.47998pt;mso-position-horizontal-relative:page;mso-position-vertical-relative:paragraph;z-index:-15621632;mso-wrap-distance-left:0;mso-wrap-distance-right:0" id="docshape491" filled="true" fillcolor="#000000" stroked="false">
                <v:fill type="solid"/>
                <w10:wrap type="topAndBottom"/>
              </v:rect>
            </w:pict>
          </mc:Fallback>
        </mc:AlternateContent>
      </w:r>
    </w:p>
    <w:p>
      <w:pPr>
        <w:tabs>
          <w:tab w:pos="2170" w:val="left" w:leader="none"/>
          <w:tab w:pos="3810" w:val="left" w:leader="none"/>
          <w:tab w:pos="5471" w:val="left" w:leader="none"/>
        </w:tabs>
        <w:spacing w:before="18" w:after="42"/>
        <w:ind w:left="730" w:right="0" w:firstLine="0"/>
        <w:jc w:val="left"/>
        <w:rPr>
          <w:b/>
          <w:sz w:val="22"/>
        </w:rPr>
      </w:pPr>
      <w:r>
        <w:rPr>
          <w:b/>
          <w:spacing w:val="-2"/>
          <w:sz w:val="22"/>
        </w:rPr>
        <w:t>S/No.</w:t>
      </w:r>
      <w:r>
        <w:rPr>
          <w:b/>
          <w:sz w:val="22"/>
        </w:rPr>
        <w:tab/>
      </w:r>
      <w:r>
        <w:rPr>
          <w:b/>
          <w:spacing w:val="-5"/>
          <w:sz w:val="22"/>
        </w:rPr>
        <w:t>Age</w:t>
      </w:r>
      <w:r>
        <w:rPr>
          <w:b/>
          <w:sz w:val="22"/>
        </w:rPr>
        <w:tab/>
      </w:r>
      <w:r>
        <w:rPr>
          <w:b/>
          <w:spacing w:val="-5"/>
          <w:sz w:val="22"/>
        </w:rPr>
        <w:t>Sex</w:t>
      </w:r>
      <w:r>
        <w:rPr>
          <w:b/>
          <w:sz w:val="22"/>
        </w:rPr>
        <w:tab/>
        <w:t>Sample</w:t>
      </w:r>
      <w:r>
        <w:rPr>
          <w:b/>
          <w:spacing w:val="-5"/>
          <w:sz w:val="22"/>
        </w:rPr>
        <w:t> </w:t>
      </w:r>
      <w:r>
        <w:rPr>
          <w:b/>
          <w:sz w:val="22"/>
        </w:rPr>
        <w:t>source</w:t>
      </w:r>
      <w:r>
        <w:rPr>
          <w:b/>
          <w:spacing w:val="51"/>
          <w:sz w:val="22"/>
        </w:rPr>
        <w:t> </w:t>
      </w:r>
      <w:r>
        <w:rPr>
          <w:b/>
          <w:sz w:val="22"/>
        </w:rPr>
        <w:t>Sample</w:t>
      </w:r>
      <w:r>
        <w:rPr>
          <w:b/>
          <w:spacing w:val="-4"/>
          <w:sz w:val="22"/>
        </w:rPr>
        <w:t> </w:t>
      </w:r>
      <w:r>
        <w:rPr>
          <w:b/>
          <w:spacing w:val="-5"/>
          <w:sz w:val="22"/>
        </w:rPr>
        <w:t>No.</w:t>
      </w:r>
    </w:p>
    <w:p>
      <w:pPr>
        <w:pStyle w:val="BodyText"/>
        <w:spacing w:line="20" w:lineRule="exact"/>
        <w:ind w:left="351"/>
        <w:rPr>
          <w:sz w:val="2"/>
        </w:rPr>
      </w:pPr>
      <w:r>
        <w:rPr>
          <w:sz w:val="2"/>
        </w:rPr>
        <mc:AlternateContent>
          <mc:Choice Requires="wps">
            <w:drawing>
              <wp:inline distT="0" distB="0" distL="0" distR="0">
                <wp:extent cx="5769610" cy="6350"/>
                <wp:effectExtent l="0" t="0" r="0" b="0"/>
                <wp:docPr id="547" name="Group 547"/>
                <wp:cNvGraphicFramePr>
                  <a:graphicFrameLocks/>
                </wp:cNvGraphicFramePr>
                <a:graphic>
                  <a:graphicData uri="http://schemas.microsoft.com/office/word/2010/wordprocessingGroup">
                    <wpg:wgp>
                      <wpg:cNvPr id="547" name="Group 547"/>
                      <wpg:cNvGrpSpPr/>
                      <wpg:grpSpPr>
                        <a:xfrm>
                          <a:off x="0" y="0"/>
                          <a:ext cx="5769610" cy="6350"/>
                          <a:chExt cx="5769610" cy="6350"/>
                        </a:xfrm>
                      </wpg:grpSpPr>
                      <wps:wsp>
                        <wps:cNvPr id="548" name="Graphic 548"/>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3pt;height:.5pt;mso-position-horizontal-relative:char;mso-position-vertical-relative:line" id="docshapegroup492" coordorigin="0,0" coordsize="9086,10">
                <v:rect style="position:absolute;left:0;top:0;width:9086;height:10" id="docshape493" filled="true" fillcolor="#000000" stroked="false">
                  <v:fill type="solid"/>
                </v:rect>
              </v:group>
            </w:pict>
          </mc:Fallback>
        </mc:AlternateContent>
      </w:r>
      <w:r>
        <w:rPr>
          <w:sz w:val="2"/>
        </w:rPr>
      </w:r>
    </w:p>
    <w:p>
      <w:pPr>
        <w:spacing w:after="0" w:line="20" w:lineRule="exact"/>
        <w:rPr>
          <w:sz w:val="2"/>
        </w:rPr>
        <w:sectPr>
          <w:pgSz w:w="11910" w:h="16840"/>
          <w:pgMar w:header="0" w:footer="1055" w:top="1920" w:bottom="1240" w:left="1060" w:right="460"/>
        </w:sectPr>
      </w:pPr>
    </w:p>
    <w:p>
      <w:pPr>
        <w:pStyle w:val="BodyText"/>
        <w:spacing w:before="45"/>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5"/>
        <w:gridCol w:w="1542"/>
        <w:gridCol w:w="1593"/>
        <w:gridCol w:w="2565"/>
        <w:gridCol w:w="1864"/>
      </w:tblGrid>
      <w:tr>
        <w:trPr>
          <w:trHeight w:val="560" w:hRule="atLeast"/>
        </w:trPr>
        <w:tc>
          <w:tcPr>
            <w:tcW w:w="1285" w:type="dxa"/>
          </w:tcPr>
          <w:p>
            <w:pPr>
              <w:pStyle w:val="TableParagraph"/>
              <w:spacing w:line="225" w:lineRule="exact"/>
              <w:ind w:right="68"/>
              <w:jc w:val="center"/>
              <w:rPr>
                <w:sz w:val="22"/>
              </w:rPr>
            </w:pPr>
            <w:r>
              <w:rPr>
                <w:spacing w:val="-5"/>
                <w:sz w:val="22"/>
              </w:rPr>
              <w:t>61</w:t>
            </w:r>
          </w:p>
        </w:tc>
        <w:tc>
          <w:tcPr>
            <w:tcW w:w="1542" w:type="dxa"/>
          </w:tcPr>
          <w:p>
            <w:pPr>
              <w:pStyle w:val="TableParagraph"/>
              <w:spacing w:line="225" w:lineRule="exact"/>
              <w:ind w:left="565"/>
              <w:rPr>
                <w:sz w:val="22"/>
              </w:rPr>
            </w:pPr>
            <w:r>
              <w:rPr>
                <w:spacing w:val="-5"/>
                <w:sz w:val="22"/>
              </w:rPr>
              <w:t>27</w:t>
            </w:r>
          </w:p>
        </w:tc>
        <w:tc>
          <w:tcPr>
            <w:tcW w:w="1593" w:type="dxa"/>
          </w:tcPr>
          <w:p>
            <w:pPr>
              <w:pStyle w:val="TableParagraph"/>
              <w:spacing w:line="225" w:lineRule="exact"/>
              <w:ind w:left="99" w:right="1"/>
              <w:jc w:val="center"/>
              <w:rPr>
                <w:sz w:val="22"/>
              </w:rPr>
            </w:pPr>
            <w:r>
              <w:rPr>
                <w:spacing w:val="-10"/>
                <w:sz w:val="22"/>
              </w:rPr>
              <w:t>F</w:t>
            </w:r>
          </w:p>
        </w:tc>
        <w:tc>
          <w:tcPr>
            <w:tcW w:w="2565" w:type="dxa"/>
          </w:tcPr>
          <w:p>
            <w:pPr>
              <w:pStyle w:val="TableParagraph"/>
              <w:spacing w:line="225" w:lineRule="exact"/>
              <w:ind w:left="83" w:right="4"/>
              <w:jc w:val="center"/>
              <w:rPr>
                <w:sz w:val="22"/>
              </w:rPr>
            </w:pPr>
            <w:r>
              <w:rPr>
                <w:spacing w:val="-2"/>
                <w:sz w:val="22"/>
              </w:rPr>
              <w:t>SPUTUM</w:t>
            </w:r>
          </w:p>
        </w:tc>
        <w:tc>
          <w:tcPr>
            <w:tcW w:w="1864" w:type="dxa"/>
          </w:tcPr>
          <w:p>
            <w:pPr>
              <w:pStyle w:val="TableParagraph"/>
              <w:spacing w:line="225" w:lineRule="exact"/>
              <w:ind w:right="112"/>
              <w:jc w:val="center"/>
              <w:rPr>
                <w:sz w:val="22"/>
              </w:rPr>
            </w:pPr>
            <w:r>
              <w:rPr>
                <w:sz w:val="22"/>
              </w:rPr>
              <w:t>SP</w:t>
            </w:r>
            <w:r>
              <w:rPr>
                <w:spacing w:val="1"/>
                <w:sz w:val="22"/>
              </w:rPr>
              <w:t> </w:t>
            </w:r>
            <w:r>
              <w:rPr>
                <w:spacing w:val="-5"/>
                <w:sz w:val="22"/>
              </w:rPr>
              <w:t>270</w:t>
            </w:r>
          </w:p>
        </w:tc>
      </w:tr>
      <w:tr>
        <w:trPr>
          <w:trHeight w:val="900" w:hRule="atLeast"/>
        </w:trPr>
        <w:tc>
          <w:tcPr>
            <w:tcW w:w="1285" w:type="dxa"/>
          </w:tcPr>
          <w:p>
            <w:pPr>
              <w:pStyle w:val="TableParagraph"/>
              <w:spacing w:before="27"/>
              <w:rPr>
                <w:b/>
                <w:sz w:val="22"/>
              </w:rPr>
            </w:pPr>
          </w:p>
          <w:p>
            <w:pPr>
              <w:pStyle w:val="TableParagraph"/>
              <w:ind w:right="68"/>
              <w:jc w:val="center"/>
              <w:rPr>
                <w:sz w:val="22"/>
              </w:rPr>
            </w:pPr>
            <w:r>
              <w:rPr>
                <w:spacing w:val="-5"/>
                <w:sz w:val="22"/>
              </w:rPr>
              <w:t>62</w:t>
            </w:r>
          </w:p>
        </w:tc>
        <w:tc>
          <w:tcPr>
            <w:tcW w:w="1542" w:type="dxa"/>
          </w:tcPr>
          <w:p>
            <w:pPr>
              <w:pStyle w:val="TableParagraph"/>
              <w:spacing w:before="27"/>
              <w:rPr>
                <w:b/>
                <w:sz w:val="22"/>
              </w:rPr>
            </w:pPr>
          </w:p>
          <w:p>
            <w:pPr>
              <w:pStyle w:val="TableParagraph"/>
              <w:ind w:left="621"/>
              <w:rPr>
                <w:sz w:val="22"/>
              </w:rPr>
            </w:pPr>
            <w:r>
              <w:rPr>
                <w:spacing w:val="-10"/>
                <w:sz w:val="22"/>
              </w:rPr>
              <w:t>6</w:t>
            </w:r>
          </w:p>
        </w:tc>
        <w:tc>
          <w:tcPr>
            <w:tcW w:w="1593" w:type="dxa"/>
          </w:tcPr>
          <w:p>
            <w:pPr>
              <w:pStyle w:val="TableParagraph"/>
              <w:spacing w:before="27"/>
              <w:rPr>
                <w:b/>
                <w:sz w:val="22"/>
              </w:rPr>
            </w:pPr>
          </w:p>
          <w:p>
            <w:pPr>
              <w:pStyle w:val="TableParagraph"/>
              <w:ind w:left="99" w:right="1"/>
              <w:jc w:val="center"/>
              <w:rPr>
                <w:sz w:val="22"/>
              </w:rPr>
            </w:pPr>
            <w:r>
              <w:rPr>
                <w:spacing w:val="-10"/>
                <w:sz w:val="22"/>
              </w:rPr>
              <w:t>F</w:t>
            </w:r>
          </w:p>
        </w:tc>
        <w:tc>
          <w:tcPr>
            <w:tcW w:w="2565" w:type="dxa"/>
          </w:tcPr>
          <w:p>
            <w:pPr>
              <w:pStyle w:val="TableParagraph"/>
              <w:spacing w:before="27"/>
              <w:rPr>
                <w:b/>
                <w:sz w:val="22"/>
              </w:rPr>
            </w:pPr>
          </w:p>
          <w:p>
            <w:pPr>
              <w:pStyle w:val="TableParagraph"/>
              <w:ind w:left="83" w:right="4"/>
              <w:jc w:val="center"/>
              <w:rPr>
                <w:sz w:val="22"/>
              </w:rPr>
            </w:pPr>
            <w:r>
              <w:rPr>
                <w:spacing w:val="-2"/>
                <w:sz w:val="22"/>
              </w:rPr>
              <w:t>SPUTUM</w:t>
            </w:r>
          </w:p>
        </w:tc>
        <w:tc>
          <w:tcPr>
            <w:tcW w:w="1864" w:type="dxa"/>
          </w:tcPr>
          <w:p>
            <w:pPr>
              <w:pStyle w:val="TableParagraph"/>
              <w:spacing w:before="27"/>
              <w:rPr>
                <w:b/>
                <w:sz w:val="22"/>
              </w:rPr>
            </w:pPr>
          </w:p>
          <w:p>
            <w:pPr>
              <w:pStyle w:val="TableParagraph"/>
              <w:ind w:right="112"/>
              <w:jc w:val="center"/>
              <w:rPr>
                <w:sz w:val="22"/>
              </w:rPr>
            </w:pPr>
            <w:r>
              <w:rPr>
                <w:sz w:val="22"/>
              </w:rPr>
              <w:t>SP</w:t>
            </w:r>
            <w:r>
              <w:rPr>
                <w:spacing w:val="1"/>
                <w:sz w:val="22"/>
              </w:rPr>
              <w:t> </w:t>
            </w:r>
            <w:r>
              <w:rPr>
                <w:spacing w:val="-5"/>
                <w:sz w:val="22"/>
              </w:rPr>
              <w:t>276</w:t>
            </w:r>
          </w:p>
        </w:tc>
      </w:tr>
      <w:tr>
        <w:trPr>
          <w:trHeight w:val="930" w:hRule="atLeast"/>
        </w:trPr>
        <w:tc>
          <w:tcPr>
            <w:tcW w:w="1285" w:type="dxa"/>
          </w:tcPr>
          <w:p>
            <w:pPr>
              <w:pStyle w:val="TableParagraph"/>
              <w:spacing w:before="27"/>
              <w:rPr>
                <w:b/>
                <w:sz w:val="22"/>
              </w:rPr>
            </w:pPr>
          </w:p>
          <w:p>
            <w:pPr>
              <w:pStyle w:val="TableParagraph"/>
              <w:ind w:right="68"/>
              <w:jc w:val="center"/>
              <w:rPr>
                <w:sz w:val="22"/>
              </w:rPr>
            </w:pPr>
            <w:r>
              <w:rPr>
                <w:spacing w:val="-5"/>
                <w:sz w:val="22"/>
              </w:rPr>
              <w:t>63</w:t>
            </w:r>
          </w:p>
        </w:tc>
        <w:tc>
          <w:tcPr>
            <w:tcW w:w="1542" w:type="dxa"/>
          </w:tcPr>
          <w:p>
            <w:pPr>
              <w:pStyle w:val="TableParagraph"/>
              <w:spacing w:before="27"/>
              <w:rPr>
                <w:b/>
                <w:sz w:val="22"/>
              </w:rPr>
            </w:pPr>
          </w:p>
          <w:p>
            <w:pPr>
              <w:pStyle w:val="TableParagraph"/>
              <w:ind w:left="565"/>
              <w:rPr>
                <w:sz w:val="22"/>
              </w:rPr>
            </w:pPr>
            <w:r>
              <w:rPr>
                <w:spacing w:val="-5"/>
                <w:sz w:val="22"/>
              </w:rPr>
              <w:t>29</w:t>
            </w:r>
          </w:p>
        </w:tc>
        <w:tc>
          <w:tcPr>
            <w:tcW w:w="1593" w:type="dxa"/>
          </w:tcPr>
          <w:p>
            <w:pPr>
              <w:pStyle w:val="TableParagraph"/>
              <w:spacing w:before="27"/>
              <w:rPr>
                <w:b/>
                <w:sz w:val="22"/>
              </w:rPr>
            </w:pPr>
          </w:p>
          <w:p>
            <w:pPr>
              <w:pStyle w:val="TableParagraph"/>
              <w:ind w:left="99" w:right="1"/>
              <w:jc w:val="center"/>
              <w:rPr>
                <w:sz w:val="22"/>
              </w:rPr>
            </w:pPr>
            <w:r>
              <w:rPr>
                <w:spacing w:val="-10"/>
                <w:sz w:val="22"/>
              </w:rPr>
              <w:t>F</w:t>
            </w:r>
          </w:p>
        </w:tc>
        <w:tc>
          <w:tcPr>
            <w:tcW w:w="2565" w:type="dxa"/>
          </w:tcPr>
          <w:p>
            <w:pPr>
              <w:pStyle w:val="TableParagraph"/>
              <w:spacing w:before="27"/>
              <w:rPr>
                <w:b/>
                <w:sz w:val="22"/>
              </w:rPr>
            </w:pPr>
          </w:p>
          <w:p>
            <w:pPr>
              <w:pStyle w:val="TableParagraph"/>
              <w:ind w:left="83" w:right="4"/>
              <w:jc w:val="center"/>
              <w:rPr>
                <w:sz w:val="22"/>
              </w:rPr>
            </w:pPr>
            <w:r>
              <w:rPr>
                <w:spacing w:val="-2"/>
                <w:sz w:val="22"/>
              </w:rPr>
              <w:t>SPUTUM</w:t>
            </w:r>
          </w:p>
        </w:tc>
        <w:tc>
          <w:tcPr>
            <w:tcW w:w="1864" w:type="dxa"/>
          </w:tcPr>
          <w:p>
            <w:pPr>
              <w:pStyle w:val="TableParagraph"/>
              <w:spacing w:before="27"/>
              <w:rPr>
                <w:b/>
                <w:sz w:val="22"/>
              </w:rPr>
            </w:pPr>
          </w:p>
          <w:p>
            <w:pPr>
              <w:pStyle w:val="TableParagraph"/>
              <w:ind w:right="112"/>
              <w:jc w:val="center"/>
              <w:rPr>
                <w:sz w:val="22"/>
              </w:rPr>
            </w:pPr>
            <w:r>
              <w:rPr>
                <w:sz w:val="22"/>
              </w:rPr>
              <w:t>SP</w:t>
            </w:r>
            <w:r>
              <w:rPr>
                <w:spacing w:val="1"/>
                <w:sz w:val="22"/>
              </w:rPr>
              <w:t> </w:t>
            </w:r>
            <w:r>
              <w:rPr>
                <w:spacing w:val="-5"/>
                <w:sz w:val="22"/>
              </w:rPr>
              <w:t>278</w:t>
            </w:r>
          </w:p>
        </w:tc>
      </w:tr>
      <w:tr>
        <w:trPr>
          <w:trHeight w:val="960" w:hRule="atLeast"/>
        </w:trPr>
        <w:tc>
          <w:tcPr>
            <w:tcW w:w="1285" w:type="dxa"/>
          </w:tcPr>
          <w:p>
            <w:pPr>
              <w:pStyle w:val="TableParagraph"/>
              <w:spacing w:before="57"/>
              <w:rPr>
                <w:b/>
                <w:sz w:val="22"/>
              </w:rPr>
            </w:pPr>
          </w:p>
          <w:p>
            <w:pPr>
              <w:pStyle w:val="TableParagraph"/>
              <w:ind w:right="68"/>
              <w:jc w:val="center"/>
              <w:rPr>
                <w:sz w:val="22"/>
              </w:rPr>
            </w:pPr>
            <w:r>
              <w:rPr>
                <w:spacing w:val="-5"/>
                <w:sz w:val="22"/>
              </w:rPr>
              <w:t>64</w:t>
            </w:r>
          </w:p>
        </w:tc>
        <w:tc>
          <w:tcPr>
            <w:tcW w:w="1542" w:type="dxa"/>
          </w:tcPr>
          <w:p>
            <w:pPr>
              <w:pStyle w:val="TableParagraph"/>
              <w:spacing w:before="57"/>
              <w:rPr>
                <w:b/>
                <w:sz w:val="22"/>
              </w:rPr>
            </w:pPr>
          </w:p>
          <w:p>
            <w:pPr>
              <w:pStyle w:val="TableParagraph"/>
              <w:ind w:left="565"/>
              <w:rPr>
                <w:sz w:val="22"/>
              </w:rPr>
            </w:pPr>
            <w:r>
              <w:rPr>
                <w:spacing w:val="-5"/>
                <w:sz w:val="22"/>
              </w:rPr>
              <w:t>15</w:t>
            </w:r>
          </w:p>
        </w:tc>
        <w:tc>
          <w:tcPr>
            <w:tcW w:w="1593" w:type="dxa"/>
          </w:tcPr>
          <w:p>
            <w:pPr>
              <w:pStyle w:val="TableParagraph"/>
              <w:spacing w:before="57"/>
              <w:rPr>
                <w:b/>
                <w:sz w:val="22"/>
              </w:rPr>
            </w:pPr>
          </w:p>
          <w:p>
            <w:pPr>
              <w:pStyle w:val="TableParagraph"/>
              <w:ind w:left="99" w:right="1"/>
              <w:jc w:val="center"/>
              <w:rPr>
                <w:sz w:val="22"/>
              </w:rPr>
            </w:pPr>
            <w:r>
              <w:rPr>
                <w:spacing w:val="-10"/>
                <w:sz w:val="22"/>
              </w:rPr>
              <w:t>F</w:t>
            </w:r>
          </w:p>
        </w:tc>
        <w:tc>
          <w:tcPr>
            <w:tcW w:w="2565" w:type="dxa"/>
          </w:tcPr>
          <w:p>
            <w:pPr>
              <w:pStyle w:val="TableParagraph"/>
              <w:spacing w:before="57"/>
              <w:rPr>
                <w:b/>
                <w:sz w:val="22"/>
              </w:rPr>
            </w:pPr>
          </w:p>
          <w:p>
            <w:pPr>
              <w:pStyle w:val="TableParagraph"/>
              <w:ind w:left="83" w:right="4"/>
              <w:jc w:val="center"/>
              <w:rPr>
                <w:sz w:val="22"/>
              </w:rPr>
            </w:pPr>
            <w:r>
              <w:rPr>
                <w:spacing w:val="-2"/>
                <w:sz w:val="22"/>
              </w:rPr>
              <w:t>SPUTUM</w:t>
            </w:r>
          </w:p>
        </w:tc>
        <w:tc>
          <w:tcPr>
            <w:tcW w:w="1864" w:type="dxa"/>
          </w:tcPr>
          <w:p>
            <w:pPr>
              <w:pStyle w:val="TableParagraph"/>
              <w:spacing w:before="57"/>
              <w:rPr>
                <w:b/>
                <w:sz w:val="22"/>
              </w:rPr>
            </w:pPr>
          </w:p>
          <w:p>
            <w:pPr>
              <w:pStyle w:val="TableParagraph"/>
              <w:ind w:right="112"/>
              <w:jc w:val="center"/>
              <w:rPr>
                <w:sz w:val="22"/>
              </w:rPr>
            </w:pPr>
            <w:r>
              <w:rPr>
                <w:sz w:val="22"/>
              </w:rPr>
              <w:t>SP</w:t>
            </w:r>
            <w:r>
              <w:rPr>
                <w:spacing w:val="1"/>
                <w:sz w:val="22"/>
              </w:rPr>
              <w:t> </w:t>
            </w:r>
            <w:r>
              <w:rPr>
                <w:spacing w:val="-5"/>
                <w:sz w:val="22"/>
              </w:rPr>
              <w:t>900</w:t>
            </w:r>
          </w:p>
        </w:tc>
      </w:tr>
      <w:tr>
        <w:trPr>
          <w:trHeight w:val="1087" w:hRule="atLeast"/>
        </w:trPr>
        <w:tc>
          <w:tcPr>
            <w:tcW w:w="1285" w:type="dxa"/>
          </w:tcPr>
          <w:p>
            <w:pPr>
              <w:pStyle w:val="TableParagraph"/>
              <w:spacing w:before="57"/>
              <w:rPr>
                <w:b/>
                <w:sz w:val="22"/>
              </w:rPr>
            </w:pPr>
          </w:p>
          <w:p>
            <w:pPr>
              <w:pStyle w:val="TableParagraph"/>
              <w:ind w:right="68"/>
              <w:jc w:val="center"/>
              <w:rPr>
                <w:sz w:val="22"/>
              </w:rPr>
            </w:pPr>
            <w:r>
              <w:rPr>
                <w:spacing w:val="-5"/>
                <w:sz w:val="22"/>
              </w:rPr>
              <w:t>65</w:t>
            </w:r>
          </w:p>
        </w:tc>
        <w:tc>
          <w:tcPr>
            <w:tcW w:w="1542" w:type="dxa"/>
          </w:tcPr>
          <w:p>
            <w:pPr>
              <w:pStyle w:val="TableParagraph"/>
              <w:spacing w:before="57"/>
              <w:rPr>
                <w:b/>
                <w:sz w:val="22"/>
              </w:rPr>
            </w:pPr>
          </w:p>
          <w:p>
            <w:pPr>
              <w:pStyle w:val="TableParagraph"/>
              <w:ind w:left="565"/>
              <w:rPr>
                <w:sz w:val="22"/>
              </w:rPr>
            </w:pPr>
            <w:r>
              <w:rPr>
                <w:spacing w:val="-5"/>
                <w:sz w:val="22"/>
              </w:rPr>
              <w:t>10</w:t>
            </w:r>
          </w:p>
        </w:tc>
        <w:tc>
          <w:tcPr>
            <w:tcW w:w="1593" w:type="dxa"/>
          </w:tcPr>
          <w:p>
            <w:pPr>
              <w:pStyle w:val="TableParagraph"/>
              <w:spacing w:before="57"/>
              <w:rPr>
                <w:b/>
                <w:sz w:val="22"/>
              </w:rPr>
            </w:pPr>
          </w:p>
          <w:p>
            <w:pPr>
              <w:pStyle w:val="TableParagraph"/>
              <w:ind w:left="99" w:right="1"/>
              <w:jc w:val="center"/>
              <w:rPr>
                <w:sz w:val="22"/>
              </w:rPr>
            </w:pPr>
            <w:r>
              <w:rPr>
                <w:spacing w:val="-10"/>
                <w:sz w:val="22"/>
              </w:rPr>
              <w:t>F</w:t>
            </w:r>
          </w:p>
        </w:tc>
        <w:tc>
          <w:tcPr>
            <w:tcW w:w="2565" w:type="dxa"/>
          </w:tcPr>
          <w:p>
            <w:pPr>
              <w:pStyle w:val="TableParagraph"/>
              <w:spacing w:before="57"/>
              <w:rPr>
                <w:b/>
                <w:sz w:val="22"/>
              </w:rPr>
            </w:pPr>
          </w:p>
          <w:p>
            <w:pPr>
              <w:pStyle w:val="TableParagraph"/>
              <w:ind w:left="83" w:right="4"/>
              <w:jc w:val="center"/>
              <w:rPr>
                <w:sz w:val="22"/>
              </w:rPr>
            </w:pPr>
            <w:r>
              <w:rPr>
                <w:spacing w:val="-2"/>
                <w:sz w:val="22"/>
              </w:rPr>
              <w:t>SPUTUM</w:t>
            </w:r>
          </w:p>
        </w:tc>
        <w:tc>
          <w:tcPr>
            <w:tcW w:w="1864" w:type="dxa"/>
          </w:tcPr>
          <w:p>
            <w:pPr>
              <w:pStyle w:val="TableParagraph"/>
              <w:spacing w:before="57"/>
              <w:rPr>
                <w:b/>
                <w:sz w:val="22"/>
              </w:rPr>
            </w:pPr>
          </w:p>
          <w:p>
            <w:pPr>
              <w:pStyle w:val="TableParagraph"/>
              <w:ind w:right="112"/>
              <w:jc w:val="center"/>
              <w:rPr>
                <w:sz w:val="22"/>
              </w:rPr>
            </w:pPr>
            <w:r>
              <w:rPr>
                <w:sz w:val="22"/>
              </w:rPr>
              <w:t>SP</w:t>
            </w:r>
            <w:r>
              <w:rPr>
                <w:spacing w:val="1"/>
                <w:sz w:val="22"/>
              </w:rPr>
              <w:t> </w:t>
            </w:r>
            <w:r>
              <w:rPr>
                <w:spacing w:val="-5"/>
                <w:sz w:val="22"/>
              </w:rPr>
              <w:t>902</w:t>
            </w:r>
          </w:p>
        </w:tc>
      </w:tr>
      <w:tr>
        <w:trPr>
          <w:trHeight w:val="1087" w:hRule="atLeast"/>
        </w:trPr>
        <w:tc>
          <w:tcPr>
            <w:tcW w:w="1285" w:type="dxa"/>
          </w:tcPr>
          <w:p>
            <w:pPr>
              <w:pStyle w:val="TableParagraph"/>
              <w:spacing w:before="184"/>
              <w:rPr>
                <w:b/>
                <w:sz w:val="22"/>
              </w:rPr>
            </w:pPr>
          </w:p>
          <w:p>
            <w:pPr>
              <w:pStyle w:val="TableParagraph"/>
              <w:ind w:right="68"/>
              <w:jc w:val="center"/>
              <w:rPr>
                <w:sz w:val="22"/>
              </w:rPr>
            </w:pPr>
            <w:r>
              <w:rPr>
                <w:spacing w:val="-5"/>
                <w:sz w:val="22"/>
              </w:rPr>
              <w:t>66</w:t>
            </w:r>
          </w:p>
        </w:tc>
        <w:tc>
          <w:tcPr>
            <w:tcW w:w="1542" w:type="dxa"/>
          </w:tcPr>
          <w:p>
            <w:pPr>
              <w:pStyle w:val="TableParagraph"/>
              <w:spacing w:before="184"/>
              <w:rPr>
                <w:b/>
                <w:sz w:val="22"/>
              </w:rPr>
            </w:pPr>
          </w:p>
          <w:p>
            <w:pPr>
              <w:pStyle w:val="TableParagraph"/>
              <w:ind w:left="565"/>
              <w:rPr>
                <w:sz w:val="22"/>
              </w:rPr>
            </w:pPr>
            <w:r>
              <w:rPr>
                <w:spacing w:val="-5"/>
                <w:sz w:val="22"/>
              </w:rPr>
              <w:t>16</w:t>
            </w:r>
          </w:p>
        </w:tc>
        <w:tc>
          <w:tcPr>
            <w:tcW w:w="1593" w:type="dxa"/>
          </w:tcPr>
          <w:p>
            <w:pPr>
              <w:pStyle w:val="TableParagraph"/>
              <w:spacing w:before="184"/>
              <w:rPr>
                <w:b/>
                <w:sz w:val="22"/>
              </w:rPr>
            </w:pPr>
          </w:p>
          <w:p>
            <w:pPr>
              <w:pStyle w:val="TableParagraph"/>
              <w:ind w:left="99"/>
              <w:jc w:val="center"/>
              <w:rPr>
                <w:sz w:val="22"/>
              </w:rPr>
            </w:pPr>
            <w:r>
              <w:rPr>
                <w:spacing w:val="-10"/>
                <w:sz w:val="22"/>
              </w:rPr>
              <w:t>M</w:t>
            </w:r>
          </w:p>
        </w:tc>
        <w:tc>
          <w:tcPr>
            <w:tcW w:w="2565" w:type="dxa"/>
          </w:tcPr>
          <w:p>
            <w:pPr>
              <w:pStyle w:val="TableParagraph"/>
              <w:spacing w:before="184"/>
              <w:rPr>
                <w:b/>
                <w:sz w:val="22"/>
              </w:rPr>
            </w:pPr>
          </w:p>
          <w:p>
            <w:pPr>
              <w:pStyle w:val="TableParagraph"/>
              <w:ind w:left="83"/>
              <w:jc w:val="center"/>
              <w:rPr>
                <w:sz w:val="22"/>
              </w:rPr>
            </w:pPr>
            <w:r>
              <w:rPr>
                <w:sz w:val="22"/>
              </w:rPr>
              <w:t>THROAT</w:t>
            </w:r>
            <w:r>
              <w:rPr>
                <w:spacing w:val="-5"/>
                <w:sz w:val="22"/>
              </w:rPr>
              <w:t> </w:t>
            </w:r>
            <w:r>
              <w:rPr>
                <w:spacing w:val="-4"/>
                <w:sz w:val="22"/>
              </w:rPr>
              <w:t>SWAB</w:t>
            </w:r>
          </w:p>
        </w:tc>
        <w:tc>
          <w:tcPr>
            <w:tcW w:w="1864" w:type="dxa"/>
          </w:tcPr>
          <w:p>
            <w:pPr>
              <w:pStyle w:val="TableParagraph"/>
              <w:spacing w:before="184"/>
              <w:rPr>
                <w:b/>
                <w:sz w:val="22"/>
              </w:rPr>
            </w:pPr>
          </w:p>
          <w:p>
            <w:pPr>
              <w:pStyle w:val="TableParagraph"/>
              <w:ind w:left="2" w:right="112"/>
              <w:jc w:val="center"/>
              <w:rPr>
                <w:sz w:val="22"/>
              </w:rPr>
            </w:pPr>
            <w:r>
              <w:rPr>
                <w:sz w:val="22"/>
              </w:rPr>
              <w:t>TS</w:t>
            </w:r>
            <w:r>
              <w:rPr>
                <w:spacing w:val="-1"/>
                <w:sz w:val="22"/>
              </w:rPr>
              <w:t> </w:t>
            </w:r>
            <w:r>
              <w:rPr>
                <w:spacing w:val="-5"/>
                <w:sz w:val="22"/>
              </w:rPr>
              <w:t>901</w:t>
            </w:r>
          </w:p>
        </w:tc>
      </w:tr>
      <w:tr>
        <w:trPr>
          <w:trHeight w:val="960" w:hRule="atLeast"/>
        </w:trPr>
        <w:tc>
          <w:tcPr>
            <w:tcW w:w="1285" w:type="dxa"/>
          </w:tcPr>
          <w:p>
            <w:pPr>
              <w:pStyle w:val="TableParagraph"/>
              <w:spacing w:before="57"/>
              <w:rPr>
                <w:b/>
                <w:sz w:val="22"/>
              </w:rPr>
            </w:pPr>
          </w:p>
          <w:p>
            <w:pPr>
              <w:pStyle w:val="TableParagraph"/>
              <w:ind w:right="68"/>
              <w:jc w:val="center"/>
              <w:rPr>
                <w:sz w:val="22"/>
              </w:rPr>
            </w:pPr>
            <w:r>
              <w:rPr>
                <w:spacing w:val="-5"/>
                <w:sz w:val="22"/>
              </w:rPr>
              <w:t>67</w:t>
            </w:r>
          </w:p>
        </w:tc>
        <w:tc>
          <w:tcPr>
            <w:tcW w:w="1542" w:type="dxa"/>
          </w:tcPr>
          <w:p>
            <w:pPr>
              <w:pStyle w:val="TableParagraph"/>
              <w:spacing w:before="57"/>
              <w:rPr>
                <w:b/>
                <w:sz w:val="22"/>
              </w:rPr>
            </w:pPr>
          </w:p>
          <w:p>
            <w:pPr>
              <w:pStyle w:val="TableParagraph"/>
              <w:ind w:left="565"/>
              <w:rPr>
                <w:sz w:val="22"/>
              </w:rPr>
            </w:pPr>
            <w:r>
              <w:rPr>
                <w:spacing w:val="-5"/>
                <w:sz w:val="22"/>
              </w:rPr>
              <w:t>42</w:t>
            </w:r>
          </w:p>
        </w:tc>
        <w:tc>
          <w:tcPr>
            <w:tcW w:w="1593" w:type="dxa"/>
          </w:tcPr>
          <w:p>
            <w:pPr>
              <w:pStyle w:val="TableParagraph"/>
              <w:spacing w:before="57"/>
              <w:rPr>
                <w:b/>
                <w:sz w:val="22"/>
              </w:rPr>
            </w:pPr>
          </w:p>
          <w:p>
            <w:pPr>
              <w:pStyle w:val="TableParagraph"/>
              <w:ind w:left="99"/>
              <w:jc w:val="center"/>
              <w:rPr>
                <w:sz w:val="22"/>
              </w:rPr>
            </w:pPr>
            <w:r>
              <w:rPr>
                <w:spacing w:val="-10"/>
                <w:sz w:val="22"/>
              </w:rPr>
              <w:t>M</w:t>
            </w:r>
          </w:p>
        </w:tc>
        <w:tc>
          <w:tcPr>
            <w:tcW w:w="2565" w:type="dxa"/>
          </w:tcPr>
          <w:p>
            <w:pPr>
              <w:pStyle w:val="TableParagraph"/>
              <w:spacing w:before="57"/>
              <w:rPr>
                <w:b/>
                <w:sz w:val="22"/>
              </w:rPr>
            </w:pPr>
          </w:p>
          <w:p>
            <w:pPr>
              <w:pStyle w:val="TableParagraph"/>
              <w:ind w:left="83"/>
              <w:jc w:val="center"/>
              <w:rPr>
                <w:sz w:val="22"/>
              </w:rPr>
            </w:pPr>
            <w:r>
              <w:rPr>
                <w:sz w:val="22"/>
              </w:rPr>
              <w:t>THROAT</w:t>
            </w:r>
            <w:r>
              <w:rPr>
                <w:spacing w:val="-5"/>
                <w:sz w:val="22"/>
              </w:rPr>
              <w:t> </w:t>
            </w:r>
            <w:r>
              <w:rPr>
                <w:spacing w:val="-4"/>
                <w:sz w:val="22"/>
              </w:rPr>
              <w:t>SWAB</w:t>
            </w:r>
          </w:p>
        </w:tc>
        <w:tc>
          <w:tcPr>
            <w:tcW w:w="1864" w:type="dxa"/>
          </w:tcPr>
          <w:p>
            <w:pPr>
              <w:pStyle w:val="TableParagraph"/>
              <w:spacing w:before="57"/>
              <w:rPr>
                <w:b/>
                <w:sz w:val="22"/>
              </w:rPr>
            </w:pPr>
          </w:p>
          <w:p>
            <w:pPr>
              <w:pStyle w:val="TableParagraph"/>
              <w:ind w:left="2" w:right="112"/>
              <w:jc w:val="center"/>
              <w:rPr>
                <w:sz w:val="22"/>
              </w:rPr>
            </w:pPr>
            <w:r>
              <w:rPr>
                <w:sz w:val="22"/>
              </w:rPr>
              <w:t>TS</w:t>
            </w:r>
            <w:r>
              <w:rPr>
                <w:spacing w:val="-1"/>
                <w:sz w:val="22"/>
              </w:rPr>
              <w:t> </w:t>
            </w:r>
            <w:r>
              <w:rPr>
                <w:spacing w:val="-5"/>
                <w:sz w:val="22"/>
              </w:rPr>
              <w:t>235</w:t>
            </w:r>
          </w:p>
        </w:tc>
      </w:tr>
      <w:tr>
        <w:trPr>
          <w:trHeight w:val="960" w:hRule="atLeast"/>
        </w:trPr>
        <w:tc>
          <w:tcPr>
            <w:tcW w:w="1285" w:type="dxa"/>
          </w:tcPr>
          <w:p>
            <w:pPr>
              <w:pStyle w:val="TableParagraph"/>
              <w:spacing w:before="57"/>
              <w:rPr>
                <w:b/>
                <w:sz w:val="22"/>
              </w:rPr>
            </w:pPr>
          </w:p>
          <w:p>
            <w:pPr>
              <w:pStyle w:val="TableParagraph"/>
              <w:ind w:right="68"/>
              <w:jc w:val="center"/>
              <w:rPr>
                <w:sz w:val="22"/>
              </w:rPr>
            </w:pPr>
            <w:r>
              <w:rPr>
                <w:spacing w:val="-5"/>
                <w:sz w:val="22"/>
              </w:rPr>
              <w:t>68</w:t>
            </w:r>
          </w:p>
        </w:tc>
        <w:tc>
          <w:tcPr>
            <w:tcW w:w="1542" w:type="dxa"/>
          </w:tcPr>
          <w:p>
            <w:pPr>
              <w:pStyle w:val="TableParagraph"/>
              <w:spacing w:before="57"/>
              <w:rPr>
                <w:b/>
                <w:sz w:val="22"/>
              </w:rPr>
            </w:pPr>
          </w:p>
          <w:p>
            <w:pPr>
              <w:pStyle w:val="TableParagraph"/>
              <w:ind w:left="565"/>
              <w:rPr>
                <w:sz w:val="22"/>
              </w:rPr>
            </w:pPr>
            <w:r>
              <w:rPr>
                <w:spacing w:val="-5"/>
                <w:sz w:val="22"/>
              </w:rPr>
              <w:t>39</w:t>
            </w:r>
          </w:p>
        </w:tc>
        <w:tc>
          <w:tcPr>
            <w:tcW w:w="1593" w:type="dxa"/>
          </w:tcPr>
          <w:p>
            <w:pPr>
              <w:pStyle w:val="TableParagraph"/>
              <w:spacing w:before="57"/>
              <w:rPr>
                <w:b/>
                <w:sz w:val="22"/>
              </w:rPr>
            </w:pPr>
          </w:p>
          <w:p>
            <w:pPr>
              <w:pStyle w:val="TableParagraph"/>
              <w:ind w:left="99"/>
              <w:jc w:val="center"/>
              <w:rPr>
                <w:sz w:val="22"/>
              </w:rPr>
            </w:pPr>
            <w:r>
              <w:rPr>
                <w:spacing w:val="-10"/>
                <w:sz w:val="22"/>
              </w:rPr>
              <w:t>M</w:t>
            </w:r>
          </w:p>
        </w:tc>
        <w:tc>
          <w:tcPr>
            <w:tcW w:w="2565" w:type="dxa"/>
          </w:tcPr>
          <w:p>
            <w:pPr>
              <w:pStyle w:val="TableParagraph"/>
              <w:spacing w:before="57"/>
              <w:rPr>
                <w:b/>
                <w:sz w:val="22"/>
              </w:rPr>
            </w:pPr>
          </w:p>
          <w:p>
            <w:pPr>
              <w:pStyle w:val="TableParagraph"/>
              <w:ind w:left="83" w:right="1"/>
              <w:jc w:val="center"/>
              <w:rPr>
                <w:sz w:val="22"/>
              </w:rPr>
            </w:pPr>
            <w:r>
              <w:rPr>
                <w:sz w:val="22"/>
              </w:rPr>
              <w:t>THROAT</w:t>
            </w:r>
            <w:r>
              <w:rPr>
                <w:spacing w:val="-7"/>
                <w:sz w:val="22"/>
              </w:rPr>
              <w:t> </w:t>
            </w:r>
            <w:r>
              <w:rPr>
                <w:spacing w:val="-4"/>
                <w:sz w:val="22"/>
              </w:rPr>
              <w:t>SWAB</w:t>
            </w:r>
          </w:p>
        </w:tc>
        <w:tc>
          <w:tcPr>
            <w:tcW w:w="1864" w:type="dxa"/>
          </w:tcPr>
          <w:p>
            <w:pPr>
              <w:pStyle w:val="TableParagraph"/>
              <w:spacing w:before="57"/>
              <w:rPr>
                <w:b/>
                <w:sz w:val="22"/>
              </w:rPr>
            </w:pPr>
          </w:p>
          <w:p>
            <w:pPr>
              <w:pStyle w:val="TableParagraph"/>
              <w:ind w:left="2" w:right="112"/>
              <w:jc w:val="center"/>
              <w:rPr>
                <w:sz w:val="22"/>
              </w:rPr>
            </w:pPr>
            <w:r>
              <w:rPr>
                <w:sz w:val="22"/>
              </w:rPr>
              <w:t>TS</w:t>
            </w:r>
            <w:r>
              <w:rPr>
                <w:spacing w:val="-1"/>
                <w:sz w:val="22"/>
              </w:rPr>
              <w:t> </w:t>
            </w:r>
            <w:r>
              <w:rPr>
                <w:spacing w:val="-5"/>
                <w:sz w:val="22"/>
              </w:rPr>
              <w:t>273</w:t>
            </w:r>
          </w:p>
        </w:tc>
      </w:tr>
      <w:tr>
        <w:trPr>
          <w:trHeight w:val="780" w:hRule="atLeast"/>
        </w:trPr>
        <w:tc>
          <w:tcPr>
            <w:tcW w:w="1285" w:type="dxa"/>
          </w:tcPr>
          <w:p>
            <w:pPr>
              <w:pStyle w:val="TableParagraph"/>
              <w:spacing w:before="57"/>
              <w:rPr>
                <w:b/>
                <w:sz w:val="22"/>
              </w:rPr>
            </w:pPr>
          </w:p>
          <w:p>
            <w:pPr>
              <w:pStyle w:val="TableParagraph"/>
              <w:ind w:right="68"/>
              <w:jc w:val="center"/>
              <w:rPr>
                <w:sz w:val="22"/>
              </w:rPr>
            </w:pPr>
            <w:r>
              <w:rPr>
                <w:spacing w:val="-5"/>
                <w:sz w:val="22"/>
              </w:rPr>
              <w:t>69</w:t>
            </w:r>
          </w:p>
        </w:tc>
        <w:tc>
          <w:tcPr>
            <w:tcW w:w="1542" w:type="dxa"/>
          </w:tcPr>
          <w:p>
            <w:pPr>
              <w:pStyle w:val="TableParagraph"/>
              <w:spacing w:before="57"/>
              <w:rPr>
                <w:b/>
                <w:sz w:val="22"/>
              </w:rPr>
            </w:pPr>
          </w:p>
          <w:p>
            <w:pPr>
              <w:pStyle w:val="TableParagraph"/>
              <w:ind w:left="565"/>
              <w:rPr>
                <w:sz w:val="22"/>
              </w:rPr>
            </w:pPr>
            <w:r>
              <w:rPr>
                <w:spacing w:val="-5"/>
                <w:sz w:val="22"/>
              </w:rPr>
              <w:t>32</w:t>
            </w:r>
          </w:p>
        </w:tc>
        <w:tc>
          <w:tcPr>
            <w:tcW w:w="1593" w:type="dxa"/>
          </w:tcPr>
          <w:p>
            <w:pPr>
              <w:pStyle w:val="TableParagraph"/>
              <w:spacing w:before="57"/>
              <w:rPr>
                <w:b/>
                <w:sz w:val="22"/>
              </w:rPr>
            </w:pPr>
          </w:p>
          <w:p>
            <w:pPr>
              <w:pStyle w:val="TableParagraph"/>
              <w:ind w:left="99"/>
              <w:jc w:val="center"/>
              <w:rPr>
                <w:sz w:val="22"/>
              </w:rPr>
            </w:pPr>
            <w:r>
              <w:rPr>
                <w:spacing w:val="-10"/>
                <w:sz w:val="22"/>
              </w:rPr>
              <w:t>M</w:t>
            </w:r>
          </w:p>
        </w:tc>
        <w:tc>
          <w:tcPr>
            <w:tcW w:w="2565" w:type="dxa"/>
          </w:tcPr>
          <w:p>
            <w:pPr>
              <w:pStyle w:val="TableParagraph"/>
              <w:spacing w:before="57"/>
              <w:rPr>
                <w:b/>
                <w:sz w:val="22"/>
              </w:rPr>
            </w:pPr>
          </w:p>
          <w:p>
            <w:pPr>
              <w:pStyle w:val="TableParagraph"/>
              <w:ind w:left="83" w:right="4"/>
              <w:jc w:val="center"/>
              <w:rPr>
                <w:sz w:val="22"/>
              </w:rPr>
            </w:pPr>
            <w:r>
              <w:rPr>
                <w:spacing w:val="-2"/>
                <w:sz w:val="22"/>
              </w:rPr>
              <w:t>SPUTUM</w:t>
            </w:r>
          </w:p>
        </w:tc>
        <w:tc>
          <w:tcPr>
            <w:tcW w:w="1864" w:type="dxa"/>
          </w:tcPr>
          <w:p>
            <w:pPr>
              <w:pStyle w:val="TableParagraph"/>
              <w:spacing w:before="57"/>
              <w:rPr>
                <w:b/>
                <w:sz w:val="22"/>
              </w:rPr>
            </w:pPr>
          </w:p>
          <w:p>
            <w:pPr>
              <w:pStyle w:val="TableParagraph"/>
              <w:ind w:right="112"/>
              <w:jc w:val="center"/>
              <w:rPr>
                <w:sz w:val="22"/>
              </w:rPr>
            </w:pPr>
            <w:r>
              <w:rPr>
                <w:sz w:val="22"/>
              </w:rPr>
              <w:t>SP</w:t>
            </w:r>
            <w:r>
              <w:rPr>
                <w:spacing w:val="1"/>
                <w:sz w:val="22"/>
              </w:rPr>
              <w:t> </w:t>
            </w:r>
            <w:r>
              <w:rPr>
                <w:spacing w:val="-5"/>
                <w:sz w:val="22"/>
              </w:rPr>
              <w:t>279</w:t>
            </w:r>
          </w:p>
        </w:tc>
      </w:tr>
      <w:tr>
        <w:trPr>
          <w:trHeight w:val="597" w:hRule="atLeast"/>
        </w:trPr>
        <w:tc>
          <w:tcPr>
            <w:tcW w:w="1285" w:type="dxa"/>
            <w:tcBorders>
              <w:bottom w:val="single" w:sz="4" w:space="0" w:color="000000"/>
            </w:tcBorders>
          </w:tcPr>
          <w:p>
            <w:pPr>
              <w:pStyle w:val="TableParagraph"/>
              <w:spacing w:before="145"/>
              <w:ind w:right="68"/>
              <w:jc w:val="center"/>
              <w:rPr>
                <w:sz w:val="22"/>
              </w:rPr>
            </w:pPr>
            <w:r>
              <w:rPr>
                <w:spacing w:val="-5"/>
                <w:sz w:val="22"/>
              </w:rPr>
              <w:t>70</w:t>
            </w:r>
          </w:p>
        </w:tc>
        <w:tc>
          <w:tcPr>
            <w:tcW w:w="1542" w:type="dxa"/>
            <w:tcBorders>
              <w:bottom w:val="single" w:sz="4" w:space="0" w:color="000000"/>
            </w:tcBorders>
          </w:tcPr>
          <w:p>
            <w:pPr>
              <w:pStyle w:val="TableParagraph"/>
              <w:spacing w:before="145"/>
              <w:ind w:left="565"/>
              <w:rPr>
                <w:sz w:val="22"/>
              </w:rPr>
            </w:pPr>
            <w:r>
              <w:rPr>
                <w:spacing w:val="-5"/>
                <w:sz w:val="22"/>
              </w:rPr>
              <w:t>35</w:t>
            </w:r>
          </w:p>
        </w:tc>
        <w:tc>
          <w:tcPr>
            <w:tcW w:w="1593" w:type="dxa"/>
            <w:tcBorders>
              <w:bottom w:val="single" w:sz="4" w:space="0" w:color="000000"/>
            </w:tcBorders>
          </w:tcPr>
          <w:p>
            <w:pPr>
              <w:pStyle w:val="TableParagraph"/>
              <w:spacing w:before="145"/>
              <w:ind w:left="99" w:right="1"/>
              <w:jc w:val="center"/>
              <w:rPr>
                <w:sz w:val="22"/>
              </w:rPr>
            </w:pPr>
            <w:r>
              <w:rPr>
                <w:spacing w:val="-10"/>
                <w:sz w:val="22"/>
              </w:rPr>
              <w:t>F</w:t>
            </w:r>
          </w:p>
        </w:tc>
        <w:tc>
          <w:tcPr>
            <w:tcW w:w="2565" w:type="dxa"/>
            <w:tcBorders>
              <w:bottom w:val="single" w:sz="4" w:space="0" w:color="000000"/>
            </w:tcBorders>
          </w:tcPr>
          <w:p>
            <w:pPr>
              <w:pStyle w:val="TableParagraph"/>
              <w:spacing w:before="145"/>
              <w:ind w:left="83"/>
              <w:jc w:val="center"/>
              <w:rPr>
                <w:sz w:val="22"/>
              </w:rPr>
            </w:pPr>
            <w:r>
              <w:rPr>
                <w:sz w:val="22"/>
              </w:rPr>
              <w:t>THROAT</w:t>
            </w:r>
            <w:r>
              <w:rPr>
                <w:spacing w:val="-5"/>
                <w:sz w:val="22"/>
              </w:rPr>
              <w:t> </w:t>
            </w:r>
            <w:r>
              <w:rPr>
                <w:spacing w:val="-4"/>
                <w:sz w:val="22"/>
              </w:rPr>
              <w:t>SWAB</w:t>
            </w:r>
          </w:p>
        </w:tc>
        <w:tc>
          <w:tcPr>
            <w:tcW w:w="1864" w:type="dxa"/>
            <w:tcBorders>
              <w:bottom w:val="single" w:sz="4" w:space="0" w:color="000000"/>
            </w:tcBorders>
          </w:tcPr>
          <w:p>
            <w:pPr>
              <w:pStyle w:val="TableParagraph"/>
              <w:spacing w:before="145"/>
              <w:ind w:left="2" w:right="112"/>
              <w:jc w:val="center"/>
              <w:rPr>
                <w:sz w:val="22"/>
              </w:rPr>
            </w:pPr>
            <w:r>
              <w:rPr>
                <w:sz w:val="22"/>
              </w:rPr>
              <w:t>TS</w:t>
            </w:r>
            <w:r>
              <w:rPr>
                <w:spacing w:val="-1"/>
                <w:sz w:val="22"/>
              </w:rPr>
              <w:t> </w:t>
            </w:r>
            <w:r>
              <w:rPr>
                <w:spacing w:val="-5"/>
                <w:sz w:val="22"/>
              </w:rPr>
              <w:t>274</w:t>
            </w:r>
          </w:p>
        </w:tc>
      </w:tr>
    </w:tbl>
    <w:p>
      <w:pPr>
        <w:pStyle w:val="BodyText"/>
        <w:spacing w:before="3"/>
        <w:ind w:left="1100"/>
      </w:pPr>
      <w:r>
        <w:rPr>
          <w:b/>
        </w:rPr>
        <w:t>Key:</w:t>
      </w:r>
      <w:r>
        <w:rPr>
          <w:b/>
          <w:spacing w:val="-6"/>
        </w:rPr>
        <w:t> </w:t>
      </w:r>
      <w:r>
        <w:rPr/>
        <w:t>SP=Sputum,</w:t>
      </w:r>
      <w:r>
        <w:rPr>
          <w:spacing w:val="-6"/>
        </w:rPr>
        <w:t> </w:t>
      </w:r>
      <w:r>
        <w:rPr/>
        <w:t>TS=Throat</w:t>
      </w:r>
      <w:r>
        <w:rPr>
          <w:spacing w:val="-6"/>
        </w:rPr>
        <w:t> </w:t>
      </w:r>
      <w:r>
        <w:rPr/>
        <w:t>Swab,</w:t>
      </w:r>
      <w:r>
        <w:rPr>
          <w:spacing w:val="-6"/>
        </w:rPr>
        <w:t> </w:t>
      </w:r>
      <w:r>
        <w:rPr/>
        <w:t>F=Female,</w:t>
      </w:r>
      <w:r>
        <w:rPr>
          <w:spacing w:val="-7"/>
        </w:rPr>
        <w:t> </w:t>
      </w:r>
      <w:r>
        <w:rPr>
          <w:spacing w:val="-2"/>
        </w:rPr>
        <w:t>M=Male.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
      </w:pPr>
    </w:p>
    <w:p>
      <w:pPr>
        <w:pStyle w:val="Heading3"/>
        <w:ind w:left="421" w:right="1015"/>
        <w:jc w:val="center"/>
      </w:pPr>
      <w:r>
        <w:rPr/>
        <w:t>Data</w:t>
      </w:r>
      <w:r>
        <w:rPr>
          <w:spacing w:val="-3"/>
        </w:rPr>
        <w:t> </w:t>
      </w:r>
      <w:r>
        <w:rPr/>
        <w:t>on</w:t>
      </w:r>
      <w:r>
        <w:rPr>
          <w:spacing w:val="-3"/>
        </w:rPr>
        <w:t> </w:t>
      </w:r>
      <w:r>
        <w:rPr/>
        <w:t>Samples</w:t>
      </w:r>
      <w:r>
        <w:rPr>
          <w:spacing w:val="-1"/>
        </w:rPr>
        <w:t> </w:t>
      </w:r>
      <w:r>
        <w:rPr>
          <w:spacing w:val="-2"/>
        </w:rPr>
        <w:t>Collected</w:t>
      </w:r>
    </w:p>
    <w:p>
      <w:pPr>
        <w:spacing w:after="0"/>
        <w:jc w:val="center"/>
        <w:sectPr>
          <w:pgSz w:w="11910" w:h="16840"/>
          <w:pgMar w:header="0" w:footer="1055" w:top="1920" w:bottom="1240" w:left="1060" w:right="460"/>
        </w:sectPr>
      </w:pPr>
    </w:p>
    <w:p>
      <w:pPr>
        <w:pStyle w:val="BodyText"/>
        <w:spacing w:line="20" w:lineRule="exact"/>
        <w:ind w:left="351"/>
        <w:rPr>
          <w:sz w:val="2"/>
        </w:rPr>
      </w:pPr>
      <w:r>
        <w:rPr>
          <w:sz w:val="2"/>
        </w:rPr>
        <mc:AlternateContent>
          <mc:Choice Requires="wps">
            <w:drawing>
              <wp:inline distT="0" distB="0" distL="0" distR="0">
                <wp:extent cx="5769610" cy="6350"/>
                <wp:effectExtent l="0" t="0" r="0" b="0"/>
                <wp:docPr id="549" name="Group 549"/>
                <wp:cNvGraphicFramePr>
                  <a:graphicFrameLocks/>
                </wp:cNvGraphicFramePr>
                <a:graphic>
                  <a:graphicData uri="http://schemas.microsoft.com/office/word/2010/wordprocessingGroup">
                    <wpg:wgp>
                      <wpg:cNvPr id="549" name="Group 549"/>
                      <wpg:cNvGrpSpPr/>
                      <wpg:grpSpPr>
                        <a:xfrm>
                          <a:off x="0" y="0"/>
                          <a:ext cx="5769610" cy="6350"/>
                          <a:chExt cx="5769610" cy="6350"/>
                        </a:xfrm>
                      </wpg:grpSpPr>
                      <wps:wsp>
                        <wps:cNvPr id="550" name="Graphic 550"/>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3pt;height:.5pt;mso-position-horizontal-relative:char;mso-position-vertical-relative:line" id="docshapegroup494" coordorigin="0,0" coordsize="9086,10">
                <v:rect style="position:absolute;left:0;top:0;width:9086;height:10" id="docshape495" filled="true" fillcolor="#000000" stroked="false">
                  <v:fill type="solid"/>
                </v:rect>
              </v:group>
            </w:pict>
          </mc:Fallback>
        </mc:AlternateContent>
      </w:r>
      <w:r>
        <w:rPr>
          <w:sz w:val="2"/>
        </w:rPr>
      </w:r>
    </w:p>
    <w:p>
      <w:pPr>
        <w:tabs>
          <w:tab w:pos="2170" w:val="left" w:leader="none"/>
          <w:tab w:pos="3810" w:val="left" w:leader="none"/>
          <w:tab w:pos="5471" w:val="left" w:leader="none"/>
        </w:tabs>
        <w:spacing w:before="8"/>
        <w:ind w:left="730" w:right="0" w:firstLine="0"/>
        <w:jc w:val="left"/>
        <w:rPr>
          <w:b/>
          <w:sz w:val="22"/>
        </w:rPr>
      </w:pPr>
      <w:r>
        <w:rPr/>
        <mc:AlternateContent>
          <mc:Choice Requires="wps">
            <w:drawing>
              <wp:anchor distT="0" distB="0" distL="0" distR="0" allowOverlap="1" layoutInCell="1" locked="0" behindDoc="1" simplePos="0" relativeHeight="487696384">
                <wp:simplePos x="0" y="0"/>
                <wp:positionH relativeFrom="page">
                  <wp:posOffset>896416</wp:posOffset>
                </wp:positionH>
                <wp:positionV relativeFrom="paragraph">
                  <wp:posOffset>202437</wp:posOffset>
                </wp:positionV>
                <wp:extent cx="5769610" cy="6350"/>
                <wp:effectExtent l="0" t="0" r="0" b="0"/>
                <wp:wrapTopAndBottom/>
                <wp:docPr id="551" name="Graphic 551"/>
                <wp:cNvGraphicFramePr>
                  <a:graphicFrameLocks/>
                </wp:cNvGraphicFramePr>
                <a:graphic>
                  <a:graphicData uri="http://schemas.microsoft.com/office/word/2010/wordprocessingShape">
                    <wps:wsp>
                      <wps:cNvPr id="551" name="Graphic 551"/>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15.94pt;width:454.3pt;height:.48pt;mso-position-horizontal-relative:page;mso-position-vertical-relative:paragraph;z-index:-15620096;mso-wrap-distance-left:0;mso-wrap-distance-right:0" id="docshape496" filled="true" fillcolor="#000000" stroked="false">
                <v:fill type="solid"/>
                <w10:wrap type="topAndBottom"/>
              </v:rect>
            </w:pict>
          </mc:Fallback>
        </mc:AlternateContent>
      </w:r>
      <w:r>
        <w:rPr>
          <w:b/>
          <w:spacing w:val="-2"/>
          <w:sz w:val="22"/>
        </w:rPr>
        <w:t>S/No.</w:t>
      </w:r>
      <w:r>
        <w:rPr>
          <w:b/>
          <w:sz w:val="22"/>
        </w:rPr>
        <w:tab/>
      </w:r>
      <w:r>
        <w:rPr>
          <w:b/>
          <w:spacing w:val="-5"/>
          <w:sz w:val="22"/>
        </w:rPr>
        <w:t>Age</w:t>
      </w:r>
      <w:r>
        <w:rPr>
          <w:b/>
          <w:sz w:val="22"/>
        </w:rPr>
        <w:tab/>
      </w:r>
      <w:r>
        <w:rPr>
          <w:b/>
          <w:spacing w:val="-5"/>
          <w:sz w:val="22"/>
        </w:rPr>
        <w:t>Sex</w:t>
      </w:r>
      <w:r>
        <w:rPr>
          <w:b/>
          <w:sz w:val="22"/>
        </w:rPr>
        <w:tab/>
        <w:t>Sample</w:t>
      </w:r>
      <w:r>
        <w:rPr>
          <w:b/>
          <w:spacing w:val="-4"/>
          <w:sz w:val="22"/>
        </w:rPr>
        <w:t> </w:t>
      </w:r>
      <w:r>
        <w:rPr>
          <w:b/>
          <w:sz w:val="22"/>
        </w:rPr>
        <w:t>source</w:t>
      </w:r>
      <w:r>
        <w:rPr>
          <w:b/>
          <w:spacing w:val="75"/>
          <w:w w:val="150"/>
          <w:sz w:val="22"/>
        </w:rPr>
        <w:t> </w:t>
      </w:r>
      <w:r>
        <w:rPr>
          <w:b/>
          <w:sz w:val="22"/>
        </w:rPr>
        <w:t>Sample</w:t>
      </w:r>
      <w:r>
        <w:rPr>
          <w:b/>
          <w:spacing w:val="-3"/>
          <w:sz w:val="22"/>
        </w:rPr>
        <w:t> </w:t>
      </w:r>
      <w:r>
        <w:rPr>
          <w:b/>
          <w:spacing w:val="-5"/>
          <w:sz w:val="22"/>
        </w:rPr>
        <w:t>No.</w:t>
      </w:r>
    </w:p>
    <w:p>
      <w:pPr>
        <w:pStyle w:val="BodyText"/>
        <w:rPr>
          <w:b/>
          <w:sz w:val="20"/>
        </w:rPr>
      </w:pPr>
    </w:p>
    <w:p>
      <w:pPr>
        <w:pStyle w:val="BodyText"/>
        <w:spacing w:before="159"/>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5"/>
        <w:gridCol w:w="1542"/>
        <w:gridCol w:w="1691"/>
        <w:gridCol w:w="2344"/>
        <w:gridCol w:w="1990"/>
      </w:tblGrid>
      <w:tr>
        <w:trPr>
          <w:trHeight w:val="717" w:hRule="atLeast"/>
        </w:trPr>
        <w:tc>
          <w:tcPr>
            <w:tcW w:w="1285" w:type="dxa"/>
          </w:tcPr>
          <w:p>
            <w:pPr>
              <w:pStyle w:val="TableParagraph"/>
              <w:spacing w:line="225" w:lineRule="exact"/>
              <w:ind w:right="68"/>
              <w:jc w:val="center"/>
              <w:rPr>
                <w:sz w:val="22"/>
              </w:rPr>
            </w:pPr>
            <w:r>
              <w:rPr>
                <w:spacing w:val="-5"/>
                <w:sz w:val="22"/>
              </w:rPr>
              <w:t>71</w:t>
            </w:r>
          </w:p>
        </w:tc>
        <w:tc>
          <w:tcPr>
            <w:tcW w:w="1542" w:type="dxa"/>
          </w:tcPr>
          <w:p>
            <w:pPr>
              <w:pStyle w:val="TableParagraph"/>
              <w:spacing w:line="225" w:lineRule="exact"/>
              <w:ind w:left="621"/>
              <w:rPr>
                <w:sz w:val="22"/>
              </w:rPr>
            </w:pPr>
            <w:r>
              <w:rPr>
                <w:spacing w:val="-10"/>
                <w:sz w:val="22"/>
              </w:rPr>
              <w:t>2</w:t>
            </w:r>
          </w:p>
        </w:tc>
        <w:tc>
          <w:tcPr>
            <w:tcW w:w="1691" w:type="dxa"/>
          </w:tcPr>
          <w:p>
            <w:pPr>
              <w:pStyle w:val="TableParagraph"/>
              <w:spacing w:line="225" w:lineRule="exact"/>
              <w:ind w:left="1"/>
              <w:jc w:val="center"/>
              <w:rPr>
                <w:sz w:val="22"/>
              </w:rPr>
            </w:pPr>
            <w:r>
              <w:rPr>
                <w:spacing w:val="-10"/>
                <w:sz w:val="22"/>
              </w:rPr>
              <w:t>M</w:t>
            </w:r>
          </w:p>
        </w:tc>
        <w:tc>
          <w:tcPr>
            <w:tcW w:w="2344" w:type="dxa"/>
          </w:tcPr>
          <w:p>
            <w:pPr>
              <w:pStyle w:val="TableParagraph"/>
              <w:spacing w:line="225" w:lineRule="exact"/>
              <w:ind w:left="827"/>
              <w:rPr>
                <w:sz w:val="22"/>
              </w:rPr>
            </w:pPr>
            <w:r>
              <w:rPr>
                <w:spacing w:val="-2"/>
                <w:sz w:val="22"/>
              </w:rPr>
              <w:t>SPUTUM</w:t>
            </w:r>
          </w:p>
        </w:tc>
        <w:tc>
          <w:tcPr>
            <w:tcW w:w="1990" w:type="dxa"/>
          </w:tcPr>
          <w:p>
            <w:pPr>
              <w:pStyle w:val="TableParagraph"/>
              <w:spacing w:line="225" w:lineRule="exact"/>
              <w:ind w:left="7" w:right="2"/>
              <w:jc w:val="center"/>
              <w:rPr>
                <w:sz w:val="22"/>
              </w:rPr>
            </w:pPr>
            <w:r>
              <w:rPr>
                <w:sz w:val="22"/>
              </w:rPr>
              <w:t>SP</w:t>
            </w:r>
            <w:r>
              <w:rPr>
                <w:spacing w:val="1"/>
                <w:sz w:val="22"/>
              </w:rPr>
              <w:t> </w:t>
            </w:r>
            <w:r>
              <w:rPr>
                <w:spacing w:val="-5"/>
                <w:sz w:val="22"/>
              </w:rPr>
              <w:t>277</w:t>
            </w:r>
          </w:p>
        </w:tc>
      </w:tr>
      <w:tr>
        <w:trPr>
          <w:trHeight w:val="1087" w:hRule="atLeast"/>
        </w:trPr>
        <w:tc>
          <w:tcPr>
            <w:tcW w:w="1285" w:type="dxa"/>
          </w:tcPr>
          <w:p>
            <w:pPr>
              <w:pStyle w:val="TableParagraph"/>
              <w:spacing w:before="184"/>
              <w:rPr>
                <w:b/>
                <w:sz w:val="22"/>
              </w:rPr>
            </w:pPr>
          </w:p>
          <w:p>
            <w:pPr>
              <w:pStyle w:val="TableParagraph"/>
              <w:ind w:right="68"/>
              <w:jc w:val="center"/>
              <w:rPr>
                <w:sz w:val="22"/>
              </w:rPr>
            </w:pPr>
            <w:r>
              <w:rPr>
                <w:spacing w:val="-5"/>
                <w:sz w:val="22"/>
              </w:rPr>
              <w:t>72</w:t>
            </w:r>
          </w:p>
        </w:tc>
        <w:tc>
          <w:tcPr>
            <w:tcW w:w="1542" w:type="dxa"/>
          </w:tcPr>
          <w:p>
            <w:pPr>
              <w:pStyle w:val="TableParagraph"/>
              <w:spacing w:before="184"/>
              <w:rPr>
                <w:b/>
                <w:sz w:val="22"/>
              </w:rPr>
            </w:pPr>
          </w:p>
          <w:p>
            <w:pPr>
              <w:pStyle w:val="TableParagraph"/>
              <w:ind w:left="565"/>
              <w:rPr>
                <w:sz w:val="22"/>
              </w:rPr>
            </w:pPr>
            <w:r>
              <w:rPr>
                <w:spacing w:val="-5"/>
                <w:sz w:val="22"/>
              </w:rPr>
              <w:t>31</w:t>
            </w:r>
          </w:p>
        </w:tc>
        <w:tc>
          <w:tcPr>
            <w:tcW w:w="1691" w:type="dxa"/>
          </w:tcPr>
          <w:p>
            <w:pPr>
              <w:pStyle w:val="TableParagraph"/>
              <w:spacing w:before="184"/>
              <w:rPr>
                <w:b/>
                <w:sz w:val="22"/>
              </w:rPr>
            </w:pPr>
          </w:p>
          <w:p>
            <w:pPr>
              <w:pStyle w:val="TableParagraph"/>
              <w:ind w:left="1"/>
              <w:jc w:val="center"/>
              <w:rPr>
                <w:sz w:val="22"/>
              </w:rPr>
            </w:pPr>
            <w:r>
              <w:rPr>
                <w:spacing w:val="-10"/>
                <w:sz w:val="22"/>
              </w:rPr>
              <w:t>M</w:t>
            </w:r>
          </w:p>
        </w:tc>
        <w:tc>
          <w:tcPr>
            <w:tcW w:w="2344" w:type="dxa"/>
          </w:tcPr>
          <w:p>
            <w:pPr>
              <w:pStyle w:val="TableParagraph"/>
              <w:spacing w:before="184"/>
              <w:rPr>
                <w:b/>
                <w:sz w:val="22"/>
              </w:rPr>
            </w:pPr>
          </w:p>
          <w:p>
            <w:pPr>
              <w:pStyle w:val="TableParagraph"/>
              <w:ind w:left="827"/>
              <w:rPr>
                <w:sz w:val="22"/>
              </w:rPr>
            </w:pPr>
            <w:r>
              <w:rPr>
                <w:spacing w:val="-2"/>
                <w:sz w:val="22"/>
              </w:rPr>
              <w:t>SPUTUM</w:t>
            </w:r>
          </w:p>
        </w:tc>
        <w:tc>
          <w:tcPr>
            <w:tcW w:w="1990" w:type="dxa"/>
          </w:tcPr>
          <w:p>
            <w:pPr>
              <w:pStyle w:val="TableParagraph"/>
              <w:spacing w:before="184"/>
              <w:rPr>
                <w:b/>
                <w:sz w:val="22"/>
              </w:rPr>
            </w:pPr>
          </w:p>
          <w:p>
            <w:pPr>
              <w:pStyle w:val="TableParagraph"/>
              <w:ind w:left="7" w:right="3"/>
              <w:jc w:val="center"/>
              <w:rPr>
                <w:sz w:val="22"/>
              </w:rPr>
            </w:pPr>
            <w:r>
              <w:rPr>
                <w:sz w:val="22"/>
              </w:rPr>
              <w:t>S </w:t>
            </w:r>
            <w:r>
              <w:rPr>
                <w:spacing w:val="-5"/>
                <w:sz w:val="22"/>
              </w:rPr>
              <w:t>903</w:t>
            </w:r>
          </w:p>
        </w:tc>
      </w:tr>
      <w:tr>
        <w:trPr>
          <w:trHeight w:val="960" w:hRule="atLeast"/>
        </w:trPr>
        <w:tc>
          <w:tcPr>
            <w:tcW w:w="1285" w:type="dxa"/>
          </w:tcPr>
          <w:p>
            <w:pPr>
              <w:pStyle w:val="TableParagraph"/>
              <w:spacing w:before="57"/>
              <w:rPr>
                <w:b/>
                <w:sz w:val="22"/>
              </w:rPr>
            </w:pPr>
          </w:p>
          <w:p>
            <w:pPr>
              <w:pStyle w:val="TableParagraph"/>
              <w:ind w:right="68"/>
              <w:jc w:val="center"/>
              <w:rPr>
                <w:sz w:val="22"/>
              </w:rPr>
            </w:pPr>
            <w:r>
              <w:rPr>
                <w:spacing w:val="-5"/>
                <w:sz w:val="22"/>
              </w:rPr>
              <w:t>73</w:t>
            </w:r>
          </w:p>
        </w:tc>
        <w:tc>
          <w:tcPr>
            <w:tcW w:w="1542" w:type="dxa"/>
          </w:tcPr>
          <w:p>
            <w:pPr>
              <w:pStyle w:val="TableParagraph"/>
              <w:spacing w:before="57"/>
              <w:rPr>
                <w:b/>
                <w:sz w:val="22"/>
              </w:rPr>
            </w:pPr>
          </w:p>
          <w:p>
            <w:pPr>
              <w:pStyle w:val="TableParagraph"/>
              <w:ind w:left="565"/>
              <w:rPr>
                <w:sz w:val="22"/>
              </w:rPr>
            </w:pPr>
            <w:r>
              <w:rPr>
                <w:spacing w:val="-5"/>
                <w:sz w:val="22"/>
              </w:rPr>
              <w:t>14</w:t>
            </w:r>
          </w:p>
        </w:tc>
        <w:tc>
          <w:tcPr>
            <w:tcW w:w="1691" w:type="dxa"/>
          </w:tcPr>
          <w:p>
            <w:pPr>
              <w:pStyle w:val="TableParagraph"/>
              <w:spacing w:before="57"/>
              <w:rPr>
                <w:b/>
                <w:sz w:val="22"/>
              </w:rPr>
            </w:pPr>
          </w:p>
          <w:p>
            <w:pPr>
              <w:pStyle w:val="TableParagraph"/>
              <w:ind w:left="1"/>
              <w:jc w:val="center"/>
              <w:rPr>
                <w:sz w:val="22"/>
              </w:rPr>
            </w:pPr>
            <w:r>
              <w:rPr>
                <w:spacing w:val="-10"/>
                <w:sz w:val="22"/>
              </w:rPr>
              <w:t>M</w:t>
            </w:r>
          </w:p>
        </w:tc>
        <w:tc>
          <w:tcPr>
            <w:tcW w:w="2344" w:type="dxa"/>
          </w:tcPr>
          <w:p>
            <w:pPr>
              <w:pStyle w:val="TableParagraph"/>
              <w:spacing w:before="57"/>
              <w:rPr>
                <w:b/>
                <w:sz w:val="22"/>
              </w:rPr>
            </w:pPr>
          </w:p>
          <w:p>
            <w:pPr>
              <w:pStyle w:val="TableParagraph"/>
              <w:ind w:left="827"/>
              <w:rPr>
                <w:sz w:val="22"/>
              </w:rPr>
            </w:pPr>
            <w:r>
              <w:rPr>
                <w:spacing w:val="-2"/>
                <w:sz w:val="22"/>
              </w:rPr>
              <w:t>SPUTUM</w:t>
            </w:r>
          </w:p>
        </w:tc>
        <w:tc>
          <w:tcPr>
            <w:tcW w:w="1990" w:type="dxa"/>
          </w:tcPr>
          <w:p>
            <w:pPr>
              <w:pStyle w:val="TableParagraph"/>
              <w:spacing w:before="57"/>
              <w:rPr>
                <w:b/>
                <w:sz w:val="22"/>
              </w:rPr>
            </w:pPr>
          </w:p>
          <w:p>
            <w:pPr>
              <w:pStyle w:val="TableParagraph"/>
              <w:ind w:left="7" w:right="2"/>
              <w:jc w:val="center"/>
              <w:rPr>
                <w:sz w:val="22"/>
              </w:rPr>
            </w:pPr>
            <w:r>
              <w:rPr>
                <w:sz w:val="22"/>
              </w:rPr>
              <w:t>SP</w:t>
            </w:r>
            <w:r>
              <w:rPr>
                <w:spacing w:val="1"/>
                <w:sz w:val="22"/>
              </w:rPr>
              <w:t> </w:t>
            </w:r>
            <w:r>
              <w:rPr>
                <w:spacing w:val="-5"/>
                <w:sz w:val="22"/>
              </w:rPr>
              <w:t>271</w:t>
            </w:r>
          </w:p>
        </w:tc>
      </w:tr>
      <w:tr>
        <w:trPr>
          <w:trHeight w:val="960" w:hRule="atLeast"/>
        </w:trPr>
        <w:tc>
          <w:tcPr>
            <w:tcW w:w="1285" w:type="dxa"/>
          </w:tcPr>
          <w:p>
            <w:pPr>
              <w:pStyle w:val="TableParagraph"/>
              <w:spacing w:before="57"/>
              <w:rPr>
                <w:b/>
                <w:sz w:val="22"/>
              </w:rPr>
            </w:pPr>
          </w:p>
          <w:p>
            <w:pPr>
              <w:pStyle w:val="TableParagraph"/>
              <w:ind w:right="68"/>
              <w:jc w:val="center"/>
              <w:rPr>
                <w:sz w:val="22"/>
              </w:rPr>
            </w:pPr>
            <w:r>
              <w:rPr>
                <w:spacing w:val="-5"/>
                <w:sz w:val="22"/>
              </w:rPr>
              <w:t>74</w:t>
            </w:r>
          </w:p>
        </w:tc>
        <w:tc>
          <w:tcPr>
            <w:tcW w:w="1542" w:type="dxa"/>
          </w:tcPr>
          <w:p>
            <w:pPr>
              <w:pStyle w:val="TableParagraph"/>
              <w:spacing w:before="57"/>
              <w:rPr>
                <w:b/>
                <w:sz w:val="22"/>
              </w:rPr>
            </w:pPr>
          </w:p>
          <w:p>
            <w:pPr>
              <w:pStyle w:val="TableParagraph"/>
              <w:ind w:left="565"/>
              <w:rPr>
                <w:sz w:val="22"/>
              </w:rPr>
            </w:pPr>
            <w:r>
              <w:rPr>
                <w:spacing w:val="-5"/>
                <w:sz w:val="22"/>
              </w:rPr>
              <w:t>28</w:t>
            </w:r>
          </w:p>
        </w:tc>
        <w:tc>
          <w:tcPr>
            <w:tcW w:w="1691" w:type="dxa"/>
          </w:tcPr>
          <w:p>
            <w:pPr>
              <w:pStyle w:val="TableParagraph"/>
              <w:spacing w:before="57"/>
              <w:rPr>
                <w:b/>
                <w:sz w:val="22"/>
              </w:rPr>
            </w:pPr>
          </w:p>
          <w:p>
            <w:pPr>
              <w:pStyle w:val="TableParagraph"/>
              <w:ind w:left="1"/>
              <w:jc w:val="center"/>
              <w:rPr>
                <w:sz w:val="22"/>
              </w:rPr>
            </w:pPr>
            <w:r>
              <w:rPr>
                <w:spacing w:val="-10"/>
                <w:sz w:val="22"/>
              </w:rPr>
              <w:t>M</w:t>
            </w:r>
          </w:p>
        </w:tc>
        <w:tc>
          <w:tcPr>
            <w:tcW w:w="2344" w:type="dxa"/>
          </w:tcPr>
          <w:p>
            <w:pPr>
              <w:pStyle w:val="TableParagraph"/>
              <w:spacing w:before="57"/>
              <w:rPr>
                <w:b/>
                <w:sz w:val="22"/>
              </w:rPr>
            </w:pPr>
          </w:p>
          <w:p>
            <w:pPr>
              <w:pStyle w:val="TableParagraph"/>
              <w:ind w:left="827"/>
              <w:rPr>
                <w:sz w:val="22"/>
              </w:rPr>
            </w:pPr>
            <w:r>
              <w:rPr>
                <w:spacing w:val="-2"/>
                <w:sz w:val="22"/>
              </w:rPr>
              <w:t>SPUTUM</w:t>
            </w:r>
          </w:p>
        </w:tc>
        <w:tc>
          <w:tcPr>
            <w:tcW w:w="1990" w:type="dxa"/>
          </w:tcPr>
          <w:p>
            <w:pPr>
              <w:pStyle w:val="TableParagraph"/>
              <w:spacing w:before="57"/>
              <w:rPr>
                <w:b/>
                <w:sz w:val="22"/>
              </w:rPr>
            </w:pPr>
          </w:p>
          <w:p>
            <w:pPr>
              <w:pStyle w:val="TableParagraph"/>
              <w:ind w:left="7" w:right="2"/>
              <w:jc w:val="center"/>
              <w:rPr>
                <w:sz w:val="22"/>
              </w:rPr>
            </w:pPr>
            <w:r>
              <w:rPr>
                <w:sz w:val="22"/>
              </w:rPr>
              <w:t>SP</w:t>
            </w:r>
            <w:r>
              <w:rPr>
                <w:spacing w:val="1"/>
                <w:sz w:val="22"/>
              </w:rPr>
              <w:t> </w:t>
            </w:r>
            <w:r>
              <w:rPr>
                <w:spacing w:val="-5"/>
                <w:sz w:val="22"/>
              </w:rPr>
              <w:t>233</w:t>
            </w:r>
          </w:p>
        </w:tc>
      </w:tr>
      <w:tr>
        <w:trPr>
          <w:trHeight w:val="960" w:hRule="atLeast"/>
        </w:trPr>
        <w:tc>
          <w:tcPr>
            <w:tcW w:w="1285" w:type="dxa"/>
          </w:tcPr>
          <w:p>
            <w:pPr>
              <w:pStyle w:val="TableParagraph"/>
              <w:spacing w:before="57"/>
              <w:rPr>
                <w:b/>
                <w:sz w:val="22"/>
              </w:rPr>
            </w:pPr>
          </w:p>
          <w:p>
            <w:pPr>
              <w:pStyle w:val="TableParagraph"/>
              <w:ind w:right="68"/>
              <w:jc w:val="center"/>
              <w:rPr>
                <w:sz w:val="22"/>
              </w:rPr>
            </w:pPr>
            <w:r>
              <w:rPr>
                <w:spacing w:val="-5"/>
                <w:sz w:val="22"/>
              </w:rPr>
              <w:t>75</w:t>
            </w:r>
          </w:p>
        </w:tc>
        <w:tc>
          <w:tcPr>
            <w:tcW w:w="1542" w:type="dxa"/>
          </w:tcPr>
          <w:p>
            <w:pPr>
              <w:pStyle w:val="TableParagraph"/>
              <w:spacing w:before="57"/>
              <w:rPr>
                <w:b/>
                <w:sz w:val="22"/>
              </w:rPr>
            </w:pPr>
          </w:p>
          <w:p>
            <w:pPr>
              <w:pStyle w:val="TableParagraph"/>
              <w:ind w:left="565"/>
              <w:rPr>
                <w:sz w:val="22"/>
              </w:rPr>
            </w:pPr>
            <w:r>
              <w:rPr>
                <w:spacing w:val="-5"/>
                <w:sz w:val="22"/>
              </w:rPr>
              <w:t>53</w:t>
            </w:r>
          </w:p>
        </w:tc>
        <w:tc>
          <w:tcPr>
            <w:tcW w:w="1691" w:type="dxa"/>
          </w:tcPr>
          <w:p>
            <w:pPr>
              <w:pStyle w:val="TableParagraph"/>
              <w:spacing w:before="57"/>
              <w:rPr>
                <w:b/>
                <w:sz w:val="22"/>
              </w:rPr>
            </w:pPr>
          </w:p>
          <w:p>
            <w:pPr>
              <w:pStyle w:val="TableParagraph"/>
              <w:ind w:left="1"/>
              <w:jc w:val="center"/>
              <w:rPr>
                <w:sz w:val="22"/>
              </w:rPr>
            </w:pPr>
            <w:r>
              <w:rPr>
                <w:spacing w:val="-10"/>
                <w:sz w:val="22"/>
              </w:rPr>
              <w:t>M</w:t>
            </w:r>
          </w:p>
        </w:tc>
        <w:tc>
          <w:tcPr>
            <w:tcW w:w="2344" w:type="dxa"/>
          </w:tcPr>
          <w:p>
            <w:pPr>
              <w:pStyle w:val="TableParagraph"/>
              <w:spacing w:before="57"/>
              <w:rPr>
                <w:b/>
                <w:sz w:val="22"/>
              </w:rPr>
            </w:pPr>
          </w:p>
          <w:p>
            <w:pPr>
              <w:pStyle w:val="TableParagraph"/>
              <w:ind w:left="827"/>
              <w:rPr>
                <w:sz w:val="22"/>
              </w:rPr>
            </w:pPr>
            <w:r>
              <w:rPr>
                <w:spacing w:val="-2"/>
                <w:sz w:val="22"/>
              </w:rPr>
              <w:t>SPUTUM</w:t>
            </w:r>
          </w:p>
        </w:tc>
        <w:tc>
          <w:tcPr>
            <w:tcW w:w="1990" w:type="dxa"/>
          </w:tcPr>
          <w:p>
            <w:pPr>
              <w:pStyle w:val="TableParagraph"/>
              <w:spacing w:before="57"/>
              <w:rPr>
                <w:b/>
                <w:sz w:val="22"/>
              </w:rPr>
            </w:pPr>
          </w:p>
          <w:p>
            <w:pPr>
              <w:pStyle w:val="TableParagraph"/>
              <w:ind w:left="7" w:right="2"/>
              <w:jc w:val="center"/>
              <w:rPr>
                <w:sz w:val="22"/>
              </w:rPr>
            </w:pPr>
            <w:r>
              <w:rPr>
                <w:sz w:val="22"/>
              </w:rPr>
              <w:t>SP</w:t>
            </w:r>
            <w:r>
              <w:rPr>
                <w:spacing w:val="1"/>
                <w:sz w:val="22"/>
              </w:rPr>
              <w:t> </w:t>
            </w:r>
            <w:r>
              <w:rPr>
                <w:spacing w:val="-5"/>
                <w:sz w:val="22"/>
              </w:rPr>
              <w:t>275</w:t>
            </w:r>
          </w:p>
        </w:tc>
      </w:tr>
      <w:tr>
        <w:trPr>
          <w:trHeight w:val="1080" w:hRule="atLeast"/>
        </w:trPr>
        <w:tc>
          <w:tcPr>
            <w:tcW w:w="1285" w:type="dxa"/>
          </w:tcPr>
          <w:p>
            <w:pPr>
              <w:pStyle w:val="TableParagraph"/>
              <w:spacing w:before="57"/>
              <w:rPr>
                <w:b/>
                <w:sz w:val="22"/>
              </w:rPr>
            </w:pPr>
          </w:p>
          <w:p>
            <w:pPr>
              <w:pStyle w:val="TableParagraph"/>
              <w:ind w:right="68"/>
              <w:jc w:val="center"/>
              <w:rPr>
                <w:sz w:val="22"/>
              </w:rPr>
            </w:pPr>
            <w:r>
              <w:rPr>
                <w:spacing w:val="-5"/>
                <w:sz w:val="22"/>
              </w:rPr>
              <w:t>76</w:t>
            </w:r>
          </w:p>
        </w:tc>
        <w:tc>
          <w:tcPr>
            <w:tcW w:w="1542" w:type="dxa"/>
          </w:tcPr>
          <w:p>
            <w:pPr>
              <w:pStyle w:val="TableParagraph"/>
              <w:spacing w:before="57"/>
              <w:rPr>
                <w:b/>
                <w:sz w:val="22"/>
              </w:rPr>
            </w:pPr>
          </w:p>
          <w:p>
            <w:pPr>
              <w:pStyle w:val="TableParagraph"/>
              <w:ind w:left="565"/>
              <w:rPr>
                <w:sz w:val="22"/>
              </w:rPr>
            </w:pPr>
            <w:r>
              <w:rPr>
                <w:spacing w:val="-5"/>
                <w:sz w:val="22"/>
              </w:rPr>
              <w:t>37</w:t>
            </w:r>
          </w:p>
        </w:tc>
        <w:tc>
          <w:tcPr>
            <w:tcW w:w="1691" w:type="dxa"/>
          </w:tcPr>
          <w:p>
            <w:pPr>
              <w:pStyle w:val="TableParagraph"/>
              <w:spacing w:before="57"/>
              <w:rPr>
                <w:b/>
                <w:sz w:val="22"/>
              </w:rPr>
            </w:pPr>
          </w:p>
          <w:p>
            <w:pPr>
              <w:pStyle w:val="TableParagraph"/>
              <w:ind w:left="1" w:right="1"/>
              <w:jc w:val="center"/>
              <w:rPr>
                <w:sz w:val="22"/>
              </w:rPr>
            </w:pPr>
            <w:r>
              <w:rPr>
                <w:spacing w:val="-10"/>
                <w:sz w:val="22"/>
              </w:rPr>
              <w:t>F</w:t>
            </w:r>
          </w:p>
        </w:tc>
        <w:tc>
          <w:tcPr>
            <w:tcW w:w="2344" w:type="dxa"/>
          </w:tcPr>
          <w:p>
            <w:pPr>
              <w:pStyle w:val="TableParagraph"/>
              <w:spacing w:before="57"/>
              <w:rPr>
                <w:b/>
                <w:sz w:val="22"/>
              </w:rPr>
            </w:pPr>
          </w:p>
          <w:p>
            <w:pPr>
              <w:pStyle w:val="TableParagraph"/>
              <w:ind w:left="827"/>
              <w:rPr>
                <w:sz w:val="22"/>
              </w:rPr>
            </w:pPr>
            <w:r>
              <w:rPr>
                <w:spacing w:val="-2"/>
                <w:sz w:val="22"/>
              </w:rPr>
              <w:t>SPUTUM</w:t>
            </w:r>
          </w:p>
        </w:tc>
        <w:tc>
          <w:tcPr>
            <w:tcW w:w="1990" w:type="dxa"/>
          </w:tcPr>
          <w:p>
            <w:pPr>
              <w:pStyle w:val="TableParagraph"/>
              <w:spacing w:before="57"/>
              <w:rPr>
                <w:b/>
                <w:sz w:val="22"/>
              </w:rPr>
            </w:pPr>
          </w:p>
          <w:p>
            <w:pPr>
              <w:pStyle w:val="TableParagraph"/>
              <w:ind w:left="7" w:right="2"/>
              <w:jc w:val="center"/>
              <w:rPr>
                <w:sz w:val="22"/>
              </w:rPr>
            </w:pPr>
            <w:r>
              <w:rPr>
                <w:sz w:val="22"/>
              </w:rPr>
              <w:t>SP</w:t>
            </w:r>
            <w:r>
              <w:rPr>
                <w:spacing w:val="1"/>
                <w:sz w:val="22"/>
              </w:rPr>
              <w:t> </w:t>
            </w:r>
            <w:r>
              <w:rPr>
                <w:spacing w:val="-5"/>
                <w:sz w:val="22"/>
              </w:rPr>
              <w:t>272</w:t>
            </w:r>
          </w:p>
        </w:tc>
      </w:tr>
      <w:tr>
        <w:trPr>
          <w:trHeight w:val="1200" w:hRule="atLeast"/>
        </w:trPr>
        <w:tc>
          <w:tcPr>
            <w:tcW w:w="1285" w:type="dxa"/>
          </w:tcPr>
          <w:p>
            <w:pPr>
              <w:pStyle w:val="TableParagraph"/>
              <w:spacing w:before="177"/>
              <w:rPr>
                <w:b/>
                <w:sz w:val="22"/>
              </w:rPr>
            </w:pPr>
          </w:p>
          <w:p>
            <w:pPr>
              <w:pStyle w:val="TableParagraph"/>
              <w:ind w:right="68"/>
              <w:jc w:val="center"/>
              <w:rPr>
                <w:sz w:val="22"/>
              </w:rPr>
            </w:pPr>
            <w:r>
              <w:rPr>
                <w:spacing w:val="-5"/>
                <w:sz w:val="22"/>
              </w:rPr>
              <w:t>77</w:t>
            </w:r>
          </w:p>
        </w:tc>
        <w:tc>
          <w:tcPr>
            <w:tcW w:w="1542" w:type="dxa"/>
          </w:tcPr>
          <w:p>
            <w:pPr>
              <w:pStyle w:val="TableParagraph"/>
              <w:spacing w:before="177"/>
              <w:rPr>
                <w:b/>
                <w:sz w:val="22"/>
              </w:rPr>
            </w:pPr>
          </w:p>
          <w:p>
            <w:pPr>
              <w:pStyle w:val="TableParagraph"/>
              <w:ind w:left="565"/>
              <w:rPr>
                <w:sz w:val="22"/>
              </w:rPr>
            </w:pPr>
            <w:r>
              <w:rPr>
                <w:spacing w:val="-5"/>
                <w:sz w:val="22"/>
              </w:rPr>
              <w:t>48</w:t>
            </w:r>
          </w:p>
        </w:tc>
        <w:tc>
          <w:tcPr>
            <w:tcW w:w="1691" w:type="dxa"/>
          </w:tcPr>
          <w:p>
            <w:pPr>
              <w:pStyle w:val="TableParagraph"/>
              <w:spacing w:before="177"/>
              <w:rPr>
                <w:b/>
                <w:sz w:val="22"/>
              </w:rPr>
            </w:pPr>
          </w:p>
          <w:p>
            <w:pPr>
              <w:pStyle w:val="TableParagraph"/>
              <w:ind w:left="1" w:right="1"/>
              <w:jc w:val="center"/>
              <w:rPr>
                <w:sz w:val="22"/>
              </w:rPr>
            </w:pPr>
            <w:r>
              <w:rPr>
                <w:spacing w:val="-10"/>
                <w:sz w:val="22"/>
              </w:rPr>
              <w:t>F</w:t>
            </w:r>
          </w:p>
        </w:tc>
        <w:tc>
          <w:tcPr>
            <w:tcW w:w="2344" w:type="dxa"/>
          </w:tcPr>
          <w:p>
            <w:pPr>
              <w:pStyle w:val="TableParagraph"/>
              <w:spacing w:before="177"/>
              <w:rPr>
                <w:b/>
                <w:sz w:val="22"/>
              </w:rPr>
            </w:pPr>
          </w:p>
          <w:p>
            <w:pPr>
              <w:pStyle w:val="TableParagraph"/>
              <w:ind w:left="827"/>
              <w:rPr>
                <w:sz w:val="22"/>
              </w:rPr>
            </w:pPr>
            <w:r>
              <w:rPr>
                <w:spacing w:val="-2"/>
                <w:sz w:val="22"/>
              </w:rPr>
              <w:t>SPUTUM</w:t>
            </w:r>
          </w:p>
        </w:tc>
        <w:tc>
          <w:tcPr>
            <w:tcW w:w="1990" w:type="dxa"/>
          </w:tcPr>
          <w:p>
            <w:pPr>
              <w:pStyle w:val="TableParagraph"/>
              <w:spacing w:before="177"/>
              <w:rPr>
                <w:b/>
                <w:sz w:val="22"/>
              </w:rPr>
            </w:pPr>
          </w:p>
          <w:p>
            <w:pPr>
              <w:pStyle w:val="TableParagraph"/>
              <w:ind w:left="7" w:right="2"/>
              <w:jc w:val="center"/>
              <w:rPr>
                <w:sz w:val="22"/>
              </w:rPr>
            </w:pPr>
            <w:r>
              <w:rPr>
                <w:sz w:val="22"/>
              </w:rPr>
              <w:t>SP</w:t>
            </w:r>
            <w:r>
              <w:rPr>
                <w:spacing w:val="1"/>
                <w:sz w:val="22"/>
              </w:rPr>
              <w:t> </w:t>
            </w:r>
            <w:r>
              <w:rPr>
                <w:spacing w:val="-4"/>
                <w:sz w:val="22"/>
              </w:rPr>
              <w:t>1204</w:t>
            </w:r>
          </w:p>
        </w:tc>
      </w:tr>
      <w:tr>
        <w:trPr>
          <w:trHeight w:val="1080" w:hRule="atLeast"/>
        </w:trPr>
        <w:tc>
          <w:tcPr>
            <w:tcW w:w="1285" w:type="dxa"/>
          </w:tcPr>
          <w:p>
            <w:pPr>
              <w:pStyle w:val="TableParagraph"/>
              <w:spacing w:before="177"/>
              <w:rPr>
                <w:b/>
                <w:sz w:val="22"/>
              </w:rPr>
            </w:pPr>
          </w:p>
          <w:p>
            <w:pPr>
              <w:pStyle w:val="TableParagraph"/>
              <w:ind w:right="68"/>
              <w:jc w:val="center"/>
              <w:rPr>
                <w:sz w:val="22"/>
              </w:rPr>
            </w:pPr>
            <w:r>
              <w:rPr>
                <w:spacing w:val="-5"/>
                <w:sz w:val="22"/>
              </w:rPr>
              <w:t>78</w:t>
            </w:r>
          </w:p>
        </w:tc>
        <w:tc>
          <w:tcPr>
            <w:tcW w:w="1542" w:type="dxa"/>
          </w:tcPr>
          <w:p>
            <w:pPr>
              <w:pStyle w:val="TableParagraph"/>
              <w:spacing w:before="177"/>
              <w:rPr>
                <w:b/>
                <w:sz w:val="22"/>
              </w:rPr>
            </w:pPr>
          </w:p>
          <w:p>
            <w:pPr>
              <w:pStyle w:val="TableParagraph"/>
              <w:ind w:left="565"/>
              <w:rPr>
                <w:sz w:val="22"/>
              </w:rPr>
            </w:pPr>
            <w:r>
              <w:rPr>
                <w:spacing w:val="-5"/>
                <w:sz w:val="22"/>
              </w:rPr>
              <w:t>25</w:t>
            </w:r>
          </w:p>
        </w:tc>
        <w:tc>
          <w:tcPr>
            <w:tcW w:w="1691" w:type="dxa"/>
          </w:tcPr>
          <w:p>
            <w:pPr>
              <w:pStyle w:val="TableParagraph"/>
              <w:spacing w:before="177"/>
              <w:rPr>
                <w:b/>
                <w:sz w:val="22"/>
              </w:rPr>
            </w:pPr>
          </w:p>
          <w:p>
            <w:pPr>
              <w:pStyle w:val="TableParagraph"/>
              <w:ind w:left="1"/>
              <w:jc w:val="center"/>
              <w:rPr>
                <w:sz w:val="22"/>
              </w:rPr>
            </w:pPr>
            <w:r>
              <w:rPr>
                <w:spacing w:val="-10"/>
                <w:sz w:val="22"/>
              </w:rPr>
              <w:t>M</w:t>
            </w:r>
          </w:p>
        </w:tc>
        <w:tc>
          <w:tcPr>
            <w:tcW w:w="2344" w:type="dxa"/>
          </w:tcPr>
          <w:p>
            <w:pPr>
              <w:pStyle w:val="TableParagraph"/>
              <w:spacing w:before="177"/>
              <w:rPr>
                <w:b/>
                <w:sz w:val="22"/>
              </w:rPr>
            </w:pPr>
          </w:p>
          <w:p>
            <w:pPr>
              <w:pStyle w:val="TableParagraph"/>
              <w:ind w:left="827"/>
              <w:rPr>
                <w:sz w:val="22"/>
              </w:rPr>
            </w:pPr>
            <w:r>
              <w:rPr>
                <w:spacing w:val="-2"/>
                <w:sz w:val="22"/>
              </w:rPr>
              <w:t>SPUTUM</w:t>
            </w:r>
          </w:p>
        </w:tc>
        <w:tc>
          <w:tcPr>
            <w:tcW w:w="1990" w:type="dxa"/>
          </w:tcPr>
          <w:p>
            <w:pPr>
              <w:pStyle w:val="TableParagraph"/>
              <w:spacing w:before="177"/>
              <w:rPr>
                <w:b/>
                <w:sz w:val="22"/>
              </w:rPr>
            </w:pPr>
          </w:p>
          <w:p>
            <w:pPr>
              <w:pStyle w:val="TableParagraph"/>
              <w:ind w:left="7" w:right="2"/>
              <w:jc w:val="center"/>
              <w:rPr>
                <w:sz w:val="22"/>
              </w:rPr>
            </w:pPr>
            <w:r>
              <w:rPr>
                <w:sz w:val="22"/>
              </w:rPr>
              <w:t>SP</w:t>
            </w:r>
            <w:r>
              <w:rPr>
                <w:spacing w:val="1"/>
                <w:sz w:val="22"/>
              </w:rPr>
              <w:t> </w:t>
            </w:r>
            <w:r>
              <w:rPr>
                <w:spacing w:val="-4"/>
                <w:sz w:val="22"/>
              </w:rPr>
              <w:t>1205</w:t>
            </w:r>
          </w:p>
        </w:tc>
      </w:tr>
      <w:tr>
        <w:trPr>
          <w:trHeight w:val="1080" w:hRule="atLeast"/>
        </w:trPr>
        <w:tc>
          <w:tcPr>
            <w:tcW w:w="1285" w:type="dxa"/>
          </w:tcPr>
          <w:p>
            <w:pPr>
              <w:pStyle w:val="TableParagraph"/>
              <w:spacing w:before="57"/>
              <w:rPr>
                <w:b/>
                <w:sz w:val="22"/>
              </w:rPr>
            </w:pPr>
          </w:p>
          <w:p>
            <w:pPr>
              <w:pStyle w:val="TableParagraph"/>
              <w:ind w:right="68"/>
              <w:jc w:val="center"/>
              <w:rPr>
                <w:sz w:val="22"/>
              </w:rPr>
            </w:pPr>
            <w:r>
              <w:rPr>
                <w:spacing w:val="-5"/>
                <w:sz w:val="22"/>
              </w:rPr>
              <w:t>79</w:t>
            </w:r>
          </w:p>
        </w:tc>
        <w:tc>
          <w:tcPr>
            <w:tcW w:w="1542" w:type="dxa"/>
          </w:tcPr>
          <w:p>
            <w:pPr>
              <w:pStyle w:val="TableParagraph"/>
              <w:spacing w:before="57"/>
              <w:rPr>
                <w:b/>
                <w:sz w:val="22"/>
              </w:rPr>
            </w:pPr>
          </w:p>
          <w:p>
            <w:pPr>
              <w:pStyle w:val="TableParagraph"/>
              <w:ind w:left="565"/>
              <w:rPr>
                <w:sz w:val="22"/>
              </w:rPr>
            </w:pPr>
            <w:r>
              <w:rPr>
                <w:spacing w:val="-5"/>
                <w:sz w:val="22"/>
              </w:rPr>
              <w:t>18</w:t>
            </w:r>
          </w:p>
        </w:tc>
        <w:tc>
          <w:tcPr>
            <w:tcW w:w="1691" w:type="dxa"/>
          </w:tcPr>
          <w:p>
            <w:pPr>
              <w:pStyle w:val="TableParagraph"/>
              <w:spacing w:before="57"/>
              <w:rPr>
                <w:b/>
                <w:sz w:val="22"/>
              </w:rPr>
            </w:pPr>
          </w:p>
          <w:p>
            <w:pPr>
              <w:pStyle w:val="TableParagraph"/>
              <w:ind w:left="1"/>
              <w:jc w:val="center"/>
              <w:rPr>
                <w:sz w:val="22"/>
              </w:rPr>
            </w:pPr>
            <w:r>
              <w:rPr>
                <w:spacing w:val="-10"/>
                <w:sz w:val="22"/>
              </w:rPr>
              <w:t>M</w:t>
            </w:r>
          </w:p>
        </w:tc>
        <w:tc>
          <w:tcPr>
            <w:tcW w:w="2344" w:type="dxa"/>
          </w:tcPr>
          <w:p>
            <w:pPr>
              <w:pStyle w:val="TableParagraph"/>
              <w:spacing w:before="57"/>
              <w:rPr>
                <w:b/>
                <w:sz w:val="22"/>
              </w:rPr>
            </w:pPr>
          </w:p>
          <w:p>
            <w:pPr>
              <w:pStyle w:val="TableParagraph"/>
              <w:ind w:left="750"/>
              <w:rPr>
                <w:sz w:val="22"/>
              </w:rPr>
            </w:pPr>
            <w:r>
              <w:rPr>
                <w:sz w:val="22"/>
              </w:rPr>
              <w:t>EAR</w:t>
            </w:r>
            <w:r>
              <w:rPr>
                <w:spacing w:val="-2"/>
                <w:sz w:val="22"/>
              </w:rPr>
              <w:t> </w:t>
            </w:r>
            <w:r>
              <w:rPr>
                <w:spacing w:val="-4"/>
                <w:sz w:val="22"/>
              </w:rPr>
              <w:t>SWAB</w:t>
            </w:r>
          </w:p>
        </w:tc>
        <w:tc>
          <w:tcPr>
            <w:tcW w:w="1990" w:type="dxa"/>
          </w:tcPr>
          <w:p>
            <w:pPr>
              <w:pStyle w:val="TableParagraph"/>
              <w:spacing w:before="57"/>
              <w:rPr>
                <w:b/>
                <w:sz w:val="22"/>
              </w:rPr>
            </w:pPr>
          </w:p>
          <w:p>
            <w:pPr>
              <w:pStyle w:val="TableParagraph"/>
              <w:ind w:left="7"/>
              <w:jc w:val="center"/>
              <w:rPr>
                <w:sz w:val="22"/>
              </w:rPr>
            </w:pPr>
            <w:r>
              <w:rPr>
                <w:sz w:val="22"/>
              </w:rPr>
              <w:t>ES</w:t>
            </w:r>
            <w:r>
              <w:rPr>
                <w:spacing w:val="-3"/>
                <w:sz w:val="22"/>
              </w:rPr>
              <w:t> </w:t>
            </w:r>
            <w:r>
              <w:rPr>
                <w:spacing w:val="-4"/>
                <w:sz w:val="22"/>
              </w:rPr>
              <w:t>1209</w:t>
            </w:r>
          </w:p>
        </w:tc>
      </w:tr>
      <w:tr>
        <w:trPr>
          <w:trHeight w:val="900" w:hRule="atLeast"/>
        </w:trPr>
        <w:tc>
          <w:tcPr>
            <w:tcW w:w="1285" w:type="dxa"/>
            <w:tcBorders>
              <w:bottom w:val="single" w:sz="4" w:space="0" w:color="000000"/>
            </w:tcBorders>
          </w:tcPr>
          <w:p>
            <w:pPr>
              <w:pStyle w:val="TableParagraph"/>
              <w:spacing w:before="177"/>
              <w:rPr>
                <w:b/>
                <w:sz w:val="22"/>
              </w:rPr>
            </w:pPr>
          </w:p>
          <w:p>
            <w:pPr>
              <w:pStyle w:val="TableParagraph"/>
              <w:ind w:right="68"/>
              <w:jc w:val="center"/>
              <w:rPr>
                <w:sz w:val="22"/>
              </w:rPr>
            </w:pPr>
            <w:r>
              <w:rPr>
                <w:spacing w:val="-5"/>
                <w:sz w:val="22"/>
              </w:rPr>
              <w:t>80</w:t>
            </w:r>
          </w:p>
        </w:tc>
        <w:tc>
          <w:tcPr>
            <w:tcW w:w="1542" w:type="dxa"/>
            <w:tcBorders>
              <w:bottom w:val="single" w:sz="4" w:space="0" w:color="000000"/>
            </w:tcBorders>
          </w:tcPr>
          <w:p>
            <w:pPr>
              <w:pStyle w:val="TableParagraph"/>
              <w:spacing w:before="177"/>
              <w:rPr>
                <w:b/>
                <w:sz w:val="22"/>
              </w:rPr>
            </w:pPr>
          </w:p>
          <w:p>
            <w:pPr>
              <w:pStyle w:val="TableParagraph"/>
              <w:ind w:left="565"/>
              <w:rPr>
                <w:sz w:val="22"/>
              </w:rPr>
            </w:pPr>
            <w:r>
              <w:rPr>
                <w:spacing w:val="-5"/>
                <w:sz w:val="22"/>
              </w:rPr>
              <w:t>45</w:t>
            </w:r>
          </w:p>
        </w:tc>
        <w:tc>
          <w:tcPr>
            <w:tcW w:w="1691" w:type="dxa"/>
            <w:tcBorders>
              <w:bottom w:val="single" w:sz="4" w:space="0" w:color="000000"/>
            </w:tcBorders>
          </w:tcPr>
          <w:p>
            <w:pPr>
              <w:pStyle w:val="TableParagraph"/>
              <w:spacing w:before="177"/>
              <w:rPr>
                <w:b/>
                <w:sz w:val="22"/>
              </w:rPr>
            </w:pPr>
          </w:p>
          <w:p>
            <w:pPr>
              <w:pStyle w:val="TableParagraph"/>
              <w:ind w:left="1"/>
              <w:jc w:val="center"/>
              <w:rPr>
                <w:sz w:val="22"/>
              </w:rPr>
            </w:pPr>
            <w:r>
              <w:rPr>
                <w:spacing w:val="-10"/>
                <w:sz w:val="22"/>
              </w:rPr>
              <w:t>M</w:t>
            </w:r>
          </w:p>
        </w:tc>
        <w:tc>
          <w:tcPr>
            <w:tcW w:w="2344" w:type="dxa"/>
            <w:tcBorders>
              <w:bottom w:val="single" w:sz="4" w:space="0" w:color="000000"/>
            </w:tcBorders>
          </w:tcPr>
          <w:p>
            <w:pPr>
              <w:pStyle w:val="TableParagraph"/>
              <w:spacing w:before="177"/>
              <w:rPr>
                <w:b/>
                <w:sz w:val="22"/>
              </w:rPr>
            </w:pPr>
          </w:p>
          <w:p>
            <w:pPr>
              <w:pStyle w:val="TableParagraph"/>
              <w:ind w:left="827"/>
              <w:rPr>
                <w:sz w:val="22"/>
              </w:rPr>
            </w:pPr>
            <w:r>
              <w:rPr>
                <w:spacing w:val="-2"/>
                <w:sz w:val="22"/>
              </w:rPr>
              <w:t>SPUTUM</w:t>
            </w:r>
          </w:p>
        </w:tc>
        <w:tc>
          <w:tcPr>
            <w:tcW w:w="1990" w:type="dxa"/>
            <w:tcBorders>
              <w:bottom w:val="single" w:sz="4" w:space="0" w:color="000000"/>
            </w:tcBorders>
          </w:tcPr>
          <w:p>
            <w:pPr>
              <w:pStyle w:val="TableParagraph"/>
              <w:spacing w:before="177"/>
              <w:rPr>
                <w:b/>
                <w:sz w:val="22"/>
              </w:rPr>
            </w:pPr>
          </w:p>
          <w:p>
            <w:pPr>
              <w:pStyle w:val="TableParagraph"/>
              <w:ind w:left="7" w:right="2"/>
              <w:jc w:val="center"/>
              <w:rPr>
                <w:sz w:val="22"/>
              </w:rPr>
            </w:pPr>
            <w:r>
              <w:rPr>
                <w:sz w:val="22"/>
              </w:rPr>
              <w:t>SP</w:t>
            </w:r>
            <w:r>
              <w:rPr>
                <w:spacing w:val="1"/>
                <w:sz w:val="22"/>
              </w:rPr>
              <w:t> </w:t>
            </w:r>
            <w:r>
              <w:rPr>
                <w:spacing w:val="-4"/>
                <w:sz w:val="22"/>
              </w:rPr>
              <w:t>1203</w:t>
            </w:r>
          </w:p>
        </w:tc>
      </w:tr>
    </w:tbl>
    <w:p>
      <w:pPr>
        <w:pStyle w:val="BodyText"/>
        <w:spacing w:before="3"/>
        <w:ind w:left="380"/>
      </w:pPr>
      <w:r>
        <w:rPr>
          <w:b/>
        </w:rPr>
        <w:t>Key:</w:t>
      </w:r>
      <w:r>
        <w:rPr>
          <w:b/>
          <w:spacing w:val="-5"/>
        </w:rPr>
        <w:t> </w:t>
      </w:r>
      <w:r>
        <w:rPr/>
        <w:t>ES=Ear</w:t>
      </w:r>
      <w:r>
        <w:rPr>
          <w:spacing w:val="-4"/>
        </w:rPr>
        <w:t> </w:t>
      </w:r>
      <w:r>
        <w:rPr/>
        <w:t>Swab,</w:t>
      </w:r>
      <w:r>
        <w:rPr>
          <w:spacing w:val="-4"/>
        </w:rPr>
        <w:t> </w:t>
      </w:r>
      <w:r>
        <w:rPr/>
        <w:t>SP=Sputum,</w:t>
      </w:r>
      <w:r>
        <w:rPr>
          <w:spacing w:val="-4"/>
        </w:rPr>
        <w:t> </w:t>
      </w:r>
      <w:r>
        <w:rPr/>
        <w:t>F=Female,</w:t>
      </w:r>
      <w:r>
        <w:rPr>
          <w:spacing w:val="-6"/>
        </w:rPr>
        <w:t> </w:t>
      </w:r>
      <w:r>
        <w:rPr>
          <w:spacing w:val="-2"/>
        </w:rPr>
        <w:t>M=Male.</w:t>
      </w:r>
    </w:p>
    <w:p>
      <w:pPr>
        <w:pStyle w:val="BodyText"/>
      </w:pPr>
    </w:p>
    <w:p>
      <w:pPr>
        <w:pStyle w:val="BodyText"/>
      </w:pPr>
    </w:p>
    <w:p>
      <w:pPr>
        <w:pStyle w:val="BodyText"/>
      </w:pPr>
    </w:p>
    <w:p>
      <w:pPr>
        <w:pStyle w:val="BodyText"/>
      </w:pPr>
    </w:p>
    <w:p>
      <w:pPr>
        <w:pStyle w:val="BodyText"/>
      </w:pPr>
    </w:p>
    <w:p>
      <w:pPr>
        <w:pStyle w:val="BodyText"/>
      </w:pPr>
    </w:p>
    <w:p>
      <w:pPr>
        <w:pStyle w:val="BodyText"/>
        <w:spacing w:before="101"/>
      </w:pPr>
    </w:p>
    <w:p>
      <w:pPr>
        <w:pStyle w:val="Heading3"/>
        <w:ind w:left="421" w:right="1015"/>
        <w:jc w:val="center"/>
      </w:pPr>
      <w:r>
        <w:rPr/>
        <w:t>Data</w:t>
      </w:r>
      <w:r>
        <w:rPr>
          <w:spacing w:val="-4"/>
        </w:rPr>
        <w:t> </w:t>
      </w:r>
      <w:r>
        <w:rPr/>
        <w:t>on</w:t>
      </w:r>
      <w:r>
        <w:rPr>
          <w:spacing w:val="-3"/>
        </w:rPr>
        <w:t> </w:t>
      </w:r>
      <w:r>
        <w:rPr/>
        <w:t>Samples</w:t>
      </w:r>
      <w:r>
        <w:rPr>
          <w:spacing w:val="-2"/>
        </w:rPr>
        <w:t> Collected</w:t>
      </w:r>
    </w:p>
    <w:p>
      <w:pPr>
        <w:spacing w:after="0"/>
        <w:jc w:val="center"/>
        <w:sectPr>
          <w:pgSz w:w="11910" w:h="16840"/>
          <w:pgMar w:header="0" w:footer="1055" w:top="1420" w:bottom="1240" w:left="1060" w:right="460"/>
        </w:sectPr>
      </w:pPr>
    </w:p>
    <w:p>
      <w:pPr>
        <w:pStyle w:val="BodyText"/>
        <w:spacing w:line="20" w:lineRule="exact"/>
        <w:ind w:left="351"/>
        <w:rPr>
          <w:sz w:val="2"/>
        </w:rPr>
      </w:pPr>
      <w:r>
        <w:rPr>
          <w:sz w:val="2"/>
        </w:rPr>
        <mc:AlternateContent>
          <mc:Choice Requires="wps">
            <w:drawing>
              <wp:inline distT="0" distB="0" distL="0" distR="0">
                <wp:extent cx="5769610" cy="6350"/>
                <wp:effectExtent l="0" t="0" r="0" b="0"/>
                <wp:docPr id="552" name="Group 552"/>
                <wp:cNvGraphicFramePr>
                  <a:graphicFrameLocks/>
                </wp:cNvGraphicFramePr>
                <a:graphic>
                  <a:graphicData uri="http://schemas.microsoft.com/office/word/2010/wordprocessingGroup">
                    <wpg:wgp>
                      <wpg:cNvPr id="552" name="Group 552"/>
                      <wpg:cNvGrpSpPr/>
                      <wpg:grpSpPr>
                        <a:xfrm>
                          <a:off x="0" y="0"/>
                          <a:ext cx="5769610" cy="6350"/>
                          <a:chExt cx="5769610" cy="6350"/>
                        </a:xfrm>
                      </wpg:grpSpPr>
                      <wps:wsp>
                        <wps:cNvPr id="553" name="Graphic 553"/>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3pt;height:.5pt;mso-position-horizontal-relative:char;mso-position-vertical-relative:line" id="docshapegroup497" coordorigin="0,0" coordsize="9086,10">
                <v:rect style="position:absolute;left:0;top:0;width:9086;height:10" id="docshape498" filled="true" fillcolor="#000000" stroked="false">
                  <v:fill type="solid"/>
                </v:rect>
              </v:group>
            </w:pict>
          </mc:Fallback>
        </mc:AlternateContent>
      </w:r>
      <w:r>
        <w:rPr>
          <w:sz w:val="2"/>
        </w:rPr>
      </w:r>
    </w:p>
    <w:p>
      <w:pPr>
        <w:tabs>
          <w:tab w:pos="2170" w:val="left" w:leader="none"/>
          <w:tab w:pos="3810" w:val="left" w:leader="none"/>
          <w:tab w:pos="5471" w:val="left" w:leader="none"/>
        </w:tabs>
        <w:spacing w:before="8"/>
        <w:ind w:left="730" w:right="0" w:firstLine="0"/>
        <w:jc w:val="left"/>
        <w:rPr>
          <w:b/>
          <w:sz w:val="22"/>
        </w:rPr>
      </w:pPr>
      <w:r>
        <w:rPr/>
        <mc:AlternateContent>
          <mc:Choice Requires="wps">
            <w:drawing>
              <wp:anchor distT="0" distB="0" distL="0" distR="0" allowOverlap="1" layoutInCell="1" locked="0" behindDoc="1" simplePos="0" relativeHeight="487697408">
                <wp:simplePos x="0" y="0"/>
                <wp:positionH relativeFrom="page">
                  <wp:posOffset>896416</wp:posOffset>
                </wp:positionH>
                <wp:positionV relativeFrom="paragraph">
                  <wp:posOffset>202437</wp:posOffset>
                </wp:positionV>
                <wp:extent cx="5769610" cy="6350"/>
                <wp:effectExtent l="0" t="0" r="0" b="0"/>
                <wp:wrapTopAndBottom/>
                <wp:docPr id="554" name="Graphic 554"/>
                <wp:cNvGraphicFramePr>
                  <a:graphicFrameLocks/>
                </wp:cNvGraphicFramePr>
                <a:graphic>
                  <a:graphicData uri="http://schemas.microsoft.com/office/word/2010/wordprocessingShape">
                    <wps:wsp>
                      <wps:cNvPr id="554" name="Graphic 554"/>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15.94pt;width:454.3pt;height:.48pt;mso-position-horizontal-relative:page;mso-position-vertical-relative:paragraph;z-index:-15619072;mso-wrap-distance-left:0;mso-wrap-distance-right:0" id="docshape499" filled="true" fillcolor="#000000" stroked="false">
                <v:fill type="solid"/>
                <w10:wrap type="topAndBottom"/>
              </v:rect>
            </w:pict>
          </mc:Fallback>
        </mc:AlternateContent>
      </w:r>
      <w:r>
        <w:rPr>
          <w:b/>
          <w:spacing w:val="-2"/>
          <w:sz w:val="22"/>
        </w:rPr>
        <w:t>S/No.</w:t>
      </w:r>
      <w:r>
        <w:rPr>
          <w:b/>
          <w:sz w:val="22"/>
        </w:rPr>
        <w:tab/>
      </w:r>
      <w:r>
        <w:rPr>
          <w:b/>
          <w:spacing w:val="-5"/>
          <w:sz w:val="22"/>
        </w:rPr>
        <w:t>Age</w:t>
      </w:r>
      <w:r>
        <w:rPr>
          <w:b/>
          <w:sz w:val="22"/>
        </w:rPr>
        <w:tab/>
      </w:r>
      <w:r>
        <w:rPr>
          <w:b/>
          <w:spacing w:val="-5"/>
          <w:sz w:val="22"/>
        </w:rPr>
        <w:t>Sex</w:t>
      </w:r>
      <w:r>
        <w:rPr>
          <w:b/>
          <w:sz w:val="22"/>
        </w:rPr>
        <w:tab/>
        <w:t>Sample</w:t>
      </w:r>
      <w:r>
        <w:rPr>
          <w:b/>
          <w:spacing w:val="-4"/>
          <w:sz w:val="22"/>
        </w:rPr>
        <w:t> </w:t>
      </w:r>
      <w:r>
        <w:rPr>
          <w:b/>
          <w:sz w:val="22"/>
        </w:rPr>
        <w:t>source</w:t>
      </w:r>
      <w:r>
        <w:rPr>
          <w:b/>
          <w:spacing w:val="75"/>
          <w:w w:val="150"/>
          <w:sz w:val="22"/>
        </w:rPr>
        <w:t> </w:t>
      </w:r>
      <w:r>
        <w:rPr>
          <w:b/>
          <w:sz w:val="22"/>
        </w:rPr>
        <w:t>Sample</w:t>
      </w:r>
      <w:r>
        <w:rPr>
          <w:b/>
          <w:spacing w:val="-3"/>
          <w:sz w:val="22"/>
        </w:rPr>
        <w:t> </w:t>
      </w:r>
      <w:r>
        <w:rPr>
          <w:b/>
          <w:spacing w:val="-5"/>
          <w:sz w:val="22"/>
        </w:rPr>
        <w:t>No.</w:t>
      </w:r>
    </w:p>
    <w:p>
      <w:pPr>
        <w:pStyle w:val="BodyText"/>
        <w:rPr>
          <w:b/>
          <w:sz w:val="20"/>
        </w:rPr>
      </w:pPr>
    </w:p>
    <w:p>
      <w:pPr>
        <w:pStyle w:val="BodyText"/>
        <w:rPr>
          <w:b/>
          <w:sz w:val="20"/>
        </w:rPr>
      </w:pPr>
    </w:p>
    <w:p>
      <w:pPr>
        <w:pStyle w:val="BodyText"/>
        <w:spacing w:before="215"/>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5"/>
        <w:gridCol w:w="1542"/>
        <w:gridCol w:w="1593"/>
        <w:gridCol w:w="2537"/>
        <w:gridCol w:w="1891"/>
      </w:tblGrid>
      <w:tr>
        <w:trPr>
          <w:trHeight w:val="710" w:hRule="atLeast"/>
        </w:trPr>
        <w:tc>
          <w:tcPr>
            <w:tcW w:w="1285" w:type="dxa"/>
          </w:tcPr>
          <w:p>
            <w:pPr>
              <w:pStyle w:val="TableParagraph"/>
              <w:spacing w:line="225" w:lineRule="exact"/>
              <w:ind w:right="68"/>
              <w:jc w:val="center"/>
              <w:rPr>
                <w:sz w:val="22"/>
              </w:rPr>
            </w:pPr>
            <w:r>
              <w:rPr>
                <w:spacing w:val="-5"/>
                <w:sz w:val="22"/>
              </w:rPr>
              <w:t>81</w:t>
            </w:r>
          </w:p>
        </w:tc>
        <w:tc>
          <w:tcPr>
            <w:tcW w:w="1542" w:type="dxa"/>
          </w:tcPr>
          <w:p>
            <w:pPr>
              <w:pStyle w:val="TableParagraph"/>
              <w:spacing w:line="225" w:lineRule="exact"/>
              <w:ind w:left="565"/>
              <w:rPr>
                <w:sz w:val="22"/>
              </w:rPr>
            </w:pPr>
            <w:r>
              <w:rPr>
                <w:spacing w:val="-5"/>
                <w:sz w:val="22"/>
              </w:rPr>
              <w:t>40</w:t>
            </w:r>
          </w:p>
        </w:tc>
        <w:tc>
          <w:tcPr>
            <w:tcW w:w="1593" w:type="dxa"/>
          </w:tcPr>
          <w:p>
            <w:pPr>
              <w:pStyle w:val="TableParagraph"/>
              <w:spacing w:line="225" w:lineRule="exact"/>
              <w:ind w:left="99" w:right="1"/>
              <w:jc w:val="center"/>
              <w:rPr>
                <w:sz w:val="22"/>
              </w:rPr>
            </w:pPr>
            <w:r>
              <w:rPr>
                <w:spacing w:val="-10"/>
                <w:sz w:val="22"/>
              </w:rPr>
              <w:t>F</w:t>
            </w:r>
          </w:p>
        </w:tc>
        <w:tc>
          <w:tcPr>
            <w:tcW w:w="2537" w:type="dxa"/>
          </w:tcPr>
          <w:p>
            <w:pPr>
              <w:pStyle w:val="TableParagraph"/>
              <w:spacing w:line="225" w:lineRule="exact"/>
              <w:ind w:left="111"/>
              <w:jc w:val="center"/>
              <w:rPr>
                <w:sz w:val="22"/>
              </w:rPr>
            </w:pPr>
            <w:r>
              <w:rPr>
                <w:sz w:val="22"/>
              </w:rPr>
              <w:t>THROAT</w:t>
            </w:r>
            <w:r>
              <w:rPr>
                <w:spacing w:val="-5"/>
                <w:sz w:val="22"/>
              </w:rPr>
              <w:t> </w:t>
            </w:r>
            <w:r>
              <w:rPr>
                <w:spacing w:val="-4"/>
                <w:sz w:val="22"/>
              </w:rPr>
              <w:t>SWAB</w:t>
            </w:r>
          </w:p>
        </w:tc>
        <w:tc>
          <w:tcPr>
            <w:tcW w:w="1891" w:type="dxa"/>
          </w:tcPr>
          <w:p>
            <w:pPr>
              <w:pStyle w:val="TableParagraph"/>
              <w:spacing w:line="225" w:lineRule="exact"/>
              <w:ind w:right="632"/>
              <w:jc w:val="right"/>
              <w:rPr>
                <w:sz w:val="22"/>
              </w:rPr>
            </w:pPr>
            <w:r>
              <w:rPr>
                <w:sz w:val="22"/>
              </w:rPr>
              <w:t>TS</w:t>
            </w:r>
            <w:r>
              <w:rPr>
                <w:spacing w:val="-1"/>
                <w:sz w:val="22"/>
              </w:rPr>
              <w:t> </w:t>
            </w:r>
            <w:r>
              <w:rPr>
                <w:spacing w:val="-4"/>
                <w:sz w:val="22"/>
              </w:rPr>
              <w:t>1234</w:t>
            </w:r>
          </w:p>
        </w:tc>
      </w:tr>
      <w:tr>
        <w:trPr>
          <w:trHeight w:val="1080" w:hRule="atLeast"/>
        </w:trPr>
        <w:tc>
          <w:tcPr>
            <w:tcW w:w="1285" w:type="dxa"/>
          </w:tcPr>
          <w:p>
            <w:pPr>
              <w:pStyle w:val="TableParagraph"/>
              <w:spacing w:before="177"/>
              <w:rPr>
                <w:b/>
                <w:sz w:val="22"/>
              </w:rPr>
            </w:pPr>
          </w:p>
          <w:p>
            <w:pPr>
              <w:pStyle w:val="TableParagraph"/>
              <w:ind w:right="68"/>
              <w:jc w:val="center"/>
              <w:rPr>
                <w:sz w:val="22"/>
              </w:rPr>
            </w:pPr>
            <w:r>
              <w:rPr>
                <w:spacing w:val="-5"/>
                <w:sz w:val="22"/>
              </w:rPr>
              <w:t>82</w:t>
            </w:r>
          </w:p>
        </w:tc>
        <w:tc>
          <w:tcPr>
            <w:tcW w:w="1542" w:type="dxa"/>
          </w:tcPr>
          <w:p>
            <w:pPr>
              <w:pStyle w:val="TableParagraph"/>
              <w:spacing w:before="177"/>
              <w:rPr>
                <w:b/>
                <w:sz w:val="22"/>
              </w:rPr>
            </w:pPr>
          </w:p>
          <w:p>
            <w:pPr>
              <w:pStyle w:val="TableParagraph"/>
              <w:ind w:left="565"/>
              <w:rPr>
                <w:sz w:val="22"/>
              </w:rPr>
            </w:pPr>
            <w:r>
              <w:rPr>
                <w:spacing w:val="-5"/>
                <w:sz w:val="22"/>
              </w:rPr>
              <w:t>10</w:t>
            </w:r>
          </w:p>
        </w:tc>
        <w:tc>
          <w:tcPr>
            <w:tcW w:w="1593" w:type="dxa"/>
          </w:tcPr>
          <w:p>
            <w:pPr>
              <w:pStyle w:val="TableParagraph"/>
              <w:spacing w:before="177"/>
              <w:rPr>
                <w:b/>
                <w:sz w:val="22"/>
              </w:rPr>
            </w:pPr>
          </w:p>
          <w:p>
            <w:pPr>
              <w:pStyle w:val="TableParagraph"/>
              <w:ind w:left="99"/>
              <w:jc w:val="center"/>
              <w:rPr>
                <w:sz w:val="22"/>
              </w:rPr>
            </w:pPr>
            <w:r>
              <w:rPr>
                <w:spacing w:val="-10"/>
                <w:sz w:val="22"/>
              </w:rPr>
              <w:t>M</w:t>
            </w:r>
          </w:p>
        </w:tc>
        <w:tc>
          <w:tcPr>
            <w:tcW w:w="2537" w:type="dxa"/>
          </w:tcPr>
          <w:p>
            <w:pPr>
              <w:pStyle w:val="TableParagraph"/>
              <w:spacing w:before="177"/>
              <w:rPr>
                <w:b/>
                <w:sz w:val="22"/>
              </w:rPr>
            </w:pPr>
          </w:p>
          <w:p>
            <w:pPr>
              <w:pStyle w:val="TableParagraph"/>
              <w:ind w:left="111"/>
              <w:jc w:val="center"/>
              <w:rPr>
                <w:sz w:val="22"/>
              </w:rPr>
            </w:pPr>
            <w:r>
              <w:rPr>
                <w:sz w:val="22"/>
              </w:rPr>
              <w:t>EAR</w:t>
            </w:r>
            <w:r>
              <w:rPr>
                <w:spacing w:val="-2"/>
                <w:sz w:val="22"/>
              </w:rPr>
              <w:t> </w:t>
            </w:r>
            <w:r>
              <w:rPr>
                <w:spacing w:val="-4"/>
                <w:sz w:val="22"/>
              </w:rPr>
              <w:t>SWAB</w:t>
            </w:r>
          </w:p>
        </w:tc>
        <w:tc>
          <w:tcPr>
            <w:tcW w:w="1891" w:type="dxa"/>
          </w:tcPr>
          <w:p>
            <w:pPr>
              <w:pStyle w:val="TableParagraph"/>
              <w:spacing w:before="177"/>
              <w:rPr>
                <w:b/>
                <w:sz w:val="22"/>
              </w:rPr>
            </w:pPr>
          </w:p>
          <w:p>
            <w:pPr>
              <w:pStyle w:val="TableParagraph"/>
              <w:ind w:right="632"/>
              <w:jc w:val="right"/>
              <w:rPr>
                <w:sz w:val="22"/>
              </w:rPr>
            </w:pPr>
            <w:r>
              <w:rPr>
                <w:sz w:val="22"/>
              </w:rPr>
              <w:t>ES</w:t>
            </w:r>
            <w:r>
              <w:rPr>
                <w:spacing w:val="-3"/>
                <w:sz w:val="22"/>
              </w:rPr>
              <w:t> </w:t>
            </w:r>
            <w:r>
              <w:rPr>
                <w:spacing w:val="-4"/>
                <w:sz w:val="22"/>
              </w:rPr>
              <w:t>1243</w:t>
            </w:r>
          </w:p>
        </w:tc>
      </w:tr>
      <w:tr>
        <w:trPr>
          <w:trHeight w:val="1087" w:hRule="atLeast"/>
        </w:trPr>
        <w:tc>
          <w:tcPr>
            <w:tcW w:w="1285" w:type="dxa"/>
          </w:tcPr>
          <w:p>
            <w:pPr>
              <w:pStyle w:val="TableParagraph"/>
              <w:spacing w:before="57"/>
              <w:rPr>
                <w:b/>
                <w:sz w:val="22"/>
              </w:rPr>
            </w:pPr>
          </w:p>
          <w:p>
            <w:pPr>
              <w:pStyle w:val="TableParagraph"/>
              <w:ind w:right="68"/>
              <w:jc w:val="center"/>
              <w:rPr>
                <w:sz w:val="22"/>
              </w:rPr>
            </w:pPr>
            <w:r>
              <w:rPr>
                <w:spacing w:val="-5"/>
                <w:sz w:val="22"/>
              </w:rPr>
              <w:t>83</w:t>
            </w:r>
          </w:p>
        </w:tc>
        <w:tc>
          <w:tcPr>
            <w:tcW w:w="1542" w:type="dxa"/>
          </w:tcPr>
          <w:p>
            <w:pPr>
              <w:pStyle w:val="TableParagraph"/>
              <w:spacing w:before="57"/>
              <w:rPr>
                <w:b/>
                <w:sz w:val="22"/>
              </w:rPr>
            </w:pPr>
          </w:p>
          <w:p>
            <w:pPr>
              <w:pStyle w:val="TableParagraph"/>
              <w:ind w:left="565"/>
              <w:rPr>
                <w:sz w:val="22"/>
              </w:rPr>
            </w:pPr>
            <w:r>
              <w:rPr>
                <w:spacing w:val="-5"/>
                <w:sz w:val="22"/>
              </w:rPr>
              <w:t>26</w:t>
            </w:r>
          </w:p>
        </w:tc>
        <w:tc>
          <w:tcPr>
            <w:tcW w:w="1593" w:type="dxa"/>
          </w:tcPr>
          <w:p>
            <w:pPr>
              <w:pStyle w:val="TableParagraph"/>
              <w:spacing w:before="57"/>
              <w:rPr>
                <w:b/>
                <w:sz w:val="22"/>
              </w:rPr>
            </w:pPr>
          </w:p>
          <w:p>
            <w:pPr>
              <w:pStyle w:val="TableParagraph"/>
              <w:ind w:left="99"/>
              <w:jc w:val="center"/>
              <w:rPr>
                <w:sz w:val="22"/>
              </w:rPr>
            </w:pPr>
            <w:r>
              <w:rPr>
                <w:spacing w:val="-10"/>
                <w:sz w:val="22"/>
              </w:rPr>
              <w:t>M</w:t>
            </w:r>
          </w:p>
        </w:tc>
        <w:tc>
          <w:tcPr>
            <w:tcW w:w="2537" w:type="dxa"/>
          </w:tcPr>
          <w:p>
            <w:pPr>
              <w:pStyle w:val="TableParagraph"/>
              <w:spacing w:before="57"/>
              <w:rPr>
                <w:b/>
                <w:sz w:val="22"/>
              </w:rPr>
            </w:pPr>
          </w:p>
          <w:p>
            <w:pPr>
              <w:pStyle w:val="TableParagraph"/>
              <w:ind w:left="111"/>
              <w:jc w:val="center"/>
              <w:rPr>
                <w:sz w:val="22"/>
              </w:rPr>
            </w:pPr>
            <w:r>
              <w:rPr>
                <w:sz w:val="22"/>
              </w:rPr>
              <w:t>THROAT</w:t>
            </w:r>
            <w:r>
              <w:rPr>
                <w:spacing w:val="-5"/>
                <w:sz w:val="22"/>
              </w:rPr>
              <w:t> </w:t>
            </w:r>
            <w:r>
              <w:rPr>
                <w:spacing w:val="-4"/>
                <w:sz w:val="22"/>
              </w:rPr>
              <w:t>SWAB</w:t>
            </w:r>
          </w:p>
        </w:tc>
        <w:tc>
          <w:tcPr>
            <w:tcW w:w="1891" w:type="dxa"/>
          </w:tcPr>
          <w:p>
            <w:pPr>
              <w:pStyle w:val="TableParagraph"/>
              <w:spacing w:before="57"/>
              <w:rPr>
                <w:b/>
                <w:sz w:val="22"/>
              </w:rPr>
            </w:pPr>
          </w:p>
          <w:p>
            <w:pPr>
              <w:pStyle w:val="TableParagraph"/>
              <w:ind w:right="632"/>
              <w:jc w:val="right"/>
              <w:rPr>
                <w:sz w:val="22"/>
              </w:rPr>
            </w:pPr>
            <w:r>
              <w:rPr>
                <w:sz w:val="22"/>
              </w:rPr>
              <w:t>TS</w:t>
            </w:r>
            <w:r>
              <w:rPr>
                <w:spacing w:val="-1"/>
                <w:sz w:val="22"/>
              </w:rPr>
              <w:t> </w:t>
            </w:r>
            <w:r>
              <w:rPr>
                <w:spacing w:val="-4"/>
                <w:sz w:val="22"/>
              </w:rPr>
              <w:t>1235</w:t>
            </w:r>
          </w:p>
        </w:tc>
      </w:tr>
      <w:tr>
        <w:trPr>
          <w:trHeight w:val="1087" w:hRule="atLeast"/>
        </w:trPr>
        <w:tc>
          <w:tcPr>
            <w:tcW w:w="1285" w:type="dxa"/>
          </w:tcPr>
          <w:p>
            <w:pPr>
              <w:pStyle w:val="TableParagraph"/>
              <w:spacing w:before="184"/>
              <w:rPr>
                <w:b/>
                <w:sz w:val="22"/>
              </w:rPr>
            </w:pPr>
          </w:p>
          <w:p>
            <w:pPr>
              <w:pStyle w:val="TableParagraph"/>
              <w:ind w:right="68"/>
              <w:jc w:val="center"/>
              <w:rPr>
                <w:sz w:val="22"/>
              </w:rPr>
            </w:pPr>
            <w:r>
              <w:rPr>
                <w:spacing w:val="-5"/>
                <w:sz w:val="22"/>
              </w:rPr>
              <w:t>84</w:t>
            </w:r>
          </w:p>
        </w:tc>
        <w:tc>
          <w:tcPr>
            <w:tcW w:w="1542" w:type="dxa"/>
          </w:tcPr>
          <w:p>
            <w:pPr>
              <w:pStyle w:val="TableParagraph"/>
              <w:spacing w:before="184"/>
              <w:rPr>
                <w:b/>
                <w:sz w:val="22"/>
              </w:rPr>
            </w:pPr>
          </w:p>
          <w:p>
            <w:pPr>
              <w:pStyle w:val="TableParagraph"/>
              <w:ind w:left="565"/>
              <w:rPr>
                <w:sz w:val="22"/>
              </w:rPr>
            </w:pPr>
            <w:r>
              <w:rPr>
                <w:spacing w:val="-5"/>
                <w:sz w:val="22"/>
              </w:rPr>
              <w:t>31</w:t>
            </w:r>
          </w:p>
        </w:tc>
        <w:tc>
          <w:tcPr>
            <w:tcW w:w="1593" w:type="dxa"/>
          </w:tcPr>
          <w:p>
            <w:pPr>
              <w:pStyle w:val="TableParagraph"/>
              <w:spacing w:before="184"/>
              <w:rPr>
                <w:b/>
                <w:sz w:val="22"/>
              </w:rPr>
            </w:pPr>
          </w:p>
          <w:p>
            <w:pPr>
              <w:pStyle w:val="TableParagraph"/>
              <w:ind w:left="99" w:right="1"/>
              <w:jc w:val="center"/>
              <w:rPr>
                <w:sz w:val="22"/>
              </w:rPr>
            </w:pPr>
            <w:r>
              <w:rPr>
                <w:spacing w:val="-10"/>
                <w:sz w:val="22"/>
              </w:rPr>
              <w:t>F</w:t>
            </w:r>
          </w:p>
        </w:tc>
        <w:tc>
          <w:tcPr>
            <w:tcW w:w="2537" w:type="dxa"/>
          </w:tcPr>
          <w:p>
            <w:pPr>
              <w:pStyle w:val="TableParagraph"/>
              <w:spacing w:before="184"/>
              <w:rPr>
                <w:b/>
                <w:sz w:val="22"/>
              </w:rPr>
            </w:pPr>
          </w:p>
          <w:p>
            <w:pPr>
              <w:pStyle w:val="TableParagraph"/>
              <w:ind w:left="111" w:right="4"/>
              <w:jc w:val="center"/>
              <w:rPr>
                <w:sz w:val="22"/>
              </w:rPr>
            </w:pPr>
            <w:r>
              <w:rPr>
                <w:spacing w:val="-2"/>
                <w:sz w:val="22"/>
              </w:rPr>
              <w:t>SPUTUM</w:t>
            </w:r>
          </w:p>
        </w:tc>
        <w:tc>
          <w:tcPr>
            <w:tcW w:w="1891" w:type="dxa"/>
          </w:tcPr>
          <w:p>
            <w:pPr>
              <w:pStyle w:val="TableParagraph"/>
              <w:spacing w:before="184"/>
              <w:rPr>
                <w:b/>
                <w:sz w:val="22"/>
              </w:rPr>
            </w:pPr>
          </w:p>
          <w:p>
            <w:pPr>
              <w:pStyle w:val="TableParagraph"/>
              <w:ind w:right="630"/>
              <w:jc w:val="right"/>
              <w:rPr>
                <w:sz w:val="22"/>
              </w:rPr>
            </w:pPr>
            <w:r>
              <w:rPr>
                <w:sz w:val="22"/>
              </w:rPr>
              <w:t>SP</w:t>
            </w:r>
            <w:r>
              <w:rPr>
                <w:spacing w:val="1"/>
                <w:sz w:val="22"/>
              </w:rPr>
              <w:t> </w:t>
            </w:r>
            <w:r>
              <w:rPr>
                <w:spacing w:val="-4"/>
                <w:sz w:val="22"/>
              </w:rPr>
              <w:t>1270</w:t>
            </w:r>
          </w:p>
        </w:tc>
      </w:tr>
      <w:tr>
        <w:trPr>
          <w:trHeight w:val="780" w:hRule="atLeast"/>
        </w:trPr>
        <w:tc>
          <w:tcPr>
            <w:tcW w:w="1285" w:type="dxa"/>
          </w:tcPr>
          <w:p>
            <w:pPr>
              <w:pStyle w:val="TableParagraph"/>
              <w:spacing w:before="57"/>
              <w:rPr>
                <w:b/>
                <w:sz w:val="22"/>
              </w:rPr>
            </w:pPr>
          </w:p>
          <w:p>
            <w:pPr>
              <w:pStyle w:val="TableParagraph"/>
              <w:ind w:right="68"/>
              <w:jc w:val="center"/>
              <w:rPr>
                <w:sz w:val="22"/>
              </w:rPr>
            </w:pPr>
            <w:r>
              <w:rPr>
                <w:spacing w:val="-5"/>
                <w:sz w:val="22"/>
              </w:rPr>
              <w:t>85</w:t>
            </w:r>
          </w:p>
        </w:tc>
        <w:tc>
          <w:tcPr>
            <w:tcW w:w="1542" w:type="dxa"/>
          </w:tcPr>
          <w:p>
            <w:pPr>
              <w:pStyle w:val="TableParagraph"/>
              <w:spacing w:before="57"/>
              <w:rPr>
                <w:b/>
                <w:sz w:val="22"/>
              </w:rPr>
            </w:pPr>
          </w:p>
          <w:p>
            <w:pPr>
              <w:pStyle w:val="TableParagraph"/>
              <w:ind w:left="565"/>
              <w:rPr>
                <w:sz w:val="22"/>
              </w:rPr>
            </w:pPr>
            <w:r>
              <w:rPr>
                <w:spacing w:val="-5"/>
                <w:sz w:val="22"/>
              </w:rPr>
              <w:t>37</w:t>
            </w:r>
          </w:p>
        </w:tc>
        <w:tc>
          <w:tcPr>
            <w:tcW w:w="1593" w:type="dxa"/>
          </w:tcPr>
          <w:p>
            <w:pPr>
              <w:pStyle w:val="TableParagraph"/>
              <w:spacing w:before="57"/>
              <w:rPr>
                <w:b/>
                <w:sz w:val="22"/>
              </w:rPr>
            </w:pPr>
          </w:p>
          <w:p>
            <w:pPr>
              <w:pStyle w:val="TableParagraph"/>
              <w:ind w:left="99" w:right="1"/>
              <w:jc w:val="center"/>
              <w:rPr>
                <w:sz w:val="22"/>
              </w:rPr>
            </w:pPr>
            <w:r>
              <w:rPr>
                <w:spacing w:val="-10"/>
                <w:sz w:val="22"/>
              </w:rPr>
              <w:t>F</w:t>
            </w:r>
          </w:p>
        </w:tc>
        <w:tc>
          <w:tcPr>
            <w:tcW w:w="2537" w:type="dxa"/>
          </w:tcPr>
          <w:p>
            <w:pPr>
              <w:pStyle w:val="TableParagraph"/>
              <w:spacing w:before="5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57"/>
              <w:rPr>
                <w:b/>
                <w:sz w:val="22"/>
              </w:rPr>
            </w:pPr>
          </w:p>
          <w:p>
            <w:pPr>
              <w:pStyle w:val="TableParagraph"/>
              <w:ind w:right="630"/>
              <w:jc w:val="right"/>
              <w:rPr>
                <w:sz w:val="22"/>
              </w:rPr>
            </w:pPr>
            <w:r>
              <w:rPr>
                <w:sz w:val="22"/>
              </w:rPr>
              <w:t>SP</w:t>
            </w:r>
            <w:r>
              <w:rPr>
                <w:spacing w:val="1"/>
                <w:sz w:val="22"/>
              </w:rPr>
              <w:t> </w:t>
            </w:r>
            <w:r>
              <w:rPr>
                <w:spacing w:val="-4"/>
                <w:sz w:val="22"/>
              </w:rPr>
              <w:t>1300</w:t>
            </w:r>
          </w:p>
        </w:tc>
      </w:tr>
      <w:tr>
        <w:trPr>
          <w:trHeight w:val="750" w:hRule="atLeast"/>
        </w:trPr>
        <w:tc>
          <w:tcPr>
            <w:tcW w:w="1285" w:type="dxa"/>
          </w:tcPr>
          <w:p>
            <w:pPr>
              <w:pStyle w:val="TableParagraph"/>
              <w:spacing w:before="145"/>
              <w:ind w:right="68"/>
              <w:jc w:val="center"/>
              <w:rPr>
                <w:sz w:val="22"/>
              </w:rPr>
            </w:pPr>
            <w:r>
              <w:rPr>
                <w:spacing w:val="-5"/>
                <w:sz w:val="22"/>
              </w:rPr>
              <w:t>86</w:t>
            </w:r>
          </w:p>
        </w:tc>
        <w:tc>
          <w:tcPr>
            <w:tcW w:w="1542" w:type="dxa"/>
          </w:tcPr>
          <w:p>
            <w:pPr>
              <w:pStyle w:val="TableParagraph"/>
              <w:spacing w:before="145"/>
              <w:ind w:left="565"/>
              <w:rPr>
                <w:sz w:val="22"/>
              </w:rPr>
            </w:pPr>
            <w:r>
              <w:rPr>
                <w:spacing w:val="-5"/>
                <w:sz w:val="22"/>
              </w:rPr>
              <w:t>14</w:t>
            </w:r>
          </w:p>
        </w:tc>
        <w:tc>
          <w:tcPr>
            <w:tcW w:w="1593" w:type="dxa"/>
          </w:tcPr>
          <w:p>
            <w:pPr>
              <w:pStyle w:val="TableParagraph"/>
              <w:spacing w:before="145"/>
              <w:ind w:left="99"/>
              <w:jc w:val="center"/>
              <w:rPr>
                <w:sz w:val="22"/>
              </w:rPr>
            </w:pPr>
            <w:r>
              <w:rPr>
                <w:spacing w:val="-10"/>
                <w:sz w:val="22"/>
              </w:rPr>
              <w:t>M</w:t>
            </w:r>
          </w:p>
        </w:tc>
        <w:tc>
          <w:tcPr>
            <w:tcW w:w="2537" w:type="dxa"/>
          </w:tcPr>
          <w:p>
            <w:pPr>
              <w:pStyle w:val="TableParagraph"/>
              <w:spacing w:before="145"/>
              <w:ind w:left="111" w:right="4"/>
              <w:jc w:val="center"/>
              <w:rPr>
                <w:sz w:val="22"/>
              </w:rPr>
            </w:pPr>
            <w:r>
              <w:rPr>
                <w:spacing w:val="-2"/>
                <w:sz w:val="22"/>
              </w:rPr>
              <w:t>SPUTUM</w:t>
            </w:r>
          </w:p>
        </w:tc>
        <w:tc>
          <w:tcPr>
            <w:tcW w:w="1891" w:type="dxa"/>
          </w:tcPr>
          <w:p>
            <w:pPr>
              <w:pStyle w:val="TableParagraph"/>
              <w:spacing w:before="145"/>
              <w:ind w:right="630"/>
              <w:jc w:val="right"/>
              <w:rPr>
                <w:sz w:val="22"/>
              </w:rPr>
            </w:pPr>
            <w:r>
              <w:rPr>
                <w:sz w:val="22"/>
              </w:rPr>
              <w:t>SP</w:t>
            </w:r>
            <w:r>
              <w:rPr>
                <w:spacing w:val="1"/>
                <w:sz w:val="22"/>
              </w:rPr>
              <w:t> </w:t>
            </w:r>
            <w:r>
              <w:rPr>
                <w:spacing w:val="-4"/>
                <w:sz w:val="22"/>
              </w:rPr>
              <w:t>1307</w:t>
            </w:r>
          </w:p>
        </w:tc>
      </w:tr>
      <w:tr>
        <w:trPr>
          <w:trHeight w:val="900" w:hRule="atLeast"/>
        </w:trPr>
        <w:tc>
          <w:tcPr>
            <w:tcW w:w="1285" w:type="dxa"/>
          </w:tcPr>
          <w:p>
            <w:pPr>
              <w:pStyle w:val="TableParagraph"/>
              <w:spacing w:before="27"/>
              <w:rPr>
                <w:b/>
                <w:sz w:val="22"/>
              </w:rPr>
            </w:pPr>
          </w:p>
          <w:p>
            <w:pPr>
              <w:pStyle w:val="TableParagraph"/>
              <w:ind w:right="68"/>
              <w:jc w:val="center"/>
              <w:rPr>
                <w:sz w:val="22"/>
              </w:rPr>
            </w:pPr>
            <w:r>
              <w:rPr>
                <w:spacing w:val="-5"/>
                <w:sz w:val="22"/>
              </w:rPr>
              <w:t>87</w:t>
            </w:r>
          </w:p>
        </w:tc>
        <w:tc>
          <w:tcPr>
            <w:tcW w:w="1542" w:type="dxa"/>
          </w:tcPr>
          <w:p>
            <w:pPr>
              <w:pStyle w:val="TableParagraph"/>
              <w:spacing w:before="27"/>
              <w:rPr>
                <w:b/>
                <w:sz w:val="22"/>
              </w:rPr>
            </w:pPr>
          </w:p>
          <w:p>
            <w:pPr>
              <w:pStyle w:val="TableParagraph"/>
              <w:ind w:left="565"/>
              <w:rPr>
                <w:sz w:val="22"/>
              </w:rPr>
            </w:pPr>
            <w:r>
              <w:rPr>
                <w:spacing w:val="-5"/>
                <w:sz w:val="22"/>
              </w:rPr>
              <w:t>28</w:t>
            </w:r>
          </w:p>
        </w:tc>
        <w:tc>
          <w:tcPr>
            <w:tcW w:w="1593" w:type="dxa"/>
          </w:tcPr>
          <w:p>
            <w:pPr>
              <w:pStyle w:val="TableParagraph"/>
              <w:spacing w:before="27"/>
              <w:rPr>
                <w:b/>
                <w:sz w:val="22"/>
              </w:rPr>
            </w:pPr>
          </w:p>
          <w:p>
            <w:pPr>
              <w:pStyle w:val="TableParagraph"/>
              <w:ind w:left="99" w:right="1"/>
              <w:jc w:val="center"/>
              <w:rPr>
                <w:sz w:val="22"/>
              </w:rPr>
            </w:pPr>
            <w:r>
              <w:rPr>
                <w:spacing w:val="-10"/>
                <w:sz w:val="22"/>
              </w:rPr>
              <w:t>F</w:t>
            </w:r>
          </w:p>
        </w:tc>
        <w:tc>
          <w:tcPr>
            <w:tcW w:w="2537" w:type="dxa"/>
          </w:tcPr>
          <w:p>
            <w:pPr>
              <w:pStyle w:val="TableParagraph"/>
              <w:spacing w:before="2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27"/>
              <w:rPr>
                <w:b/>
                <w:sz w:val="22"/>
              </w:rPr>
            </w:pPr>
          </w:p>
          <w:p>
            <w:pPr>
              <w:pStyle w:val="TableParagraph"/>
              <w:ind w:right="630"/>
              <w:jc w:val="right"/>
              <w:rPr>
                <w:sz w:val="22"/>
              </w:rPr>
            </w:pPr>
            <w:r>
              <w:rPr>
                <w:sz w:val="22"/>
              </w:rPr>
              <w:t>SP </w:t>
            </w:r>
            <w:r>
              <w:rPr>
                <w:spacing w:val="-4"/>
                <w:sz w:val="22"/>
              </w:rPr>
              <w:t>1308</w:t>
            </w:r>
          </w:p>
        </w:tc>
      </w:tr>
      <w:tr>
        <w:trPr>
          <w:trHeight w:val="900" w:hRule="atLeast"/>
        </w:trPr>
        <w:tc>
          <w:tcPr>
            <w:tcW w:w="1285" w:type="dxa"/>
          </w:tcPr>
          <w:p>
            <w:pPr>
              <w:pStyle w:val="TableParagraph"/>
              <w:spacing w:before="27"/>
              <w:rPr>
                <w:b/>
                <w:sz w:val="22"/>
              </w:rPr>
            </w:pPr>
          </w:p>
          <w:p>
            <w:pPr>
              <w:pStyle w:val="TableParagraph"/>
              <w:ind w:right="68"/>
              <w:jc w:val="center"/>
              <w:rPr>
                <w:sz w:val="22"/>
              </w:rPr>
            </w:pPr>
            <w:r>
              <w:rPr>
                <w:spacing w:val="-5"/>
                <w:sz w:val="22"/>
              </w:rPr>
              <w:t>88</w:t>
            </w:r>
          </w:p>
        </w:tc>
        <w:tc>
          <w:tcPr>
            <w:tcW w:w="1542" w:type="dxa"/>
          </w:tcPr>
          <w:p>
            <w:pPr>
              <w:pStyle w:val="TableParagraph"/>
              <w:spacing w:before="27"/>
              <w:rPr>
                <w:b/>
                <w:sz w:val="22"/>
              </w:rPr>
            </w:pPr>
          </w:p>
          <w:p>
            <w:pPr>
              <w:pStyle w:val="TableParagraph"/>
              <w:ind w:left="565"/>
              <w:rPr>
                <w:sz w:val="22"/>
              </w:rPr>
            </w:pPr>
            <w:r>
              <w:rPr>
                <w:spacing w:val="-5"/>
                <w:sz w:val="22"/>
              </w:rPr>
              <w:t>25</w:t>
            </w:r>
          </w:p>
        </w:tc>
        <w:tc>
          <w:tcPr>
            <w:tcW w:w="1593" w:type="dxa"/>
          </w:tcPr>
          <w:p>
            <w:pPr>
              <w:pStyle w:val="TableParagraph"/>
              <w:spacing w:before="27"/>
              <w:rPr>
                <w:b/>
                <w:sz w:val="22"/>
              </w:rPr>
            </w:pPr>
          </w:p>
          <w:p>
            <w:pPr>
              <w:pStyle w:val="TableParagraph"/>
              <w:ind w:left="99"/>
              <w:jc w:val="center"/>
              <w:rPr>
                <w:sz w:val="22"/>
              </w:rPr>
            </w:pPr>
            <w:r>
              <w:rPr>
                <w:spacing w:val="-10"/>
                <w:sz w:val="22"/>
              </w:rPr>
              <w:t>M</w:t>
            </w:r>
          </w:p>
        </w:tc>
        <w:tc>
          <w:tcPr>
            <w:tcW w:w="2537" w:type="dxa"/>
          </w:tcPr>
          <w:p>
            <w:pPr>
              <w:pStyle w:val="TableParagraph"/>
              <w:spacing w:before="2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27"/>
              <w:rPr>
                <w:b/>
                <w:sz w:val="22"/>
              </w:rPr>
            </w:pPr>
          </w:p>
          <w:p>
            <w:pPr>
              <w:pStyle w:val="TableParagraph"/>
              <w:ind w:right="685"/>
              <w:jc w:val="right"/>
              <w:rPr>
                <w:sz w:val="22"/>
              </w:rPr>
            </w:pPr>
            <w:r>
              <w:rPr>
                <w:sz w:val="22"/>
              </w:rPr>
              <w:t>S </w:t>
            </w:r>
            <w:r>
              <w:rPr>
                <w:spacing w:val="-4"/>
                <w:sz w:val="22"/>
              </w:rPr>
              <w:t>1309</w:t>
            </w:r>
          </w:p>
        </w:tc>
      </w:tr>
      <w:tr>
        <w:trPr>
          <w:trHeight w:val="930" w:hRule="atLeast"/>
        </w:trPr>
        <w:tc>
          <w:tcPr>
            <w:tcW w:w="1285" w:type="dxa"/>
          </w:tcPr>
          <w:p>
            <w:pPr>
              <w:pStyle w:val="TableParagraph"/>
              <w:spacing w:before="27"/>
              <w:rPr>
                <w:b/>
                <w:sz w:val="22"/>
              </w:rPr>
            </w:pPr>
          </w:p>
          <w:p>
            <w:pPr>
              <w:pStyle w:val="TableParagraph"/>
              <w:ind w:right="68"/>
              <w:jc w:val="center"/>
              <w:rPr>
                <w:sz w:val="22"/>
              </w:rPr>
            </w:pPr>
            <w:r>
              <w:rPr>
                <w:spacing w:val="-5"/>
                <w:sz w:val="22"/>
              </w:rPr>
              <w:t>89</w:t>
            </w:r>
          </w:p>
        </w:tc>
        <w:tc>
          <w:tcPr>
            <w:tcW w:w="1542" w:type="dxa"/>
          </w:tcPr>
          <w:p>
            <w:pPr>
              <w:pStyle w:val="TableParagraph"/>
              <w:spacing w:before="27"/>
              <w:rPr>
                <w:b/>
                <w:sz w:val="22"/>
              </w:rPr>
            </w:pPr>
          </w:p>
          <w:p>
            <w:pPr>
              <w:pStyle w:val="TableParagraph"/>
              <w:ind w:left="565"/>
              <w:rPr>
                <w:sz w:val="22"/>
              </w:rPr>
            </w:pPr>
            <w:r>
              <w:rPr>
                <w:spacing w:val="-5"/>
                <w:sz w:val="22"/>
              </w:rPr>
              <w:t>27</w:t>
            </w:r>
          </w:p>
        </w:tc>
        <w:tc>
          <w:tcPr>
            <w:tcW w:w="1593" w:type="dxa"/>
          </w:tcPr>
          <w:p>
            <w:pPr>
              <w:pStyle w:val="TableParagraph"/>
              <w:spacing w:before="27"/>
              <w:rPr>
                <w:b/>
                <w:sz w:val="22"/>
              </w:rPr>
            </w:pPr>
          </w:p>
          <w:p>
            <w:pPr>
              <w:pStyle w:val="TableParagraph"/>
              <w:ind w:left="99"/>
              <w:jc w:val="center"/>
              <w:rPr>
                <w:sz w:val="22"/>
              </w:rPr>
            </w:pPr>
            <w:r>
              <w:rPr>
                <w:spacing w:val="-10"/>
                <w:sz w:val="22"/>
              </w:rPr>
              <w:t>M</w:t>
            </w:r>
          </w:p>
        </w:tc>
        <w:tc>
          <w:tcPr>
            <w:tcW w:w="2537" w:type="dxa"/>
          </w:tcPr>
          <w:p>
            <w:pPr>
              <w:pStyle w:val="TableParagraph"/>
              <w:spacing w:before="27"/>
              <w:rPr>
                <w:b/>
                <w:sz w:val="22"/>
              </w:rPr>
            </w:pPr>
          </w:p>
          <w:p>
            <w:pPr>
              <w:pStyle w:val="TableParagraph"/>
              <w:ind w:left="111"/>
              <w:jc w:val="center"/>
              <w:rPr>
                <w:sz w:val="22"/>
              </w:rPr>
            </w:pPr>
            <w:r>
              <w:rPr>
                <w:sz w:val="22"/>
              </w:rPr>
              <w:t>EAR</w:t>
            </w:r>
            <w:r>
              <w:rPr>
                <w:spacing w:val="-2"/>
                <w:sz w:val="22"/>
              </w:rPr>
              <w:t> </w:t>
            </w:r>
            <w:r>
              <w:rPr>
                <w:spacing w:val="-4"/>
                <w:sz w:val="22"/>
              </w:rPr>
              <w:t>SWAB</w:t>
            </w:r>
          </w:p>
        </w:tc>
        <w:tc>
          <w:tcPr>
            <w:tcW w:w="1891" w:type="dxa"/>
          </w:tcPr>
          <w:p>
            <w:pPr>
              <w:pStyle w:val="TableParagraph"/>
              <w:spacing w:before="27"/>
              <w:rPr>
                <w:b/>
                <w:sz w:val="22"/>
              </w:rPr>
            </w:pPr>
          </w:p>
          <w:p>
            <w:pPr>
              <w:pStyle w:val="TableParagraph"/>
              <w:ind w:right="632"/>
              <w:jc w:val="right"/>
              <w:rPr>
                <w:sz w:val="22"/>
              </w:rPr>
            </w:pPr>
            <w:r>
              <w:rPr>
                <w:sz w:val="22"/>
              </w:rPr>
              <w:t>ES</w:t>
            </w:r>
            <w:r>
              <w:rPr>
                <w:spacing w:val="-3"/>
                <w:sz w:val="22"/>
              </w:rPr>
              <w:t> </w:t>
            </w:r>
            <w:r>
              <w:rPr>
                <w:spacing w:val="-4"/>
                <w:sz w:val="22"/>
              </w:rPr>
              <w:t>1319</w:t>
            </w:r>
          </w:p>
        </w:tc>
      </w:tr>
      <w:tr>
        <w:trPr>
          <w:trHeight w:val="780" w:hRule="atLeast"/>
        </w:trPr>
        <w:tc>
          <w:tcPr>
            <w:tcW w:w="1285" w:type="dxa"/>
            <w:tcBorders>
              <w:bottom w:val="single" w:sz="4" w:space="0" w:color="000000"/>
            </w:tcBorders>
          </w:tcPr>
          <w:p>
            <w:pPr>
              <w:pStyle w:val="TableParagraph"/>
              <w:spacing w:before="57"/>
              <w:rPr>
                <w:b/>
                <w:sz w:val="22"/>
              </w:rPr>
            </w:pPr>
          </w:p>
          <w:p>
            <w:pPr>
              <w:pStyle w:val="TableParagraph"/>
              <w:ind w:right="68"/>
              <w:jc w:val="center"/>
              <w:rPr>
                <w:sz w:val="22"/>
              </w:rPr>
            </w:pPr>
            <w:r>
              <w:rPr>
                <w:spacing w:val="-5"/>
                <w:sz w:val="22"/>
              </w:rPr>
              <w:t>90</w:t>
            </w:r>
          </w:p>
        </w:tc>
        <w:tc>
          <w:tcPr>
            <w:tcW w:w="1542" w:type="dxa"/>
            <w:tcBorders>
              <w:bottom w:val="single" w:sz="4" w:space="0" w:color="000000"/>
            </w:tcBorders>
          </w:tcPr>
          <w:p>
            <w:pPr>
              <w:pStyle w:val="TableParagraph"/>
              <w:spacing w:before="57"/>
              <w:rPr>
                <w:b/>
                <w:sz w:val="22"/>
              </w:rPr>
            </w:pPr>
          </w:p>
          <w:p>
            <w:pPr>
              <w:pStyle w:val="TableParagraph"/>
              <w:ind w:left="565"/>
              <w:rPr>
                <w:sz w:val="22"/>
              </w:rPr>
            </w:pPr>
            <w:r>
              <w:rPr>
                <w:spacing w:val="-5"/>
                <w:sz w:val="22"/>
              </w:rPr>
              <w:t>16</w:t>
            </w:r>
          </w:p>
        </w:tc>
        <w:tc>
          <w:tcPr>
            <w:tcW w:w="1593" w:type="dxa"/>
            <w:tcBorders>
              <w:bottom w:val="single" w:sz="4" w:space="0" w:color="000000"/>
            </w:tcBorders>
          </w:tcPr>
          <w:p>
            <w:pPr>
              <w:pStyle w:val="TableParagraph"/>
              <w:spacing w:before="57"/>
              <w:rPr>
                <w:b/>
                <w:sz w:val="22"/>
              </w:rPr>
            </w:pPr>
          </w:p>
          <w:p>
            <w:pPr>
              <w:pStyle w:val="TableParagraph"/>
              <w:ind w:left="99"/>
              <w:jc w:val="center"/>
              <w:rPr>
                <w:sz w:val="22"/>
              </w:rPr>
            </w:pPr>
            <w:r>
              <w:rPr>
                <w:spacing w:val="-10"/>
                <w:sz w:val="22"/>
              </w:rPr>
              <w:t>M</w:t>
            </w:r>
          </w:p>
        </w:tc>
        <w:tc>
          <w:tcPr>
            <w:tcW w:w="2537" w:type="dxa"/>
            <w:tcBorders>
              <w:bottom w:val="single" w:sz="4" w:space="0" w:color="000000"/>
            </w:tcBorders>
          </w:tcPr>
          <w:p>
            <w:pPr>
              <w:pStyle w:val="TableParagraph"/>
              <w:spacing w:before="57"/>
              <w:rPr>
                <w:b/>
                <w:sz w:val="22"/>
              </w:rPr>
            </w:pPr>
          </w:p>
          <w:p>
            <w:pPr>
              <w:pStyle w:val="TableParagraph"/>
              <w:ind w:left="111" w:right="4"/>
              <w:jc w:val="center"/>
              <w:rPr>
                <w:sz w:val="22"/>
              </w:rPr>
            </w:pPr>
            <w:r>
              <w:rPr>
                <w:spacing w:val="-2"/>
                <w:sz w:val="22"/>
              </w:rPr>
              <w:t>SPUTUM</w:t>
            </w:r>
          </w:p>
        </w:tc>
        <w:tc>
          <w:tcPr>
            <w:tcW w:w="1891" w:type="dxa"/>
            <w:tcBorders>
              <w:bottom w:val="single" w:sz="4" w:space="0" w:color="000000"/>
            </w:tcBorders>
          </w:tcPr>
          <w:p>
            <w:pPr>
              <w:pStyle w:val="TableParagraph"/>
              <w:spacing w:before="57"/>
              <w:rPr>
                <w:b/>
                <w:sz w:val="22"/>
              </w:rPr>
            </w:pPr>
          </w:p>
          <w:p>
            <w:pPr>
              <w:pStyle w:val="TableParagraph"/>
              <w:ind w:right="630"/>
              <w:jc w:val="right"/>
              <w:rPr>
                <w:sz w:val="22"/>
              </w:rPr>
            </w:pPr>
            <w:r>
              <w:rPr>
                <w:sz w:val="22"/>
              </w:rPr>
              <w:t>SP</w:t>
            </w:r>
            <w:r>
              <w:rPr>
                <w:spacing w:val="1"/>
                <w:sz w:val="22"/>
              </w:rPr>
              <w:t> </w:t>
            </w:r>
            <w:r>
              <w:rPr>
                <w:spacing w:val="-4"/>
                <w:sz w:val="22"/>
              </w:rPr>
              <w:t>1349</w:t>
            </w:r>
          </w:p>
        </w:tc>
      </w:tr>
    </w:tbl>
    <w:p>
      <w:pPr>
        <w:pStyle w:val="BodyText"/>
        <w:spacing w:before="3"/>
        <w:ind w:left="380"/>
      </w:pPr>
      <w:r>
        <w:rPr>
          <w:b/>
        </w:rPr>
        <w:t>Key:</w:t>
      </w:r>
      <w:r>
        <w:rPr>
          <w:b/>
          <w:spacing w:val="-7"/>
        </w:rPr>
        <w:t> </w:t>
      </w:r>
      <w:r>
        <w:rPr/>
        <w:t>ES=Ear</w:t>
      </w:r>
      <w:r>
        <w:rPr>
          <w:spacing w:val="-4"/>
        </w:rPr>
        <w:t> </w:t>
      </w:r>
      <w:r>
        <w:rPr/>
        <w:t>Swab,</w:t>
      </w:r>
      <w:r>
        <w:rPr>
          <w:spacing w:val="-5"/>
        </w:rPr>
        <w:t> </w:t>
      </w:r>
      <w:r>
        <w:rPr/>
        <w:t>SP=Sputum,</w:t>
      </w:r>
      <w:r>
        <w:rPr>
          <w:spacing w:val="-4"/>
        </w:rPr>
        <w:t> </w:t>
      </w:r>
      <w:r>
        <w:rPr/>
        <w:t>TS=Throat</w:t>
      </w:r>
      <w:r>
        <w:rPr>
          <w:spacing w:val="-5"/>
        </w:rPr>
        <w:t> </w:t>
      </w:r>
      <w:r>
        <w:rPr/>
        <w:t>Swab,</w:t>
      </w:r>
      <w:r>
        <w:rPr>
          <w:spacing w:val="-4"/>
        </w:rPr>
        <w:t> </w:t>
      </w:r>
      <w:r>
        <w:rPr/>
        <w:t>F=Female,</w:t>
      </w:r>
      <w:r>
        <w:rPr>
          <w:spacing w:val="-7"/>
        </w:rPr>
        <w:t> </w:t>
      </w:r>
      <w:r>
        <w:rPr>
          <w:spacing w:val="-2"/>
        </w:rPr>
        <w:t>M=Male.</w:t>
      </w:r>
    </w:p>
    <w:p>
      <w:pPr>
        <w:spacing w:after="0"/>
        <w:sectPr>
          <w:pgSz w:w="11910" w:h="16840"/>
          <w:pgMar w:header="0" w:footer="1055" w:top="1420" w:bottom="1240" w:left="1060" w:right="460"/>
        </w:sectPr>
      </w:pPr>
    </w:p>
    <w:p>
      <w:pPr>
        <w:pStyle w:val="Heading3"/>
        <w:spacing w:before="38"/>
        <w:ind w:left="421" w:right="1015"/>
        <w:jc w:val="center"/>
      </w:pPr>
      <w:r>
        <w:rPr/>
        <w:t>Data</w:t>
      </w:r>
      <w:r>
        <w:rPr>
          <w:spacing w:val="-3"/>
        </w:rPr>
        <w:t> </w:t>
      </w:r>
      <w:r>
        <w:rPr/>
        <w:t>on</w:t>
      </w:r>
      <w:r>
        <w:rPr>
          <w:spacing w:val="-3"/>
        </w:rPr>
        <w:t> </w:t>
      </w:r>
      <w:r>
        <w:rPr/>
        <w:t>Samples</w:t>
      </w:r>
      <w:r>
        <w:rPr>
          <w:spacing w:val="-1"/>
        </w:rPr>
        <w:t> </w:t>
      </w:r>
      <w:r>
        <w:rPr>
          <w:spacing w:val="-2"/>
        </w:rPr>
        <w:t>Collected</w:t>
      </w:r>
    </w:p>
    <w:p>
      <w:pPr>
        <w:pStyle w:val="BodyText"/>
        <w:spacing w:before="163"/>
        <w:rPr>
          <w:b/>
          <w:sz w:val="20"/>
        </w:rPr>
      </w:pPr>
      <w:r>
        <w:rPr/>
        <mc:AlternateContent>
          <mc:Choice Requires="wps">
            <w:drawing>
              <wp:anchor distT="0" distB="0" distL="0" distR="0" allowOverlap="1" layoutInCell="1" locked="0" behindDoc="1" simplePos="0" relativeHeight="487697920">
                <wp:simplePos x="0" y="0"/>
                <wp:positionH relativeFrom="page">
                  <wp:posOffset>896416</wp:posOffset>
                </wp:positionH>
                <wp:positionV relativeFrom="paragraph">
                  <wp:posOffset>273967</wp:posOffset>
                </wp:positionV>
                <wp:extent cx="5769610" cy="6350"/>
                <wp:effectExtent l="0" t="0" r="0" b="0"/>
                <wp:wrapTopAndBottom/>
                <wp:docPr id="555" name="Graphic 555"/>
                <wp:cNvGraphicFramePr>
                  <a:graphicFrameLocks/>
                </wp:cNvGraphicFramePr>
                <a:graphic>
                  <a:graphicData uri="http://schemas.microsoft.com/office/word/2010/wordprocessingShape">
                    <wps:wsp>
                      <wps:cNvPr id="555" name="Graphic 555"/>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21.572266pt;width:454.3pt;height:.48pt;mso-position-horizontal-relative:page;mso-position-vertical-relative:paragraph;z-index:-15618560;mso-wrap-distance-left:0;mso-wrap-distance-right:0" id="docshape500" filled="true" fillcolor="#000000" stroked="false">
                <v:fill type="solid"/>
                <w10:wrap type="topAndBottom"/>
              </v:rect>
            </w:pict>
          </mc:Fallback>
        </mc:AlternateContent>
      </w:r>
    </w:p>
    <w:p>
      <w:pPr>
        <w:tabs>
          <w:tab w:pos="2170" w:val="left" w:leader="none"/>
          <w:tab w:pos="3810" w:val="left" w:leader="none"/>
          <w:tab w:pos="5471" w:val="left" w:leader="none"/>
        </w:tabs>
        <w:spacing w:before="18" w:after="45"/>
        <w:ind w:left="730" w:right="0" w:firstLine="0"/>
        <w:jc w:val="left"/>
        <w:rPr>
          <w:b/>
          <w:sz w:val="22"/>
        </w:rPr>
      </w:pPr>
      <w:r>
        <w:rPr>
          <w:b/>
          <w:spacing w:val="-2"/>
          <w:sz w:val="22"/>
        </w:rPr>
        <w:t>S/No.</w:t>
      </w:r>
      <w:r>
        <w:rPr>
          <w:b/>
          <w:sz w:val="22"/>
        </w:rPr>
        <w:tab/>
      </w:r>
      <w:r>
        <w:rPr>
          <w:b/>
          <w:spacing w:val="-5"/>
          <w:sz w:val="22"/>
        </w:rPr>
        <w:t>Age</w:t>
      </w:r>
      <w:r>
        <w:rPr>
          <w:b/>
          <w:sz w:val="22"/>
        </w:rPr>
        <w:tab/>
      </w:r>
      <w:r>
        <w:rPr>
          <w:b/>
          <w:spacing w:val="-5"/>
          <w:sz w:val="22"/>
        </w:rPr>
        <w:t>Sex</w:t>
      </w:r>
      <w:r>
        <w:rPr>
          <w:b/>
          <w:sz w:val="22"/>
        </w:rPr>
        <w:tab/>
        <w:t>Sample</w:t>
      </w:r>
      <w:r>
        <w:rPr>
          <w:b/>
          <w:spacing w:val="-4"/>
          <w:sz w:val="22"/>
        </w:rPr>
        <w:t> </w:t>
      </w:r>
      <w:r>
        <w:rPr>
          <w:b/>
          <w:sz w:val="22"/>
        </w:rPr>
        <w:t>source</w:t>
      </w:r>
      <w:r>
        <w:rPr>
          <w:b/>
          <w:spacing w:val="75"/>
          <w:w w:val="150"/>
          <w:sz w:val="22"/>
        </w:rPr>
        <w:t> </w:t>
      </w:r>
      <w:r>
        <w:rPr>
          <w:b/>
          <w:sz w:val="22"/>
        </w:rPr>
        <w:t>Sample</w:t>
      </w:r>
      <w:r>
        <w:rPr>
          <w:b/>
          <w:spacing w:val="-3"/>
          <w:sz w:val="22"/>
        </w:rPr>
        <w:t> </w:t>
      </w:r>
      <w:r>
        <w:rPr>
          <w:b/>
          <w:spacing w:val="-5"/>
          <w:sz w:val="22"/>
        </w:rPr>
        <w:t>No.</w:t>
      </w:r>
    </w:p>
    <w:p>
      <w:pPr>
        <w:pStyle w:val="BodyText"/>
        <w:spacing w:line="20" w:lineRule="exact"/>
        <w:ind w:left="351"/>
        <w:rPr>
          <w:sz w:val="2"/>
        </w:rPr>
      </w:pPr>
      <w:r>
        <w:rPr>
          <w:sz w:val="2"/>
        </w:rPr>
        <mc:AlternateContent>
          <mc:Choice Requires="wps">
            <w:drawing>
              <wp:inline distT="0" distB="0" distL="0" distR="0">
                <wp:extent cx="5769610" cy="6350"/>
                <wp:effectExtent l="0" t="0" r="0" b="0"/>
                <wp:docPr id="556" name="Group 556"/>
                <wp:cNvGraphicFramePr>
                  <a:graphicFrameLocks/>
                </wp:cNvGraphicFramePr>
                <a:graphic>
                  <a:graphicData uri="http://schemas.microsoft.com/office/word/2010/wordprocessingGroup">
                    <wpg:wgp>
                      <wpg:cNvPr id="556" name="Group 556"/>
                      <wpg:cNvGrpSpPr/>
                      <wpg:grpSpPr>
                        <a:xfrm>
                          <a:off x="0" y="0"/>
                          <a:ext cx="5769610" cy="6350"/>
                          <a:chExt cx="5769610" cy="6350"/>
                        </a:xfrm>
                      </wpg:grpSpPr>
                      <wps:wsp>
                        <wps:cNvPr id="557" name="Graphic 557"/>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3pt;height:.5pt;mso-position-horizontal-relative:char;mso-position-vertical-relative:line" id="docshapegroup501" coordorigin="0,0" coordsize="9086,10">
                <v:rect style="position:absolute;left:0;top:0;width:9086;height:10" id="docshape502" filled="true" fillcolor="#000000" stroked="false">
                  <v:fill type="solid"/>
                </v:rect>
              </v:group>
            </w:pict>
          </mc:Fallback>
        </mc:AlternateContent>
      </w:r>
      <w:r>
        <w:rPr>
          <w:sz w:val="2"/>
        </w:rPr>
      </w:r>
    </w:p>
    <w:p>
      <w:pPr>
        <w:pStyle w:val="BodyText"/>
        <w:rPr>
          <w:b/>
          <w:sz w:val="20"/>
        </w:rPr>
      </w:pPr>
    </w:p>
    <w:p>
      <w:pPr>
        <w:pStyle w:val="BodyText"/>
        <w:spacing w:before="146" w:after="1"/>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2"/>
        <w:gridCol w:w="1515"/>
        <w:gridCol w:w="1593"/>
        <w:gridCol w:w="2537"/>
        <w:gridCol w:w="1891"/>
      </w:tblGrid>
      <w:tr>
        <w:trPr>
          <w:trHeight w:val="710" w:hRule="atLeast"/>
        </w:trPr>
        <w:tc>
          <w:tcPr>
            <w:tcW w:w="1312" w:type="dxa"/>
          </w:tcPr>
          <w:p>
            <w:pPr>
              <w:pStyle w:val="TableParagraph"/>
              <w:spacing w:line="225" w:lineRule="exact"/>
              <w:ind w:left="494"/>
              <w:rPr>
                <w:sz w:val="22"/>
              </w:rPr>
            </w:pPr>
            <w:r>
              <w:rPr>
                <w:spacing w:val="-5"/>
                <w:sz w:val="22"/>
              </w:rPr>
              <w:t>91</w:t>
            </w:r>
          </w:p>
        </w:tc>
        <w:tc>
          <w:tcPr>
            <w:tcW w:w="1515" w:type="dxa"/>
          </w:tcPr>
          <w:p>
            <w:pPr>
              <w:pStyle w:val="TableParagraph"/>
              <w:spacing w:line="225" w:lineRule="exact"/>
              <w:ind w:left="538"/>
              <w:rPr>
                <w:sz w:val="22"/>
              </w:rPr>
            </w:pPr>
            <w:r>
              <w:rPr>
                <w:spacing w:val="-5"/>
                <w:sz w:val="22"/>
              </w:rPr>
              <w:t>33</w:t>
            </w:r>
          </w:p>
        </w:tc>
        <w:tc>
          <w:tcPr>
            <w:tcW w:w="1593" w:type="dxa"/>
          </w:tcPr>
          <w:p>
            <w:pPr>
              <w:pStyle w:val="TableParagraph"/>
              <w:spacing w:line="225" w:lineRule="exact"/>
              <w:ind w:left="99"/>
              <w:jc w:val="center"/>
              <w:rPr>
                <w:sz w:val="22"/>
              </w:rPr>
            </w:pPr>
            <w:r>
              <w:rPr>
                <w:spacing w:val="-10"/>
                <w:sz w:val="22"/>
              </w:rPr>
              <w:t>M</w:t>
            </w:r>
          </w:p>
        </w:tc>
        <w:tc>
          <w:tcPr>
            <w:tcW w:w="2537" w:type="dxa"/>
          </w:tcPr>
          <w:p>
            <w:pPr>
              <w:pStyle w:val="TableParagraph"/>
              <w:spacing w:line="225" w:lineRule="exact"/>
              <w:ind w:left="111"/>
              <w:jc w:val="center"/>
              <w:rPr>
                <w:sz w:val="22"/>
              </w:rPr>
            </w:pPr>
            <w:r>
              <w:rPr>
                <w:sz w:val="22"/>
              </w:rPr>
              <w:t>EAR</w:t>
            </w:r>
            <w:r>
              <w:rPr>
                <w:spacing w:val="-1"/>
                <w:sz w:val="22"/>
              </w:rPr>
              <w:t> </w:t>
            </w:r>
            <w:r>
              <w:rPr>
                <w:spacing w:val="-4"/>
                <w:sz w:val="22"/>
              </w:rPr>
              <w:t>SWAB</w:t>
            </w:r>
          </w:p>
        </w:tc>
        <w:tc>
          <w:tcPr>
            <w:tcW w:w="1891" w:type="dxa"/>
          </w:tcPr>
          <w:p>
            <w:pPr>
              <w:pStyle w:val="TableParagraph"/>
              <w:spacing w:line="225" w:lineRule="exact"/>
              <w:ind w:left="551"/>
              <w:rPr>
                <w:sz w:val="22"/>
              </w:rPr>
            </w:pPr>
            <w:r>
              <w:rPr>
                <w:sz w:val="22"/>
              </w:rPr>
              <w:t>ES</w:t>
            </w:r>
            <w:r>
              <w:rPr>
                <w:spacing w:val="-3"/>
                <w:sz w:val="22"/>
              </w:rPr>
              <w:t> </w:t>
            </w:r>
            <w:r>
              <w:rPr>
                <w:spacing w:val="-4"/>
                <w:sz w:val="22"/>
              </w:rPr>
              <w:t>1351</w:t>
            </w:r>
          </w:p>
        </w:tc>
      </w:tr>
      <w:tr>
        <w:trPr>
          <w:trHeight w:val="1050" w:hRule="atLeast"/>
        </w:trPr>
        <w:tc>
          <w:tcPr>
            <w:tcW w:w="1312" w:type="dxa"/>
          </w:tcPr>
          <w:p>
            <w:pPr>
              <w:pStyle w:val="TableParagraph"/>
              <w:spacing w:before="177"/>
              <w:rPr>
                <w:b/>
                <w:sz w:val="22"/>
              </w:rPr>
            </w:pPr>
          </w:p>
          <w:p>
            <w:pPr>
              <w:pStyle w:val="TableParagraph"/>
              <w:ind w:left="494"/>
              <w:rPr>
                <w:sz w:val="22"/>
              </w:rPr>
            </w:pPr>
            <w:r>
              <w:rPr>
                <w:spacing w:val="-5"/>
                <w:sz w:val="22"/>
              </w:rPr>
              <w:t>92</w:t>
            </w:r>
          </w:p>
        </w:tc>
        <w:tc>
          <w:tcPr>
            <w:tcW w:w="1515" w:type="dxa"/>
          </w:tcPr>
          <w:p>
            <w:pPr>
              <w:pStyle w:val="TableParagraph"/>
              <w:spacing w:before="177"/>
              <w:rPr>
                <w:b/>
                <w:sz w:val="22"/>
              </w:rPr>
            </w:pPr>
          </w:p>
          <w:p>
            <w:pPr>
              <w:pStyle w:val="TableParagraph"/>
              <w:ind w:left="538"/>
              <w:rPr>
                <w:sz w:val="22"/>
              </w:rPr>
            </w:pPr>
            <w:r>
              <w:rPr>
                <w:spacing w:val="-5"/>
                <w:sz w:val="22"/>
              </w:rPr>
              <w:t>41</w:t>
            </w:r>
          </w:p>
        </w:tc>
        <w:tc>
          <w:tcPr>
            <w:tcW w:w="1593" w:type="dxa"/>
          </w:tcPr>
          <w:p>
            <w:pPr>
              <w:pStyle w:val="TableParagraph"/>
              <w:spacing w:before="177"/>
              <w:rPr>
                <w:b/>
                <w:sz w:val="22"/>
              </w:rPr>
            </w:pPr>
          </w:p>
          <w:p>
            <w:pPr>
              <w:pStyle w:val="TableParagraph"/>
              <w:ind w:left="99" w:right="1"/>
              <w:jc w:val="center"/>
              <w:rPr>
                <w:sz w:val="22"/>
              </w:rPr>
            </w:pPr>
            <w:r>
              <w:rPr>
                <w:spacing w:val="-10"/>
                <w:sz w:val="22"/>
              </w:rPr>
              <w:t>F</w:t>
            </w:r>
          </w:p>
        </w:tc>
        <w:tc>
          <w:tcPr>
            <w:tcW w:w="2537" w:type="dxa"/>
          </w:tcPr>
          <w:p>
            <w:pPr>
              <w:pStyle w:val="TableParagraph"/>
              <w:spacing w:before="17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177"/>
              <w:rPr>
                <w:b/>
                <w:sz w:val="22"/>
              </w:rPr>
            </w:pPr>
          </w:p>
          <w:p>
            <w:pPr>
              <w:pStyle w:val="TableParagraph"/>
              <w:ind w:left="546"/>
              <w:rPr>
                <w:sz w:val="22"/>
              </w:rPr>
            </w:pPr>
            <w:r>
              <w:rPr>
                <w:sz w:val="22"/>
              </w:rPr>
              <w:t>SP</w:t>
            </w:r>
            <w:r>
              <w:rPr>
                <w:spacing w:val="1"/>
                <w:sz w:val="22"/>
              </w:rPr>
              <w:t> </w:t>
            </w:r>
            <w:r>
              <w:rPr>
                <w:spacing w:val="-4"/>
                <w:sz w:val="22"/>
              </w:rPr>
              <w:t>1348</w:t>
            </w:r>
          </w:p>
        </w:tc>
      </w:tr>
      <w:tr>
        <w:trPr>
          <w:trHeight w:val="900" w:hRule="atLeast"/>
        </w:trPr>
        <w:tc>
          <w:tcPr>
            <w:tcW w:w="1312" w:type="dxa"/>
          </w:tcPr>
          <w:p>
            <w:pPr>
              <w:pStyle w:val="TableParagraph"/>
              <w:spacing w:before="27"/>
              <w:rPr>
                <w:b/>
                <w:sz w:val="22"/>
              </w:rPr>
            </w:pPr>
          </w:p>
          <w:p>
            <w:pPr>
              <w:pStyle w:val="TableParagraph"/>
              <w:ind w:left="494"/>
              <w:rPr>
                <w:sz w:val="22"/>
              </w:rPr>
            </w:pPr>
            <w:r>
              <w:rPr>
                <w:spacing w:val="-5"/>
                <w:sz w:val="22"/>
              </w:rPr>
              <w:t>93</w:t>
            </w:r>
          </w:p>
        </w:tc>
        <w:tc>
          <w:tcPr>
            <w:tcW w:w="1515" w:type="dxa"/>
          </w:tcPr>
          <w:p>
            <w:pPr>
              <w:pStyle w:val="TableParagraph"/>
              <w:spacing w:before="27"/>
              <w:rPr>
                <w:b/>
                <w:sz w:val="22"/>
              </w:rPr>
            </w:pPr>
          </w:p>
          <w:p>
            <w:pPr>
              <w:pStyle w:val="TableParagraph"/>
              <w:ind w:left="538"/>
              <w:rPr>
                <w:sz w:val="22"/>
              </w:rPr>
            </w:pPr>
            <w:r>
              <w:rPr>
                <w:spacing w:val="-5"/>
                <w:sz w:val="22"/>
              </w:rPr>
              <w:t>30</w:t>
            </w:r>
          </w:p>
        </w:tc>
        <w:tc>
          <w:tcPr>
            <w:tcW w:w="1593" w:type="dxa"/>
          </w:tcPr>
          <w:p>
            <w:pPr>
              <w:pStyle w:val="TableParagraph"/>
              <w:spacing w:before="27"/>
              <w:rPr>
                <w:b/>
                <w:sz w:val="22"/>
              </w:rPr>
            </w:pPr>
          </w:p>
          <w:p>
            <w:pPr>
              <w:pStyle w:val="TableParagraph"/>
              <w:ind w:left="99"/>
              <w:jc w:val="center"/>
              <w:rPr>
                <w:sz w:val="22"/>
              </w:rPr>
            </w:pPr>
            <w:r>
              <w:rPr>
                <w:spacing w:val="-10"/>
                <w:sz w:val="22"/>
              </w:rPr>
              <w:t>M</w:t>
            </w:r>
          </w:p>
        </w:tc>
        <w:tc>
          <w:tcPr>
            <w:tcW w:w="2537" w:type="dxa"/>
          </w:tcPr>
          <w:p>
            <w:pPr>
              <w:pStyle w:val="TableParagraph"/>
              <w:spacing w:before="27"/>
              <w:rPr>
                <w:b/>
                <w:sz w:val="22"/>
              </w:rPr>
            </w:pPr>
          </w:p>
          <w:p>
            <w:pPr>
              <w:pStyle w:val="TableParagraph"/>
              <w:ind w:left="111"/>
              <w:jc w:val="center"/>
              <w:rPr>
                <w:sz w:val="22"/>
              </w:rPr>
            </w:pPr>
            <w:r>
              <w:rPr>
                <w:sz w:val="22"/>
              </w:rPr>
              <w:t>THROAT</w:t>
            </w:r>
            <w:r>
              <w:rPr>
                <w:spacing w:val="-5"/>
                <w:sz w:val="22"/>
              </w:rPr>
              <w:t> </w:t>
            </w:r>
            <w:r>
              <w:rPr>
                <w:spacing w:val="-4"/>
                <w:sz w:val="22"/>
              </w:rPr>
              <w:t>SWAB</w:t>
            </w:r>
          </w:p>
        </w:tc>
        <w:tc>
          <w:tcPr>
            <w:tcW w:w="1891" w:type="dxa"/>
          </w:tcPr>
          <w:p>
            <w:pPr>
              <w:pStyle w:val="TableParagraph"/>
              <w:spacing w:before="27"/>
              <w:rPr>
                <w:b/>
                <w:sz w:val="22"/>
              </w:rPr>
            </w:pPr>
          </w:p>
          <w:p>
            <w:pPr>
              <w:pStyle w:val="TableParagraph"/>
              <w:ind w:left="551"/>
              <w:rPr>
                <w:sz w:val="22"/>
              </w:rPr>
            </w:pPr>
            <w:r>
              <w:rPr>
                <w:sz w:val="22"/>
              </w:rPr>
              <w:t>TS</w:t>
            </w:r>
            <w:r>
              <w:rPr>
                <w:spacing w:val="-1"/>
                <w:sz w:val="22"/>
              </w:rPr>
              <w:t> </w:t>
            </w:r>
            <w:r>
              <w:rPr>
                <w:spacing w:val="-4"/>
                <w:sz w:val="22"/>
              </w:rPr>
              <w:t>1353</w:t>
            </w:r>
          </w:p>
        </w:tc>
      </w:tr>
      <w:tr>
        <w:trPr>
          <w:trHeight w:val="900" w:hRule="atLeast"/>
        </w:trPr>
        <w:tc>
          <w:tcPr>
            <w:tcW w:w="1312" w:type="dxa"/>
          </w:tcPr>
          <w:p>
            <w:pPr>
              <w:pStyle w:val="TableParagraph"/>
              <w:spacing w:before="27"/>
              <w:rPr>
                <w:b/>
                <w:sz w:val="22"/>
              </w:rPr>
            </w:pPr>
          </w:p>
          <w:p>
            <w:pPr>
              <w:pStyle w:val="TableParagraph"/>
              <w:ind w:left="494"/>
              <w:rPr>
                <w:sz w:val="22"/>
              </w:rPr>
            </w:pPr>
            <w:r>
              <w:rPr>
                <w:spacing w:val="-5"/>
                <w:sz w:val="22"/>
              </w:rPr>
              <w:t>94</w:t>
            </w:r>
          </w:p>
        </w:tc>
        <w:tc>
          <w:tcPr>
            <w:tcW w:w="1515" w:type="dxa"/>
          </w:tcPr>
          <w:p>
            <w:pPr>
              <w:pStyle w:val="TableParagraph"/>
              <w:spacing w:before="27"/>
              <w:rPr>
                <w:b/>
                <w:sz w:val="22"/>
              </w:rPr>
            </w:pPr>
          </w:p>
          <w:p>
            <w:pPr>
              <w:pStyle w:val="TableParagraph"/>
              <w:ind w:left="538"/>
              <w:rPr>
                <w:sz w:val="22"/>
              </w:rPr>
            </w:pPr>
            <w:r>
              <w:rPr>
                <w:spacing w:val="-5"/>
                <w:sz w:val="22"/>
              </w:rPr>
              <w:t>17</w:t>
            </w:r>
          </w:p>
        </w:tc>
        <w:tc>
          <w:tcPr>
            <w:tcW w:w="1593" w:type="dxa"/>
          </w:tcPr>
          <w:p>
            <w:pPr>
              <w:pStyle w:val="TableParagraph"/>
              <w:spacing w:before="27"/>
              <w:rPr>
                <w:b/>
                <w:sz w:val="22"/>
              </w:rPr>
            </w:pPr>
          </w:p>
          <w:p>
            <w:pPr>
              <w:pStyle w:val="TableParagraph"/>
              <w:ind w:left="99"/>
              <w:jc w:val="center"/>
              <w:rPr>
                <w:sz w:val="22"/>
              </w:rPr>
            </w:pPr>
            <w:r>
              <w:rPr>
                <w:spacing w:val="-10"/>
                <w:sz w:val="22"/>
              </w:rPr>
              <w:t>M</w:t>
            </w:r>
          </w:p>
        </w:tc>
        <w:tc>
          <w:tcPr>
            <w:tcW w:w="2537" w:type="dxa"/>
          </w:tcPr>
          <w:p>
            <w:pPr>
              <w:pStyle w:val="TableParagraph"/>
              <w:spacing w:before="2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27"/>
              <w:rPr>
                <w:b/>
                <w:sz w:val="22"/>
              </w:rPr>
            </w:pPr>
          </w:p>
          <w:p>
            <w:pPr>
              <w:pStyle w:val="TableParagraph"/>
              <w:ind w:left="546"/>
              <w:rPr>
                <w:sz w:val="22"/>
              </w:rPr>
            </w:pPr>
            <w:r>
              <w:rPr>
                <w:sz w:val="22"/>
              </w:rPr>
              <w:t>SP</w:t>
            </w:r>
            <w:r>
              <w:rPr>
                <w:spacing w:val="1"/>
                <w:sz w:val="22"/>
              </w:rPr>
              <w:t> </w:t>
            </w:r>
            <w:r>
              <w:rPr>
                <w:spacing w:val="-4"/>
                <w:sz w:val="22"/>
              </w:rPr>
              <w:t>1347</w:t>
            </w:r>
          </w:p>
        </w:tc>
      </w:tr>
      <w:tr>
        <w:trPr>
          <w:trHeight w:val="1050" w:hRule="atLeast"/>
        </w:trPr>
        <w:tc>
          <w:tcPr>
            <w:tcW w:w="1312" w:type="dxa"/>
          </w:tcPr>
          <w:p>
            <w:pPr>
              <w:pStyle w:val="TableParagraph"/>
              <w:spacing w:before="27"/>
              <w:rPr>
                <w:b/>
                <w:sz w:val="22"/>
              </w:rPr>
            </w:pPr>
          </w:p>
          <w:p>
            <w:pPr>
              <w:pStyle w:val="TableParagraph"/>
              <w:ind w:left="494"/>
              <w:rPr>
                <w:sz w:val="22"/>
              </w:rPr>
            </w:pPr>
            <w:r>
              <w:rPr>
                <w:spacing w:val="-5"/>
                <w:sz w:val="22"/>
              </w:rPr>
              <w:t>95</w:t>
            </w:r>
          </w:p>
        </w:tc>
        <w:tc>
          <w:tcPr>
            <w:tcW w:w="1515" w:type="dxa"/>
          </w:tcPr>
          <w:p>
            <w:pPr>
              <w:pStyle w:val="TableParagraph"/>
              <w:spacing w:before="27"/>
              <w:rPr>
                <w:b/>
                <w:sz w:val="22"/>
              </w:rPr>
            </w:pPr>
          </w:p>
          <w:p>
            <w:pPr>
              <w:pStyle w:val="TableParagraph"/>
              <w:ind w:left="538"/>
              <w:rPr>
                <w:sz w:val="22"/>
              </w:rPr>
            </w:pPr>
            <w:r>
              <w:rPr>
                <w:spacing w:val="-5"/>
                <w:sz w:val="22"/>
              </w:rPr>
              <w:t>28</w:t>
            </w:r>
          </w:p>
        </w:tc>
        <w:tc>
          <w:tcPr>
            <w:tcW w:w="1593" w:type="dxa"/>
          </w:tcPr>
          <w:p>
            <w:pPr>
              <w:pStyle w:val="TableParagraph"/>
              <w:spacing w:before="27"/>
              <w:rPr>
                <w:b/>
                <w:sz w:val="22"/>
              </w:rPr>
            </w:pPr>
          </w:p>
          <w:p>
            <w:pPr>
              <w:pStyle w:val="TableParagraph"/>
              <w:ind w:left="99" w:right="1"/>
              <w:jc w:val="center"/>
              <w:rPr>
                <w:sz w:val="22"/>
              </w:rPr>
            </w:pPr>
            <w:r>
              <w:rPr>
                <w:spacing w:val="-10"/>
                <w:sz w:val="22"/>
              </w:rPr>
              <w:t>F</w:t>
            </w:r>
          </w:p>
        </w:tc>
        <w:tc>
          <w:tcPr>
            <w:tcW w:w="2537" w:type="dxa"/>
          </w:tcPr>
          <w:p>
            <w:pPr>
              <w:pStyle w:val="TableParagraph"/>
              <w:spacing w:before="2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27"/>
              <w:rPr>
                <w:b/>
                <w:sz w:val="22"/>
              </w:rPr>
            </w:pPr>
          </w:p>
          <w:p>
            <w:pPr>
              <w:pStyle w:val="TableParagraph"/>
              <w:ind w:left="546"/>
              <w:rPr>
                <w:sz w:val="22"/>
              </w:rPr>
            </w:pPr>
            <w:r>
              <w:rPr>
                <w:sz w:val="22"/>
              </w:rPr>
              <w:t>SP</w:t>
            </w:r>
            <w:r>
              <w:rPr>
                <w:spacing w:val="1"/>
                <w:sz w:val="22"/>
              </w:rPr>
              <w:t> </w:t>
            </w:r>
            <w:r>
              <w:rPr>
                <w:spacing w:val="-4"/>
                <w:sz w:val="22"/>
              </w:rPr>
              <w:t>1382</w:t>
            </w:r>
          </w:p>
        </w:tc>
      </w:tr>
      <w:tr>
        <w:trPr>
          <w:trHeight w:val="900" w:hRule="atLeast"/>
        </w:trPr>
        <w:tc>
          <w:tcPr>
            <w:tcW w:w="1312" w:type="dxa"/>
          </w:tcPr>
          <w:p>
            <w:pPr>
              <w:pStyle w:val="TableParagraph"/>
              <w:spacing w:before="177"/>
              <w:rPr>
                <w:b/>
                <w:sz w:val="22"/>
              </w:rPr>
            </w:pPr>
          </w:p>
          <w:p>
            <w:pPr>
              <w:pStyle w:val="TableParagraph"/>
              <w:ind w:left="494"/>
              <w:rPr>
                <w:sz w:val="22"/>
              </w:rPr>
            </w:pPr>
            <w:r>
              <w:rPr>
                <w:spacing w:val="-5"/>
                <w:sz w:val="22"/>
              </w:rPr>
              <w:t>96</w:t>
            </w:r>
          </w:p>
        </w:tc>
        <w:tc>
          <w:tcPr>
            <w:tcW w:w="1515" w:type="dxa"/>
          </w:tcPr>
          <w:p>
            <w:pPr>
              <w:pStyle w:val="TableParagraph"/>
              <w:spacing w:before="177"/>
              <w:rPr>
                <w:b/>
                <w:sz w:val="22"/>
              </w:rPr>
            </w:pPr>
          </w:p>
          <w:p>
            <w:pPr>
              <w:pStyle w:val="TableParagraph"/>
              <w:ind w:left="538"/>
              <w:rPr>
                <w:sz w:val="22"/>
              </w:rPr>
            </w:pPr>
            <w:r>
              <w:rPr>
                <w:spacing w:val="-5"/>
                <w:sz w:val="22"/>
              </w:rPr>
              <w:t>22</w:t>
            </w:r>
          </w:p>
        </w:tc>
        <w:tc>
          <w:tcPr>
            <w:tcW w:w="1593" w:type="dxa"/>
          </w:tcPr>
          <w:p>
            <w:pPr>
              <w:pStyle w:val="TableParagraph"/>
              <w:spacing w:before="177"/>
              <w:rPr>
                <w:b/>
                <w:sz w:val="22"/>
              </w:rPr>
            </w:pPr>
          </w:p>
          <w:p>
            <w:pPr>
              <w:pStyle w:val="TableParagraph"/>
              <w:ind w:left="99" w:right="1"/>
              <w:jc w:val="center"/>
              <w:rPr>
                <w:sz w:val="22"/>
              </w:rPr>
            </w:pPr>
            <w:r>
              <w:rPr>
                <w:spacing w:val="-10"/>
                <w:sz w:val="22"/>
              </w:rPr>
              <w:t>F</w:t>
            </w:r>
          </w:p>
        </w:tc>
        <w:tc>
          <w:tcPr>
            <w:tcW w:w="2537" w:type="dxa"/>
          </w:tcPr>
          <w:p>
            <w:pPr>
              <w:pStyle w:val="TableParagraph"/>
              <w:spacing w:before="17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177"/>
              <w:rPr>
                <w:b/>
                <w:sz w:val="22"/>
              </w:rPr>
            </w:pPr>
          </w:p>
          <w:p>
            <w:pPr>
              <w:pStyle w:val="TableParagraph"/>
              <w:ind w:left="546"/>
              <w:rPr>
                <w:sz w:val="22"/>
              </w:rPr>
            </w:pPr>
            <w:r>
              <w:rPr>
                <w:sz w:val="22"/>
              </w:rPr>
              <w:t>SP</w:t>
            </w:r>
            <w:r>
              <w:rPr>
                <w:spacing w:val="1"/>
                <w:sz w:val="22"/>
              </w:rPr>
              <w:t> </w:t>
            </w:r>
            <w:r>
              <w:rPr>
                <w:spacing w:val="-4"/>
                <w:sz w:val="22"/>
              </w:rPr>
              <w:t>1386</w:t>
            </w:r>
          </w:p>
        </w:tc>
      </w:tr>
      <w:tr>
        <w:trPr>
          <w:trHeight w:val="750" w:hRule="atLeast"/>
        </w:trPr>
        <w:tc>
          <w:tcPr>
            <w:tcW w:w="1312" w:type="dxa"/>
          </w:tcPr>
          <w:p>
            <w:pPr>
              <w:pStyle w:val="TableParagraph"/>
              <w:spacing w:before="145"/>
              <w:ind w:left="494"/>
              <w:rPr>
                <w:sz w:val="22"/>
              </w:rPr>
            </w:pPr>
            <w:r>
              <w:rPr>
                <w:spacing w:val="-5"/>
                <w:sz w:val="22"/>
              </w:rPr>
              <w:t>97</w:t>
            </w:r>
          </w:p>
        </w:tc>
        <w:tc>
          <w:tcPr>
            <w:tcW w:w="1515" w:type="dxa"/>
          </w:tcPr>
          <w:p>
            <w:pPr>
              <w:pStyle w:val="TableParagraph"/>
              <w:spacing w:before="145"/>
              <w:ind w:left="538"/>
              <w:rPr>
                <w:sz w:val="22"/>
              </w:rPr>
            </w:pPr>
            <w:r>
              <w:rPr>
                <w:spacing w:val="-5"/>
                <w:sz w:val="22"/>
              </w:rPr>
              <w:t>50</w:t>
            </w:r>
          </w:p>
        </w:tc>
        <w:tc>
          <w:tcPr>
            <w:tcW w:w="1593" w:type="dxa"/>
          </w:tcPr>
          <w:p>
            <w:pPr>
              <w:pStyle w:val="TableParagraph"/>
              <w:spacing w:before="145"/>
              <w:ind w:left="99" w:right="1"/>
              <w:jc w:val="center"/>
              <w:rPr>
                <w:sz w:val="22"/>
              </w:rPr>
            </w:pPr>
            <w:r>
              <w:rPr>
                <w:spacing w:val="-10"/>
                <w:sz w:val="22"/>
              </w:rPr>
              <w:t>F</w:t>
            </w:r>
          </w:p>
        </w:tc>
        <w:tc>
          <w:tcPr>
            <w:tcW w:w="2537" w:type="dxa"/>
          </w:tcPr>
          <w:p>
            <w:pPr>
              <w:pStyle w:val="TableParagraph"/>
              <w:spacing w:before="145"/>
              <w:ind w:left="111" w:right="4"/>
              <w:jc w:val="center"/>
              <w:rPr>
                <w:sz w:val="22"/>
              </w:rPr>
            </w:pPr>
            <w:r>
              <w:rPr>
                <w:spacing w:val="-2"/>
                <w:sz w:val="22"/>
              </w:rPr>
              <w:t>SPUTUM</w:t>
            </w:r>
          </w:p>
        </w:tc>
        <w:tc>
          <w:tcPr>
            <w:tcW w:w="1891" w:type="dxa"/>
          </w:tcPr>
          <w:p>
            <w:pPr>
              <w:pStyle w:val="TableParagraph"/>
              <w:spacing w:before="145"/>
              <w:ind w:left="546"/>
              <w:rPr>
                <w:sz w:val="22"/>
              </w:rPr>
            </w:pPr>
            <w:r>
              <w:rPr>
                <w:sz w:val="22"/>
              </w:rPr>
              <w:t>SP</w:t>
            </w:r>
            <w:r>
              <w:rPr>
                <w:spacing w:val="1"/>
                <w:sz w:val="22"/>
              </w:rPr>
              <w:t> </w:t>
            </w:r>
            <w:r>
              <w:rPr>
                <w:spacing w:val="-4"/>
                <w:sz w:val="22"/>
              </w:rPr>
              <w:t>1390</w:t>
            </w:r>
          </w:p>
        </w:tc>
      </w:tr>
      <w:tr>
        <w:trPr>
          <w:trHeight w:val="900" w:hRule="atLeast"/>
        </w:trPr>
        <w:tc>
          <w:tcPr>
            <w:tcW w:w="1312" w:type="dxa"/>
          </w:tcPr>
          <w:p>
            <w:pPr>
              <w:pStyle w:val="TableParagraph"/>
              <w:spacing w:before="27"/>
              <w:rPr>
                <w:b/>
                <w:sz w:val="22"/>
              </w:rPr>
            </w:pPr>
          </w:p>
          <w:p>
            <w:pPr>
              <w:pStyle w:val="TableParagraph"/>
              <w:ind w:left="494"/>
              <w:rPr>
                <w:sz w:val="22"/>
              </w:rPr>
            </w:pPr>
            <w:r>
              <w:rPr>
                <w:spacing w:val="-5"/>
                <w:sz w:val="22"/>
              </w:rPr>
              <w:t>98</w:t>
            </w:r>
          </w:p>
        </w:tc>
        <w:tc>
          <w:tcPr>
            <w:tcW w:w="1515" w:type="dxa"/>
          </w:tcPr>
          <w:p>
            <w:pPr>
              <w:pStyle w:val="TableParagraph"/>
              <w:spacing w:before="27"/>
              <w:rPr>
                <w:b/>
                <w:sz w:val="22"/>
              </w:rPr>
            </w:pPr>
          </w:p>
          <w:p>
            <w:pPr>
              <w:pStyle w:val="TableParagraph"/>
              <w:ind w:left="538"/>
              <w:rPr>
                <w:sz w:val="22"/>
              </w:rPr>
            </w:pPr>
            <w:r>
              <w:rPr>
                <w:spacing w:val="-5"/>
                <w:sz w:val="22"/>
              </w:rPr>
              <w:t>35</w:t>
            </w:r>
          </w:p>
        </w:tc>
        <w:tc>
          <w:tcPr>
            <w:tcW w:w="1593" w:type="dxa"/>
          </w:tcPr>
          <w:p>
            <w:pPr>
              <w:pStyle w:val="TableParagraph"/>
              <w:spacing w:before="27"/>
              <w:rPr>
                <w:b/>
                <w:sz w:val="22"/>
              </w:rPr>
            </w:pPr>
          </w:p>
          <w:p>
            <w:pPr>
              <w:pStyle w:val="TableParagraph"/>
              <w:ind w:left="99" w:right="1"/>
              <w:jc w:val="center"/>
              <w:rPr>
                <w:sz w:val="22"/>
              </w:rPr>
            </w:pPr>
            <w:r>
              <w:rPr>
                <w:spacing w:val="-10"/>
                <w:sz w:val="22"/>
              </w:rPr>
              <w:t>F</w:t>
            </w:r>
          </w:p>
        </w:tc>
        <w:tc>
          <w:tcPr>
            <w:tcW w:w="2537" w:type="dxa"/>
          </w:tcPr>
          <w:p>
            <w:pPr>
              <w:pStyle w:val="TableParagraph"/>
              <w:spacing w:before="2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27"/>
              <w:rPr>
                <w:b/>
                <w:sz w:val="22"/>
              </w:rPr>
            </w:pPr>
          </w:p>
          <w:p>
            <w:pPr>
              <w:pStyle w:val="TableParagraph"/>
              <w:ind w:left="546"/>
              <w:rPr>
                <w:sz w:val="22"/>
              </w:rPr>
            </w:pPr>
            <w:r>
              <w:rPr>
                <w:sz w:val="22"/>
              </w:rPr>
              <w:t>SP</w:t>
            </w:r>
            <w:r>
              <w:rPr>
                <w:spacing w:val="1"/>
                <w:sz w:val="22"/>
              </w:rPr>
              <w:t> </w:t>
            </w:r>
            <w:r>
              <w:rPr>
                <w:spacing w:val="-4"/>
                <w:sz w:val="22"/>
              </w:rPr>
              <w:t>1454</w:t>
            </w:r>
          </w:p>
        </w:tc>
      </w:tr>
      <w:tr>
        <w:trPr>
          <w:trHeight w:val="930" w:hRule="atLeast"/>
        </w:trPr>
        <w:tc>
          <w:tcPr>
            <w:tcW w:w="1312" w:type="dxa"/>
          </w:tcPr>
          <w:p>
            <w:pPr>
              <w:pStyle w:val="TableParagraph"/>
              <w:spacing w:before="27"/>
              <w:rPr>
                <w:b/>
                <w:sz w:val="22"/>
              </w:rPr>
            </w:pPr>
          </w:p>
          <w:p>
            <w:pPr>
              <w:pStyle w:val="TableParagraph"/>
              <w:ind w:left="494"/>
              <w:rPr>
                <w:sz w:val="22"/>
              </w:rPr>
            </w:pPr>
            <w:r>
              <w:rPr>
                <w:spacing w:val="-5"/>
                <w:sz w:val="22"/>
              </w:rPr>
              <w:t>99</w:t>
            </w:r>
          </w:p>
        </w:tc>
        <w:tc>
          <w:tcPr>
            <w:tcW w:w="1515" w:type="dxa"/>
          </w:tcPr>
          <w:p>
            <w:pPr>
              <w:pStyle w:val="TableParagraph"/>
              <w:spacing w:before="27"/>
              <w:rPr>
                <w:b/>
                <w:sz w:val="22"/>
              </w:rPr>
            </w:pPr>
          </w:p>
          <w:p>
            <w:pPr>
              <w:pStyle w:val="TableParagraph"/>
              <w:ind w:left="538"/>
              <w:rPr>
                <w:sz w:val="22"/>
              </w:rPr>
            </w:pPr>
            <w:r>
              <w:rPr>
                <w:spacing w:val="-5"/>
                <w:sz w:val="22"/>
              </w:rPr>
              <w:t>49</w:t>
            </w:r>
          </w:p>
        </w:tc>
        <w:tc>
          <w:tcPr>
            <w:tcW w:w="1593" w:type="dxa"/>
          </w:tcPr>
          <w:p>
            <w:pPr>
              <w:pStyle w:val="TableParagraph"/>
              <w:spacing w:before="27"/>
              <w:rPr>
                <w:b/>
                <w:sz w:val="22"/>
              </w:rPr>
            </w:pPr>
          </w:p>
          <w:p>
            <w:pPr>
              <w:pStyle w:val="TableParagraph"/>
              <w:ind w:left="99"/>
              <w:jc w:val="center"/>
              <w:rPr>
                <w:sz w:val="22"/>
              </w:rPr>
            </w:pPr>
            <w:r>
              <w:rPr>
                <w:spacing w:val="-10"/>
                <w:sz w:val="22"/>
              </w:rPr>
              <w:t>M</w:t>
            </w:r>
          </w:p>
        </w:tc>
        <w:tc>
          <w:tcPr>
            <w:tcW w:w="2537" w:type="dxa"/>
          </w:tcPr>
          <w:p>
            <w:pPr>
              <w:pStyle w:val="TableParagraph"/>
              <w:spacing w:before="2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27"/>
              <w:rPr>
                <w:b/>
                <w:sz w:val="22"/>
              </w:rPr>
            </w:pPr>
          </w:p>
          <w:p>
            <w:pPr>
              <w:pStyle w:val="TableParagraph"/>
              <w:ind w:left="546"/>
              <w:rPr>
                <w:sz w:val="22"/>
              </w:rPr>
            </w:pPr>
            <w:r>
              <w:rPr>
                <w:sz w:val="22"/>
              </w:rPr>
              <w:t>SP</w:t>
            </w:r>
            <w:r>
              <w:rPr>
                <w:spacing w:val="1"/>
                <w:sz w:val="22"/>
              </w:rPr>
              <w:t> </w:t>
            </w:r>
            <w:r>
              <w:rPr>
                <w:spacing w:val="-4"/>
                <w:sz w:val="22"/>
              </w:rPr>
              <w:t>1455</w:t>
            </w:r>
          </w:p>
        </w:tc>
      </w:tr>
      <w:tr>
        <w:trPr>
          <w:trHeight w:val="780" w:hRule="atLeast"/>
        </w:trPr>
        <w:tc>
          <w:tcPr>
            <w:tcW w:w="1312" w:type="dxa"/>
            <w:tcBorders>
              <w:bottom w:val="single" w:sz="4" w:space="0" w:color="000000"/>
            </w:tcBorders>
          </w:tcPr>
          <w:p>
            <w:pPr>
              <w:pStyle w:val="TableParagraph"/>
              <w:spacing w:before="57"/>
              <w:rPr>
                <w:b/>
                <w:sz w:val="22"/>
              </w:rPr>
            </w:pPr>
          </w:p>
          <w:p>
            <w:pPr>
              <w:pStyle w:val="TableParagraph"/>
              <w:ind w:left="439"/>
              <w:rPr>
                <w:sz w:val="22"/>
              </w:rPr>
            </w:pPr>
            <w:r>
              <w:rPr>
                <w:spacing w:val="-5"/>
                <w:sz w:val="22"/>
              </w:rPr>
              <w:t>100</w:t>
            </w:r>
          </w:p>
        </w:tc>
        <w:tc>
          <w:tcPr>
            <w:tcW w:w="1515" w:type="dxa"/>
            <w:tcBorders>
              <w:bottom w:val="single" w:sz="4" w:space="0" w:color="000000"/>
            </w:tcBorders>
          </w:tcPr>
          <w:p>
            <w:pPr>
              <w:pStyle w:val="TableParagraph"/>
              <w:spacing w:before="57"/>
              <w:rPr>
                <w:b/>
                <w:sz w:val="22"/>
              </w:rPr>
            </w:pPr>
          </w:p>
          <w:p>
            <w:pPr>
              <w:pStyle w:val="TableParagraph"/>
              <w:ind w:left="538"/>
              <w:rPr>
                <w:sz w:val="22"/>
              </w:rPr>
            </w:pPr>
            <w:r>
              <w:rPr>
                <w:spacing w:val="-5"/>
                <w:sz w:val="22"/>
              </w:rPr>
              <w:t>23</w:t>
            </w:r>
          </w:p>
        </w:tc>
        <w:tc>
          <w:tcPr>
            <w:tcW w:w="1593" w:type="dxa"/>
            <w:tcBorders>
              <w:bottom w:val="single" w:sz="4" w:space="0" w:color="000000"/>
            </w:tcBorders>
          </w:tcPr>
          <w:p>
            <w:pPr>
              <w:pStyle w:val="TableParagraph"/>
              <w:spacing w:before="57"/>
              <w:rPr>
                <w:b/>
                <w:sz w:val="22"/>
              </w:rPr>
            </w:pPr>
          </w:p>
          <w:p>
            <w:pPr>
              <w:pStyle w:val="TableParagraph"/>
              <w:ind w:left="99" w:right="1"/>
              <w:jc w:val="center"/>
              <w:rPr>
                <w:sz w:val="22"/>
              </w:rPr>
            </w:pPr>
            <w:r>
              <w:rPr>
                <w:spacing w:val="-10"/>
                <w:sz w:val="22"/>
              </w:rPr>
              <w:t>F</w:t>
            </w:r>
          </w:p>
        </w:tc>
        <w:tc>
          <w:tcPr>
            <w:tcW w:w="2537" w:type="dxa"/>
            <w:tcBorders>
              <w:bottom w:val="single" w:sz="4" w:space="0" w:color="000000"/>
            </w:tcBorders>
          </w:tcPr>
          <w:p>
            <w:pPr>
              <w:pStyle w:val="TableParagraph"/>
              <w:spacing w:before="57"/>
              <w:rPr>
                <w:b/>
                <w:sz w:val="22"/>
              </w:rPr>
            </w:pPr>
          </w:p>
          <w:p>
            <w:pPr>
              <w:pStyle w:val="TableParagraph"/>
              <w:ind w:left="111" w:right="4"/>
              <w:jc w:val="center"/>
              <w:rPr>
                <w:sz w:val="22"/>
              </w:rPr>
            </w:pPr>
            <w:r>
              <w:rPr>
                <w:spacing w:val="-2"/>
                <w:sz w:val="22"/>
              </w:rPr>
              <w:t>SPUTUM</w:t>
            </w:r>
          </w:p>
        </w:tc>
        <w:tc>
          <w:tcPr>
            <w:tcW w:w="1891" w:type="dxa"/>
            <w:tcBorders>
              <w:bottom w:val="single" w:sz="4" w:space="0" w:color="000000"/>
            </w:tcBorders>
          </w:tcPr>
          <w:p>
            <w:pPr>
              <w:pStyle w:val="TableParagraph"/>
              <w:spacing w:before="57"/>
              <w:rPr>
                <w:b/>
                <w:sz w:val="22"/>
              </w:rPr>
            </w:pPr>
          </w:p>
          <w:p>
            <w:pPr>
              <w:pStyle w:val="TableParagraph"/>
              <w:ind w:left="546"/>
              <w:rPr>
                <w:sz w:val="22"/>
              </w:rPr>
            </w:pPr>
            <w:r>
              <w:rPr>
                <w:sz w:val="22"/>
              </w:rPr>
              <w:t>SP</w:t>
            </w:r>
            <w:r>
              <w:rPr>
                <w:spacing w:val="1"/>
                <w:sz w:val="22"/>
              </w:rPr>
              <w:t> </w:t>
            </w:r>
            <w:r>
              <w:rPr>
                <w:spacing w:val="-4"/>
                <w:sz w:val="22"/>
              </w:rPr>
              <w:t>1562</w:t>
            </w:r>
          </w:p>
        </w:tc>
      </w:tr>
    </w:tbl>
    <w:p>
      <w:pPr>
        <w:pStyle w:val="BodyText"/>
        <w:spacing w:before="3"/>
        <w:ind w:left="380"/>
      </w:pPr>
      <w:r>
        <w:rPr>
          <w:b/>
        </w:rPr>
        <w:t>Key:</w:t>
      </w:r>
      <w:r>
        <w:rPr>
          <w:b/>
          <w:spacing w:val="-7"/>
        </w:rPr>
        <w:t> </w:t>
      </w:r>
      <w:r>
        <w:rPr/>
        <w:t>ES=Ear</w:t>
      </w:r>
      <w:r>
        <w:rPr>
          <w:spacing w:val="-4"/>
        </w:rPr>
        <w:t> </w:t>
      </w:r>
      <w:r>
        <w:rPr/>
        <w:t>Swab,</w:t>
      </w:r>
      <w:r>
        <w:rPr>
          <w:spacing w:val="-5"/>
        </w:rPr>
        <w:t> </w:t>
      </w:r>
      <w:r>
        <w:rPr/>
        <w:t>SP=Sputum,</w:t>
      </w:r>
      <w:r>
        <w:rPr>
          <w:spacing w:val="-5"/>
        </w:rPr>
        <w:t> </w:t>
      </w:r>
      <w:r>
        <w:rPr/>
        <w:t>TS=Throat</w:t>
      </w:r>
      <w:r>
        <w:rPr>
          <w:spacing w:val="-4"/>
        </w:rPr>
        <w:t> </w:t>
      </w:r>
      <w:r>
        <w:rPr/>
        <w:t>Swab,</w:t>
      </w:r>
      <w:r>
        <w:rPr>
          <w:spacing w:val="-4"/>
        </w:rPr>
        <w:t> </w:t>
      </w:r>
      <w:r>
        <w:rPr/>
        <w:t>F=Female,</w:t>
      </w:r>
      <w:r>
        <w:rPr>
          <w:spacing w:val="-7"/>
        </w:rPr>
        <w:t> </w:t>
      </w:r>
      <w:r>
        <w:rPr>
          <w:spacing w:val="-2"/>
        </w:rPr>
        <w:t>M=Male.</w:t>
      </w:r>
    </w:p>
    <w:p>
      <w:pPr>
        <w:spacing w:after="0"/>
        <w:sectPr>
          <w:pgSz w:w="11910" w:h="16840"/>
          <w:pgMar w:header="0" w:footer="1055" w:top="1380" w:bottom="1240" w:left="1060" w:right="460"/>
        </w:sectPr>
      </w:pPr>
    </w:p>
    <w:p>
      <w:pPr>
        <w:pStyle w:val="BodyText"/>
        <w:spacing w:before="130"/>
      </w:pPr>
    </w:p>
    <w:p>
      <w:pPr>
        <w:pStyle w:val="Heading3"/>
        <w:ind w:left="421" w:right="1015"/>
        <w:jc w:val="center"/>
      </w:pPr>
      <w:r>
        <w:rPr/>
        <w:t>Data</w:t>
      </w:r>
      <w:r>
        <w:rPr>
          <w:spacing w:val="-3"/>
        </w:rPr>
        <w:t> </w:t>
      </w:r>
      <w:r>
        <w:rPr/>
        <w:t>on</w:t>
      </w:r>
      <w:r>
        <w:rPr>
          <w:spacing w:val="-3"/>
        </w:rPr>
        <w:t> </w:t>
      </w:r>
      <w:r>
        <w:rPr/>
        <w:t>Samples</w:t>
      </w:r>
      <w:r>
        <w:rPr>
          <w:spacing w:val="-1"/>
        </w:rPr>
        <w:t> </w:t>
      </w:r>
      <w:r>
        <w:rPr>
          <w:spacing w:val="-2"/>
        </w:rPr>
        <w:t>Collected</w:t>
      </w:r>
    </w:p>
    <w:p>
      <w:pPr>
        <w:pStyle w:val="BodyText"/>
        <w:spacing w:before="162"/>
        <w:rPr>
          <w:b/>
          <w:sz w:val="20"/>
        </w:rPr>
      </w:pPr>
      <w:r>
        <w:rPr/>
        <mc:AlternateContent>
          <mc:Choice Requires="wps">
            <w:drawing>
              <wp:anchor distT="0" distB="0" distL="0" distR="0" allowOverlap="1" layoutInCell="1" locked="0" behindDoc="1" simplePos="0" relativeHeight="487698944">
                <wp:simplePos x="0" y="0"/>
                <wp:positionH relativeFrom="page">
                  <wp:posOffset>896416</wp:posOffset>
                </wp:positionH>
                <wp:positionV relativeFrom="paragraph">
                  <wp:posOffset>273615</wp:posOffset>
                </wp:positionV>
                <wp:extent cx="5769610" cy="6350"/>
                <wp:effectExtent l="0" t="0" r="0" b="0"/>
                <wp:wrapTopAndBottom/>
                <wp:docPr id="558" name="Graphic 558"/>
                <wp:cNvGraphicFramePr>
                  <a:graphicFrameLocks/>
                </wp:cNvGraphicFramePr>
                <a:graphic>
                  <a:graphicData uri="http://schemas.microsoft.com/office/word/2010/wordprocessingShape">
                    <wps:wsp>
                      <wps:cNvPr id="558" name="Graphic 558"/>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21.544531pt;width:454.3pt;height:.48pt;mso-position-horizontal-relative:page;mso-position-vertical-relative:paragraph;z-index:-15617536;mso-wrap-distance-left:0;mso-wrap-distance-right:0" id="docshape503" filled="true" fillcolor="#000000" stroked="false">
                <v:fill type="solid"/>
                <w10:wrap type="topAndBottom"/>
              </v:rect>
            </w:pict>
          </mc:Fallback>
        </mc:AlternateContent>
      </w:r>
    </w:p>
    <w:p>
      <w:pPr>
        <w:tabs>
          <w:tab w:pos="2170" w:val="left" w:leader="none"/>
          <w:tab w:pos="3810" w:val="left" w:leader="none"/>
          <w:tab w:pos="5471" w:val="left" w:leader="none"/>
        </w:tabs>
        <w:spacing w:before="18" w:after="45"/>
        <w:ind w:left="730" w:right="0" w:firstLine="0"/>
        <w:jc w:val="left"/>
        <w:rPr>
          <w:b/>
          <w:sz w:val="22"/>
        </w:rPr>
      </w:pPr>
      <w:r>
        <w:rPr>
          <w:b/>
          <w:spacing w:val="-2"/>
          <w:sz w:val="22"/>
        </w:rPr>
        <w:t>S/No.</w:t>
      </w:r>
      <w:r>
        <w:rPr>
          <w:b/>
          <w:sz w:val="22"/>
        </w:rPr>
        <w:tab/>
      </w:r>
      <w:r>
        <w:rPr>
          <w:b/>
          <w:spacing w:val="-5"/>
          <w:sz w:val="22"/>
        </w:rPr>
        <w:t>Age</w:t>
      </w:r>
      <w:r>
        <w:rPr>
          <w:b/>
          <w:sz w:val="22"/>
        </w:rPr>
        <w:tab/>
      </w:r>
      <w:r>
        <w:rPr>
          <w:b/>
          <w:spacing w:val="-5"/>
          <w:sz w:val="22"/>
        </w:rPr>
        <w:t>Sex</w:t>
      </w:r>
      <w:r>
        <w:rPr>
          <w:b/>
          <w:sz w:val="22"/>
        </w:rPr>
        <w:tab/>
        <w:t>Sample</w:t>
      </w:r>
      <w:r>
        <w:rPr>
          <w:b/>
          <w:spacing w:val="-4"/>
          <w:sz w:val="22"/>
        </w:rPr>
        <w:t> </w:t>
      </w:r>
      <w:r>
        <w:rPr>
          <w:b/>
          <w:sz w:val="22"/>
        </w:rPr>
        <w:t>source</w:t>
      </w:r>
      <w:r>
        <w:rPr>
          <w:b/>
          <w:spacing w:val="75"/>
          <w:w w:val="150"/>
          <w:sz w:val="22"/>
        </w:rPr>
        <w:t> </w:t>
      </w:r>
      <w:r>
        <w:rPr>
          <w:b/>
          <w:sz w:val="22"/>
        </w:rPr>
        <w:t>Sample</w:t>
      </w:r>
      <w:r>
        <w:rPr>
          <w:b/>
          <w:spacing w:val="-3"/>
          <w:sz w:val="22"/>
        </w:rPr>
        <w:t> </w:t>
      </w:r>
      <w:r>
        <w:rPr>
          <w:b/>
          <w:spacing w:val="-5"/>
          <w:sz w:val="22"/>
        </w:rPr>
        <w:t>No.</w:t>
      </w:r>
    </w:p>
    <w:p>
      <w:pPr>
        <w:pStyle w:val="BodyText"/>
        <w:spacing w:line="20" w:lineRule="exact"/>
        <w:ind w:left="351"/>
        <w:rPr>
          <w:sz w:val="2"/>
        </w:rPr>
      </w:pPr>
      <w:r>
        <w:rPr>
          <w:sz w:val="2"/>
        </w:rPr>
        <mc:AlternateContent>
          <mc:Choice Requires="wps">
            <w:drawing>
              <wp:inline distT="0" distB="0" distL="0" distR="0">
                <wp:extent cx="5769610" cy="6350"/>
                <wp:effectExtent l="0" t="0" r="0" b="0"/>
                <wp:docPr id="559" name="Group 559"/>
                <wp:cNvGraphicFramePr>
                  <a:graphicFrameLocks/>
                </wp:cNvGraphicFramePr>
                <a:graphic>
                  <a:graphicData uri="http://schemas.microsoft.com/office/word/2010/wordprocessingGroup">
                    <wpg:wgp>
                      <wpg:cNvPr id="559" name="Group 559"/>
                      <wpg:cNvGrpSpPr/>
                      <wpg:grpSpPr>
                        <a:xfrm>
                          <a:off x="0" y="0"/>
                          <a:ext cx="5769610" cy="6350"/>
                          <a:chExt cx="5769610" cy="6350"/>
                        </a:xfrm>
                      </wpg:grpSpPr>
                      <wps:wsp>
                        <wps:cNvPr id="560" name="Graphic 560"/>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3pt;height:.5pt;mso-position-horizontal-relative:char;mso-position-vertical-relative:line" id="docshapegroup504" coordorigin="0,0" coordsize="9086,10">
                <v:rect style="position:absolute;left:0;top:0;width:9086;height:10" id="docshape505" filled="true" fillcolor="#000000" stroked="false">
                  <v:fill type="solid"/>
                </v:rect>
              </v:group>
            </w:pict>
          </mc:Fallback>
        </mc:AlternateContent>
      </w:r>
      <w:r>
        <w:rPr>
          <w:sz w:val="2"/>
        </w:rPr>
      </w:r>
    </w:p>
    <w:p>
      <w:pPr>
        <w:pStyle w:val="BodyText"/>
        <w:rPr>
          <w:b/>
          <w:sz w:val="20"/>
        </w:rPr>
      </w:pPr>
    </w:p>
    <w:p>
      <w:pPr>
        <w:pStyle w:val="BodyText"/>
        <w:spacing w:before="146" w:after="1"/>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2"/>
        <w:gridCol w:w="1515"/>
        <w:gridCol w:w="1593"/>
        <w:gridCol w:w="2537"/>
        <w:gridCol w:w="1891"/>
      </w:tblGrid>
      <w:tr>
        <w:trPr>
          <w:trHeight w:val="560" w:hRule="atLeast"/>
        </w:trPr>
        <w:tc>
          <w:tcPr>
            <w:tcW w:w="1312" w:type="dxa"/>
          </w:tcPr>
          <w:p>
            <w:pPr>
              <w:pStyle w:val="TableParagraph"/>
              <w:spacing w:line="225" w:lineRule="exact"/>
              <w:ind w:left="439"/>
              <w:rPr>
                <w:sz w:val="22"/>
              </w:rPr>
            </w:pPr>
            <w:r>
              <w:rPr>
                <w:spacing w:val="-5"/>
                <w:sz w:val="22"/>
              </w:rPr>
              <w:t>101</w:t>
            </w:r>
          </w:p>
        </w:tc>
        <w:tc>
          <w:tcPr>
            <w:tcW w:w="1515" w:type="dxa"/>
          </w:tcPr>
          <w:p>
            <w:pPr>
              <w:pStyle w:val="TableParagraph"/>
              <w:spacing w:line="225" w:lineRule="exact"/>
              <w:ind w:left="538"/>
              <w:rPr>
                <w:sz w:val="22"/>
              </w:rPr>
            </w:pPr>
            <w:r>
              <w:rPr>
                <w:spacing w:val="-5"/>
                <w:sz w:val="22"/>
              </w:rPr>
              <w:t>27</w:t>
            </w:r>
          </w:p>
        </w:tc>
        <w:tc>
          <w:tcPr>
            <w:tcW w:w="1593" w:type="dxa"/>
          </w:tcPr>
          <w:p>
            <w:pPr>
              <w:pStyle w:val="TableParagraph"/>
              <w:spacing w:line="225" w:lineRule="exact"/>
              <w:ind w:left="99"/>
              <w:jc w:val="center"/>
              <w:rPr>
                <w:sz w:val="22"/>
              </w:rPr>
            </w:pPr>
            <w:r>
              <w:rPr>
                <w:spacing w:val="-10"/>
                <w:sz w:val="22"/>
              </w:rPr>
              <w:t>M</w:t>
            </w:r>
          </w:p>
        </w:tc>
        <w:tc>
          <w:tcPr>
            <w:tcW w:w="2537" w:type="dxa"/>
          </w:tcPr>
          <w:p>
            <w:pPr>
              <w:pStyle w:val="TableParagraph"/>
              <w:spacing w:line="225" w:lineRule="exact"/>
              <w:ind w:left="111" w:right="4"/>
              <w:jc w:val="center"/>
              <w:rPr>
                <w:sz w:val="22"/>
              </w:rPr>
            </w:pPr>
            <w:r>
              <w:rPr>
                <w:spacing w:val="-2"/>
                <w:sz w:val="22"/>
              </w:rPr>
              <w:t>SPUTUM</w:t>
            </w:r>
          </w:p>
        </w:tc>
        <w:tc>
          <w:tcPr>
            <w:tcW w:w="1891" w:type="dxa"/>
          </w:tcPr>
          <w:p>
            <w:pPr>
              <w:pStyle w:val="TableParagraph"/>
              <w:spacing w:line="225" w:lineRule="exact"/>
              <w:ind w:right="630"/>
              <w:jc w:val="right"/>
              <w:rPr>
                <w:sz w:val="22"/>
              </w:rPr>
            </w:pPr>
            <w:r>
              <w:rPr>
                <w:sz w:val="22"/>
              </w:rPr>
              <w:t>SP</w:t>
            </w:r>
            <w:r>
              <w:rPr>
                <w:spacing w:val="1"/>
                <w:sz w:val="22"/>
              </w:rPr>
              <w:t> </w:t>
            </w:r>
            <w:r>
              <w:rPr>
                <w:spacing w:val="-4"/>
                <w:sz w:val="22"/>
              </w:rPr>
              <w:t>1563</w:t>
            </w:r>
          </w:p>
        </w:tc>
      </w:tr>
      <w:tr>
        <w:trPr>
          <w:trHeight w:val="930" w:hRule="atLeast"/>
        </w:trPr>
        <w:tc>
          <w:tcPr>
            <w:tcW w:w="1312" w:type="dxa"/>
          </w:tcPr>
          <w:p>
            <w:pPr>
              <w:pStyle w:val="TableParagraph"/>
              <w:spacing w:before="27"/>
              <w:rPr>
                <w:b/>
                <w:sz w:val="22"/>
              </w:rPr>
            </w:pPr>
          </w:p>
          <w:p>
            <w:pPr>
              <w:pStyle w:val="TableParagraph"/>
              <w:ind w:left="439"/>
              <w:rPr>
                <w:sz w:val="22"/>
              </w:rPr>
            </w:pPr>
            <w:r>
              <w:rPr>
                <w:spacing w:val="-5"/>
                <w:sz w:val="22"/>
              </w:rPr>
              <w:t>102</w:t>
            </w:r>
          </w:p>
        </w:tc>
        <w:tc>
          <w:tcPr>
            <w:tcW w:w="1515" w:type="dxa"/>
          </w:tcPr>
          <w:p>
            <w:pPr>
              <w:pStyle w:val="TableParagraph"/>
              <w:spacing w:before="27"/>
              <w:rPr>
                <w:b/>
                <w:sz w:val="22"/>
              </w:rPr>
            </w:pPr>
          </w:p>
          <w:p>
            <w:pPr>
              <w:pStyle w:val="TableParagraph"/>
              <w:ind w:left="538"/>
              <w:rPr>
                <w:sz w:val="22"/>
              </w:rPr>
            </w:pPr>
            <w:r>
              <w:rPr>
                <w:spacing w:val="-5"/>
                <w:sz w:val="22"/>
              </w:rPr>
              <w:t>32</w:t>
            </w:r>
          </w:p>
        </w:tc>
        <w:tc>
          <w:tcPr>
            <w:tcW w:w="1593" w:type="dxa"/>
          </w:tcPr>
          <w:p>
            <w:pPr>
              <w:pStyle w:val="TableParagraph"/>
              <w:spacing w:before="27"/>
              <w:rPr>
                <w:b/>
                <w:sz w:val="22"/>
              </w:rPr>
            </w:pPr>
          </w:p>
          <w:p>
            <w:pPr>
              <w:pStyle w:val="TableParagraph"/>
              <w:ind w:left="99"/>
              <w:jc w:val="center"/>
              <w:rPr>
                <w:sz w:val="22"/>
              </w:rPr>
            </w:pPr>
            <w:r>
              <w:rPr>
                <w:spacing w:val="-10"/>
                <w:sz w:val="22"/>
              </w:rPr>
              <w:t>M</w:t>
            </w:r>
          </w:p>
        </w:tc>
        <w:tc>
          <w:tcPr>
            <w:tcW w:w="2537" w:type="dxa"/>
          </w:tcPr>
          <w:p>
            <w:pPr>
              <w:pStyle w:val="TableParagraph"/>
              <w:spacing w:before="27"/>
              <w:rPr>
                <w:b/>
                <w:sz w:val="22"/>
              </w:rPr>
            </w:pPr>
          </w:p>
          <w:p>
            <w:pPr>
              <w:pStyle w:val="TableParagraph"/>
              <w:ind w:left="111"/>
              <w:jc w:val="center"/>
              <w:rPr>
                <w:sz w:val="22"/>
              </w:rPr>
            </w:pPr>
            <w:r>
              <w:rPr>
                <w:sz w:val="22"/>
              </w:rPr>
              <w:t>THROAT</w:t>
            </w:r>
            <w:r>
              <w:rPr>
                <w:spacing w:val="-5"/>
                <w:sz w:val="22"/>
              </w:rPr>
              <w:t> </w:t>
            </w:r>
            <w:r>
              <w:rPr>
                <w:spacing w:val="-4"/>
                <w:sz w:val="22"/>
              </w:rPr>
              <w:t>SWAB</w:t>
            </w:r>
          </w:p>
        </w:tc>
        <w:tc>
          <w:tcPr>
            <w:tcW w:w="1891" w:type="dxa"/>
          </w:tcPr>
          <w:p>
            <w:pPr>
              <w:pStyle w:val="TableParagraph"/>
              <w:spacing w:before="27"/>
              <w:rPr>
                <w:b/>
                <w:sz w:val="22"/>
              </w:rPr>
            </w:pPr>
          </w:p>
          <w:p>
            <w:pPr>
              <w:pStyle w:val="TableParagraph"/>
              <w:ind w:right="632"/>
              <w:jc w:val="right"/>
              <w:rPr>
                <w:sz w:val="22"/>
              </w:rPr>
            </w:pPr>
            <w:r>
              <w:rPr>
                <w:sz w:val="22"/>
              </w:rPr>
              <w:t>TS</w:t>
            </w:r>
            <w:r>
              <w:rPr>
                <w:spacing w:val="-1"/>
                <w:sz w:val="22"/>
              </w:rPr>
              <w:t> </w:t>
            </w:r>
            <w:r>
              <w:rPr>
                <w:spacing w:val="-4"/>
                <w:sz w:val="22"/>
              </w:rPr>
              <w:t>1579</w:t>
            </w:r>
          </w:p>
        </w:tc>
      </w:tr>
      <w:tr>
        <w:trPr>
          <w:trHeight w:val="960" w:hRule="atLeast"/>
        </w:trPr>
        <w:tc>
          <w:tcPr>
            <w:tcW w:w="1312" w:type="dxa"/>
          </w:tcPr>
          <w:p>
            <w:pPr>
              <w:pStyle w:val="TableParagraph"/>
              <w:spacing w:before="57"/>
              <w:rPr>
                <w:b/>
                <w:sz w:val="22"/>
              </w:rPr>
            </w:pPr>
          </w:p>
          <w:p>
            <w:pPr>
              <w:pStyle w:val="TableParagraph"/>
              <w:ind w:left="439"/>
              <w:rPr>
                <w:sz w:val="22"/>
              </w:rPr>
            </w:pPr>
            <w:r>
              <w:rPr>
                <w:spacing w:val="-5"/>
                <w:sz w:val="22"/>
              </w:rPr>
              <w:t>103</w:t>
            </w:r>
          </w:p>
        </w:tc>
        <w:tc>
          <w:tcPr>
            <w:tcW w:w="1515" w:type="dxa"/>
          </w:tcPr>
          <w:p>
            <w:pPr>
              <w:pStyle w:val="TableParagraph"/>
              <w:spacing w:before="57"/>
              <w:rPr>
                <w:b/>
                <w:sz w:val="22"/>
              </w:rPr>
            </w:pPr>
          </w:p>
          <w:p>
            <w:pPr>
              <w:pStyle w:val="TableParagraph"/>
              <w:ind w:left="538"/>
              <w:rPr>
                <w:sz w:val="22"/>
              </w:rPr>
            </w:pPr>
            <w:r>
              <w:rPr>
                <w:spacing w:val="-5"/>
                <w:sz w:val="22"/>
              </w:rPr>
              <w:t>39</w:t>
            </w:r>
          </w:p>
        </w:tc>
        <w:tc>
          <w:tcPr>
            <w:tcW w:w="1593" w:type="dxa"/>
          </w:tcPr>
          <w:p>
            <w:pPr>
              <w:pStyle w:val="TableParagraph"/>
              <w:spacing w:before="57"/>
              <w:rPr>
                <w:b/>
                <w:sz w:val="22"/>
              </w:rPr>
            </w:pPr>
          </w:p>
          <w:p>
            <w:pPr>
              <w:pStyle w:val="TableParagraph"/>
              <w:ind w:left="99" w:right="1"/>
              <w:jc w:val="center"/>
              <w:rPr>
                <w:sz w:val="22"/>
              </w:rPr>
            </w:pPr>
            <w:r>
              <w:rPr>
                <w:spacing w:val="-10"/>
                <w:sz w:val="22"/>
              </w:rPr>
              <w:t>F</w:t>
            </w:r>
          </w:p>
        </w:tc>
        <w:tc>
          <w:tcPr>
            <w:tcW w:w="2537" w:type="dxa"/>
          </w:tcPr>
          <w:p>
            <w:pPr>
              <w:pStyle w:val="TableParagraph"/>
              <w:spacing w:before="57"/>
              <w:rPr>
                <w:b/>
                <w:sz w:val="22"/>
              </w:rPr>
            </w:pPr>
          </w:p>
          <w:p>
            <w:pPr>
              <w:pStyle w:val="TableParagraph"/>
              <w:ind w:left="111"/>
              <w:jc w:val="center"/>
              <w:rPr>
                <w:sz w:val="22"/>
              </w:rPr>
            </w:pPr>
            <w:r>
              <w:rPr>
                <w:sz w:val="22"/>
              </w:rPr>
              <w:t>THROAT</w:t>
            </w:r>
            <w:r>
              <w:rPr>
                <w:spacing w:val="-5"/>
                <w:sz w:val="22"/>
              </w:rPr>
              <w:t> </w:t>
            </w:r>
            <w:r>
              <w:rPr>
                <w:spacing w:val="-4"/>
                <w:sz w:val="22"/>
              </w:rPr>
              <w:t>SWAB</w:t>
            </w:r>
          </w:p>
        </w:tc>
        <w:tc>
          <w:tcPr>
            <w:tcW w:w="1891" w:type="dxa"/>
          </w:tcPr>
          <w:p>
            <w:pPr>
              <w:pStyle w:val="TableParagraph"/>
              <w:spacing w:before="57"/>
              <w:rPr>
                <w:b/>
                <w:sz w:val="22"/>
              </w:rPr>
            </w:pPr>
          </w:p>
          <w:p>
            <w:pPr>
              <w:pStyle w:val="TableParagraph"/>
              <w:ind w:right="632"/>
              <w:jc w:val="right"/>
              <w:rPr>
                <w:sz w:val="22"/>
              </w:rPr>
            </w:pPr>
            <w:r>
              <w:rPr>
                <w:sz w:val="22"/>
              </w:rPr>
              <w:t>TS</w:t>
            </w:r>
            <w:r>
              <w:rPr>
                <w:spacing w:val="-1"/>
                <w:sz w:val="22"/>
              </w:rPr>
              <w:t> </w:t>
            </w:r>
            <w:r>
              <w:rPr>
                <w:spacing w:val="-4"/>
                <w:sz w:val="22"/>
              </w:rPr>
              <w:t>1574</w:t>
            </w:r>
          </w:p>
        </w:tc>
      </w:tr>
      <w:tr>
        <w:trPr>
          <w:trHeight w:val="960" w:hRule="atLeast"/>
        </w:trPr>
        <w:tc>
          <w:tcPr>
            <w:tcW w:w="1312" w:type="dxa"/>
          </w:tcPr>
          <w:p>
            <w:pPr>
              <w:pStyle w:val="TableParagraph"/>
              <w:spacing w:before="57"/>
              <w:rPr>
                <w:b/>
                <w:sz w:val="22"/>
              </w:rPr>
            </w:pPr>
          </w:p>
          <w:p>
            <w:pPr>
              <w:pStyle w:val="TableParagraph"/>
              <w:ind w:left="439"/>
              <w:rPr>
                <w:sz w:val="22"/>
              </w:rPr>
            </w:pPr>
            <w:r>
              <w:rPr>
                <w:spacing w:val="-5"/>
                <w:sz w:val="22"/>
              </w:rPr>
              <w:t>104</w:t>
            </w:r>
          </w:p>
        </w:tc>
        <w:tc>
          <w:tcPr>
            <w:tcW w:w="1515" w:type="dxa"/>
          </w:tcPr>
          <w:p>
            <w:pPr>
              <w:pStyle w:val="TableParagraph"/>
              <w:spacing w:before="57"/>
              <w:rPr>
                <w:b/>
                <w:sz w:val="22"/>
              </w:rPr>
            </w:pPr>
          </w:p>
          <w:p>
            <w:pPr>
              <w:pStyle w:val="TableParagraph"/>
              <w:ind w:left="538"/>
              <w:rPr>
                <w:sz w:val="22"/>
              </w:rPr>
            </w:pPr>
            <w:r>
              <w:rPr>
                <w:spacing w:val="-5"/>
                <w:sz w:val="22"/>
              </w:rPr>
              <w:t>41</w:t>
            </w:r>
          </w:p>
        </w:tc>
        <w:tc>
          <w:tcPr>
            <w:tcW w:w="1593" w:type="dxa"/>
          </w:tcPr>
          <w:p>
            <w:pPr>
              <w:pStyle w:val="TableParagraph"/>
              <w:spacing w:before="57"/>
              <w:rPr>
                <w:b/>
                <w:sz w:val="22"/>
              </w:rPr>
            </w:pPr>
          </w:p>
          <w:p>
            <w:pPr>
              <w:pStyle w:val="TableParagraph"/>
              <w:ind w:left="99"/>
              <w:jc w:val="center"/>
              <w:rPr>
                <w:sz w:val="22"/>
              </w:rPr>
            </w:pPr>
            <w:r>
              <w:rPr>
                <w:spacing w:val="-10"/>
                <w:sz w:val="22"/>
              </w:rPr>
              <w:t>M</w:t>
            </w:r>
          </w:p>
        </w:tc>
        <w:tc>
          <w:tcPr>
            <w:tcW w:w="2537" w:type="dxa"/>
          </w:tcPr>
          <w:p>
            <w:pPr>
              <w:pStyle w:val="TableParagraph"/>
              <w:spacing w:before="5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57"/>
              <w:rPr>
                <w:b/>
                <w:sz w:val="22"/>
              </w:rPr>
            </w:pPr>
          </w:p>
          <w:p>
            <w:pPr>
              <w:pStyle w:val="TableParagraph"/>
              <w:ind w:right="630"/>
              <w:jc w:val="right"/>
              <w:rPr>
                <w:sz w:val="22"/>
              </w:rPr>
            </w:pPr>
            <w:r>
              <w:rPr>
                <w:sz w:val="22"/>
              </w:rPr>
              <w:t>SP</w:t>
            </w:r>
            <w:r>
              <w:rPr>
                <w:spacing w:val="1"/>
                <w:sz w:val="22"/>
              </w:rPr>
              <w:t> </w:t>
            </w:r>
            <w:r>
              <w:rPr>
                <w:spacing w:val="-4"/>
                <w:sz w:val="22"/>
              </w:rPr>
              <w:t>1599</w:t>
            </w:r>
          </w:p>
        </w:tc>
      </w:tr>
      <w:tr>
        <w:trPr>
          <w:trHeight w:val="780" w:hRule="atLeast"/>
        </w:trPr>
        <w:tc>
          <w:tcPr>
            <w:tcW w:w="1312" w:type="dxa"/>
          </w:tcPr>
          <w:p>
            <w:pPr>
              <w:pStyle w:val="TableParagraph"/>
              <w:spacing w:before="57"/>
              <w:rPr>
                <w:b/>
                <w:sz w:val="22"/>
              </w:rPr>
            </w:pPr>
          </w:p>
          <w:p>
            <w:pPr>
              <w:pStyle w:val="TableParagraph"/>
              <w:ind w:left="439"/>
              <w:rPr>
                <w:sz w:val="22"/>
              </w:rPr>
            </w:pPr>
            <w:r>
              <w:rPr>
                <w:spacing w:val="-5"/>
                <w:sz w:val="22"/>
              </w:rPr>
              <w:t>105</w:t>
            </w:r>
          </w:p>
        </w:tc>
        <w:tc>
          <w:tcPr>
            <w:tcW w:w="1515" w:type="dxa"/>
          </w:tcPr>
          <w:p>
            <w:pPr>
              <w:pStyle w:val="TableParagraph"/>
              <w:spacing w:before="57"/>
              <w:rPr>
                <w:b/>
                <w:sz w:val="22"/>
              </w:rPr>
            </w:pPr>
          </w:p>
          <w:p>
            <w:pPr>
              <w:pStyle w:val="TableParagraph"/>
              <w:ind w:left="538"/>
              <w:rPr>
                <w:sz w:val="22"/>
              </w:rPr>
            </w:pPr>
            <w:r>
              <w:rPr>
                <w:spacing w:val="-5"/>
                <w:sz w:val="22"/>
              </w:rPr>
              <w:t>12</w:t>
            </w:r>
          </w:p>
        </w:tc>
        <w:tc>
          <w:tcPr>
            <w:tcW w:w="1593" w:type="dxa"/>
          </w:tcPr>
          <w:p>
            <w:pPr>
              <w:pStyle w:val="TableParagraph"/>
              <w:spacing w:before="57"/>
              <w:rPr>
                <w:b/>
                <w:sz w:val="22"/>
              </w:rPr>
            </w:pPr>
          </w:p>
          <w:p>
            <w:pPr>
              <w:pStyle w:val="TableParagraph"/>
              <w:ind w:left="99" w:right="1"/>
              <w:jc w:val="center"/>
              <w:rPr>
                <w:sz w:val="22"/>
              </w:rPr>
            </w:pPr>
            <w:r>
              <w:rPr>
                <w:spacing w:val="-10"/>
                <w:sz w:val="22"/>
              </w:rPr>
              <w:t>F</w:t>
            </w:r>
          </w:p>
        </w:tc>
        <w:tc>
          <w:tcPr>
            <w:tcW w:w="2537" w:type="dxa"/>
          </w:tcPr>
          <w:p>
            <w:pPr>
              <w:pStyle w:val="TableParagraph"/>
              <w:spacing w:before="57"/>
              <w:rPr>
                <w:b/>
                <w:sz w:val="22"/>
              </w:rPr>
            </w:pPr>
          </w:p>
          <w:p>
            <w:pPr>
              <w:pStyle w:val="TableParagraph"/>
              <w:ind w:left="111"/>
              <w:jc w:val="center"/>
              <w:rPr>
                <w:sz w:val="22"/>
              </w:rPr>
            </w:pPr>
            <w:r>
              <w:rPr>
                <w:sz w:val="22"/>
              </w:rPr>
              <w:t>THROAT</w:t>
            </w:r>
            <w:r>
              <w:rPr>
                <w:spacing w:val="-5"/>
                <w:sz w:val="22"/>
              </w:rPr>
              <w:t> </w:t>
            </w:r>
            <w:r>
              <w:rPr>
                <w:spacing w:val="-4"/>
                <w:sz w:val="22"/>
              </w:rPr>
              <w:t>SWAB</w:t>
            </w:r>
          </w:p>
        </w:tc>
        <w:tc>
          <w:tcPr>
            <w:tcW w:w="1891" w:type="dxa"/>
          </w:tcPr>
          <w:p>
            <w:pPr>
              <w:pStyle w:val="TableParagraph"/>
              <w:spacing w:before="57"/>
              <w:rPr>
                <w:b/>
                <w:sz w:val="22"/>
              </w:rPr>
            </w:pPr>
          </w:p>
          <w:p>
            <w:pPr>
              <w:pStyle w:val="TableParagraph"/>
              <w:ind w:right="632"/>
              <w:jc w:val="right"/>
              <w:rPr>
                <w:sz w:val="22"/>
              </w:rPr>
            </w:pPr>
            <w:r>
              <w:rPr>
                <w:sz w:val="22"/>
              </w:rPr>
              <w:t>TS</w:t>
            </w:r>
            <w:r>
              <w:rPr>
                <w:spacing w:val="-1"/>
                <w:sz w:val="22"/>
              </w:rPr>
              <w:t> </w:t>
            </w:r>
            <w:r>
              <w:rPr>
                <w:spacing w:val="-4"/>
                <w:sz w:val="22"/>
              </w:rPr>
              <w:t>1616</w:t>
            </w:r>
          </w:p>
        </w:tc>
      </w:tr>
      <w:tr>
        <w:trPr>
          <w:trHeight w:val="750" w:hRule="atLeast"/>
        </w:trPr>
        <w:tc>
          <w:tcPr>
            <w:tcW w:w="1312" w:type="dxa"/>
          </w:tcPr>
          <w:p>
            <w:pPr>
              <w:pStyle w:val="TableParagraph"/>
              <w:spacing w:before="146"/>
              <w:ind w:left="439"/>
              <w:rPr>
                <w:sz w:val="22"/>
              </w:rPr>
            </w:pPr>
            <w:r>
              <w:rPr>
                <w:spacing w:val="-5"/>
                <w:sz w:val="22"/>
              </w:rPr>
              <w:t>106</w:t>
            </w:r>
          </w:p>
        </w:tc>
        <w:tc>
          <w:tcPr>
            <w:tcW w:w="1515" w:type="dxa"/>
          </w:tcPr>
          <w:p>
            <w:pPr>
              <w:pStyle w:val="TableParagraph"/>
              <w:spacing w:before="146"/>
              <w:ind w:left="538"/>
              <w:rPr>
                <w:sz w:val="22"/>
              </w:rPr>
            </w:pPr>
            <w:r>
              <w:rPr>
                <w:spacing w:val="-5"/>
                <w:sz w:val="22"/>
              </w:rPr>
              <w:t>27</w:t>
            </w:r>
          </w:p>
        </w:tc>
        <w:tc>
          <w:tcPr>
            <w:tcW w:w="1593" w:type="dxa"/>
          </w:tcPr>
          <w:p>
            <w:pPr>
              <w:pStyle w:val="TableParagraph"/>
              <w:spacing w:before="146"/>
              <w:ind w:left="99"/>
              <w:jc w:val="center"/>
              <w:rPr>
                <w:sz w:val="22"/>
              </w:rPr>
            </w:pPr>
            <w:r>
              <w:rPr>
                <w:spacing w:val="-10"/>
                <w:sz w:val="22"/>
              </w:rPr>
              <w:t>M</w:t>
            </w:r>
          </w:p>
        </w:tc>
        <w:tc>
          <w:tcPr>
            <w:tcW w:w="2537" w:type="dxa"/>
          </w:tcPr>
          <w:p>
            <w:pPr>
              <w:pStyle w:val="TableParagraph"/>
              <w:spacing w:before="146"/>
              <w:ind w:left="111"/>
              <w:jc w:val="center"/>
              <w:rPr>
                <w:sz w:val="22"/>
              </w:rPr>
            </w:pPr>
            <w:r>
              <w:rPr>
                <w:sz w:val="22"/>
              </w:rPr>
              <w:t>THROAT</w:t>
            </w:r>
            <w:r>
              <w:rPr>
                <w:spacing w:val="-5"/>
                <w:sz w:val="22"/>
              </w:rPr>
              <w:t> </w:t>
            </w:r>
            <w:r>
              <w:rPr>
                <w:spacing w:val="-4"/>
                <w:sz w:val="22"/>
              </w:rPr>
              <w:t>SWAB</w:t>
            </w:r>
          </w:p>
        </w:tc>
        <w:tc>
          <w:tcPr>
            <w:tcW w:w="1891" w:type="dxa"/>
          </w:tcPr>
          <w:p>
            <w:pPr>
              <w:pStyle w:val="TableParagraph"/>
              <w:spacing w:before="146"/>
              <w:ind w:right="632"/>
              <w:jc w:val="right"/>
              <w:rPr>
                <w:sz w:val="22"/>
              </w:rPr>
            </w:pPr>
            <w:r>
              <w:rPr>
                <w:sz w:val="22"/>
              </w:rPr>
              <w:t>TS</w:t>
            </w:r>
            <w:r>
              <w:rPr>
                <w:spacing w:val="-1"/>
                <w:sz w:val="22"/>
              </w:rPr>
              <w:t> </w:t>
            </w:r>
            <w:r>
              <w:rPr>
                <w:spacing w:val="-4"/>
                <w:sz w:val="22"/>
              </w:rPr>
              <w:t>1167</w:t>
            </w:r>
          </w:p>
        </w:tc>
      </w:tr>
      <w:tr>
        <w:trPr>
          <w:trHeight w:val="900" w:hRule="atLeast"/>
        </w:trPr>
        <w:tc>
          <w:tcPr>
            <w:tcW w:w="1312" w:type="dxa"/>
          </w:tcPr>
          <w:p>
            <w:pPr>
              <w:pStyle w:val="TableParagraph"/>
              <w:spacing w:before="27"/>
              <w:rPr>
                <w:b/>
                <w:sz w:val="22"/>
              </w:rPr>
            </w:pPr>
          </w:p>
          <w:p>
            <w:pPr>
              <w:pStyle w:val="TableParagraph"/>
              <w:ind w:left="439"/>
              <w:rPr>
                <w:sz w:val="22"/>
              </w:rPr>
            </w:pPr>
            <w:r>
              <w:rPr>
                <w:spacing w:val="-5"/>
                <w:sz w:val="22"/>
              </w:rPr>
              <w:t>107</w:t>
            </w:r>
          </w:p>
        </w:tc>
        <w:tc>
          <w:tcPr>
            <w:tcW w:w="1515" w:type="dxa"/>
          </w:tcPr>
          <w:p>
            <w:pPr>
              <w:pStyle w:val="TableParagraph"/>
              <w:spacing w:before="27"/>
              <w:rPr>
                <w:b/>
                <w:sz w:val="22"/>
              </w:rPr>
            </w:pPr>
          </w:p>
          <w:p>
            <w:pPr>
              <w:pStyle w:val="TableParagraph"/>
              <w:ind w:left="538"/>
              <w:rPr>
                <w:sz w:val="22"/>
              </w:rPr>
            </w:pPr>
            <w:r>
              <w:rPr>
                <w:spacing w:val="-5"/>
                <w:sz w:val="22"/>
              </w:rPr>
              <w:t>25</w:t>
            </w:r>
          </w:p>
        </w:tc>
        <w:tc>
          <w:tcPr>
            <w:tcW w:w="1593" w:type="dxa"/>
          </w:tcPr>
          <w:p>
            <w:pPr>
              <w:pStyle w:val="TableParagraph"/>
              <w:spacing w:before="27"/>
              <w:rPr>
                <w:b/>
                <w:sz w:val="22"/>
              </w:rPr>
            </w:pPr>
          </w:p>
          <w:p>
            <w:pPr>
              <w:pStyle w:val="TableParagraph"/>
              <w:ind w:left="99"/>
              <w:jc w:val="center"/>
              <w:rPr>
                <w:sz w:val="22"/>
              </w:rPr>
            </w:pPr>
            <w:r>
              <w:rPr>
                <w:spacing w:val="-10"/>
                <w:sz w:val="22"/>
              </w:rPr>
              <w:t>M</w:t>
            </w:r>
          </w:p>
        </w:tc>
        <w:tc>
          <w:tcPr>
            <w:tcW w:w="2537" w:type="dxa"/>
          </w:tcPr>
          <w:p>
            <w:pPr>
              <w:pStyle w:val="TableParagraph"/>
              <w:spacing w:before="2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27"/>
              <w:rPr>
                <w:b/>
                <w:sz w:val="22"/>
              </w:rPr>
            </w:pPr>
          </w:p>
          <w:p>
            <w:pPr>
              <w:pStyle w:val="TableParagraph"/>
              <w:ind w:right="685"/>
              <w:jc w:val="right"/>
              <w:rPr>
                <w:sz w:val="22"/>
              </w:rPr>
            </w:pPr>
            <w:r>
              <w:rPr>
                <w:sz w:val="22"/>
              </w:rPr>
              <w:t>SP</w:t>
            </w:r>
            <w:r>
              <w:rPr>
                <w:spacing w:val="1"/>
                <w:sz w:val="22"/>
              </w:rPr>
              <w:t> </w:t>
            </w:r>
            <w:r>
              <w:rPr>
                <w:spacing w:val="-5"/>
                <w:sz w:val="22"/>
              </w:rPr>
              <w:t>723</w:t>
            </w:r>
          </w:p>
        </w:tc>
      </w:tr>
      <w:tr>
        <w:trPr>
          <w:trHeight w:val="750" w:hRule="atLeast"/>
        </w:trPr>
        <w:tc>
          <w:tcPr>
            <w:tcW w:w="1312" w:type="dxa"/>
          </w:tcPr>
          <w:p>
            <w:pPr>
              <w:pStyle w:val="TableParagraph"/>
              <w:spacing w:before="27"/>
              <w:rPr>
                <w:b/>
                <w:sz w:val="22"/>
              </w:rPr>
            </w:pPr>
          </w:p>
          <w:p>
            <w:pPr>
              <w:pStyle w:val="TableParagraph"/>
              <w:ind w:left="439"/>
              <w:rPr>
                <w:sz w:val="22"/>
              </w:rPr>
            </w:pPr>
            <w:r>
              <w:rPr>
                <w:spacing w:val="-5"/>
                <w:sz w:val="22"/>
              </w:rPr>
              <w:t>108</w:t>
            </w:r>
          </w:p>
        </w:tc>
        <w:tc>
          <w:tcPr>
            <w:tcW w:w="1515" w:type="dxa"/>
          </w:tcPr>
          <w:p>
            <w:pPr>
              <w:pStyle w:val="TableParagraph"/>
              <w:spacing w:before="27"/>
              <w:rPr>
                <w:b/>
                <w:sz w:val="22"/>
              </w:rPr>
            </w:pPr>
          </w:p>
          <w:p>
            <w:pPr>
              <w:pStyle w:val="TableParagraph"/>
              <w:ind w:left="538"/>
              <w:rPr>
                <w:sz w:val="22"/>
              </w:rPr>
            </w:pPr>
            <w:r>
              <w:rPr>
                <w:spacing w:val="-5"/>
                <w:sz w:val="22"/>
              </w:rPr>
              <w:t>34</w:t>
            </w:r>
          </w:p>
        </w:tc>
        <w:tc>
          <w:tcPr>
            <w:tcW w:w="1593" w:type="dxa"/>
          </w:tcPr>
          <w:p>
            <w:pPr>
              <w:pStyle w:val="TableParagraph"/>
              <w:spacing w:before="27"/>
              <w:rPr>
                <w:b/>
                <w:sz w:val="22"/>
              </w:rPr>
            </w:pPr>
          </w:p>
          <w:p>
            <w:pPr>
              <w:pStyle w:val="TableParagraph"/>
              <w:ind w:left="99" w:right="1"/>
              <w:jc w:val="center"/>
              <w:rPr>
                <w:sz w:val="22"/>
              </w:rPr>
            </w:pPr>
            <w:r>
              <w:rPr>
                <w:spacing w:val="-10"/>
                <w:sz w:val="22"/>
              </w:rPr>
              <w:t>F</w:t>
            </w:r>
          </w:p>
        </w:tc>
        <w:tc>
          <w:tcPr>
            <w:tcW w:w="2537" w:type="dxa"/>
          </w:tcPr>
          <w:p>
            <w:pPr>
              <w:pStyle w:val="TableParagraph"/>
              <w:spacing w:before="27"/>
              <w:rPr>
                <w:b/>
                <w:sz w:val="22"/>
              </w:rPr>
            </w:pPr>
          </w:p>
          <w:p>
            <w:pPr>
              <w:pStyle w:val="TableParagraph"/>
              <w:ind w:left="111"/>
              <w:jc w:val="center"/>
              <w:rPr>
                <w:sz w:val="22"/>
              </w:rPr>
            </w:pPr>
            <w:r>
              <w:rPr>
                <w:sz w:val="22"/>
              </w:rPr>
              <w:t>THROAT</w:t>
            </w:r>
            <w:r>
              <w:rPr>
                <w:spacing w:val="-5"/>
                <w:sz w:val="22"/>
              </w:rPr>
              <w:t> </w:t>
            </w:r>
            <w:r>
              <w:rPr>
                <w:spacing w:val="-4"/>
                <w:sz w:val="22"/>
              </w:rPr>
              <w:t>SWAB</w:t>
            </w:r>
          </w:p>
        </w:tc>
        <w:tc>
          <w:tcPr>
            <w:tcW w:w="1891" w:type="dxa"/>
          </w:tcPr>
          <w:p>
            <w:pPr>
              <w:pStyle w:val="TableParagraph"/>
              <w:spacing w:before="27"/>
              <w:rPr>
                <w:b/>
                <w:sz w:val="22"/>
              </w:rPr>
            </w:pPr>
          </w:p>
          <w:p>
            <w:pPr>
              <w:pStyle w:val="TableParagraph"/>
              <w:ind w:right="687"/>
              <w:jc w:val="right"/>
              <w:rPr>
                <w:sz w:val="22"/>
              </w:rPr>
            </w:pPr>
            <w:r>
              <w:rPr>
                <w:sz w:val="22"/>
              </w:rPr>
              <w:t>TS</w:t>
            </w:r>
            <w:r>
              <w:rPr>
                <w:spacing w:val="-1"/>
                <w:sz w:val="22"/>
              </w:rPr>
              <w:t> </w:t>
            </w:r>
            <w:r>
              <w:rPr>
                <w:spacing w:val="-5"/>
                <w:sz w:val="22"/>
              </w:rPr>
              <w:t>332</w:t>
            </w:r>
          </w:p>
        </w:tc>
      </w:tr>
      <w:tr>
        <w:trPr>
          <w:trHeight w:val="780" w:hRule="atLeast"/>
        </w:trPr>
        <w:tc>
          <w:tcPr>
            <w:tcW w:w="1312" w:type="dxa"/>
          </w:tcPr>
          <w:p>
            <w:pPr>
              <w:pStyle w:val="TableParagraph"/>
              <w:spacing w:before="145"/>
              <w:ind w:left="439"/>
              <w:rPr>
                <w:sz w:val="22"/>
              </w:rPr>
            </w:pPr>
            <w:r>
              <w:rPr>
                <w:spacing w:val="-5"/>
                <w:sz w:val="22"/>
              </w:rPr>
              <w:t>109</w:t>
            </w:r>
          </w:p>
        </w:tc>
        <w:tc>
          <w:tcPr>
            <w:tcW w:w="1515" w:type="dxa"/>
          </w:tcPr>
          <w:p>
            <w:pPr>
              <w:pStyle w:val="TableParagraph"/>
              <w:spacing w:before="145"/>
              <w:ind w:left="538"/>
              <w:rPr>
                <w:sz w:val="22"/>
              </w:rPr>
            </w:pPr>
            <w:r>
              <w:rPr>
                <w:spacing w:val="-5"/>
                <w:sz w:val="22"/>
              </w:rPr>
              <w:t>11</w:t>
            </w:r>
          </w:p>
        </w:tc>
        <w:tc>
          <w:tcPr>
            <w:tcW w:w="1593" w:type="dxa"/>
          </w:tcPr>
          <w:p>
            <w:pPr>
              <w:pStyle w:val="TableParagraph"/>
              <w:spacing w:before="145"/>
              <w:ind w:left="99"/>
              <w:jc w:val="center"/>
              <w:rPr>
                <w:sz w:val="22"/>
              </w:rPr>
            </w:pPr>
            <w:r>
              <w:rPr>
                <w:spacing w:val="-10"/>
                <w:sz w:val="22"/>
              </w:rPr>
              <w:t>M</w:t>
            </w:r>
          </w:p>
        </w:tc>
        <w:tc>
          <w:tcPr>
            <w:tcW w:w="2537" w:type="dxa"/>
          </w:tcPr>
          <w:p>
            <w:pPr>
              <w:pStyle w:val="TableParagraph"/>
              <w:spacing w:before="145"/>
              <w:ind w:left="111"/>
              <w:jc w:val="center"/>
              <w:rPr>
                <w:sz w:val="22"/>
              </w:rPr>
            </w:pPr>
            <w:r>
              <w:rPr>
                <w:sz w:val="22"/>
              </w:rPr>
              <w:t>THROAT</w:t>
            </w:r>
            <w:r>
              <w:rPr>
                <w:spacing w:val="-5"/>
                <w:sz w:val="22"/>
              </w:rPr>
              <w:t> </w:t>
            </w:r>
            <w:r>
              <w:rPr>
                <w:spacing w:val="-4"/>
                <w:sz w:val="22"/>
              </w:rPr>
              <w:t>SWAB</w:t>
            </w:r>
          </w:p>
        </w:tc>
        <w:tc>
          <w:tcPr>
            <w:tcW w:w="1891" w:type="dxa"/>
          </w:tcPr>
          <w:p>
            <w:pPr>
              <w:pStyle w:val="TableParagraph"/>
              <w:spacing w:before="145"/>
              <w:ind w:right="687"/>
              <w:jc w:val="right"/>
              <w:rPr>
                <w:sz w:val="22"/>
              </w:rPr>
            </w:pPr>
            <w:r>
              <w:rPr>
                <w:sz w:val="22"/>
              </w:rPr>
              <w:t>TS</w:t>
            </w:r>
            <w:r>
              <w:rPr>
                <w:spacing w:val="-1"/>
                <w:sz w:val="22"/>
              </w:rPr>
              <w:t> </w:t>
            </w:r>
            <w:r>
              <w:rPr>
                <w:spacing w:val="-5"/>
                <w:sz w:val="22"/>
              </w:rPr>
              <w:t>345</w:t>
            </w:r>
          </w:p>
        </w:tc>
      </w:tr>
      <w:tr>
        <w:trPr>
          <w:trHeight w:val="780" w:hRule="atLeast"/>
        </w:trPr>
        <w:tc>
          <w:tcPr>
            <w:tcW w:w="1312" w:type="dxa"/>
            <w:tcBorders>
              <w:bottom w:val="single" w:sz="4" w:space="0" w:color="000000"/>
            </w:tcBorders>
          </w:tcPr>
          <w:p>
            <w:pPr>
              <w:pStyle w:val="TableParagraph"/>
              <w:spacing w:before="57"/>
              <w:rPr>
                <w:b/>
                <w:sz w:val="22"/>
              </w:rPr>
            </w:pPr>
          </w:p>
          <w:p>
            <w:pPr>
              <w:pStyle w:val="TableParagraph"/>
              <w:ind w:left="439"/>
              <w:rPr>
                <w:sz w:val="22"/>
              </w:rPr>
            </w:pPr>
            <w:r>
              <w:rPr>
                <w:spacing w:val="-5"/>
                <w:sz w:val="22"/>
              </w:rPr>
              <w:t>110</w:t>
            </w:r>
          </w:p>
        </w:tc>
        <w:tc>
          <w:tcPr>
            <w:tcW w:w="1515" w:type="dxa"/>
            <w:tcBorders>
              <w:bottom w:val="single" w:sz="4" w:space="0" w:color="000000"/>
            </w:tcBorders>
          </w:tcPr>
          <w:p>
            <w:pPr>
              <w:pStyle w:val="TableParagraph"/>
              <w:spacing w:before="57"/>
              <w:rPr>
                <w:b/>
                <w:sz w:val="22"/>
              </w:rPr>
            </w:pPr>
          </w:p>
          <w:p>
            <w:pPr>
              <w:pStyle w:val="TableParagraph"/>
              <w:ind w:left="538"/>
              <w:rPr>
                <w:sz w:val="22"/>
              </w:rPr>
            </w:pPr>
            <w:r>
              <w:rPr>
                <w:spacing w:val="-5"/>
                <w:sz w:val="22"/>
              </w:rPr>
              <w:t>38</w:t>
            </w:r>
          </w:p>
        </w:tc>
        <w:tc>
          <w:tcPr>
            <w:tcW w:w="1593" w:type="dxa"/>
            <w:tcBorders>
              <w:bottom w:val="single" w:sz="4" w:space="0" w:color="000000"/>
            </w:tcBorders>
          </w:tcPr>
          <w:p>
            <w:pPr>
              <w:pStyle w:val="TableParagraph"/>
              <w:spacing w:before="57"/>
              <w:rPr>
                <w:b/>
                <w:sz w:val="22"/>
              </w:rPr>
            </w:pPr>
          </w:p>
          <w:p>
            <w:pPr>
              <w:pStyle w:val="TableParagraph"/>
              <w:ind w:left="99" w:right="1"/>
              <w:jc w:val="center"/>
              <w:rPr>
                <w:sz w:val="22"/>
              </w:rPr>
            </w:pPr>
            <w:r>
              <w:rPr>
                <w:spacing w:val="-10"/>
                <w:sz w:val="22"/>
              </w:rPr>
              <w:t>F</w:t>
            </w:r>
          </w:p>
        </w:tc>
        <w:tc>
          <w:tcPr>
            <w:tcW w:w="2537" w:type="dxa"/>
            <w:tcBorders>
              <w:bottom w:val="single" w:sz="4" w:space="0" w:color="000000"/>
            </w:tcBorders>
          </w:tcPr>
          <w:p>
            <w:pPr>
              <w:pStyle w:val="TableParagraph"/>
              <w:spacing w:before="57"/>
              <w:rPr>
                <w:b/>
                <w:sz w:val="22"/>
              </w:rPr>
            </w:pPr>
          </w:p>
          <w:p>
            <w:pPr>
              <w:pStyle w:val="TableParagraph"/>
              <w:ind w:left="111" w:right="4"/>
              <w:jc w:val="center"/>
              <w:rPr>
                <w:sz w:val="22"/>
              </w:rPr>
            </w:pPr>
            <w:r>
              <w:rPr>
                <w:spacing w:val="-2"/>
                <w:sz w:val="22"/>
              </w:rPr>
              <w:t>SPUTUM</w:t>
            </w:r>
          </w:p>
        </w:tc>
        <w:tc>
          <w:tcPr>
            <w:tcW w:w="1891" w:type="dxa"/>
            <w:tcBorders>
              <w:bottom w:val="single" w:sz="4" w:space="0" w:color="000000"/>
            </w:tcBorders>
          </w:tcPr>
          <w:p>
            <w:pPr>
              <w:pStyle w:val="TableParagraph"/>
              <w:spacing w:before="57"/>
              <w:rPr>
                <w:b/>
                <w:sz w:val="22"/>
              </w:rPr>
            </w:pPr>
          </w:p>
          <w:p>
            <w:pPr>
              <w:pStyle w:val="TableParagraph"/>
              <w:ind w:right="685"/>
              <w:jc w:val="right"/>
              <w:rPr>
                <w:sz w:val="22"/>
              </w:rPr>
            </w:pPr>
            <w:r>
              <w:rPr>
                <w:sz w:val="22"/>
              </w:rPr>
              <w:t>SP</w:t>
            </w:r>
            <w:r>
              <w:rPr>
                <w:spacing w:val="1"/>
                <w:sz w:val="22"/>
              </w:rPr>
              <w:t> </w:t>
            </w:r>
            <w:r>
              <w:rPr>
                <w:spacing w:val="-5"/>
                <w:sz w:val="22"/>
              </w:rPr>
              <w:t>346</w:t>
            </w:r>
          </w:p>
        </w:tc>
      </w:tr>
    </w:tbl>
    <w:p>
      <w:pPr>
        <w:pStyle w:val="BodyText"/>
        <w:spacing w:before="3"/>
        <w:ind w:left="380"/>
      </w:pPr>
      <w:r>
        <w:rPr>
          <w:b/>
        </w:rPr>
        <w:t>Key:</w:t>
      </w:r>
      <w:r>
        <w:rPr>
          <w:b/>
          <w:spacing w:val="-6"/>
        </w:rPr>
        <w:t> </w:t>
      </w:r>
      <w:r>
        <w:rPr/>
        <w:t>SP=Sputum,</w:t>
      </w:r>
      <w:r>
        <w:rPr>
          <w:spacing w:val="-6"/>
        </w:rPr>
        <w:t> </w:t>
      </w:r>
      <w:r>
        <w:rPr/>
        <w:t>TS=Throat</w:t>
      </w:r>
      <w:r>
        <w:rPr>
          <w:spacing w:val="-6"/>
        </w:rPr>
        <w:t> </w:t>
      </w:r>
      <w:r>
        <w:rPr/>
        <w:t>Swab,</w:t>
      </w:r>
      <w:r>
        <w:rPr>
          <w:spacing w:val="-6"/>
        </w:rPr>
        <w:t> </w:t>
      </w:r>
      <w:r>
        <w:rPr/>
        <w:t>F=Female,</w:t>
      </w:r>
      <w:r>
        <w:rPr>
          <w:spacing w:val="-7"/>
        </w:rPr>
        <w:t> </w:t>
      </w:r>
      <w:r>
        <w:rPr>
          <w:spacing w:val="-2"/>
        </w:rPr>
        <w:t>M=Male.</w:t>
      </w:r>
    </w:p>
    <w:p>
      <w:pPr>
        <w:spacing w:after="0"/>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spacing w:before="136"/>
      </w:pPr>
    </w:p>
    <w:p>
      <w:pPr>
        <w:pStyle w:val="Heading3"/>
        <w:ind w:left="421" w:right="1015"/>
        <w:jc w:val="center"/>
      </w:pPr>
      <w:r>
        <w:rPr/>
        <w:t>Data</w:t>
      </w:r>
      <w:r>
        <w:rPr>
          <w:spacing w:val="-3"/>
        </w:rPr>
        <w:t> </w:t>
      </w:r>
      <w:r>
        <w:rPr/>
        <w:t>on</w:t>
      </w:r>
      <w:r>
        <w:rPr>
          <w:spacing w:val="-3"/>
        </w:rPr>
        <w:t> </w:t>
      </w:r>
      <w:r>
        <w:rPr/>
        <w:t>Samples</w:t>
      </w:r>
      <w:r>
        <w:rPr>
          <w:spacing w:val="-1"/>
        </w:rPr>
        <w:t> </w:t>
      </w:r>
      <w:r>
        <w:rPr>
          <w:spacing w:val="-2"/>
        </w:rPr>
        <w:t>Collected</w:t>
      </w:r>
    </w:p>
    <w:p>
      <w:pPr>
        <w:pStyle w:val="BodyText"/>
        <w:spacing w:before="165"/>
        <w:rPr>
          <w:b/>
          <w:sz w:val="20"/>
        </w:rPr>
      </w:pPr>
      <w:r>
        <w:rPr/>
        <mc:AlternateContent>
          <mc:Choice Requires="wps">
            <w:drawing>
              <wp:anchor distT="0" distB="0" distL="0" distR="0" allowOverlap="1" layoutInCell="1" locked="0" behindDoc="1" simplePos="0" relativeHeight="487699968">
                <wp:simplePos x="0" y="0"/>
                <wp:positionH relativeFrom="page">
                  <wp:posOffset>896416</wp:posOffset>
                </wp:positionH>
                <wp:positionV relativeFrom="paragraph">
                  <wp:posOffset>275156</wp:posOffset>
                </wp:positionV>
                <wp:extent cx="5769610" cy="6350"/>
                <wp:effectExtent l="0" t="0" r="0" b="0"/>
                <wp:wrapTopAndBottom/>
                <wp:docPr id="561" name="Graphic 561"/>
                <wp:cNvGraphicFramePr>
                  <a:graphicFrameLocks/>
                </wp:cNvGraphicFramePr>
                <a:graphic>
                  <a:graphicData uri="http://schemas.microsoft.com/office/word/2010/wordprocessingShape">
                    <wps:wsp>
                      <wps:cNvPr id="561" name="Graphic 561"/>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21.665859pt;width:454.3pt;height:.48pt;mso-position-horizontal-relative:page;mso-position-vertical-relative:paragraph;z-index:-15616512;mso-wrap-distance-left:0;mso-wrap-distance-right:0" id="docshape506" filled="true" fillcolor="#000000" stroked="false">
                <v:fill type="solid"/>
                <w10:wrap type="topAndBottom"/>
              </v:rect>
            </w:pict>
          </mc:Fallback>
        </mc:AlternateContent>
      </w:r>
    </w:p>
    <w:p>
      <w:pPr>
        <w:tabs>
          <w:tab w:pos="2170" w:val="left" w:leader="none"/>
          <w:tab w:pos="3810" w:val="left" w:leader="none"/>
          <w:tab w:pos="5471" w:val="left" w:leader="none"/>
        </w:tabs>
        <w:spacing w:before="18" w:after="42"/>
        <w:ind w:left="730" w:right="0" w:firstLine="0"/>
        <w:jc w:val="left"/>
        <w:rPr>
          <w:b/>
          <w:sz w:val="22"/>
        </w:rPr>
      </w:pPr>
      <w:r>
        <w:rPr>
          <w:b/>
          <w:spacing w:val="-2"/>
          <w:sz w:val="22"/>
        </w:rPr>
        <w:t>S/No.</w:t>
      </w:r>
      <w:r>
        <w:rPr>
          <w:b/>
          <w:sz w:val="22"/>
        </w:rPr>
        <w:tab/>
      </w:r>
      <w:r>
        <w:rPr>
          <w:b/>
          <w:spacing w:val="-5"/>
          <w:sz w:val="22"/>
        </w:rPr>
        <w:t>Age</w:t>
      </w:r>
      <w:r>
        <w:rPr>
          <w:b/>
          <w:sz w:val="22"/>
        </w:rPr>
        <w:tab/>
      </w:r>
      <w:r>
        <w:rPr>
          <w:b/>
          <w:spacing w:val="-5"/>
          <w:sz w:val="22"/>
        </w:rPr>
        <w:t>Sex</w:t>
      </w:r>
      <w:r>
        <w:rPr>
          <w:b/>
          <w:sz w:val="22"/>
        </w:rPr>
        <w:tab/>
        <w:t>Sample</w:t>
      </w:r>
      <w:r>
        <w:rPr>
          <w:b/>
          <w:spacing w:val="-4"/>
          <w:sz w:val="22"/>
        </w:rPr>
        <w:t> </w:t>
      </w:r>
      <w:r>
        <w:rPr>
          <w:b/>
          <w:sz w:val="22"/>
        </w:rPr>
        <w:t>source</w:t>
      </w:r>
      <w:r>
        <w:rPr>
          <w:b/>
          <w:spacing w:val="75"/>
          <w:w w:val="150"/>
          <w:sz w:val="22"/>
        </w:rPr>
        <w:t> </w:t>
      </w:r>
      <w:r>
        <w:rPr>
          <w:b/>
          <w:sz w:val="22"/>
        </w:rPr>
        <w:t>Sample</w:t>
      </w:r>
      <w:r>
        <w:rPr>
          <w:b/>
          <w:spacing w:val="-3"/>
          <w:sz w:val="22"/>
        </w:rPr>
        <w:t> </w:t>
      </w:r>
      <w:r>
        <w:rPr>
          <w:b/>
          <w:spacing w:val="-5"/>
          <w:sz w:val="22"/>
        </w:rPr>
        <w:t>No.</w:t>
      </w:r>
    </w:p>
    <w:p>
      <w:pPr>
        <w:pStyle w:val="BodyText"/>
        <w:spacing w:line="20" w:lineRule="exact"/>
        <w:ind w:left="351"/>
        <w:rPr>
          <w:sz w:val="2"/>
        </w:rPr>
      </w:pPr>
      <w:r>
        <w:rPr>
          <w:sz w:val="2"/>
        </w:rPr>
        <mc:AlternateContent>
          <mc:Choice Requires="wps">
            <w:drawing>
              <wp:inline distT="0" distB="0" distL="0" distR="0">
                <wp:extent cx="5769610" cy="6350"/>
                <wp:effectExtent l="0" t="0" r="0" b="0"/>
                <wp:docPr id="562" name="Group 562"/>
                <wp:cNvGraphicFramePr>
                  <a:graphicFrameLocks/>
                </wp:cNvGraphicFramePr>
                <a:graphic>
                  <a:graphicData uri="http://schemas.microsoft.com/office/word/2010/wordprocessingGroup">
                    <wpg:wgp>
                      <wpg:cNvPr id="562" name="Group 562"/>
                      <wpg:cNvGrpSpPr/>
                      <wpg:grpSpPr>
                        <a:xfrm>
                          <a:off x="0" y="0"/>
                          <a:ext cx="5769610" cy="6350"/>
                          <a:chExt cx="5769610" cy="6350"/>
                        </a:xfrm>
                      </wpg:grpSpPr>
                      <wps:wsp>
                        <wps:cNvPr id="563" name="Graphic 563"/>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3pt;height:.5pt;mso-position-horizontal-relative:char;mso-position-vertical-relative:line" id="docshapegroup507" coordorigin="0,0" coordsize="9086,10">
                <v:rect style="position:absolute;left:0;top:0;width:9086;height:10" id="docshape508" filled="true" fillcolor="#000000" stroked="false">
                  <v:fill type="solid"/>
                </v:rect>
              </v:group>
            </w:pict>
          </mc:Fallback>
        </mc:AlternateContent>
      </w:r>
      <w:r>
        <w:rPr>
          <w:sz w:val="2"/>
        </w:rPr>
      </w:r>
    </w:p>
    <w:p>
      <w:pPr>
        <w:pStyle w:val="BodyText"/>
        <w:rPr>
          <w:b/>
          <w:sz w:val="20"/>
        </w:rPr>
      </w:pPr>
    </w:p>
    <w:p>
      <w:pPr>
        <w:pStyle w:val="BodyText"/>
        <w:spacing w:before="209" w:after="1"/>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2"/>
        <w:gridCol w:w="1515"/>
        <w:gridCol w:w="1593"/>
        <w:gridCol w:w="2537"/>
        <w:gridCol w:w="1891"/>
      </w:tblGrid>
      <w:tr>
        <w:trPr>
          <w:trHeight w:val="590" w:hRule="atLeast"/>
        </w:trPr>
        <w:tc>
          <w:tcPr>
            <w:tcW w:w="1312" w:type="dxa"/>
          </w:tcPr>
          <w:p>
            <w:pPr>
              <w:pStyle w:val="TableParagraph"/>
              <w:spacing w:line="225" w:lineRule="exact"/>
              <w:ind w:left="439"/>
              <w:rPr>
                <w:sz w:val="22"/>
              </w:rPr>
            </w:pPr>
            <w:r>
              <w:rPr>
                <w:spacing w:val="-5"/>
                <w:sz w:val="22"/>
              </w:rPr>
              <w:t>111</w:t>
            </w:r>
          </w:p>
        </w:tc>
        <w:tc>
          <w:tcPr>
            <w:tcW w:w="1515" w:type="dxa"/>
          </w:tcPr>
          <w:p>
            <w:pPr>
              <w:pStyle w:val="TableParagraph"/>
              <w:spacing w:line="225" w:lineRule="exact"/>
              <w:ind w:left="538"/>
              <w:rPr>
                <w:sz w:val="22"/>
              </w:rPr>
            </w:pPr>
            <w:r>
              <w:rPr>
                <w:spacing w:val="-5"/>
                <w:sz w:val="22"/>
              </w:rPr>
              <w:t>32</w:t>
            </w:r>
          </w:p>
        </w:tc>
        <w:tc>
          <w:tcPr>
            <w:tcW w:w="1593" w:type="dxa"/>
          </w:tcPr>
          <w:p>
            <w:pPr>
              <w:pStyle w:val="TableParagraph"/>
              <w:spacing w:line="225" w:lineRule="exact"/>
              <w:ind w:left="99"/>
              <w:jc w:val="center"/>
              <w:rPr>
                <w:sz w:val="22"/>
              </w:rPr>
            </w:pPr>
            <w:r>
              <w:rPr>
                <w:spacing w:val="-10"/>
                <w:sz w:val="22"/>
              </w:rPr>
              <w:t>M</w:t>
            </w:r>
          </w:p>
        </w:tc>
        <w:tc>
          <w:tcPr>
            <w:tcW w:w="2537" w:type="dxa"/>
          </w:tcPr>
          <w:p>
            <w:pPr>
              <w:pStyle w:val="TableParagraph"/>
              <w:spacing w:line="225" w:lineRule="exact"/>
              <w:ind w:left="111" w:right="4"/>
              <w:jc w:val="center"/>
              <w:rPr>
                <w:sz w:val="22"/>
              </w:rPr>
            </w:pPr>
            <w:r>
              <w:rPr>
                <w:spacing w:val="-2"/>
                <w:sz w:val="22"/>
              </w:rPr>
              <w:t>SPUTUM</w:t>
            </w:r>
          </w:p>
        </w:tc>
        <w:tc>
          <w:tcPr>
            <w:tcW w:w="1891" w:type="dxa"/>
          </w:tcPr>
          <w:p>
            <w:pPr>
              <w:pStyle w:val="TableParagraph"/>
              <w:spacing w:line="225" w:lineRule="exact"/>
              <w:ind w:right="685"/>
              <w:jc w:val="right"/>
              <w:rPr>
                <w:sz w:val="22"/>
              </w:rPr>
            </w:pPr>
            <w:r>
              <w:rPr>
                <w:sz w:val="22"/>
              </w:rPr>
              <w:t>SP</w:t>
            </w:r>
            <w:r>
              <w:rPr>
                <w:spacing w:val="1"/>
                <w:sz w:val="22"/>
              </w:rPr>
              <w:t> </w:t>
            </w:r>
            <w:r>
              <w:rPr>
                <w:spacing w:val="-5"/>
                <w:sz w:val="22"/>
              </w:rPr>
              <w:t>343</w:t>
            </w:r>
          </w:p>
        </w:tc>
      </w:tr>
      <w:tr>
        <w:trPr>
          <w:trHeight w:val="930" w:hRule="atLeast"/>
        </w:trPr>
        <w:tc>
          <w:tcPr>
            <w:tcW w:w="1312" w:type="dxa"/>
          </w:tcPr>
          <w:p>
            <w:pPr>
              <w:pStyle w:val="TableParagraph"/>
              <w:spacing w:before="57"/>
              <w:rPr>
                <w:b/>
                <w:sz w:val="22"/>
              </w:rPr>
            </w:pPr>
          </w:p>
          <w:p>
            <w:pPr>
              <w:pStyle w:val="TableParagraph"/>
              <w:ind w:left="439"/>
              <w:rPr>
                <w:sz w:val="22"/>
              </w:rPr>
            </w:pPr>
            <w:r>
              <w:rPr>
                <w:spacing w:val="-5"/>
                <w:sz w:val="22"/>
              </w:rPr>
              <w:t>112</w:t>
            </w:r>
          </w:p>
        </w:tc>
        <w:tc>
          <w:tcPr>
            <w:tcW w:w="1515" w:type="dxa"/>
          </w:tcPr>
          <w:p>
            <w:pPr>
              <w:pStyle w:val="TableParagraph"/>
              <w:spacing w:before="57"/>
              <w:rPr>
                <w:b/>
                <w:sz w:val="22"/>
              </w:rPr>
            </w:pPr>
          </w:p>
          <w:p>
            <w:pPr>
              <w:pStyle w:val="TableParagraph"/>
              <w:ind w:left="538"/>
              <w:rPr>
                <w:sz w:val="22"/>
              </w:rPr>
            </w:pPr>
            <w:r>
              <w:rPr>
                <w:spacing w:val="-5"/>
                <w:sz w:val="22"/>
              </w:rPr>
              <w:t>13</w:t>
            </w:r>
          </w:p>
        </w:tc>
        <w:tc>
          <w:tcPr>
            <w:tcW w:w="1593" w:type="dxa"/>
          </w:tcPr>
          <w:p>
            <w:pPr>
              <w:pStyle w:val="TableParagraph"/>
              <w:spacing w:before="57"/>
              <w:rPr>
                <w:b/>
                <w:sz w:val="22"/>
              </w:rPr>
            </w:pPr>
          </w:p>
          <w:p>
            <w:pPr>
              <w:pStyle w:val="TableParagraph"/>
              <w:ind w:left="99"/>
              <w:jc w:val="center"/>
              <w:rPr>
                <w:sz w:val="22"/>
              </w:rPr>
            </w:pPr>
            <w:r>
              <w:rPr>
                <w:spacing w:val="-10"/>
                <w:sz w:val="22"/>
              </w:rPr>
              <w:t>M</w:t>
            </w:r>
          </w:p>
        </w:tc>
        <w:tc>
          <w:tcPr>
            <w:tcW w:w="2537" w:type="dxa"/>
          </w:tcPr>
          <w:p>
            <w:pPr>
              <w:pStyle w:val="TableParagraph"/>
              <w:spacing w:before="57"/>
              <w:rPr>
                <w:b/>
                <w:sz w:val="22"/>
              </w:rPr>
            </w:pPr>
          </w:p>
          <w:p>
            <w:pPr>
              <w:pStyle w:val="TableParagraph"/>
              <w:ind w:left="111"/>
              <w:jc w:val="center"/>
              <w:rPr>
                <w:sz w:val="22"/>
              </w:rPr>
            </w:pPr>
            <w:r>
              <w:rPr>
                <w:sz w:val="22"/>
              </w:rPr>
              <w:t>THROAT</w:t>
            </w:r>
            <w:r>
              <w:rPr>
                <w:spacing w:val="-5"/>
                <w:sz w:val="22"/>
              </w:rPr>
              <w:t> </w:t>
            </w:r>
            <w:r>
              <w:rPr>
                <w:spacing w:val="-4"/>
                <w:sz w:val="22"/>
              </w:rPr>
              <w:t>SWAB</w:t>
            </w:r>
          </w:p>
        </w:tc>
        <w:tc>
          <w:tcPr>
            <w:tcW w:w="1891" w:type="dxa"/>
          </w:tcPr>
          <w:p>
            <w:pPr>
              <w:pStyle w:val="TableParagraph"/>
              <w:spacing w:before="57"/>
              <w:rPr>
                <w:b/>
                <w:sz w:val="22"/>
              </w:rPr>
            </w:pPr>
          </w:p>
          <w:p>
            <w:pPr>
              <w:pStyle w:val="TableParagraph"/>
              <w:ind w:right="687"/>
              <w:jc w:val="right"/>
              <w:rPr>
                <w:sz w:val="22"/>
              </w:rPr>
            </w:pPr>
            <w:r>
              <w:rPr>
                <w:sz w:val="22"/>
              </w:rPr>
              <w:t>TS</w:t>
            </w:r>
            <w:r>
              <w:rPr>
                <w:spacing w:val="-1"/>
                <w:sz w:val="22"/>
              </w:rPr>
              <w:t> </w:t>
            </w:r>
            <w:r>
              <w:rPr>
                <w:spacing w:val="-5"/>
                <w:sz w:val="22"/>
              </w:rPr>
              <w:t>349</w:t>
            </w:r>
          </w:p>
        </w:tc>
      </w:tr>
      <w:tr>
        <w:trPr>
          <w:trHeight w:val="1050" w:hRule="atLeast"/>
        </w:trPr>
        <w:tc>
          <w:tcPr>
            <w:tcW w:w="1312" w:type="dxa"/>
          </w:tcPr>
          <w:p>
            <w:pPr>
              <w:pStyle w:val="TableParagraph"/>
              <w:spacing w:before="27"/>
              <w:rPr>
                <w:b/>
                <w:sz w:val="22"/>
              </w:rPr>
            </w:pPr>
          </w:p>
          <w:p>
            <w:pPr>
              <w:pStyle w:val="TableParagraph"/>
              <w:ind w:left="439"/>
              <w:rPr>
                <w:sz w:val="22"/>
              </w:rPr>
            </w:pPr>
            <w:r>
              <w:rPr>
                <w:spacing w:val="-5"/>
                <w:sz w:val="22"/>
              </w:rPr>
              <w:t>113</w:t>
            </w:r>
          </w:p>
        </w:tc>
        <w:tc>
          <w:tcPr>
            <w:tcW w:w="1515" w:type="dxa"/>
          </w:tcPr>
          <w:p>
            <w:pPr>
              <w:pStyle w:val="TableParagraph"/>
              <w:spacing w:before="27"/>
              <w:rPr>
                <w:b/>
                <w:sz w:val="22"/>
              </w:rPr>
            </w:pPr>
          </w:p>
          <w:p>
            <w:pPr>
              <w:pStyle w:val="TableParagraph"/>
              <w:ind w:left="538"/>
              <w:rPr>
                <w:sz w:val="22"/>
              </w:rPr>
            </w:pPr>
            <w:r>
              <w:rPr>
                <w:spacing w:val="-5"/>
                <w:sz w:val="22"/>
              </w:rPr>
              <w:t>18</w:t>
            </w:r>
          </w:p>
        </w:tc>
        <w:tc>
          <w:tcPr>
            <w:tcW w:w="1593" w:type="dxa"/>
          </w:tcPr>
          <w:p>
            <w:pPr>
              <w:pStyle w:val="TableParagraph"/>
              <w:spacing w:before="27"/>
              <w:rPr>
                <w:b/>
                <w:sz w:val="22"/>
              </w:rPr>
            </w:pPr>
          </w:p>
          <w:p>
            <w:pPr>
              <w:pStyle w:val="TableParagraph"/>
              <w:ind w:left="99" w:right="1"/>
              <w:jc w:val="center"/>
              <w:rPr>
                <w:sz w:val="22"/>
              </w:rPr>
            </w:pPr>
            <w:r>
              <w:rPr>
                <w:spacing w:val="-10"/>
                <w:sz w:val="22"/>
              </w:rPr>
              <w:t>F</w:t>
            </w:r>
          </w:p>
        </w:tc>
        <w:tc>
          <w:tcPr>
            <w:tcW w:w="2537" w:type="dxa"/>
          </w:tcPr>
          <w:p>
            <w:pPr>
              <w:pStyle w:val="TableParagraph"/>
              <w:spacing w:before="27"/>
              <w:rPr>
                <w:b/>
                <w:sz w:val="22"/>
              </w:rPr>
            </w:pPr>
          </w:p>
          <w:p>
            <w:pPr>
              <w:pStyle w:val="TableParagraph"/>
              <w:ind w:left="111"/>
              <w:jc w:val="center"/>
              <w:rPr>
                <w:sz w:val="22"/>
              </w:rPr>
            </w:pPr>
            <w:r>
              <w:rPr>
                <w:sz w:val="22"/>
              </w:rPr>
              <w:t>THROAT</w:t>
            </w:r>
            <w:r>
              <w:rPr>
                <w:spacing w:val="-5"/>
                <w:sz w:val="22"/>
              </w:rPr>
              <w:t> </w:t>
            </w:r>
            <w:r>
              <w:rPr>
                <w:spacing w:val="-4"/>
                <w:sz w:val="22"/>
              </w:rPr>
              <w:t>SWAB</w:t>
            </w:r>
          </w:p>
        </w:tc>
        <w:tc>
          <w:tcPr>
            <w:tcW w:w="1891" w:type="dxa"/>
          </w:tcPr>
          <w:p>
            <w:pPr>
              <w:pStyle w:val="TableParagraph"/>
              <w:spacing w:before="27"/>
              <w:rPr>
                <w:b/>
                <w:sz w:val="22"/>
              </w:rPr>
            </w:pPr>
          </w:p>
          <w:p>
            <w:pPr>
              <w:pStyle w:val="TableParagraph"/>
              <w:ind w:right="687"/>
              <w:jc w:val="right"/>
              <w:rPr>
                <w:sz w:val="22"/>
              </w:rPr>
            </w:pPr>
            <w:r>
              <w:rPr>
                <w:sz w:val="22"/>
              </w:rPr>
              <w:t>TS</w:t>
            </w:r>
            <w:r>
              <w:rPr>
                <w:spacing w:val="-1"/>
                <w:sz w:val="22"/>
              </w:rPr>
              <w:t> </w:t>
            </w:r>
            <w:r>
              <w:rPr>
                <w:spacing w:val="-5"/>
                <w:sz w:val="22"/>
              </w:rPr>
              <w:t>352</w:t>
            </w:r>
          </w:p>
        </w:tc>
      </w:tr>
      <w:tr>
        <w:trPr>
          <w:trHeight w:val="1080" w:hRule="atLeast"/>
        </w:trPr>
        <w:tc>
          <w:tcPr>
            <w:tcW w:w="1312" w:type="dxa"/>
          </w:tcPr>
          <w:p>
            <w:pPr>
              <w:pStyle w:val="TableParagraph"/>
              <w:spacing w:before="177"/>
              <w:rPr>
                <w:b/>
                <w:sz w:val="22"/>
              </w:rPr>
            </w:pPr>
          </w:p>
          <w:p>
            <w:pPr>
              <w:pStyle w:val="TableParagraph"/>
              <w:ind w:left="439"/>
              <w:rPr>
                <w:sz w:val="22"/>
              </w:rPr>
            </w:pPr>
            <w:r>
              <w:rPr>
                <w:spacing w:val="-5"/>
                <w:sz w:val="22"/>
              </w:rPr>
              <w:t>114</w:t>
            </w:r>
          </w:p>
        </w:tc>
        <w:tc>
          <w:tcPr>
            <w:tcW w:w="1515" w:type="dxa"/>
          </w:tcPr>
          <w:p>
            <w:pPr>
              <w:pStyle w:val="TableParagraph"/>
              <w:spacing w:before="177"/>
              <w:rPr>
                <w:b/>
                <w:sz w:val="22"/>
              </w:rPr>
            </w:pPr>
          </w:p>
          <w:p>
            <w:pPr>
              <w:pStyle w:val="TableParagraph"/>
              <w:ind w:left="594"/>
              <w:rPr>
                <w:sz w:val="22"/>
              </w:rPr>
            </w:pPr>
            <w:r>
              <w:rPr>
                <w:spacing w:val="-10"/>
                <w:sz w:val="22"/>
              </w:rPr>
              <w:t>5</w:t>
            </w:r>
          </w:p>
        </w:tc>
        <w:tc>
          <w:tcPr>
            <w:tcW w:w="1593" w:type="dxa"/>
          </w:tcPr>
          <w:p>
            <w:pPr>
              <w:pStyle w:val="TableParagraph"/>
              <w:spacing w:before="177"/>
              <w:rPr>
                <w:b/>
                <w:sz w:val="22"/>
              </w:rPr>
            </w:pPr>
          </w:p>
          <w:p>
            <w:pPr>
              <w:pStyle w:val="TableParagraph"/>
              <w:ind w:left="99" w:right="1"/>
              <w:jc w:val="center"/>
              <w:rPr>
                <w:sz w:val="22"/>
              </w:rPr>
            </w:pPr>
            <w:r>
              <w:rPr>
                <w:spacing w:val="-10"/>
                <w:sz w:val="22"/>
              </w:rPr>
              <w:t>F</w:t>
            </w:r>
          </w:p>
        </w:tc>
        <w:tc>
          <w:tcPr>
            <w:tcW w:w="2537" w:type="dxa"/>
          </w:tcPr>
          <w:p>
            <w:pPr>
              <w:pStyle w:val="TableParagraph"/>
              <w:spacing w:before="177"/>
              <w:rPr>
                <w:b/>
                <w:sz w:val="22"/>
              </w:rPr>
            </w:pPr>
          </w:p>
          <w:p>
            <w:pPr>
              <w:pStyle w:val="TableParagraph"/>
              <w:ind w:left="111"/>
              <w:jc w:val="center"/>
              <w:rPr>
                <w:sz w:val="22"/>
              </w:rPr>
            </w:pPr>
            <w:r>
              <w:rPr>
                <w:sz w:val="22"/>
              </w:rPr>
              <w:t>EAR</w:t>
            </w:r>
            <w:r>
              <w:rPr>
                <w:spacing w:val="-2"/>
                <w:sz w:val="22"/>
              </w:rPr>
              <w:t> </w:t>
            </w:r>
            <w:r>
              <w:rPr>
                <w:spacing w:val="-4"/>
                <w:sz w:val="22"/>
              </w:rPr>
              <w:t>SWAB</w:t>
            </w:r>
          </w:p>
        </w:tc>
        <w:tc>
          <w:tcPr>
            <w:tcW w:w="1891" w:type="dxa"/>
          </w:tcPr>
          <w:p>
            <w:pPr>
              <w:pStyle w:val="TableParagraph"/>
              <w:spacing w:before="177"/>
              <w:rPr>
                <w:b/>
                <w:sz w:val="22"/>
              </w:rPr>
            </w:pPr>
          </w:p>
          <w:p>
            <w:pPr>
              <w:pStyle w:val="TableParagraph"/>
              <w:ind w:right="687"/>
              <w:jc w:val="right"/>
              <w:rPr>
                <w:sz w:val="22"/>
              </w:rPr>
            </w:pPr>
            <w:r>
              <w:rPr>
                <w:sz w:val="22"/>
              </w:rPr>
              <w:t>ES</w:t>
            </w:r>
            <w:r>
              <w:rPr>
                <w:spacing w:val="-1"/>
                <w:sz w:val="22"/>
              </w:rPr>
              <w:t> </w:t>
            </w:r>
            <w:r>
              <w:rPr>
                <w:spacing w:val="-5"/>
                <w:sz w:val="22"/>
              </w:rPr>
              <w:t>848</w:t>
            </w:r>
          </w:p>
        </w:tc>
      </w:tr>
      <w:tr>
        <w:trPr>
          <w:trHeight w:val="930" w:hRule="atLeast"/>
        </w:trPr>
        <w:tc>
          <w:tcPr>
            <w:tcW w:w="1312" w:type="dxa"/>
          </w:tcPr>
          <w:p>
            <w:pPr>
              <w:pStyle w:val="TableParagraph"/>
              <w:spacing w:before="57"/>
              <w:rPr>
                <w:b/>
                <w:sz w:val="22"/>
              </w:rPr>
            </w:pPr>
          </w:p>
          <w:p>
            <w:pPr>
              <w:pStyle w:val="TableParagraph"/>
              <w:ind w:left="439"/>
              <w:rPr>
                <w:sz w:val="22"/>
              </w:rPr>
            </w:pPr>
            <w:r>
              <w:rPr>
                <w:spacing w:val="-5"/>
                <w:sz w:val="22"/>
              </w:rPr>
              <w:t>115</w:t>
            </w:r>
          </w:p>
        </w:tc>
        <w:tc>
          <w:tcPr>
            <w:tcW w:w="1515" w:type="dxa"/>
          </w:tcPr>
          <w:p>
            <w:pPr>
              <w:pStyle w:val="TableParagraph"/>
              <w:spacing w:before="57"/>
              <w:rPr>
                <w:b/>
                <w:sz w:val="22"/>
              </w:rPr>
            </w:pPr>
          </w:p>
          <w:p>
            <w:pPr>
              <w:pStyle w:val="TableParagraph"/>
              <w:ind w:left="538"/>
              <w:rPr>
                <w:sz w:val="22"/>
              </w:rPr>
            </w:pPr>
            <w:r>
              <w:rPr>
                <w:spacing w:val="-5"/>
                <w:sz w:val="22"/>
              </w:rPr>
              <w:t>23</w:t>
            </w:r>
          </w:p>
        </w:tc>
        <w:tc>
          <w:tcPr>
            <w:tcW w:w="1593" w:type="dxa"/>
          </w:tcPr>
          <w:p>
            <w:pPr>
              <w:pStyle w:val="TableParagraph"/>
              <w:spacing w:before="57"/>
              <w:rPr>
                <w:b/>
                <w:sz w:val="22"/>
              </w:rPr>
            </w:pPr>
          </w:p>
          <w:p>
            <w:pPr>
              <w:pStyle w:val="TableParagraph"/>
              <w:ind w:left="99"/>
              <w:jc w:val="center"/>
              <w:rPr>
                <w:sz w:val="22"/>
              </w:rPr>
            </w:pPr>
            <w:r>
              <w:rPr>
                <w:spacing w:val="-10"/>
                <w:sz w:val="22"/>
              </w:rPr>
              <w:t>M</w:t>
            </w:r>
          </w:p>
        </w:tc>
        <w:tc>
          <w:tcPr>
            <w:tcW w:w="2537" w:type="dxa"/>
          </w:tcPr>
          <w:p>
            <w:pPr>
              <w:pStyle w:val="TableParagraph"/>
              <w:spacing w:before="5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57"/>
              <w:rPr>
                <w:b/>
                <w:sz w:val="22"/>
              </w:rPr>
            </w:pPr>
          </w:p>
          <w:p>
            <w:pPr>
              <w:pStyle w:val="TableParagraph"/>
              <w:ind w:right="685"/>
              <w:jc w:val="right"/>
              <w:rPr>
                <w:sz w:val="22"/>
              </w:rPr>
            </w:pPr>
            <w:r>
              <w:rPr>
                <w:sz w:val="22"/>
              </w:rPr>
              <w:t>SP</w:t>
            </w:r>
            <w:r>
              <w:rPr>
                <w:spacing w:val="1"/>
                <w:sz w:val="22"/>
              </w:rPr>
              <w:t> </w:t>
            </w:r>
            <w:r>
              <w:rPr>
                <w:spacing w:val="-5"/>
                <w:sz w:val="22"/>
              </w:rPr>
              <w:t>687</w:t>
            </w:r>
          </w:p>
        </w:tc>
      </w:tr>
      <w:tr>
        <w:trPr>
          <w:trHeight w:val="1050" w:hRule="atLeast"/>
        </w:trPr>
        <w:tc>
          <w:tcPr>
            <w:tcW w:w="1312" w:type="dxa"/>
          </w:tcPr>
          <w:p>
            <w:pPr>
              <w:pStyle w:val="TableParagraph"/>
              <w:spacing w:before="27"/>
              <w:rPr>
                <w:b/>
                <w:sz w:val="22"/>
              </w:rPr>
            </w:pPr>
          </w:p>
          <w:p>
            <w:pPr>
              <w:pStyle w:val="TableParagraph"/>
              <w:ind w:left="439"/>
              <w:rPr>
                <w:sz w:val="22"/>
              </w:rPr>
            </w:pPr>
            <w:r>
              <w:rPr>
                <w:spacing w:val="-5"/>
                <w:sz w:val="22"/>
              </w:rPr>
              <w:t>116</w:t>
            </w:r>
          </w:p>
        </w:tc>
        <w:tc>
          <w:tcPr>
            <w:tcW w:w="1515" w:type="dxa"/>
          </w:tcPr>
          <w:p>
            <w:pPr>
              <w:pStyle w:val="TableParagraph"/>
              <w:spacing w:before="27"/>
              <w:rPr>
                <w:b/>
                <w:sz w:val="22"/>
              </w:rPr>
            </w:pPr>
          </w:p>
          <w:p>
            <w:pPr>
              <w:pStyle w:val="TableParagraph"/>
              <w:ind w:left="538"/>
              <w:rPr>
                <w:sz w:val="22"/>
              </w:rPr>
            </w:pPr>
            <w:r>
              <w:rPr>
                <w:spacing w:val="-5"/>
                <w:sz w:val="22"/>
              </w:rPr>
              <w:t>17</w:t>
            </w:r>
          </w:p>
        </w:tc>
        <w:tc>
          <w:tcPr>
            <w:tcW w:w="1593" w:type="dxa"/>
          </w:tcPr>
          <w:p>
            <w:pPr>
              <w:pStyle w:val="TableParagraph"/>
              <w:spacing w:before="27"/>
              <w:rPr>
                <w:b/>
                <w:sz w:val="22"/>
              </w:rPr>
            </w:pPr>
          </w:p>
          <w:p>
            <w:pPr>
              <w:pStyle w:val="TableParagraph"/>
              <w:ind w:left="99" w:right="1"/>
              <w:jc w:val="center"/>
              <w:rPr>
                <w:sz w:val="22"/>
              </w:rPr>
            </w:pPr>
            <w:r>
              <w:rPr>
                <w:spacing w:val="-10"/>
                <w:sz w:val="22"/>
              </w:rPr>
              <w:t>F</w:t>
            </w:r>
          </w:p>
        </w:tc>
        <w:tc>
          <w:tcPr>
            <w:tcW w:w="2537" w:type="dxa"/>
          </w:tcPr>
          <w:p>
            <w:pPr>
              <w:pStyle w:val="TableParagraph"/>
              <w:spacing w:before="2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27"/>
              <w:rPr>
                <w:b/>
                <w:sz w:val="22"/>
              </w:rPr>
            </w:pPr>
          </w:p>
          <w:p>
            <w:pPr>
              <w:pStyle w:val="TableParagraph"/>
              <w:ind w:right="630"/>
              <w:jc w:val="right"/>
              <w:rPr>
                <w:sz w:val="22"/>
              </w:rPr>
            </w:pPr>
            <w:r>
              <w:rPr>
                <w:sz w:val="22"/>
              </w:rPr>
              <w:t>SP</w:t>
            </w:r>
            <w:r>
              <w:rPr>
                <w:spacing w:val="1"/>
                <w:sz w:val="22"/>
              </w:rPr>
              <w:t> </w:t>
            </w:r>
            <w:r>
              <w:rPr>
                <w:spacing w:val="-4"/>
                <w:sz w:val="22"/>
              </w:rPr>
              <w:t>1714</w:t>
            </w:r>
          </w:p>
        </w:tc>
      </w:tr>
      <w:tr>
        <w:trPr>
          <w:trHeight w:val="1050" w:hRule="atLeast"/>
        </w:trPr>
        <w:tc>
          <w:tcPr>
            <w:tcW w:w="1312" w:type="dxa"/>
          </w:tcPr>
          <w:p>
            <w:pPr>
              <w:pStyle w:val="TableParagraph"/>
              <w:spacing w:before="177"/>
              <w:rPr>
                <w:b/>
                <w:sz w:val="22"/>
              </w:rPr>
            </w:pPr>
          </w:p>
          <w:p>
            <w:pPr>
              <w:pStyle w:val="TableParagraph"/>
              <w:ind w:left="439"/>
              <w:rPr>
                <w:sz w:val="22"/>
              </w:rPr>
            </w:pPr>
            <w:r>
              <w:rPr>
                <w:spacing w:val="-5"/>
                <w:sz w:val="22"/>
              </w:rPr>
              <w:t>117</w:t>
            </w:r>
          </w:p>
        </w:tc>
        <w:tc>
          <w:tcPr>
            <w:tcW w:w="1515" w:type="dxa"/>
          </w:tcPr>
          <w:p>
            <w:pPr>
              <w:pStyle w:val="TableParagraph"/>
              <w:spacing w:before="177"/>
              <w:rPr>
                <w:b/>
                <w:sz w:val="22"/>
              </w:rPr>
            </w:pPr>
          </w:p>
          <w:p>
            <w:pPr>
              <w:pStyle w:val="TableParagraph"/>
              <w:ind w:left="538"/>
              <w:rPr>
                <w:sz w:val="22"/>
              </w:rPr>
            </w:pPr>
            <w:r>
              <w:rPr>
                <w:spacing w:val="-5"/>
                <w:sz w:val="22"/>
              </w:rPr>
              <w:t>29</w:t>
            </w:r>
          </w:p>
        </w:tc>
        <w:tc>
          <w:tcPr>
            <w:tcW w:w="1593" w:type="dxa"/>
          </w:tcPr>
          <w:p>
            <w:pPr>
              <w:pStyle w:val="TableParagraph"/>
              <w:spacing w:before="177"/>
              <w:rPr>
                <w:b/>
                <w:sz w:val="22"/>
              </w:rPr>
            </w:pPr>
          </w:p>
          <w:p>
            <w:pPr>
              <w:pStyle w:val="TableParagraph"/>
              <w:ind w:left="99"/>
              <w:jc w:val="center"/>
              <w:rPr>
                <w:sz w:val="22"/>
              </w:rPr>
            </w:pPr>
            <w:r>
              <w:rPr>
                <w:spacing w:val="-10"/>
                <w:sz w:val="22"/>
              </w:rPr>
              <w:t>M</w:t>
            </w:r>
          </w:p>
        </w:tc>
        <w:tc>
          <w:tcPr>
            <w:tcW w:w="2537" w:type="dxa"/>
          </w:tcPr>
          <w:p>
            <w:pPr>
              <w:pStyle w:val="TableParagraph"/>
              <w:spacing w:before="17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177"/>
              <w:rPr>
                <w:b/>
                <w:sz w:val="22"/>
              </w:rPr>
            </w:pPr>
          </w:p>
          <w:p>
            <w:pPr>
              <w:pStyle w:val="TableParagraph"/>
              <w:ind w:right="630"/>
              <w:jc w:val="right"/>
              <w:rPr>
                <w:sz w:val="22"/>
              </w:rPr>
            </w:pPr>
            <w:r>
              <w:rPr>
                <w:sz w:val="22"/>
              </w:rPr>
              <w:t>SP</w:t>
            </w:r>
            <w:r>
              <w:rPr>
                <w:spacing w:val="1"/>
                <w:sz w:val="22"/>
              </w:rPr>
              <w:t> </w:t>
            </w:r>
            <w:r>
              <w:rPr>
                <w:spacing w:val="-4"/>
                <w:sz w:val="22"/>
              </w:rPr>
              <w:t>1715</w:t>
            </w:r>
          </w:p>
        </w:tc>
      </w:tr>
      <w:tr>
        <w:trPr>
          <w:trHeight w:val="1050" w:hRule="atLeast"/>
        </w:trPr>
        <w:tc>
          <w:tcPr>
            <w:tcW w:w="1312" w:type="dxa"/>
          </w:tcPr>
          <w:p>
            <w:pPr>
              <w:pStyle w:val="TableParagraph"/>
              <w:spacing w:before="27"/>
              <w:rPr>
                <w:b/>
                <w:sz w:val="22"/>
              </w:rPr>
            </w:pPr>
          </w:p>
          <w:p>
            <w:pPr>
              <w:pStyle w:val="TableParagraph"/>
              <w:ind w:left="439"/>
              <w:rPr>
                <w:sz w:val="22"/>
              </w:rPr>
            </w:pPr>
            <w:r>
              <w:rPr>
                <w:spacing w:val="-5"/>
                <w:sz w:val="22"/>
              </w:rPr>
              <w:t>118</w:t>
            </w:r>
          </w:p>
        </w:tc>
        <w:tc>
          <w:tcPr>
            <w:tcW w:w="1515" w:type="dxa"/>
          </w:tcPr>
          <w:p>
            <w:pPr>
              <w:pStyle w:val="TableParagraph"/>
              <w:spacing w:before="27"/>
              <w:rPr>
                <w:b/>
                <w:sz w:val="22"/>
              </w:rPr>
            </w:pPr>
          </w:p>
          <w:p>
            <w:pPr>
              <w:pStyle w:val="TableParagraph"/>
              <w:ind w:left="538"/>
              <w:rPr>
                <w:sz w:val="22"/>
              </w:rPr>
            </w:pPr>
            <w:r>
              <w:rPr>
                <w:spacing w:val="-5"/>
                <w:sz w:val="22"/>
              </w:rPr>
              <w:t>20</w:t>
            </w:r>
          </w:p>
        </w:tc>
        <w:tc>
          <w:tcPr>
            <w:tcW w:w="1593" w:type="dxa"/>
          </w:tcPr>
          <w:p>
            <w:pPr>
              <w:pStyle w:val="TableParagraph"/>
              <w:spacing w:before="27"/>
              <w:rPr>
                <w:b/>
                <w:sz w:val="22"/>
              </w:rPr>
            </w:pPr>
          </w:p>
          <w:p>
            <w:pPr>
              <w:pStyle w:val="TableParagraph"/>
              <w:ind w:left="99"/>
              <w:jc w:val="center"/>
              <w:rPr>
                <w:sz w:val="22"/>
              </w:rPr>
            </w:pPr>
            <w:r>
              <w:rPr>
                <w:spacing w:val="-10"/>
                <w:sz w:val="22"/>
              </w:rPr>
              <w:t>M</w:t>
            </w:r>
          </w:p>
        </w:tc>
        <w:tc>
          <w:tcPr>
            <w:tcW w:w="2537" w:type="dxa"/>
          </w:tcPr>
          <w:p>
            <w:pPr>
              <w:pStyle w:val="TableParagraph"/>
              <w:spacing w:before="2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27"/>
              <w:rPr>
                <w:b/>
                <w:sz w:val="22"/>
              </w:rPr>
            </w:pPr>
          </w:p>
          <w:p>
            <w:pPr>
              <w:pStyle w:val="TableParagraph"/>
              <w:ind w:right="685"/>
              <w:jc w:val="right"/>
              <w:rPr>
                <w:sz w:val="22"/>
              </w:rPr>
            </w:pPr>
            <w:r>
              <w:rPr>
                <w:sz w:val="22"/>
              </w:rPr>
              <w:t>SP</w:t>
            </w:r>
            <w:r>
              <w:rPr>
                <w:spacing w:val="1"/>
                <w:sz w:val="22"/>
              </w:rPr>
              <w:t> </w:t>
            </w:r>
            <w:r>
              <w:rPr>
                <w:spacing w:val="-5"/>
                <w:sz w:val="22"/>
              </w:rPr>
              <w:t>291</w:t>
            </w:r>
          </w:p>
        </w:tc>
      </w:tr>
      <w:tr>
        <w:trPr>
          <w:trHeight w:val="1049" w:hRule="atLeast"/>
        </w:trPr>
        <w:tc>
          <w:tcPr>
            <w:tcW w:w="1312" w:type="dxa"/>
          </w:tcPr>
          <w:p>
            <w:pPr>
              <w:pStyle w:val="TableParagraph"/>
              <w:spacing w:before="177"/>
              <w:rPr>
                <w:b/>
                <w:sz w:val="22"/>
              </w:rPr>
            </w:pPr>
          </w:p>
          <w:p>
            <w:pPr>
              <w:pStyle w:val="TableParagraph"/>
              <w:ind w:left="439"/>
              <w:rPr>
                <w:sz w:val="22"/>
              </w:rPr>
            </w:pPr>
            <w:r>
              <w:rPr>
                <w:spacing w:val="-5"/>
                <w:sz w:val="22"/>
              </w:rPr>
              <w:t>119</w:t>
            </w:r>
          </w:p>
        </w:tc>
        <w:tc>
          <w:tcPr>
            <w:tcW w:w="1515" w:type="dxa"/>
          </w:tcPr>
          <w:p>
            <w:pPr>
              <w:pStyle w:val="TableParagraph"/>
              <w:spacing w:before="177"/>
              <w:rPr>
                <w:b/>
                <w:sz w:val="22"/>
              </w:rPr>
            </w:pPr>
          </w:p>
          <w:p>
            <w:pPr>
              <w:pStyle w:val="TableParagraph"/>
              <w:ind w:left="538"/>
              <w:rPr>
                <w:sz w:val="22"/>
              </w:rPr>
            </w:pPr>
            <w:r>
              <w:rPr>
                <w:spacing w:val="-5"/>
                <w:sz w:val="22"/>
              </w:rPr>
              <w:t>16</w:t>
            </w:r>
          </w:p>
        </w:tc>
        <w:tc>
          <w:tcPr>
            <w:tcW w:w="1593" w:type="dxa"/>
          </w:tcPr>
          <w:p>
            <w:pPr>
              <w:pStyle w:val="TableParagraph"/>
              <w:spacing w:before="177"/>
              <w:rPr>
                <w:b/>
                <w:sz w:val="22"/>
              </w:rPr>
            </w:pPr>
          </w:p>
          <w:p>
            <w:pPr>
              <w:pStyle w:val="TableParagraph"/>
              <w:ind w:left="99" w:right="1"/>
              <w:jc w:val="center"/>
              <w:rPr>
                <w:sz w:val="22"/>
              </w:rPr>
            </w:pPr>
            <w:r>
              <w:rPr>
                <w:spacing w:val="-10"/>
                <w:sz w:val="22"/>
              </w:rPr>
              <w:t>F</w:t>
            </w:r>
          </w:p>
        </w:tc>
        <w:tc>
          <w:tcPr>
            <w:tcW w:w="2537" w:type="dxa"/>
          </w:tcPr>
          <w:p>
            <w:pPr>
              <w:pStyle w:val="TableParagraph"/>
              <w:spacing w:before="177"/>
              <w:rPr>
                <w:b/>
                <w:sz w:val="22"/>
              </w:rPr>
            </w:pPr>
          </w:p>
          <w:p>
            <w:pPr>
              <w:pStyle w:val="TableParagraph"/>
              <w:ind w:left="111"/>
              <w:jc w:val="center"/>
              <w:rPr>
                <w:sz w:val="22"/>
              </w:rPr>
            </w:pPr>
            <w:r>
              <w:rPr>
                <w:sz w:val="22"/>
              </w:rPr>
              <w:t>EAR</w:t>
            </w:r>
            <w:r>
              <w:rPr>
                <w:spacing w:val="-2"/>
                <w:sz w:val="22"/>
              </w:rPr>
              <w:t> </w:t>
            </w:r>
            <w:r>
              <w:rPr>
                <w:spacing w:val="-4"/>
                <w:sz w:val="22"/>
              </w:rPr>
              <w:t>SWAB</w:t>
            </w:r>
          </w:p>
        </w:tc>
        <w:tc>
          <w:tcPr>
            <w:tcW w:w="1891" w:type="dxa"/>
          </w:tcPr>
          <w:p>
            <w:pPr>
              <w:pStyle w:val="TableParagraph"/>
              <w:spacing w:before="177"/>
              <w:rPr>
                <w:b/>
                <w:sz w:val="22"/>
              </w:rPr>
            </w:pPr>
          </w:p>
          <w:p>
            <w:pPr>
              <w:pStyle w:val="TableParagraph"/>
              <w:ind w:right="687"/>
              <w:jc w:val="right"/>
              <w:rPr>
                <w:sz w:val="22"/>
              </w:rPr>
            </w:pPr>
            <w:r>
              <w:rPr>
                <w:sz w:val="22"/>
              </w:rPr>
              <w:t>ES</w:t>
            </w:r>
            <w:r>
              <w:rPr>
                <w:spacing w:val="-1"/>
                <w:sz w:val="22"/>
              </w:rPr>
              <w:t> </w:t>
            </w:r>
            <w:r>
              <w:rPr>
                <w:spacing w:val="-5"/>
                <w:sz w:val="22"/>
              </w:rPr>
              <w:t>350</w:t>
            </w:r>
          </w:p>
        </w:tc>
      </w:tr>
      <w:tr>
        <w:trPr>
          <w:trHeight w:val="747" w:hRule="atLeast"/>
        </w:trPr>
        <w:tc>
          <w:tcPr>
            <w:tcW w:w="1312" w:type="dxa"/>
            <w:tcBorders>
              <w:bottom w:val="single" w:sz="4" w:space="0" w:color="000000"/>
            </w:tcBorders>
          </w:tcPr>
          <w:p>
            <w:pPr>
              <w:pStyle w:val="TableParagraph"/>
              <w:spacing w:before="27"/>
              <w:rPr>
                <w:b/>
                <w:sz w:val="22"/>
              </w:rPr>
            </w:pPr>
          </w:p>
          <w:p>
            <w:pPr>
              <w:pStyle w:val="TableParagraph"/>
              <w:ind w:left="439"/>
              <w:rPr>
                <w:sz w:val="22"/>
              </w:rPr>
            </w:pPr>
            <w:r>
              <w:rPr>
                <w:spacing w:val="-5"/>
                <w:sz w:val="22"/>
              </w:rPr>
              <w:t>120</w:t>
            </w:r>
          </w:p>
        </w:tc>
        <w:tc>
          <w:tcPr>
            <w:tcW w:w="1515" w:type="dxa"/>
            <w:tcBorders>
              <w:bottom w:val="single" w:sz="4" w:space="0" w:color="000000"/>
            </w:tcBorders>
          </w:tcPr>
          <w:p>
            <w:pPr>
              <w:pStyle w:val="TableParagraph"/>
              <w:spacing w:before="27"/>
              <w:rPr>
                <w:b/>
                <w:sz w:val="22"/>
              </w:rPr>
            </w:pPr>
          </w:p>
          <w:p>
            <w:pPr>
              <w:pStyle w:val="TableParagraph"/>
              <w:ind w:left="538"/>
              <w:rPr>
                <w:sz w:val="22"/>
              </w:rPr>
            </w:pPr>
            <w:r>
              <w:rPr>
                <w:spacing w:val="-5"/>
                <w:sz w:val="22"/>
              </w:rPr>
              <w:t>34</w:t>
            </w:r>
          </w:p>
        </w:tc>
        <w:tc>
          <w:tcPr>
            <w:tcW w:w="1593" w:type="dxa"/>
            <w:tcBorders>
              <w:bottom w:val="single" w:sz="4" w:space="0" w:color="000000"/>
            </w:tcBorders>
          </w:tcPr>
          <w:p>
            <w:pPr>
              <w:pStyle w:val="TableParagraph"/>
              <w:spacing w:before="27"/>
              <w:rPr>
                <w:b/>
                <w:sz w:val="22"/>
              </w:rPr>
            </w:pPr>
          </w:p>
          <w:p>
            <w:pPr>
              <w:pStyle w:val="TableParagraph"/>
              <w:ind w:left="99"/>
              <w:jc w:val="center"/>
              <w:rPr>
                <w:sz w:val="22"/>
              </w:rPr>
            </w:pPr>
            <w:r>
              <w:rPr>
                <w:spacing w:val="-10"/>
                <w:sz w:val="22"/>
              </w:rPr>
              <w:t>M</w:t>
            </w:r>
          </w:p>
        </w:tc>
        <w:tc>
          <w:tcPr>
            <w:tcW w:w="2537" w:type="dxa"/>
            <w:tcBorders>
              <w:bottom w:val="single" w:sz="4" w:space="0" w:color="000000"/>
            </w:tcBorders>
          </w:tcPr>
          <w:p>
            <w:pPr>
              <w:pStyle w:val="TableParagraph"/>
              <w:spacing w:before="27"/>
              <w:rPr>
                <w:b/>
                <w:sz w:val="22"/>
              </w:rPr>
            </w:pPr>
          </w:p>
          <w:p>
            <w:pPr>
              <w:pStyle w:val="TableParagraph"/>
              <w:ind w:left="111"/>
              <w:jc w:val="center"/>
              <w:rPr>
                <w:sz w:val="22"/>
              </w:rPr>
            </w:pPr>
            <w:r>
              <w:rPr>
                <w:sz w:val="22"/>
              </w:rPr>
              <w:t>THROAT</w:t>
            </w:r>
            <w:r>
              <w:rPr>
                <w:spacing w:val="-5"/>
                <w:sz w:val="22"/>
              </w:rPr>
              <w:t> </w:t>
            </w:r>
            <w:r>
              <w:rPr>
                <w:spacing w:val="-4"/>
                <w:sz w:val="22"/>
              </w:rPr>
              <w:t>SWAB</w:t>
            </w:r>
          </w:p>
        </w:tc>
        <w:tc>
          <w:tcPr>
            <w:tcW w:w="1891" w:type="dxa"/>
            <w:tcBorders>
              <w:bottom w:val="single" w:sz="4" w:space="0" w:color="000000"/>
            </w:tcBorders>
          </w:tcPr>
          <w:p>
            <w:pPr>
              <w:pStyle w:val="TableParagraph"/>
              <w:spacing w:before="27"/>
              <w:rPr>
                <w:b/>
                <w:sz w:val="22"/>
              </w:rPr>
            </w:pPr>
          </w:p>
          <w:p>
            <w:pPr>
              <w:pStyle w:val="TableParagraph"/>
              <w:ind w:right="687"/>
              <w:jc w:val="right"/>
              <w:rPr>
                <w:sz w:val="22"/>
              </w:rPr>
            </w:pPr>
            <w:r>
              <w:rPr>
                <w:sz w:val="22"/>
              </w:rPr>
              <w:t>TS</w:t>
            </w:r>
            <w:r>
              <w:rPr>
                <w:spacing w:val="-1"/>
                <w:sz w:val="22"/>
              </w:rPr>
              <w:t> </w:t>
            </w:r>
            <w:r>
              <w:rPr>
                <w:spacing w:val="-5"/>
                <w:sz w:val="22"/>
              </w:rPr>
              <w:t>939</w:t>
            </w:r>
          </w:p>
        </w:tc>
      </w:tr>
    </w:tbl>
    <w:p>
      <w:pPr>
        <w:pStyle w:val="BodyText"/>
        <w:spacing w:before="4"/>
        <w:ind w:left="380"/>
      </w:pPr>
      <w:r>
        <w:rPr>
          <w:b/>
        </w:rPr>
        <w:t>Key:</w:t>
      </w:r>
      <w:r>
        <w:rPr>
          <w:b/>
          <w:spacing w:val="-7"/>
        </w:rPr>
        <w:t> </w:t>
      </w:r>
      <w:r>
        <w:rPr/>
        <w:t>ES=Ear</w:t>
      </w:r>
      <w:r>
        <w:rPr>
          <w:spacing w:val="-4"/>
        </w:rPr>
        <w:t> </w:t>
      </w:r>
      <w:r>
        <w:rPr/>
        <w:t>Swab,</w:t>
      </w:r>
      <w:r>
        <w:rPr>
          <w:spacing w:val="-5"/>
        </w:rPr>
        <w:t> </w:t>
      </w:r>
      <w:r>
        <w:rPr/>
        <w:t>SP=Sputum,</w:t>
      </w:r>
      <w:r>
        <w:rPr>
          <w:spacing w:val="-4"/>
        </w:rPr>
        <w:t> </w:t>
      </w:r>
      <w:r>
        <w:rPr/>
        <w:t>TS=Throat</w:t>
      </w:r>
      <w:r>
        <w:rPr>
          <w:spacing w:val="-5"/>
        </w:rPr>
        <w:t> </w:t>
      </w:r>
      <w:r>
        <w:rPr/>
        <w:t>Swab,</w:t>
      </w:r>
      <w:r>
        <w:rPr>
          <w:spacing w:val="-4"/>
        </w:rPr>
        <w:t> </w:t>
      </w:r>
      <w:r>
        <w:rPr/>
        <w:t>F=Female,</w:t>
      </w:r>
      <w:r>
        <w:rPr>
          <w:spacing w:val="-7"/>
        </w:rPr>
        <w:t> </w:t>
      </w:r>
      <w:r>
        <w:rPr>
          <w:spacing w:val="-2"/>
        </w:rPr>
        <w:t>M=Male.</w:t>
      </w:r>
    </w:p>
    <w:p>
      <w:pPr>
        <w:spacing w:after="0"/>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0"/>
      </w:pPr>
    </w:p>
    <w:p>
      <w:pPr>
        <w:pStyle w:val="Heading3"/>
        <w:ind w:left="421" w:right="1015"/>
        <w:jc w:val="center"/>
      </w:pPr>
      <w:r>
        <w:rPr/>
        <w:t>Data</w:t>
      </w:r>
      <w:r>
        <w:rPr>
          <w:spacing w:val="-3"/>
        </w:rPr>
        <w:t> </w:t>
      </w:r>
      <w:r>
        <w:rPr/>
        <w:t>on</w:t>
      </w:r>
      <w:r>
        <w:rPr>
          <w:spacing w:val="-3"/>
        </w:rPr>
        <w:t> </w:t>
      </w:r>
      <w:r>
        <w:rPr/>
        <w:t>Samples</w:t>
      </w:r>
      <w:r>
        <w:rPr>
          <w:spacing w:val="-1"/>
        </w:rPr>
        <w:t> </w:t>
      </w:r>
      <w:r>
        <w:rPr>
          <w:spacing w:val="-2"/>
        </w:rPr>
        <w:t>Collected</w:t>
      </w:r>
    </w:p>
    <w:p>
      <w:pPr>
        <w:pStyle w:val="BodyText"/>
        <w:spacing w:before="162"/>
        <w:rPr>
          <w:b/>
          <w:sz w:val="20"/>
        </w:rPr>
      </w:pPr>
      <w:r>
        <w:rPr/>
        <mc:AlternateContent>
          <mc:Choice Requires="wps">
            <w:drawing>
              <wp:anchor distT="0" distB="0" distL="0" distR="0" allowOverlap="1" layoutInCell="1" locked="0" behindDoc="1" simplePos="0" relativeHeight="487700992">
                <wp:simplePos x="0" y="0"/>
                <wp:positionH relativeFrom="page">
                  <wp:posOffset>896416</wp:posOffset>
                </wp:positionH>
                <wp:positionV relativeFrom="paragraph">
                  <wp:posOffset>273689</wp:posOffset>
                </wp:positionV>
                <wp:extent cx="5769610" cy="6350"/>
                <wp:effectExtent l="0" t="0" r="0" b="0"/>
                <wp:wrapTopAndBottom/>
                <wp:docPr id="564" name="Graphic 564"/>
                <wp:cNvGraphicFramePr>
                  <a:graphicFrameLocks/>
                </wp:cNvGraphicFramePr>
                <a:graphic>
                  <a:graphicData uri="http://schemas.microsoft.com/office/word/2010/wordprocessingShape">
                    <wps:wsp>
                      <wps:cNvPr id="564" name="Graphic 564"/>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21.55039pt;width:454.3pt;height:.48pt;mso-position-horizontal-relative:page;mso-position-vertical-relative:paragraph;z-index:-15615488;mso-wrap-distance-left:0;mso-wrap-distance-right:0" id="docshape509" filled="true" fillcolor="#000000" stroked="false">
                <v:fill type="solid"/>
                <w10:wrap type="topAndBottom"/>
              </v:rect>
            </w:pict>
          </mc:Fallback>
        </mc:AlternateContent>
      </w:r>
    </w:p>
    <w:p>
      <w:pPr>
        <w:tabs>
          <w:tab w:pos="2170" w:val="left" w:leader="none"/>
          <w:tab w:pos="3810" w:val="left" w:leader="none"/>
          <w:tab w:pos="5471" w:val="left" w:leader="none"/>
        </w:tabs>
        <w:spacing w:before="19" w:after="42"/>
        <w:ind w:left="730" w:right="0" w:firstLine="0"/>
        <w:jc w:val="left"/>
        <w:rPr>
          <w:b/>
          <w:sz w:val="22"/>
        </w:rPr>
      </w:pPr>
      <w:r>
        <w:rPr>
          <w:b/>
          <w:spacing w:val="-2"/>
          <w:sz w:val="22"/>
        </w:rPr>
        <w:t>S/No.</w:t>
      </w:r>
      <w:r>
        <w:rPr>
          <w:b/>
          <w:sz w:val="22"/>
        </w:rPr>
        <w:tab/>
      </w:r>
      <w:r>
        <w:rPr>
          <w:b/>
          <w:spacing w:val="-5"/>
          <w:sz w:val="22"/>
        </w:rPr>
        <w:t>Age</w:t>
      </w:r>
      <w:r>
        <w:rPr>
          <w:b/>
          <w:sz w:val="22"/>
        </w:rPr>
        <w:tab/>
      </w:r>
      <w:r>
        <w:rPr>
          <w:b/>
          <w:spacing w:val="-5"/>
          <w:sz w:val="22"/>
        </w:rPr>
        <w:t>Sex</w:t>
      </w:r>
      <w:r>
        <w:rPr>
          <w:b/>
          <w:sz w:val="22"/>
        </w:rPr>
        <w:tab/>
        <w:t>Sample</w:t>
      </w:r>
      <w:r>
        <w:rPr>
          <w:b/>
          <w:spacing w:val="-4"/>
          <w:sz w:val="22"/>
        </w:rPr>
        <w:t> </w:t>
      </w:r>
      <w:r>
        <w:rPr>
          <w:b/>
          <w:sz w:val="22"/>
        </w:rPr>
        <w:t>source</w:t>
      </w:r>
      <w:r>
        <w:rPr>
          <w:b/>
          <w:spacing w:val="75"/>
          <w:w w:val="150"/>
          <w:sz w:val="22"/>
        </w:rPr>
        <w:t> </w:t>
      </w:r>
      <w:r>
        <w:rPr>
          <w:b/>
          <w:sz w:val="22"/>
        </w:rPr>
        <w:t>Sample</w:t>
      </w:r>
      <w:r>
        <w:rPr>
          <w:b/>
          <w:spacing w:val="-3"/>
          <w:sz w:val="22"/>
        </w:rPr>
        <w:t> </w:t>
      </w:r>
      <w:r>
        <w:rPr>
          <w:b/>
          <w:spacing w:val="-5"/>
          <w:sz w:val="22"/>
        </w:rPr>
        <w:t>No.</w:t>
      </w:r>
    </w:p>
    <w:p>
      <w:pPr>
        <w:pStyle w:val="BodyText"/>
        <w:spacing w:line="20" w:lineRule="exact"/>
        <w:ind w:left="351"/>
        <w:rPr>
          <w:sz w:val="2"/>
        </w:rPr>
      </w:pPr>
      <w:r>
        <w:rPr>
          <w:sz w:val="2"/>
        </w:rPr>
        <mc:AlternateContent>
          <mc:Choice Requires="wps">
            <w:drawing>
              <wp:inline distT="0" distB="0" distL="0" distR="0">
                <wp:extent cx="5769610" cy="6350"/>
                <wp:effectExtent l="0" t="0" r="0" b="0"/>
                <wp:docPr id="565" name="Group 565"/>
                <wp:cNvGraphicFramePr>
                  <a:graphicFrameLocks/>
                </wp:cNvGraphicFramePr>
                <a:graphic>
                  <a:graphicData uri="http://schemas.microsoft.com/office/word/2010/wordprocessingGroup">
                    <wpg:wgp>
                      <wpg:cNvPr id="565" name="Group 565"/>
                      <wpg:cNvGrpSpPr/>
                      <wpg:grpSpPr>
                        <a:xfrm>
                          <a:off x="0" y="0"/>
                          <a:ext cx="5769610" cy="6350"/>
                          <a:chExt cx="5769610" cy="6350"/>
                        </a:xfrm>
                      </wpg:grpSpPr>
                      <wps:wsp>
                        <wps:cNvPr id="566" name="Graphic 566"/>
                        <wps:cNvSpPr/>
                        <wps:spPr>
                          <a:xfrm>
                            <a:off x="0" y="0"/>
                            <a:ext cx="5769610" cy="6350"/>
                          </a:xfrm>
                          <a:custGeom>
                            <a:avLst/>
                            <a:gdLst/>
                            <a:ahLst/>
                            <a:cxnLst/>
                            <a:rect l="l" t="t" r="r" b="b"/>
                            <a:pathLst>
                              <a:path w="5769610" h="6350">
                                <a:moveTo>
                                  <a:pt x="5769610" y="0"/>
                                </a:moveTo>
                                <a:lnTo>
                                  <a:pt x="0" y="0"/>
                                </a:lnTo>
                                <a:lnTo>
                                  <a:pt x="0" y="6096"/>
                                </a:lnTo>
                                <a:lnTo>
                                  <a:pt x="5769610" y="6096"/>
                                </a:lnTo>
                                <a:lnTo>
                                  <a:pt x="57696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3pt;height:.5pt;mso-position-horizontal-relative:char;mso-position-vertical-relative:line" id="docshapegroup510" coordorigin="0,0" coordsize="9086,10">
                <v:rect style="position:absolute;left:0;top:0;width:9086;height:10" id="docshape511" filled="true" fillcolor="#000000" stroked="false">
                  <v:fill type="solid"/>
                </v:rect>
              </v:group>
            </w:pict>
          </mc:Fallback>
        </mc:AlternateContent>
      </w:r>
      <w:r>
        <w:rPr>
          <w:sz w:val="2"/>
        </w:rPr>
      </w:r>
    </w:p>
    <w:p>
      <w:pPr>
        <w:pStyle w:val="BodyText"/>
        <w:spacing w:before="93"/>
        <w:rPr>
          <w:b/>
          <w:sz w:val="20"/>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2"/>
        <w:gridCol w:w="1515"/>
        <w:gridCol w:w="1593"/>
        <w:gridCol w:w="2537"/>
        <w:gridCol w:w="1891"/>
      </w:tblGrid>
      <w:tr>
        <w:trPr>
          <w:trHeight w:val="560" w:hRule="atLeast"/>
        </w:trPr>
        <w:tc>
          <w:tcPr>
            <w:tcW w:w="1312" w:type="dxa"/>
          </w:tcPr>
          <w:p>
            <w:pPr>
              <w:pStyle w:val="TableParagraph"/>
              <w:spacing w:line="225" w:lineRule="exact"/>
              <w:ind w:left="439"/>
              <w:rPr>
                <w:sz w:val="22"/>
              </w:rPr>
            </w:pPr>
            <w:r>
              <w:rPr>
                <w:spacing w:val="-5"/>
                <w:sz w:val="22"/>
              </w:rPr>
              <w:t>121</w:t>
            </w:r>
          </w:p>
        </w:tc>
        <w:tc>
          <w:tcPr>
            <w:tcW w:w="1515" w:type="dxa"/>
          </w:tcPr>
          <w:p>
            <w:pPr>
              <w:pStyle w:val="TableParagraph"/>
              <w:spacing w:line="225" w:lineRule="exact"/>
              <w:ind w:left="538"/>
              <w:rPr>
                <w:sz w:val="22"/>
              </w:rPr>
            </w:pPr>
            <w:r>
              <w:rPr>
                <w:spacing w:val="-5"/>
                <w:sz w:val="22"/>
              </w:rPr>
              <w:t>26</w:t>
            </w:r>
          </w:p>
        </w:tc>
        <w:tc>
          <w:tcPr>
            <w:tcW w:w="1593" w:type="dxa"/>
          </w:tcPr>
          <w:p>
            <w:pPr>
              <w:pStyle w:val="TableParagraph"/>
              <w:spacing w:line="225" w:lineRule="exact"/>
              <w:ind w:left="99" w:right="1"/>
              <w:jc w:val="center"/>
              <w:rPr>
                <w:sz w:val="22"/>
              </w:rPr>
            </w:pPr>
            <w:r>
              <w:rPr>
                <w:spacing w:val="-10"/>
                <w:sz w:val="22"/>
              </w:rPr>
              <w:t>F</w:t>
            </w:r>
          </w:p>
        </w:tc>
        <w:tc>
          <w:tcPr>
            <w:tcW w:w="2537" w:type="dxa"/>
          </w:tcPr>
          <w:p>
            <w:pPr>
              <w:pStyle w:val="TableParagraph"/>
              <w:spacing w:line="225" w:lineRule="exact"/>
              <w:ind w:left="111" w:right="4"/>
              <w:jc w:val="center"/>
              <w:rPr>
                <w:sz w:val="22"/>
              </w:rPr>
            </w:pPr>
            <w:r>
              <w:rPr>
                <w:spacing w:val="-2"/>
                <w:sz w:val="22"/>
              </w:rPr>
              <w:t>SPUTUM</w:t>
            </w:r>
          </w:p>
        </w:tc>
        <w:tc>
          <w:tcPr>
            <w:tcW w:w="1891" w:type="dxa"/>
          </w:tcPr>
          <w:p>
            <w:pPr>
              <w:pStyle w:val="TableParagraph"/>
              <w:spacing w:line="225" w:lineRule="exact"/>
              <w:ind w:right="684"/>
              <w:jc w:val="right"/>
              <w:rPr>
                <w:sz w:val="22"/>
              </w:rPr>
            </w:pPr>
            <w:r>
              <w:rPr>
                <w:sz w:val="22"/>
              </w:rPr>
              <w:t>SP</w:t>
            </w:r>
            <w:r>
              <w:rPr>
                <w:spacing w:val="1"/>
                <w:sz w:val="22"/>
              </w:rPr>
              <w:t> </w:t>
            </w:r>
            <w:r>
              <w:rPr>
                <w:spacing w:val="-5"/>
                <w:sz w:val="22"/>
              </w:rPr>
              <w:t>344</w:t>
            </w:r>
          </w:p>
        </w:tc>
      </w:tr>
      <w:tr>
        <w:trPr>
          <w:trHeight w:val="1057" w:hRule="atLeast"/>
        </w:trPr>
        <w:tc>
          <w:tcPr>
            <w:tcW w:w="1312" w:type="dxa"/>
          </w:tcPr>
          <w:p>
            <w:pPr>
              <w:pStyle w:val="TableParagraph"/>
              <w:spacing w:before="27"/>
              <w:rPr>
                <w:b/>
                <w:sz w:val="22"/>
              </w:rPr>
            </w:pPr>
          </w:p>
          <w:p>
            <w:pPr>
              <w:pStyle w:val="TableParagraph"/>
              <w:ind w:left="439"/>
              <w:rPr>
                <w:sz w:val="22"/>
              </w:rPr>
            </w:pPr>
            <w:r>
              <w:rPr>
                <w:spacing w:val="-5"/>
                <w:sz w:val="22"/>
              </w:rPr>
              <w:t>122</w:t>
            </w:r>
          </w:p>
        </w:tc>
        <w:tc>
          <w:tcPr>
            <w:tcW w:w="1515" w:type="dxa"/>
          </w:tcPr>
          <w:p>
            <w:pPr>
              <w:pStyle w:val="TableParagraph"/>
              <w:spacing w:before="27"/>
              <w:rPr>
                <w:b/>
                <w:sz w:val="22"/>
              </w:rPr>
            </w:pPr>
          </w:p>
          <w:p>
            <w:pPr>
              <w:pStyle w:val="TableParagraph"/>
              <w:ind w:left="538"/>
              <w:rPr>
                <w:sz w:val="22"/>
              </w:rPr>
            </w:pPr>
            <w:r>
              <w:rPr>
                <w:spacing w:val="-5"/>
                <w:sz w:val="22"/>
              </w:rPr>
              <w:t>29</w:t>
            </w:r>
          </w:p>
        </w:tc>
        <w:tc>
          <w:tcPr>
            <w:tcW w:w="1593" w:type="dxa"/>
          </w:tcPr>
          <w:p>
            <w:pPr>
              <w:pStyle w:val="TableParagraph"/>
              <w:spacing w:before="27"/>
              <w:rPr>
                <w:b/>
                <w:sz w:val="22"/>
              </w:rPr>
            </w:pPr>
          </w:p>
          <w:p>
            <w:pPr>
              <w:pStyle w:val="TableParagraph"/>
              <w:ind w:left="99" w:right="1"/>
              <w:jc w:val="center"/>
              <w:rPr>
                <w:sz w:val="22"/>
              </w:rPr>
            </w:pPr>
            <w:r>
              <w:rPr>
                <w:spacing w:val="-10"/>
                <w:sz w:val="22"/>
              </w:rPr>
              <w:t>F</w:t>
            </w:r>
          </w:p>
        </w:tc>
        <w:tc>
          <w:tcPr>
            <w:tcW w:w="2537" w:type="dxa"/>
          </w:tcPr>
          <w:p>
            <w:pPr>
              <w:pStyle w:val="TableParagraph"/>
              <w:spacing w:before="2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27"/>
              <w:rPr>
                <w:b/>
                <w:sz w:val="22"/>
              </w:rPr>
            </w:pPr>
          </w:p>
          <w:p>
            <w:pPr>
              <w:pStyle w:val="TableParagraph"/>
              <w:ind w:right="630"/>
              <w:jc w:val="right"/>
              <w:rPr>
                <w:sz w:val="22"/>
              </w:rPr>
            </w:pPr>
            <w:r>
              <w:rPr>
                <w:sz w:val="22"/>
              </w:rPr>
              <w:t>SP</w:t>
            </w:r>
            <w:r>
              <w:rPr>
                <w:spacing w:val="1"/>
                <w:sz w:val="22"/>
              </w:rPr>
              <w:t> </w:t>
            </w:r>
            <w:r>
              <w:rPr>
                <w:spacing w:val="-4"/>
                <w:sz w:val="22"/>
              </w:rPr>
              <w:t>1634</w:t>
            </w:r>
          </w:p>
        </w:tc>
      </w:tr>
      <w:tr>
        <w:trPr>
          <w:trHeight w:val="1087" w:hRule="atLeast"/>
        </w:trPr>
        <w:tc>
          <w:tcPr>
            <w:tcW w:w="1312" w:type="dxa"/>
          </w:tcPr>
          <w:p>
            <w:pPr>
              <w:pStyle w:val="TableParagraph"/>
              <w:spacing w:before="184"/>
              <w:rPr>
                <w:b/>
                <w:sz w:val="22"/>
              </w:rPr>
            </w:pPr>
          </w:p>
          <w:p>
            <w:pPr>
              <w:pStyle w:val="TableParagraph"/>
              <w:ind w:left="439"/>
              <w:rPr>
                <w:sz w:val="22"/>
              </w:rPr>
            </w:pPr>
            <w:r>
              <w:rPr>
                <w:spacing w:val="-5"/>
                <w:sz w:val="22"/>
              </w:rPr>
              <w:t>123</w:t>
            </w:r>
          </w:p>
        </w:tc>
        <w:tc>
          <w:tcPr>
            <w:tcW w:w="1515" w:type="dxa"/>
          </w:tcPr>
          <w:p>
            <w:pPr>
              <w:pStyle w:val="TableParagraph"/>
              <w:spacing w:before="184"/>
              <w:rPr>
                <w:b/>
                <w:sz w:val="22"/>
              </w:rPr>
            </w:pPr>
          </w:p>
          <w:p>
            <w:pPr>
              <w:pStyle w:val="TableParagraph"/>
              <w:ind w:left="538"/>
              <w:rPr>
                <w:sz w:val="22"/>
              </w:rPr>
            </w:pPr>
            <w:r>
              <w:rPr>
                <w:spacing w:val="-5"/>
                <w:sz w:val="22"/>
              </w:rPr>
              <w:t>22</w:t>
            </w:r>
          </w:p>
        </w:tc>
        <w:tc>
          <w:tcPr>
            <w:tcW w:w="1593" w:type="dxa"/>
          </w:tcPr>
          <w:p>
            <w:pPr>
              <w:pStyle w:val="TableParagraph"/>
              <w:spacing w:before="184"/>
              <w:rPr>
                <w:b/>
                <w:sz w:val="22"/>
              </w:rPr>
            </w:pPr>
          </w:p>
          <w:p>
            <w:pPr>
              <w:pStyle w:val="TableParagraph"/>
              <w:ind w:left="99" w:right="1"/>
              <w:jc w:val="center"/>
              <w:rPr>
                <w:sz w:val="22"/>
              </w:rPr>
            </w:pPr>
            <w:r>
              <w:rPr>
                <w:spacing w:val="-10"/>
                <w:sz w:val="22"/>
              </w:rPr>
              <w:t>F</w:t>
            </w:r>
          </w:p>
        </w:tc>
        <w:tc>
          <w:tcPr>
            <w:tcW w:w="2537" w:type="dxa"/>
          </w:tcPr>
          <w:p>
            <w:pPr>
              <w:pStyle w:val="TableParagraph"/>
              <w:spacing w:before="184"/>
              <w:rPr>
                <w:b/>
                <w:sz w:val="22"/>
              </w:rPr>
            </w:pPr>
          </w:p>
          <w:p>
            <w:pPr>
              <w:pStyle w:val="TableParagraph"/>
              <w:ind w:left="111"/>
              <w:jc w:val="center"/>
              <w:rPr>
                <w:sz w:val="22"/>
              </w:rPr>
            </w:pPr>
            <w:r>
              <w:rPr>
                <w:sz w:val="22"/>
              </w:rPr>
              <w:t>THROAT</w:t>
            </w:r>
            <w:r>
              <w:rPr>
                <w:spacing w:val="-5"/>
                <w:sz w:val="22"/>
              </w:rPr>
              <w:t> </w:t>
            </w:r>
            <w:r>
              <w:rPr>
                <w:spacing w:val="-4"/>
                <w:sz w:val="22"/>
              </w:rPr>
              <w:t>SWAB</w:t>
            </w:r>
          </w:p>
        </w:tc>
        <w:tc>
          <w:tcPr>
            <w:tcW w:w="1891" w:type="dxa"/>
          </w:tcPr>
          <w:p>
            <w:pPr>
              <w:pStyle w:val="TableParagraph"/>
              <w:spacing w:before="184"/>
              <w:rPr>
                <w:b/>
                <w:sz w:val="22"/>
              </w:rPr>
            </w:pPr>
          </w:p>
          <w:p>
            <w:pPr>
              <w:pStyle w:val="TableParagraph"/>
              <w:ind w:right="687"/>
              <w:jc w:val="right"/>
              <w:rPr>
                <w:sz w:val="22"/>
              </w:rPr>
            </w:pPr>
            <w:r>
              <w:rPr>
                <w:sz w:val="22"/>
              </w:rPr>
              <w:t>TS</w:t>
            </w:r>
            <w:r>
              <w:rPr>
                <w:spacing w:val="-1"/>
                <w:sz w:val="22"/>
              </w:rPr>
              <w:t> </w:t>
            </w:r>
            <w:r>
              <w:rPr>
                <w:spacing w:val="-5"/>
                <w:sz w:val="22"/>
              </w:rPr>
              <w:t>328</w:t>
            </w:r>
          </w:p>
        </w:tc>
      </w:tr>
      <w:tr>
        <w:trPr>
          <w:trHeight w:val="960" w:hRule="atLeast"/>
        </w:trPr>
        <w:tc>
          <w:tcPr>
            <w:tcW w:w="1312" w:type="dxa"/>
          </w:tcPr>
          <w:p>
            <w:pPr>
              <w:pStyle w:val="TableParagraph"/>
              <w:spacing w:before="57"/>
              <w:rPr>
                <w:b/>
                <w:sz w:val="22"/>
              </w:rPr>
            </w:pPr>
          </w:p>
          <w:p>
            <w:pPr>
              <w:pStyle w:val="TableParagraph"/>
              <w:ind w:left="439"/>
              <w:rPr>
                <w:sz w:val="22"/>
              </w:rPr>
            </w:pPr>
            <w:r>
              <w:rPr>
                <w:spacing w:val="-5"/>
                <w:sz w:val="22"/>
              </w:rPr>
              <w:t>124</w:t>
            </w:r>
          </w:p>
        </w:tc>
        <w:tc>
          <w:tcPr>
            <w:tcW w:w="1515" w:type="dxa"/>
          </w:tcPr>
          <w:p>
            <w:pPr>
              <w:pStyle w:val="TableParagraph"/>
              <w:spacing w:before="57"/>
              <w:rPr>
                <w:b/>
                <w:sz w:val="22"/>
              </w:rPr>
            </w:pPr>
          </w:p>
          <w:p>
            <w:pPr>
              <w:pStyle w:val="TableParagraph"/>
              <w:ind w:left="538"/>
              <w:rPr>
                <w:sz w:val="22"/>
              </w:rPr>
            </w:pPr>
            <w:r>
              <w:rPr>
                <w:spacing w:val="-5"/>
                <w:sz w:val="22"/>
              </w:rPr>
              <w:t>30</w:t>
            </w:r>
          </w:p>
        </w:tc>
        <w:tc>
          <w:tcPr>
            <w:tcW w:w="1593" w:type="dxa"/>
          </w:tcPr>
          <w:p>
            <w:pPr>
              <w:pStyle w:val="TableParagraph"/>
              <w:spacing w:before="57"/>
              <w:rPr>
                <w:b/>
                <w:sz w:val="22"/>
              </w:rPr>
            </w:pPr>
          </w:p>
          <w:p>
            <w:pPr>
              <w:pStyle w:val="TableParagraph"/>
              <w:ind w:left="99" w:right="1"/>
              <w:jc w:val="center"/>
              <w:rPr>
                <w:sz w:val="22"/>
              </w:rPr>
            </w:pPr>
            <w:r>
              <w:rPr>
                <w:spacing w:val="-10"/>
                <w:sz w:val="22"/>
              </w:rPr>
              <w:t>F</w:t>
            </w:r>
          </w:p>
        </w:tc>
        <w:tc>
          <w:tcPr>
            <w:tcW w:w="2537" w:type="dxa"/>
          </w:tcPr>
          <w:p>
            <w:pPr>
              <w:pStyle w:val="TableParagraph"/>
              <w:spacing w:before="57"/>
              <w:rPr>
                <w:b/>
                <w:sz w:val="22"/>
              </w:rPr>
            </w:pPr>
          </w:p>
          <w:p>
            <w:pPr>
              <w:pStyle w:val="TableParagraph"/>
              <w:ind w:left="111" w:right="4"/>
              <w:jc w:val="center"/>
              <w:rPr>
                <w:sz w:val="22"/>
              </w:rPr>
            </w:pPr>
            <w:r>
              <w:rPr>
                <w:spacing w:val="-2"/>
                <w:sz w:val="22"/>
              </w:rPr>
              <w:t>SPUTUM</w:t>
            </w:r>
          </w:p>
        </w:tc>
        <w:tc>
          <w:tcPr>
            <w:tcW w:w="1891" w:type="dxa"/>
          </w:tcPr>
          <w:p>
            <w:pPr>
              <w:pStyle w:val="TableParagraph"/>
              <w:spacing w:before="57"/>
              <w:rPr>
                <w:b/>
                <w:sz w:val="22"/>
              </w:rPr>
            </w:pPr>
          </w:p>
          <w:p>
            <w:pPr>
              <w:pStyle w:val="TableParagraph"/>
              <w:ind w:right="630"/>
              <w:jc w:val="right"/>
              <w:rPr>
                <w:sz w:val="22"/>
              </w:rPr>
            </w:pPr>
            <w:r>
              <w:rPr>
                <w:sz w:val="22"/>
              </w:rPr>
              <w:t>SP</w:t>
            </w:r>
            <w:r>
              <w:rPr>
                <w:spacing w:val="1"/>
                <w:sz w:val="22"/>
              </w:rPr>
              <w:t> </w:t>
            </w:r>
            <w:r>
              <w:rPr>
                <w:spacing w:val="-4"/>
                <w:sz w:val="22"/>
              </w:rPr>
              <w:t>1278</w:t>
            </w:r>
          </w:p>
        </w:tc>
      </w:tr>
      <w:tr>
        <w:trPr>
          <w:trHeight w:val="1087" w:hRule="atLeast"/>
        </w:trPr>
        <w:tc>
          <w:tcPr>
            <w:tcW w:w="1312" w:type="dxa"/>
          </w:tcPr>
          <w:p>
            <w:pPr>
              <w:pStyle w:val="TableParagraph"/>
              <w:spacing w:before="57"/>
              <w:rPr>
                <w:b/>
                <w:sz w:val="22"/>
              </w:rPr>
            </w:pPr>
          </w:p>
          <w:p>
            <w:pPr>
              <w:pStyle w:val="TableParagraph"/>
              <w:ind w:left="439"/>
              <w:rPr>
                <w:sz w:val="22"/>
              </w:rPr>
            </w:pPr>
            <w:r>
              <w:rPr>
                <w:spacing w:val="-5"/>
                <w:sz w:val="22"/>
              </w:rPr>
              <w:t>125</w:t>
            </w:r>
          </w:p>
        </w:tc>
        <w:tc>
          <w:tcPr>
            <w:tcW w:w="1515" w:type="dxa"/>
          </w:tcPr>
          <w:p>
            <w:pPr>
              <w:pStyle w:val="TableParagraph"/>
              <w:spacing w:before="57"/>
              <w:rPr>
                <w:b/>
                <w:sz w:val="22"/>
              </w:rPr>
            </w:pPr>
          </w:p>
          <w:p>
            <w:pPr>
              <w:pStyle w:val="TableParagraph"/>
              <w:ind w:left="538"/>
              <w:rPr>
                <w:sz w:val="22"/>
              </w:rPr>
            </w:pPr>
            <w:r>
              <w:rPr>
                <w:spacing w:val="-5"/>
                <w:sz w:val="22"/>
              </w:rPr>
              <w:t>52</w:t>
            </w:r>
          </w:p>
        </w:tc>
        <w:tc>
          <w:tcPr>
            <w:tcW w:w="1593" w:type="dxa"/>
          </w:tcPr>
          <w:p>
            <w:pPr>
              <w:pStyle w:val="TableParagraph"/>
              <w:spacing w:before="57"/>
              <w:rPr>
                <w:b/>
                <w:sz w:val="22"/>
              </w:rPr>
            </w:pPr>
          </w:p>
          <w:p>
            <w:pPr>
              <w:pStyle w:val="TableParagraph"/>
              <w:ind w:left="99"/>
              <w:jc w:val="center"/>
              <w:rPr>
                <w:sz w:val="22"/>
              </w:rPr>
            </w:pPr>
            <w:r>
              <w:rPr>
                <w:spacing w:val="-10"/>
                <w:sz w:val="22"/>
              </w:rPr>
              <w:t>M</w:t>
            </w:r>
          </w:p>
        </w:tc>
        <w:tc>
          <w:tcPr>
            <w:tcW w:w="2537" w:type="dxa"/>
          </w:tcPr>
          <w:p>
            <w:pPr>
              <w:pStyle w:val="TableParagraph"/>
              <w:spacing w:before="57"/>
              <w:rPr>
                <w:b/>
                <w:sz w:val="22"/>
              </w:rPr>
            </w:pPr>
          </w:p>
          <w:p>
            <w:pPr>
              <w:pStyle w:val="TableParagraph"/>
              <w:ind w:left="111"/>
              <w:jc w:val="center"/>
              <w:rPr>
                <w:sz w:val="22"/>
              </w:rPr>
            </w:pPr>
            <w:r>
              <w:rPr>
                <w:sz w:val="22"/>
              </w:rPr>
              <w:t>THROAT</w:t>
            </w:r>
            <w:r>
              <w:rPr>
                <w:spacing w:val="-5"/>
                <w:sz w:val="22"/>
              </w:rPr>
              <w:t> </w:t>
            </w:r>
            <w:r>
              <w:rPr>
                <w:spacing w:val="-4"/>
                <w:sz w:val="22"/>
              </w:rPr>
              <w:t>SWAB</w:t>
            </w:r>
          </w:p>
        </w:tc>
        <w:tc>
          <w:tcPr>
            <w:tcW w:w="1891" w:type="dxa"/>
          </w:tcPr>
          <w:p>
            <w:pPr>
              <w:pStyle w:val="TableParagraph"/>
              <w:spacing w:before="57"/>
              <w:rPr>
                <w:b/>
                <w:sz w:val="22"/>
              </w:rPr>
            </w:pPr>
          </w:p>
          <w:p>
            <w:pPr>
              <w:pStyle w:val="TableParagraph"/>
              <w:ind w:right="632"/>
              <w:jc w:val="right"/>
              <w:rPr>
                <w:sz w:val="22"/>
              </w:rPr>
            </w:pPr>
            <w:r>
              <w:rPr>
                <w:sz w:val="22"/>
              </w:rPr>
              <w:t>TS</w:t>
            </w:r>
            <w:r>
              <w:rPr>
                <w:spacing w:val="-1"/>
                <w:sz w:val="22"/>
              </w:rPr>
              <w:t> </w:t>
            </w:r>
            <w:r>
              <w:rPr>
                <w:spacing w:val="-4"/>
                <w:sz w:val="22"/>
              </w:rPr>
              <w:t>1671</w:t>
            </w:r>
          </w:p>
        </w:tc>
      </w:tr>
      <w:tr>
        <w:trPr>
          <w:trHeight w:val="907" w:hRule="atLeast"/>
        </w:trPr>
        <w:tc>
          <w:tcPr>
            <w:tcW w:w="1312" w:type="dxa"/>
            <w:tcBorders>
              <w:bottom w:val="single" w:sz="4" w:space="0" w:color="000000"/>
            </w:tcBorders>
          </w:tcPr>
          <w:p>
            <w:pPr>
              <w:pStyle w:val="TableParagraph"/>
              <w:spacing w:before="184"/>
              <w:rPr>
                <w:b/>
                <w:sz w:val="22"/>
              </w:rPr>
            </w:pPr>
          </w:p>
          <w:p>
            <w:pPr>
              <w:pStyle w:val="TableParagraph"/>
              <w:ind w:left="439"/>
              <w:rPr>
                <w:sz w:val="22"/>
              </w:rPr>
            </w:pPr>
            <w:r>
              <w:rPr>
                <w:spacing w:val="-5"/>
                <w:sz w:val="22"/>
              </w:rPr>
              <w:t>126</w:t>
            </w:r>
          </w:p>
        </w:tc>
        <w:tc>
          <w:tcPr>
            <w:tcW w:w="1515" w:type="dxa"/>
            <w:tcBorders>
              <w:bottom w:val="single" w:sz="4" w:space="0" w:color="000000"/>
            </w:tcBorders>
          </w:tcPr>
          <w:p>
            <w:pPr>
              <w:pStyle w:val="TableParagraph"/>
              <w:spacing w:before="184"/>
              <w:rPr>
                <w:b/>
                <w:sz w:val="22"/>
              </w:rPr>
            </w:pPr>
          </w:p>
          <w:p>
            <w:pPr>
              <w:pStyle w:val="TableParagraph"/>
              <w:ind w:left="538"/>
              <w:rPr>
                <w:sz w:val="22"/>
              </w:rPr>
            </w:pPr>
            <w:r>
              <w:rPr>
                <w:spacing w:val="-5"/>
                <w:sz w:val="22"/>
              </w:rPr>
              <w:t>19</w:t>
            </w:r>
          </w:p>
        </w:tc>
        <w:tc>
          <w:tcPr>
            <w:tcW w:w="1593" w:type="dxa"/>
            <w:tcBorders>
              <w:bottom w:val="single" w:sz="4" w:space="0" w:color="000000"/>
            </w:tcBorders>
          </w:tcPr>
          <w:p>
            <w:pPr>
              <w:pStyle w:val="TableParagraph"/>
              <w:spacing w:before="184"/>
              <w:rPr>
                <w:b/>
                <w:sz w:val="22"/>
              </w:rPr>
            </w:pPr>
          </w:p>
          <w:p>
            <w:pPr>
              <w:pStyle w:val="TableParagraph"/>
              <w:ind w:left="99"/>
              <w:jc w:val="center"/>
              <w:rPr>
                <w:sz w:val="22"/>
              </w:rPr>
            </w:pPr>
            <w:r>
              <w:rPr>
                <w:spacing w:val="-10"/>
                <w:sz w:val="22"/>
              </w:rPr>
              <w:t>M</w:t>
            </w:r>
          </w:p>
        </w:tc>
        <w:tc>
          <w:tcPr>
            <w:tcW w:w="2537" w:type="dxa"/>
            <w:tcBorders>
              <w:bottom w:val="single" w:sz="4" w:space="0" w:color="000000"/>
            </w:tcBorders>
          </w:tcPr>
          <w:p>
            <w:pPr>
              <w:pStyle w:val="TableParagraph"/>
              <w:spacing w:before="184"/>
              <w:rPr>
                <w:b/>
                <w:sz w:val="22"/>
              </w:rPr>
            </w:pPr>
          </w:p>
          <w:p>
            <w:pPr>
              <w:pStyle w:val="TableParagraph"/>
              <w:ind w:left="111" w:right="4"/>
              <w:jc w:val="center"/>
              <w:rPr>
                <w:sz w:val="22"/>
              </w:rPr>
            </w:pPr>
            <w:r>
              <w:rPr>
                <w:spacing w:val="-2"/>
                <w:sz w:val="22"/>
              </w:rPr>
              <w:t>SPUTUM</w:t>
            </w:r>
          </w:p>
        </w:tc>
        <w:tc>
          <w:tcPr>
            <w:tcW w:w="1891" w:type="dxa"/>
            <w:tcBorders>
              <w:bottom w:val="single" w:sz="4" w:space="0" w:color="000000"/>
            </w:tcBorders>
          </w:tcPr>
          <w:p>
            <w:pPr>
              <w:pStyle w:val="TableParagraph"/>
              <w:spacing w:before="184"/>
              <w:rPr>
                <w:b/>
                <w:sz w:val="22"/>
              </w:rPr>
            </w:pPr>
          </w:p>
          <w:p>
            <w:pPr>
              <w:pStyle w:val="TableParagraph"/>
              <w:ind w:right="685"/>
              <w:jc w:val="right"/>
              <w:rPr>
                <w:sz w:val="22"/>
              </w:rPr>
            </w:pPr>
            <w:r>
              <w:rPr>
                <w:sz w:val="22"/>
              </w:rPr>
              <w:t>SP</w:t>
            </w:r>
            <w:r>
              <w:rPr>
                <w:spacing w:val="1"/>
                <w:sz w:val="22"/>
              </w:rPr>
              <w:t> </w:t>
            </w:r>
            <w:r>
              <w:rPr>
                <w:spacing w:val="-5"/>
                <w:sz w:val="22"/>
              </w:rPr>
              <w:t>285</w:t>
            </w:r>
          </w:p>
        </w:tc>
      </w:tr>
    </w:tbl>
    <w:p>
      <w:pPr>
        <w:pStyle w:val="BodyText"/>
        <w:spacing w:before="3"/>
        <w:ind w:left="380"/>
      </w:pPr>
      <w:r>
        <w:rPr>
          <w:b/>
        </w:rPr>
        <w:t>Key:</w:t>
      </w:r>
      <w:r>
        <w:rPr>
          <w:b/>
          <w:spacing w:val="-6"/>
        </w:rPr>
        <w:t> </w:t>
      </w:r>
      <w:r>
        <w:rPr/>
        <w:t>SP=Sputum,</w:t>
      </w:r>
      <w:r>
        <w:rPr>
          <w:spacing w:val="-6"/>
        </w:rPr>
        <w:t> </w:t>
      </w:r>
      <w:r>
        <w:rPr/>
        <w:t>TS=Throat</w:t>
      </w:r>
      <w:r>
        <w:rPr>
          <w:spacing w:val="-6"/>
        </w:rPr>
        <w:t> </w:t>
      </w:r>
      <w:r>
        <w:rPr/>
        <w:t>Swab,</w:t>
      </w:r>
      <w:r>
        <w:rPr>
          <w:spacing w:val="-6"/>
        </w:rPr>
        <w:t> </w:t>
      </w:r>
      <w:r>
        <w:rPr/>
        <w:t>F=Female,</w:t>
      </w:r>
      <w:r>
        <w:rPr>
          <w:spacing w:val="-7"/>
        </w:rPr>
        <w:t> </w:t>
      </w:r>
      <w:r>
        <w:rPr>
          <w:spacing w:val="-2"/>
        </w:rPr>
        <w:t>M=Male.</w:t>
      </w:r>
    </w:p>
    <w:p>
      <w:pPr>
        <w:spacing w:after="0"/>
        <w:sectPr>
          <w:pgSz w:w="11910" w:h="16840"/>
          <w:pgMar w:header="0" w:footer="1055" w:top="1920" w:bottom="1240" w:left="1060" w:right="4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3"/>
      </w:pPr>
    </w:p>
    <w:p>
      <w:pPr>
        <w:spacing w:before="0"/>
        <w:ind w:left="421" w:right="1019" w:firstLine="0"/>
        <w:jc w:val="center"/>
        <w:rPr>
          <w:b/>
          <w:sz w:val="22"/>
        </w:rPr>
      </w:pPr>
      <w:r>
        <w:rPr>
          <w:b/>
          <w:sz w:val="22"/>
        </w:rPr>
        <w:t>Appendix</w:t>
      </w:r>
      <w:r>
        <w:rPr>
          <w:b/>
          <w:spacing w:val="-4"/>
          <w:sz w:val="22"/>
        </w:rPr>
        <w:t> </w:t>
      </w:r>
      <w:r>
        <w:rPr>
          <w:b/>
          <w:sz w:val="22"/>
        </w:rPr>
        <w:t>VI:</w:t>
      </w:r>
      <w:r>
        <w:rPr>
          <w:b/>
          <w:spacing w:val="-4"/>
          <w:sz w:val="22"/>
        </w:rPr>
        <w:t> </w:t>
      </w:r>
      <w:r>
        <w:rPr>
          <w:b/>
          <w:sz w:val="22"/>
        </w:rPr>
        <w:t>Ethical</w:t>
      </w:r>
      <w:r>
        <w:rPr>
          <w:b/>
          <w:spacing w:val="-4"/>
          <w:sz w:val="22"/>
        </w:rPr>
        <w:t> </w:t>
      </w:r>
      <w:r>
        <w:rPr>
          <w:b/>
          <w:spacing w:val="-2"/>
          <w:sz w:val="22"/>
        </w:rPr>
        <w:t>clearance</w:t>
      </w:r>
    </w:p>
    <w:p>
      <w:pPr>
        <w:spacing w:after="0"/>
        <w:jc w:val="center"/>
        <w:rPr>
          <w:sz w:val="22"/>
        </w:rPr>
        <w:sectPr>
          <w:pgSz w:w="11910" w:h="16840"/>
          <w:pgMar w:header="0" w:footer="1055" w:top="1920" w:bottom="1240" w:left="1060" w:right="460"/>
        </w:sectPr>
      </w:pPr>
    </w:p>
    <w:p>
      <w:pPr>
        <w:pStyle w:val="BodyText"/>
        <w:ind w:left="410"/>
        <w:rPr>
          <w:sz w:val="20"/>
        </w:rPr>
      </w:pPr>
      <w:r>
        <w:rPr>
          <w:sz w:val="20"/>
        </w:rPr>
        <w:drawing>
          <wp:inline distT="0" distB="0" distL="0" distR="0">
            <wp:extent cx="5748089" cy="7458265"/>
            <wp:effectExtent l="0" t="0" r="0" b="0"/>
            <wp:docPr id="567" name="Image 567" descr="Ethical clearance"/>
            <wp:cNvGraphicFramePr>
              <a:graphicFrameLocks/>
            </wp:cNvGraphicFramePr>
            <a:graphic>
              <a:graphicData uri="http://schemas.openxmlformats.org/drawingml/2006/picture">
                <pic:pic>
                  <pic:nvPicPr>
                    <pic:cNvPr id="567" name="Image 567" descr="Ethical clearance"/>
                    <pic:cNvPicPr/>
                  </pic:nvPicPr>
                  <pic:blipFill>
                    <a:blip r:embed="rId396" cstate="print"/>
                    <a:stretch>
                      <a:fillRect/>
                    </a:stretch>
                  </pic:blipFill>
                  <pic:spPr>
                    <a:xfrm>
                      <a:off x="0" y="0"/>
                      <a:ext cx="5748089" cy="7458265"/>
                    </a:xfrm>
                    <a:prstGeom prst="rect">
                      <a:avLst/>
                    </a:prstGeom>
                  </pic:spPr>
                </pic:pic>
              </a:graphicData>
            </a:graphic>
          </wp:inline>
        </w:drawing>
      </w:r>
      <w:r>
        <w:rPr>
          <w:sz w:val="20"/>
        </w:rPr>
      </w:r>
    </w:p>
    <w:p>
      <w:pPr>
        <w:spacing w:after="0"/>
        <w:rPr>
          <w:sz w:val="20"/>
        </w:rPr>
        <w:sectPr>
          <w:pgSz w:w="11910" w:h="16840"/>
          <w:pgMar w:header="0" w:footer="1055" w:top="1420" w:bottom="1240" w:left="1060" w:right="460"/>
        </w:sectPr>
      </w:pPr>
    </w:p>
    <w:p>
      <w:pPr>
        <w:pStyle w:val="BodyText"/>
        <w:spacing w:before="4"/>
        <w:rPr>
          <w:b/>
          <w:sz w:val="16"/>
        </w:rPr>
      </w:pPr>
    </w:p>
    <w:sectPr>
      <w:pgSz w:w="11910" w:h="16840"/>
      <w:pgMar w:header="0" w:footer="1055" w:top="1920" w:bottom="1240" w:left="10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2703488">
              <wp:simplePos x="0" y="0"/>
              <wp:positionH relativeFrom="page">
                <wp:posOffset>3666109</wp:posOffset>
              </wp:positionH>
              <wp:positionV relativeFrom="page">
                <wp:posOffset>9882461</wp:posOffset>
              </wp:positionV>
              <wp:extent cx="24130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1300" cy="194310"/>
                      </a:xfrm>
                      <a:prstGeom prst="rect">
                        <a:avLst/>
                      </a:prstGeom>
                    </wps:spPr>
                    <wps:txbx>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8.670013pt;margin-top:778.146606pt;width:19pt;height:15.3pt;mso-position-horizontal-relative:page;mso-position-vertical-relative:page;z-index:-30612992" type="#_x0000_t202" id="docshape1"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2704000">
              <wp:simplePos x="0" y="0"/>
              <wp:positionH relativeFrom="page">
                <wp:posOffset>3628009</wp:posOffset>
              </wp:positionH>
              <wp:positionV relativeFrom="page">
                <wp:posOffset>9882461</wp:posOffset>
              </wp:positionV>
              <wp:extent cx="317500" cy="19431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317500" cy="194310"/>
                      </a:xfrm>
                      <a:prstGeom prst="rect">
                        <a:avLst/>
                      </a:prstGeom>
                    </wps:spPr>
                    <wps:txbx>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100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style="position:absolute;margin-left:285.670013pt;margin-top:778.146606pt;width:25pt;height:15.3pt;mso-position-horizontal-relative:page;mso-position-vertical-relative:page;z-index:-30612480" type="#_x0000_t202" id="docshape51"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100</w:t>
                    </w:r>
                    <w:r>
                      <w:rPr>
                        <w:rFonts w:ascii="Times New Roman"/>
                        <w:spacing w:val="-5"/>
                        <w:sz w:val="24"/>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5"/>
      <w:numFmt w:val="decimal"/>
      <w:lvlText w:val="%1.0"/>
      <w:lvlJc w:val="left"/>
      <w:pPr>
        <w:ind w:left="4701" w:hanging="4321"/>
        <w:jc w:val="left"/>
      </w:pPr>
      <w:rPr>
        <w:rFonts w:hint="default" w:ascii="Calibri" w:hAnsi="Calibri" w:eastAsia="Calibri" w:cs="Calibri"/>
        <w:b/>
        <w:bCs/>
        <w:i w:val="0"/>
        <w:iCs w:val="0"/>
        <w:spacing w:val="-2"/>
        <w:w w:val="100"/>
        <w:sz w:val="22"/>
        <w:szCs w:val="22"/>
        <w:lang w:val="en-US" w:eastAsia="en-US" w:bidi="ar-SA"/>
      </w:rPr>
    </w:lvl>
    <w:lvl w:ilvl="1">
      <w:start w:val="0"/>
      <w:numFmt w:val="bullet"/>
      <w:lvlText w:val="•"/>
      <w:lvlJc w:val="left"/>
      <w:pPr>
        <w:ind w:left="5268" w:hanging="4321"/>
      </w:pPr>
      <w:rPr>
        <w:rFonts w:hint="default"/>
        <w:lang w:val="en-US" w:eastAsia="en-US" w:bidi="ar-SA"/>
      </w:rPr>
    </w:lvl>
    <w:lvl w:ilvl="2">
      <w:start w:val="0"/>
      <w:numFmt w:val="bullet"/>
      <w:lvlText w:val="•"/>
      <w:lvlJc w:val="left"/>
      <w:pPr>
        <w:ind w:left="5837" w:hanging="4321"/>
      </w:pPr>
      <w:rPr>
        <w:rFonts w:hint="default"/>
        <w:lang w:val="en-US" w:eastAsia="en-US" w:bidi="ar-SA"/>
      </w:rPr>
    </w:lvl>
    <w:lvl w:ilvl="3">
      <w:start w:val="0"/>
      <w:numFmt w:val="bullet"/>
      <w:lvlText w:val="•"/>
      <w:lvlJc w:val="left"/>
      <w:pPr>
        <w:ind w:left="6405" w:hanging="4321"/>
      </w:pPr>
      <w:rPr>
        <w:rFonts w:hint="default"/>
        <w:lang w:val="en-US" w:eastAsia="en-US" w:bidi="ar-SA"/>
      </w:rPr>
    </w:lvl>
    <w:lvl w:ilvl="4">
      <w:start w:val="0"/>
      <w:numFmt w:val="bullet"/>
      <w:lvlText w:val="•"/>
      <w:lvlJc w:val="left"/>
      <w:pPr>
        <w:ind w:left="6974" w:hanging="4321"/>
      </w:pPr>
      <w:rPr>
        <w:rFonts w:hint="default"/>
        <w:lang w:val="en-US" w:eastAsia="en-US" w:bidi="ar-SA"/>
      </w:rPr>
    </w:lvl>
    <w:lvl w:ilvl="5">
      <w:start w:val="0"/>
      <w:numFmt w:val="bullet"/>
      <w:lvlText w:val="•"/>
      <w:lvlJc w:val="left"/>
      <w:pPr>
        <w:ind w:left="7543" w:hanging="4321"/>
      </w:pPr>
      <w:rPr>
        <w:rFonts w:hint="default"/>
        <w:lang w:val="en-US" w:eastAsia="en-US" w:bidi="ar-SA"/>
      </w:rPr>
    </w:lvl>
    <w:lvl w:ilvl="6">
      <w:start w:val="0"/>
      <w:numFmt w:val="bullet"/>
      <w:lvlText w:val="•"/>
      <w:lvlJc w:val="left"/>
      <w:pPr>
        <w:ind w:left="8111" w:hanging="4321"/>
      </w:pPr>
      <w:rPr>
        <w:rFonts w:hint="default"/>
        <w:lang w:val="en-US" w:eastAsia="en-US" w:bidi="ar-SA"/>
      </w:rPr>
    </w:lvl>
    <w:lvl w:ilvl="7">
      <w:start w:val="0"/>
      <w:numFmt w:val="bullet"/>
      <w:lvlText w:val="•"/>
      <w:lvlJc w:val="left"/>
      <w:pPr>
        <w:ind w:left="8680" w:hanging="4321"/>
      </w:pPr>
      <w:rPr>
        <w:rFonts w:hint="default"/>
        <w:lang w:val="en-US" w:eastAsia="en-US" w:bidi="ar-SA"/>
      </w:rPr>
    </w:lvl>
    <w:lvl w:ilvl="8">
      <w:start w:val="0"/>
      <w:numFmt w:val="bullet"/>
      <w:lvlText w:val="•"/>
      <w:lvlJc w:val="left"/>
      <w:pPr>
        <w:ind w:left="9249" w:hanging="4321"/>
      </w:pPr>
      <w:rPr>
        <w:rFonts w:hint="default"/>
        <w:lang w:val="en-US" w:eastAsia="en-US" w:bidi="ar-SA"/>
      </w:rPr>
    </w:lvl>
  </w:abstractNum>
  <w:abstractNum w:abstractNumId="3">
    <w:multiLevelType w:val="hybridMultilevel"/>
    <w:lvl w:ilvl="0">
      <w:start w:val="4"/>
      <w:numFmt w:val="decimal"/>
      <w:lvlText w:val="%1"/>
      <w:lvlJc w:val="left"/>
      <w:pPr>
        <w:ind w:left="4531" w:hanging="4151"/>
        <w:jc w:val="left"/>
      </w:pPr>
      <w:rPr>
        <w:rFonts w:hint="default"/>
        <w:lang w:val="en-US" w:eastAsia="en-US" w:bidi="ar-SA"/>
      </w:rPr>
    </w:lvl>
    <w:lvl w:ilvl="1">
      <w:start w:val="0"/>
      <w:numFmt w:val="decimal"/>
      <w:lvlText w:val="%1.%2"/>
      <w:lvlJc w:val="left"/>
      <w:pPr>
        <w:ind w:left="4531" w:hanging="4151"/>
        <w:jc w:val="left"/>
      </w:pPr>
      <w:rPr>
        <w:rFonts w:hint="default" w:ascii="Calibri" w:hAnsi="Calibri" w:eastAsia="Calibri" w:cs="Calibri"/>
        <w:b/>
        <w:bCs/>
        <w:i w:val="0"/>
        <w:iCs w:val="0"/>
        <w:spacing w:val="-2"/>
        <w:w w:val="100"/>
        <w:sz w:val="22"/>
        <w:szCs w:val="22"/>
        <w:lang w:val="en-US" w:eastAsia="en-US" w:bidi="ar-SA"/>
      </w:rPr>
    </w:lvl>
    <w:lvl w:ilvl="2">
      <w:start w:val="1"/>
      <w:numFmt w:val="decimal"/>
      <w:lvlText w:val="%1.%2.%3"/>
      <w:lvlJc w:val="left"/>
      <w:pPr>
        <w:ind w:left="1100" w:hanging="720"/>
        <w:jc w:val="left"/>
      </w:pPr>
      <w:rPr>
        <w:rFonts w:hint="default" w:ascii="Calibri" w:hAnsi="Calibri" w:eastAsia="Calibri" w:cs="Calibri"/>
        <w:b/>
        <w:bCs/>
        <w:i w:val="0"/>
        <w:iCs w:val="0"/>
        <w:spacing w:val="-2"/>
        <w:w w:val="100"/>
        <w:sz w:val="22"/>
        <w:szCs w:val="22"/>
        <w:lang w:val="en-US" w:eastAsia="en-US" w:bidi="ar-SA"/>
      </w:rPr>
    </w:lvl>
    <w:lvl w:ilvl="3">
      <w:start w:val="0"/>
      <w:numFmt w:val="bullet"/>
      <w:lvlText w:val="•"/>
      <w:lvlJc w:val="left"/>
      <w:pPr>
        <w:ind w:left="5839" w:hanging="720"/>
      </w:pPr>
      <w:rPr>
        <w:rFonts w:hint="default"/>
        <w:lang w:val="en-US" w:eastAsia="en-US" w:bidi="ar-SA"/>
      </w:rPr>
    </w:lvl>
    <w:lvl w:ilvl="4">
      <w:start w:val="0"/>
      <w:numFmt w:val="bullet"/>
      <w:lvlText w:val="•"/>
      <w:lvlJc w:val="left"/>
      <w:pPr>
        <w:ind w:left="6488" w:hanging="720"/>
      </w:pPr>
      <w:rPr>
        <w:rFonts w:hint="default"/>
        <w:lang w:val="en-US" w:eastAsia="en-US" w:bidi="ar-SA"/>
      </w:rPr>
    </w:lvl>
    <w:lvl w:ilvl="5">
      <w:start w:val="0"/>
      <w:numFmt w:val="bullet"/>
      <w:lvlText w:val="•"/>
      <w:lvlJc w:val="left"/>
      <w:pPr>
        <w:ind w:left="7138" w:hanging="720"/>
      </w:pPr>
      <w:rPr>
        <w:rFonts w:hint="default"/>
        <w:lang w:val="en-US" w:eastAsia="en-US" w:bidi="ar-SA"/>
      </w:rPr>
    </w:lvl>
    <w:lvl w:ilvl="6">
      <w:start w:val="0"/>
      <w:numFmt w:val="bullet"/>
      <w:lvlText w:val="•"/>
      <w:lvlJc w:val="left"/>
      <w:pPr>
        <w:ind w:left="7788" w:hanging="720"/>
      </w:pPr>
      <w:rPr>
        <w:rFonts w:hint="default"/>
        <w:lang w:val="en-US" w:eastAsia="en-US" w:bidi="ar-SA"/>
      </w:rPr>
    </w:lvl>
    <w:lvl w:ilvl="7">
      <w:start w:val="0"/>
      <w:numFmt w:val="bullet"/>
      <w:lvlText w:val="•"/>
      <w:lvlJc w:val="left"/>
      <w:pPr>
        <w:ind w:left="8437" w:hanging="720"/>
      </w:pPr>
      <w:rPr>
        <w:rFonts w:hint="default"/>
        <w:lang w:val="en-US" w:eastAsia="en-US" w:bidi="ar-SA"/>
      </w:rPr>
    </w:lvl>
    <w:lvl w:ilvl="8">
      <w:start w:val="0"/>
      <w:numFmt w:val="bullet"/>
      <w:lvlText w:val="•"/>
      <w:lvlJc w:val="left"/>
      <w:pPr>
        <w:ind w:left="9087" w:hanging="720"/>
      </w:pPr>
      <w:rPr>
        <w:rFonts w:hint="default"/>
        <w:lang w:val="en-US" w:eastAsia="en-US" w:bidi="ar-SA"/>
      </w:rPr>
    </w:lvl>
  </w:abstractNum>
  <w:abstractNum w:abstractNumId="2">
    <w:multiLevelType w:val="hybridMultilevel"/>
    <w:lvl w:ilvl="0">
      <w:start w:val="1"/>
      <w:numFmt w:val="decimal"/>
      <w:lvlText w:val="%1."/>
      <w:lvlJc w:val="left"/>
      <w:pPr>
        <w:ind w:left="1196" w:hanging="219"/>
        <w:jc w:val="right"/>
      </w:pPr>
      <w:rPr>
        <w:rFonts w:hint="default" w:ascii="Calibri" w:hAnsi="Calibri" w:eastAsia="Calibri" w:cs="Calibri"/>
        <w:b w:val="0"/>
        <w:bCs w:val="0"/>
        <w:i w:val="0"/>
        <w:iCs w:val="0"/>
        <w:spacing w:val="0"/>
        <w:w w:val="100"/>
        <w:sz w:val="22"/>
        <w:szCs w:val="22"/>
        <w:lang w:val="en-US" w:eastAsia="en-US" w:bidi="ar-SA"/>
      </w:rPr>
    </w:lvl>
    <w:lvl w:ilvl="1">
      <w:start w:val="1"/>
      <w:numFmt w:val="lowerRoman"/>
      <w:lvlText w:val="(%2)"/>
      <w:lvlJc w:val="left"/>
      <w:pPr>
        <w:ind w:left="1212" w:hanging="235"/>
        <w:jc w:val="left"/>
      </w:pPr>
      <w:rPr>
        <w:rFonts w:hint="default" w:ascii="Calibri" w:hAnsi="Calibri" w:eastAsia="Calibri" w:cs="Calibri"/>
        <w:b w:val="0"/>
        <w:bCs w:val="0"/>
        <w:i w:val="0"/>
        <w:iCs w:val="0"/>
        <w:spacing w:val="-1"/>
        <w:w w:val="100"/>
        <w:sz w:val="22"/>
        <w:szCs w:val="22"/>
        <w:lang w:val="en-US" w:eastAsia="en-US" w:bidi="ar-SA"/>
      </w:rPr>
    </w:lvl>
    <w:lvl w:ilvl="2">
      <w:start w:val="0"/>
      <w:numFmt w:val="bullet"/>
      <w:lvlText w:val="•"/>
      <w:lvlJc w:val="left"/>
      <w:pPr>
        <w:ind w:left="2238" w:hanging="235"/>
      </w:pPr>
      <w:rPr>
        <w:rFonts w:hint="default"/>
        <w:lang w:val="en-US" w:eastAsia="en-US" w:bidi="ar-SA"/>
      </w:rPr>
    </w:lvl>
    <w:lvl w:ilvl="3">
      <w:start w:val="0"/>
      <w:numFmt w:val="bullet"/>
      <w:lvlText w:val="•"/>
      <w:lvlJc w:val="left"/>
      <w:pPr>
        <w:ind w:left="3256" w:hanging="235"/>
      </w:pPr>
      <w:rPr>
        <w:rFonts w:hint="default"/>
        <w:lang w:val="en-US" w:eastAsia="en-US" w:bidi="ar-SA"/>
      </w:rPr>
    </w:lvl>
    <w:lvl w:ilvl="4">
      <w:start w:val="0"/>
      <w:numFmt w:val="bullet"/>
      <w:lvlText w:val="•"/>
      <w:lvlJc w:val="left"/>
      <w:pPr>
        <w:ind w:left="4275" w:hanging="235"/>
      </w:pPr>
      <w:rPr>
        <w:rFonts w:hint="default"/>
        <w:lang w:val="en-US" w:eastAsia="en-US" w:bidi="ar-SA"/>
      </w:rPr>
    </w:lvl>
    <w:lvl w:ilvl="5">
      <w:start w:val="0"/>
      <w:numFmt w:val="bullet"/>
      <w:lvlText w:val="•"/>
      <w:lvlJc w:val="left"/>
      <w:pPr>
        <w:ind w:left="5293" w:hanging="235"/>
      </w:pPr>
      <w:rPr>
        <w:rFonts w:hint="default"/>
        <w:lang w:val="en-US" w:eastAsia="en-US" w:bidi="ar-SA"/>
      </w:rPr>
    </w:lvl>
    <w:lvl w:ilvl="6">
      <w:start w:val="0"/>
      <w:numFmt w:val="bullet"/>
      <w:lvlText w:val="•"/>
      <w:lvlJc w:val="left"/>
      <w:pPr>
        <w:ind w:left="6312" w:hanging="235"/>
      </w:pPr>
      <w:rPr>
        <w:rFonts w:hint="default"/>
        <w:lang w:val="en-US" w:eastAsia="en-US" w:bidi="ar-SA"/>
      </w:rPr>
    </w:lvl>
    <w:lvl w:ilvl="7">
      <w:start w:val="0"/>
      <w:numFmt w:val="bullet"/>
      <w:lvlText w:val="•"/>
      <w:lvlJc w:val="left"/>
      <w:pPr>
        <w:ind w:left="7330" w:hanging="235"/>
      </w:pPr>
      <w:rPr>
        <w:rFonts w:hint="default"/>
        <w:lang w:val="en-US" w:eastAsia="en-US" w:bidi="ar-SA"/>
      </w:rPr>
    </w:lvl>
    <w:lvl w:ilvl="8">
      <w:start w:val="0"/>
      <w:numFmt w:val="bullet"/>
      <w:lvlText w:val="•"/>
      <w:lvlJc w:val="left"/>
      <w:pPr>
        <w:ind w:left="8349" w:hanging="235"/>
      </w:pPr>
      <w:rPr>
        <w:rFonts w:hint="default"/>
        <w:lang w:val="en-US" w:eastAsia="en-US" w:bidi="ar-SA"/>
      </w:rPr>
    </w:lvl>
  </w:abstractNum>
  <w:abstractNum w:abstractNumId="1">
    <w:multiLevelType w:val="hybridMultilevel"/>
    <w:lvl w:ilvl="0">
      <w:start w:val="3"/>
      <w:numFmt w:val="decimal"/>
      <w:lvlText w:val="%1"/>
      <w:lvlJc w:val="left"/>
      <w:pPr>
        <w:ind w:left="3981" w:hanging="3601"/>
        <w:jc w:val="left"/>
      </w:pPr>
      <w:rPr>
        <w:rFonts w:hint="default"/>
        <w:lang w:val="en-US" w:eastAsia="en-US" w:bidi="ar-SA"/>
      </w:rPr>
    </w:lvl>
    <w:lvl w:ilvl="1">
      <w:start w:val="0"/>
      <w:numFmt w:val="decimal"/>
      <w:lvlText w:val="%1.%2"/>
      <w:lvlJc w:val="left"/>
      <w:pPr>
        <w:ind w:left="3981" w:hanging="3601"/>
        <w:jc w:val="left"/>
      </w:pPr>
      <w:rPr>
        <w:rFonts w:hint="default"/>
        <w:spacing w:val="-2"/>
        <w:w w:val="100"/>
        <w:lang w:val="en-US" w:eastAsia="en-US" w:bidi="ar-SA"/>
      </w:rPr>
    </w:lvl>
    <w:lvl w:ilvl="2">
      <w:start w:val="1"/>
      <w:numFmt w:val="decimal"/>
      <w:lvlText w:val="%1.%2.%3"/>
      <w:lvlJc w:val="left"/>
      <w:pPr>
        <w:ind w:left="1100" w:hanging="720"/>
        <w:jc w:val="left"/>
      </w:pPr>
      <w:rPr>
        <w:rFonts w:hint="default"/>
        <w:spacing w:val="-2"/>
        <w:w w:val="100"/>
        <w:lang w:val="en-US" w:eastAsia="en-US" w:bidi="ar-SA"/>
      </w:rPr>
    </w:lvl>
    <w:lvl w:ilvl="3">
      <w:start w:val="1"/>
      <w:numFmt w:val="decimal"/>
      <w:lvlText w:val="%1.%2.%3.%4"/>
      <w:lvlJc w:val="left"/>
      <w:pPr>
        <w:ind w:left="1042" w:hanging="663"/>
        <w:jc w:val="left"/>
      </w:pPr>
      <w:rPr>
        <w:rFonts w:hint="default" w:ascii="Calibri" w:hAnsi="Calibri" w:eastAsia="Calibri" w:cs="Calibri"/>
        <w:b w:val="0"/>
        <w:bCs w:val="0"/>
        <w:i/>
        <w:iCs/>
        <w:spacing w:val="-3"/>
        <w:w w:val="100"/>
        <w:sz w:val="22"/>
        <w:szCs w:val="22"/>
        <w:lang w:val="en-US" w:eastAsia="en-US" w:bidi="ar-SA"/>
      </w:rPr>
    </w:lvl>
    <w:lvl w:ilvl="4">
      <w:start w:val="1"/>
      <w:numFmt w:val="decimal"/>
      <w:lvlText w:val="%5."/>
      <w:lvlJc w:val="left"/>
      <w:pPr>
        <w:ind w:left="1294" w:hanging="317"/>
        <w:jc w:val="right"/>
      </w:pPr>
      <w:rPr>
        <w:rFonts w:hint="default" w:ascii="Calibri" w:hAnsi="Calibri" w:eastAsia="Calibri" w:cs="Calibri"/>
        <w:b w:val="0"/>
        <w:bCs w:val="0"/>
        <w:i w:val="0"/>
        <w:iCs w:val="0"/>
        <w:spacing w:val="0"/>
        <w:w w:val="100"/>
        <w:sz w:val="22"/>
        <w:szCs w:val="22"/>
        <w:lang w:val="en-US" w:eastAsia="en-US" w:bidi="ar-SA"/>
      </w:rPr>
    </w:lvl>
    <w:lvl w:ilvl="5">
      <w:start w:val="0"/>
      <w:numFmt w:val="bullet"/>
      <w:lvlText w:val="•"/>
      <w:lvlJc w:val="left"/>
      <w:pPr>
        <w:ind w:left="3980" w:hanging="317"/>
      </w:pPr>
      <w:rPr>
        <w:rFonts w:hint="default"/>
        <w:lang w:val="en-US" w:eastAsia="en-US" w:bidi="ar-SA"/>
      </w:rPr>
    </w:lvl>
    <w:lvl w:ilvl="6">
      <w:start w:val="0"/>
      <w:numFmt w:val="bullet"/>
      <w:lvlText w:val="•"/>
      <w:lvlJc w:val="left"/>
      <w:pPr>
        <w:ind w:left="5261" w:hanging="317"/>
      </w:pPr>
      <w:rPr>
        <w:rFonts w:hint="default"/>
        <w:lang w:val="en-US" w:eastAsia="en-US" w:bidi="ar-SA"/>
      </w:rPr>
    </w:lvl>
    <w:lvl w:ilvl="7">
      <w:start w:val="0"/>
      <w:numFmt w:val="bullet"/>
      <w:lvlText w:val="•"/>
      <w:lvlJc w:val="left"/>
      <w:pPr>
        <w:ind w:left="6542" w:hanging="317"/>
      </w:pPr>
      <w:rPr>
        <w:rFonts w:hint="default"/>
        <w:lang w:val="en-US" w:eastAsia="en-US" w:bidi="ar-SA"/>
      </w:rPr>
    </w:lvl>
    <w:lvl w:ilvl="8">
      <w:start w:val="0"/>
      <w:numFmt w:val="bullet"/>
      <w:lvlText w:val="•"/>
      <w:lvlJc w:val="left"/>
      <w:pPr>
        <w:ind w:left="7823" w:hanging="317"/>
      </w:pPr>
      <w:rPr>
        <w:rFonts w:hint="default"/>
        <w:lang w:val="en-US" w:eastAsia="en-US" w:bidi="ar-SA"/>
      </w:rPr>
    </w:lvl>
  </w:abstractNum>
  <w:abstractNum w:abstractNumId="0">
    <w:multiLevelType w:val="hybridMultilevel"/>
    <w:lvl w:ilvl="0">
      <w:start w:val="2"/>
      <w:numFmt w:val="decimal"/>
      <w:lvlText w:val="%1"/>
      <w:lvlJc w:val="left"/>
      <w:pPr>
        <w:ind w:left="4132" w:hanging="3752"/>
        <w:jc w:val="left"/>
      </w:pPr>
      <w:rPr>
        <w:rFonts w:hint="default"/>
        <w:lang w:val="en-US" w:eastAsia="en-US" w:bidi="ar-SA"/>
      </w:rPr>
    </w:lvl>
    <w:lvl w:ilvl="1">
      <w:start w:val="0"/>
      <w:numFmt w:val="decimal"/>
      <w:lvlText w:val="%1.%2"/>
      <w:lvlJc w:val="left"/>
      <w:pPr>
        <w:ind w:left="4132" w:hanging="3752"/>
        <w:jc w:val="right"/>
      </w:pPr>
      <w:rPr>
        <w:rFonts w:hint="default" w:ascii="Calibri" w:hAnsi="Calibri" w:eastAsia="Calibri" w:cs="Calibri"/>
        <w:b/>
        <w:bCs/>
        <w:i w:val="0"/>
        <w:iCs w:val="0"/>
        <w:spacing w:val="-2"/>
        <w:w w:val="100"/>
        <w:sz w:val="22"/>
        <w:szCs w:val="22"/>
        <w:lang w:val="en-US" w:eastAsia="en-US" w:bidi="ar-SA"/>
      </w:rPr>
    </w:lvl>
    <w:lvl w:ilvl="2">
      <w:start w:val="1"/>
      <w:numFmt w:val="decimal"/>
      <w:lvlText w:val="%1.%2.%3"/>
      <w:lvlJc w:val="left"/>
      <w:pPr>
        <w:ind w:left="1100" w:hanging="720"/>
        <w:jc w:val="left"/>
      </w:pPr>
      <w:rPr>
        <w:rFonts w:hint="default" w:ascii="Calibri" w:hAnsi="Calibri" w:eastAsia="Calibri" w:cs="Calibri"/>
        <w:b/>
        <w:bCs/>
        <w:i w:val="0"/>
        <w:iCs w:val="0"/>
        <w:spacing w:val="-2"/>
        <w:w w:val="100"/>
        <w:sz w:val="22"/>
        <w:szCs w:val="22"/>
        <w:lang w:val="en-US" w:eastAsia="en-US" w:bidi="ar-SA"/>
      </w:rPr>
    </w:lvl>
    <w:lvl w:ilvl="3">
      <w:start w:val="1"/>
      <w:numFmt w:val="decimal"/>
      <w:lvlText w:val="%1.%2.%3.%4"/>
      <w:lvlJc w:val="left"/>
      <w:pPr>
        <w:ind w:left="1100" w:hanging="720"/>
        <w:jc w:val="left"/>
      </w:pPr>
      <w:rPr>
        <w:rFonts w:hint="default" w:ascii="Calibri" w:hAnsi="Calibri" w:eastAsia="Calibri" w:cs="Calibri"/>
        <w:b w:val="0"/>
        <w:bCs w:val="0"/>
        <w:i/>
        <w:iCs/>
        <w:spacing w:val="-3"/>
        <w:w w:val="100"/>
        <w:sz w:val="22"/>
        <w:szCs w:val="22"/>
        <w:lang w:val="en-US" w:eastAsia="en-US" w:bidi="ar-SA"/>
      </w:rPr>
    </w:lvl>
    <w:lvl w:ilvl="4">
      <w:start w:val="0"/>
      <w:numFmt w:val="bullet"/>
      <w:lvlText w:val="•"/>
      <w:lvlJc w:val="left"/>
      <w:pPr>
        <w:ind w:left="6222" w:hanging="720"/>
      </w:pPr>
      <w:rPr>
        <w:rFonts w:hint="default"/>
        <w:lang w:val="en-US" w:eastAsia="en-US" w:bidi="ar-SA"/>
      </w:rPr>
    </w:lvl>
    <w:lvl w:ilvl="5">
      <w:start w:val="0"/>
      <w:numFmt w:val="bullet"/>
      <w:lvlText w:val="•"/>
      <w:lvlJc w:val="left"/>
      <w:pPr>
        <w:ind w:left="6916" w:hanging="720"/>
      </w:pPr>
      <w:rPr>
        <w:rFonts w:hint="default"/>
        <w:lang w:val="en-US" w:eastAsia="en-US" w:bidi="ar-SA"/>
      </w:rPr>
    </w:lvl>
    <w:lvl w:ilvl="6">
      <w:start w:val="0"/>
      <w:numFmt w:val="bullet"/>
      <w:lvlText w:val="•"/>
      <w:lvlJc w:val="left"/>
      <w:pPr>
        <w:ind w:left="7610" w:hanging="720"/>
      </w:pPr>
      <w:rPr>
        <w:rFonts w:hint="default"/>
        <w:lang w:val="en-US" w:eastAsia="en-US" w:bidi="ar-SA"/>
      </w:rPr>
    </w:lvl>
    <w:lvl w:ilvl="7">
      <w:start w:val="0"/>
      <w:numFmt w:val="bullet"/>
      <w:lvlText w:val="•"/>
      <w:lvlJc w:val="left"/>
      <w:pPr>
        <w:ind w:left="8304" w:hanging="720"/>
      </w:pPr>
      <w:rPr>
        <w:rFonts w:hint="default"/>
        <w:lang w:val="en-US" w:eastAsia="en-US" w:bidi="ar-SA"/>
      </w:rPr>
    </w:lvl>
    <w:lvl w:ilvl="8">
      <w:start w:val="0"/>
      <w:numFmt w:val="bullet"/>
      <w:lvlText w:val="•"/>
      <w:lvlJc w:val="left"/>
      <w:pPr>
        <w:ind w:left="8998" w:hanging="720"/>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10"/>
      <w:ind w:left="20"/>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24"/>
      <w:outlineLvl w:val="2"/>
    </w:pPr>
    <w:rPr>
      <w:rFonts w:ascii="Calibri" w:hAnsi="Calibri" w:eastAsia="Calibri" w:cs="Calibri"/>
      <w:b/>
      <w:bCs/>
      <w:sz w:val="22"/>
      <w:szCs w:val="22"/>
      <w:lang w:val="en-US" w:eastAsia="en-US" w:bidi="ar-SA"/>
    </w:rPr>
  </w:style>
  <w:style w:styleId="Heading3" w:type="paragraph">
    <w:name w:val="Heading 3"/>
    <w:basedOn w:val="Normal"/>
    <w:uiPriority w:val="1"/>
    <w:qFormat/>
    <w:pPr>
      <w:ind w:left="1100"/>
      <w:outlineLvl w:val="3"/>
    </w:pPr>
    <w:rPr>
      <w:rFonts w:ascii="Calibri" w:hAnsi="Calibri" w:eastAsia="Calibri" w:cs="Calibri"/>
      <w:b/>
      <w:bCs/>
      <w:sz w:val="22"/>
      <w:szCs w:val="22"/>
      <w:lang w:val="en-US" w:eastAsia="en-US" w:bidi="ar-SA"/>
    </w:rPr>
  </w:style>
  <w:style w:styleId="Heading4" w:type="paragraph">
    <w:name w:val="Heading 4"/>
    <w:basedOn w:val="Normal"/>
    <w:uiPriority w:val="1"/>
    <w:qFormat/>
    <w:pPr>
      <w:ind w:left="1100" w:hanging="720"/>
      <w:outlineLvl w:val="4"/>
    </w:pPr>
    <w:rPr>
      <w:rFonts w:ascii="Calibri" w:hAnsi="Calibri" w:eastAsia="Calibri" w:cs="Calibri"/>
      <w:b/>
      <w:bCs/>
      <w:i/>
      <w:iCs/>
      <w:sz w:val="22"/>
      <w:szCs w:val="22"/>
      <w:lang w:val="en-US" w:eastAsia="en-US" w:bidi="ar-SA"/>
    </w:rPr>
  </w:style>
  <w:style w:styleId="ListParagraph" w:type="paragraph">
    <w:name w:val="List Paragraph"/>
    <w:basedOn w:val="Normal"/>
    <w:uiPriority w:val="1"/>
    <w:qFormat/>
    <w:pPr>
      <w:ind w:left="1100" w:hanging="720"/>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en.wikipedia.org/wiki/Apis_andreniformis" TargetMode="External"/><Relationship Id="rId7" Type="http://schemas.openxmlformats.org/officeDocument/2006/relationships/hyperlink" Target="http://en.wikipedia.org/wiki/Apis_florea" TargetMode="External"/><Relationship Id="rId8" Type="http://schemas.openxmlformats.org/officeDocument/2006/relationships/hyperlink" Target="http://en.wikipedia.org/wiki/Apis_dorsata" TargetMode="External"/><Relationship Id="rId9" Type="http://schemas.openxmlformats.org/officeDocument/2006/relationships/hyperlink" Target="http://en.wikipedia.org/wiki/Apis_cerana" TargetMode="External"/><Relationship Id="rId10" Type="http://schemas.openxmlformats.org/officeDocument/2006/relationships/hyperlink" Target="http://en.wikipedia.org/wiki/Apis_koschevnikovi" TargetMode="External"/><Relationship Id="rId11" Type="http://schemas.openxmlformats.org/officeDocument/2006/relationships/hyperlink" Target="http://en.wikipedia.org/wiki/Apis_mellifera" TargetMode="External"/><Relationship Id="rId12" Type="http://schemas.openxmlformats.org/officeDocument/2006/relationships/hyperlink" Target="http://en.wikipedia.org/wiki/Apis_nigrocincta" TargetMode="Externa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hyperlink" Target="http://en.wikipedia.org/wiki/Anatomy" TargetMode="External"/><Relationship Id="rId16" Type="http://schemas.openxmlformats.org/officeDocument/2006/relationships/hyperlink" Target="http://en.wikipedia.org/wiki/Respiration_%28physiology%29" TargetMode="External"/><Relationship Id="rId17" Type="http://schemas.openxmlformats.org/officeDocument/2006/relationships/hyperlink" Target="http://en.wikipedia.org/wiki/Upper_respiratory_tract" TargetMode="External"/><Relationship Id="rId18" Type="http://schemas.openxmlformats.org/officeDocument/2006/relationships/hyperlink" Target="http://en.wikipedia.org/wiki/Glottis" TargetMode="External"/><Relationship Id="rId19" Type="http://schemas.openxmlformats.org/officeDocument/2006/relationships/hyperlink" Target="http://en.wikipedia.org/wiki/Nose" TargetMode="External"/><Relationship Id="rId20" Type="http://schemas.openxmlformats.org/officeDocument/2006/relationships/hyperlink" Target="http://en.wikipedia.org/wiki/Paranasal_sinuses" TargetMode="External"/><Relationship Id="rId21" Type="http://schemas.openxmlformats.org/officeDocument/2006/relationships/hyperlink" Target="http://en.wikipedia.org/wiki/Pharynx" TargetMode="External"/><Relationship Id="rId22" Type="http://schemas.openxmlformats.org/officeDocument/2006/relationships/hyperlink" Target="http://en.wikipedia.org/wiki/Larynx" TargetMode="External"/><Relationship Id="rId23" Type="http://schemas.openxmlformats.org/officeDocument/2006/relationships/hyperlink" Target="http://en.wikipedia.org/wiki/Bronchial_tube" TargetMode="External"/><Relationship Id="rId24" Type="http://schemas.openxmlformats.org/officeDocument/2006/relationships/hyperlink" Target="http://en.wikipedia.org/wiki/Bronchiole" TargetMode="External"/><Relationship Id="rId25" Type="http://schemas.openxmlformats.org/officeDocument/2006/relationships/hyperlink" Target="http://en.wikipedia.org/wiki/Lung" TargetMode="External"/><Relationship Id="rId26" Type="http://schemas.openxmlformats.org/officeDocument/2006/relationships/image" Target="media/image3.png"/><Relationship Id="rId27" Type="http://schemas.openxmlformats.org/officeDocument/2006/relationships/hyperlink" Target="http://en.wikipedia.org/wiki/Research_and_development" TargetMode="External"/><Relationship Id="rId28" Type="http://schemas.openxmlformats.org/officeDocument/2006/relationships/hyperlink" Target="http://en.wikipedia.org/wiki/Mexico" TargetMode="External"/><Relationship Id="rId29" Type="http://schemas.openxmlformats.org/officeDocument/2006/relationships/hyperlink" Target="http://en.wikipedia.org/wiki/Yucat%C3%A1n_Peninsula" TargetMode="External"/><Relationship Id="rId30" Type="http://schemas.openxmlformats.org/officeDocument/2006/relationships/hyperlink" Target="http://www.fao.org/docrep/w0076e/w0076e00.htm#con" TargetMode="External"/><Relationship Id="rId31" Type="http://schemas.openxmlformats.org/officeDocument/2006/relationships/hyperlink" Target="http://en.wikipedia.org/wiki/Supersaturation" TargetMode="External"/><Relationship Id="rId32" Type="http://schemas.openxmlformats.org/officeDocument/2006/relationships/hyperlink" Target="http://en.wikipedia.org/wiki/Supercooling" TargetMode="External"/><Relationship Id="rId33" Type="http://schemas.openxmlformats.org/officeDocument/2006/relationships/hyperlink" Target="http://en.wikipedia.org/wiki/Glucose" TargetMode="External"/><Relationship Id="rId34" Type="http://schemas.openxmlformats.org/officeDocument/2006/relationships/hyperlink" Target="http://en.wikipedia.org/wiki/Precipitation_%28chemistry%29" TargetMode="External"/><Relationship Id="rId35" Type="http://schemas.openxmlformats.org/officeDocument/2006/relationships/hyperlink" Target="http://en.wikipedia.org/wiki/Crystal" TargetMode="External"/><Relationship Id="rId36" Type="http://schemas.openxmlformats.org/officeDocument/2006/relationships/hyperlink" Target="http://en.wikipedia.org/wiki/Fructose" TargetMode="External"/><Relationship Id="rId37" Type="http://schemas.openxmlformats.org/officeDocument/2006/relationships/hyperlink" Target="http://en.wikipedia.org/wiki/Beekeeper" TargetMode="External"/><Relationship Id="rId38" Type="http://schemas.openxmlformats.org/officeDocument/2006/relationships/hyperlink" Target="http://en.wikipedia.org/wiki/Viscous_liquid" TargetMode="External"/><Relationship Id="rId39" Type="http://schemas.openxmlformats.org/officeDocument/2006/relationships/hyperlink" Target="http://en.wikipedia.org/wiki/Glass_transition" TargetMode="External"/><Relationship Id="rId40" Type="http://schemas.openxmlformats.org/officeDocument/2006/relationships/hyperlink" Target="http://en.wikipedia.org/wiki/Glass" TargetMode="External"/><Relationship Id="rId41" Type="http://schemas.openxmlformats.org/officeDocument/2006/relationships/hyperlink" Target="http://en.wikipedia.org/wiki/Amorphous_solid" TargetMode="External"/><Relationship Id="rId42" Type="http://schemas.openxmlformats.org/officeDocument/2006/relationships/hyperlink" Target="http://en.wikipedia.org/wiki/Hygroscopy" TargetMode="External"/><Relationship Id="rId43" Type="http://schemas.openxmlformats.org/officeDocument/2006/relationships/hyperlink" Target="http://en.wikipedia.org/wiki/Fermentation_%28food%29" TargetMode="External"/><Relationship Id="rId44" Type="http://schemas.openxmlformats.org/officeDocument/2006/relationships/hyperlink" Target="http://en.wikipedia.org/wiki/Caramelization" TargetMode="External"/><Relationship Id="rId45" Type="http://schemas.openxmlformats.org/officeDocument/2006/relationships/hyperlink" Target="http://en.wikipedia.org/wiki/Catalyst" TargetMode="External"/><Relationship Id="rId46" Type="http://schemas.openxmlformats.org/officeDocument/2006/relationships/hyperlink" Target="http://en.wikipedia.org/wiki/PH" TargetMode="External"/><Relationship Id="rId47" Type="http://schemas.openxmlformats.org/officeDocument/2006/relationships/hyperlink" Target="http://en.wikipedia.org/wiki/Acid" TargetMode="External"/><Relationship Id="rId48" Type="http://schemas.openxmlformats.org/officeDocument/2006/relationships/hyperlink" Target="http://en.wikipedia.org/wiki/Organic_acid" TargetMode="External"/><Relationship Id="rId49" Type="http://schemas.openxmlformats.org/officeDocument/2006/relationships/hyperlink" Target="http://en.wikipedia.org/wiki/Amino_acid" TargetMode="External"/><Relationship Id="rId50" Type="http://schemas.openxmlformats.org/officeDocument/2006/relationships/hyperlink" Target="http://en.wikipedia.org/wiki/Aromaticity" TargetMode="External"/><Relationship Id="rId51" Type="http://schemas.openxmlformats.org/officeDocument/2006/relationships/hyperlink" Target="http://en.wikipedia.org/wiki/Aliphatic_compound#Aliphatic_acids" TargetMode="External"/><Relationship Id="rId52" Type="http://schemas.openxmlformats.org/officeDocument/2006/relationships/hyperlink" Target="http://en.wikipedia.org/wiki/Gluconic_acid" TargetMode="External"/><Relationship Id="rId53" Type="http://schemas.openxmlformats.org/officeDocument/2006/relationships/hyperlink" Target="http://en.wikipedia.org/wiki/Malic_acid" TargetMode="External"/><Relationship Id="rId54" Type="http://schemas.openxmlformats.org/officeDocument/2006/relationships/hyperlink" Target="http://en.wikipedia.org/wiki/Formic_acid" TargetMode="External"/><Relationship Id="rId55" Type="http://schemas.openxmlformats.org/officeDocument/2006/relationships/hyperlink" Target="http://en.wikipedia.org/wiki/Acetic_acid" TargetMode="External"/><Relationship Id="rId56" Type="http://schemas.openxmlformats.org/officeDocument/2006/relationships/hyperlink" Target="http://en.wikipedia.org/wiki/Butyric_acid" TargetMode="External"/><Relationship Id="rId57" Type="http://schemas.openxmlformats.org/officeDocument/2006/relationships/hyperlink" Target="http://en.wikipedia.org/wiki/Citric_acid" TargetMode="External"/><Relationship Id="rId58" Type="http://schemas.openxmlformats.org/officeDocument/2006/relationships/hyperlink" Target="http://en.wikipedia.org/wiki/Lactic_acid" TargetMode="External"/><Relationship Id="rId59" Type="http://schemas.openxmlformats.org/officeDocument/2006/relationships/hyperlink" Target="http://en.wikipedia.org/wiki/Pyroglutamic_acid" TargetMode="External"/><Relationship Id="rId60" Type="http://schemas.openxmlformats.org/officeDocument/2006/relationships/hyperlink" Target="http://en.wikipedia.org/wiki/Propionic_acid" TargetMode="External"/><Relationship Id="rId61" Type="http://schemas.openxmlformats.org/officeDocument/2006/relationships/hyperlink" Target="http://en.wikipedia.org/wiki/Valeric_acid" TargetMode="External"/><Relationship Id="rId62" Type="http://schemas.openxmlformats.org/officeDocument/2006/relationships/hyperlink" Target="http://en.wikipedia.org/wiki/Capronic_acid" TargetMode="External"/><Relationship Id="rId63" Type="http://schemas.openxmlformats.org/officeDocument/2006/relationships/hyperlink" Target="http://en.wikipedia.org/wiki/Palmitic_acid" TargetMode="External"/><Relationship Id="rId64" Type="http://schemas.openxmlformats.org/officeDocument/2006/relationships/hyperlink" Target="http://en.wikipedia.org/wiki/Succinic_acid" TargetMode="External"/><Relationship Id="rId65" Type="http://schemas.openxmlformats.org/officeDocument/2006/relationships/hyperlink" Target="http://en.wikipedia.org/wiki/Hydrogen_peroxide" TargetMode="External"/><Relationship Id="rId66" Type="http://schemas.openxmlformats.org/officeDocument/2006/relationships/hyperlink" Target="http://en.wikipedia.org/wiki/Methylglyoxal" TargetMode="External"/><Relationship Id="rId67" Type="http://schemas.openxmlformats.org/officeDocument/2006/relationships/hyperlink" Target="http://en.wikipedia.org/w/index.php?title=Bee_defensin-1&amp;action=edit&amp;redlink=1" TargetMode="External"/><Relationship Id="rId68" Type="http://schemas.openxmlformats.org/officeDocument/2006/relationships/hyperlink" Target="http://en.wikipedia.org/wiki/Cooking" TargetMode="External"/><Relationship Id="rId69" Type="http://schemas.openxmlformats.org/officeDocument/2006/relationships/hyperlink" Target="http://en.wikipedia.org/wiki/Bread" TargetMode="External"/><Relationship Id="rId70" Type="http://schemas.openxmlformats.org/officeDocument/2006/relationships/hyperlink" Target="http://en.wikipedia.org/wiki/Tea" TargetMode="External"/><Relationship Id="rId71" Type="http://schemas.openxmlformats.org/officeDocument/2006/relationships/hyperlink" Target="http://www.benefits-of-honey.com/natural-sweetener.html" TargetMode="External"/><Relationship Id="rId72" Type="http://schemas.openxmlformats.org/officeDocument/2006/relationships/hyperlink" Target="http://en.wikipedia.org/wiki/San_Diego_County" TargetMode="External"/><Relationship Id="rId73" Type="http://schemas.openxmlformats.org/officeDocument/2006/relationships/hyperlink" Target="http://en.wikipedia.org/wiki/Italy" TargetMode="External"/><Relationship Id="rId74" Type="http://schemas.openxmlformats.org/officeDocument/2006/relationships/hyperlink" Target="http://en.wikipedia.org/wiki/Limoncello" TargetMode="External"/><Relationship Id="rId75" Type="http://schemas.openxmlformats.org/officeDocument/2006/relationships/hyperlink" Target="http://en.wikipedia.org/wiki/Meyer_lemon" TargetMode="External"/><Relationship Id="rId76" Type="http://schemas.openxmlformats.org/officeDocument/2006/relationships/hyperlink" Target="http://en.wikipedia.org/wiki/Ponderosa_lemon" TargetMode="External"/><Relationship Id="rId77" Type="http://schemas.openxmlformats.org/officeDocument/2006/relationships/image" Target="media/image4.jpeg"/><Relationship Id="rId78" Type="http://schemas.openxmlformats.org/officeDocument/2006/relationships/hyperlink" Target="http://en.wikipedia.org/wiki/Infectious_disease" TargetMode="External"/><Relationship Id="rId79" Type="http://schemas.openxmlformats.org/officeDocument/2006/relationships/hyperlink" Target="http://en.wikipedia.org/wiki/Respiratory_tract" TargetMode="External"/><Relationship Id="rId80" Type="http://schemas.openxmlformats.org/officeDocument/2006/relationships/hyperlink" Target="http://www.nhs.uk/conditions/Cold-common/Pages/Introduction.aspx" TargetMode="External"/><Relationship Id="rId81" Type="http://schemas.openxmlformats.org/officeDocument/2006/relationships/hyperlink" Target="http://en.wikipedia.org/wiki/Tonsillitis" TargetMode="External"/><Relationship Id="rId82" Type="http://schemas.openxmlformats.org/officeDocument/2006/relationships/hyperlink" Target="http://en.wikipedia.org/wiki/Pharyngitis" TargetMode="External"/><Relationship Id="rId83" Type="http://schemas.openxmlformats.org/officeDocument/2006/relationships/hyperlink" Target="http://en.wikipedia.org/wiki/Laryngitis" TargetMode="External"/><Relationship Id="rId84" Type="http://schemas.openxmlformats.org/officeDocument/2006/relationships/hyperlink" Target="http://en.wikipedia.org/wiki/Sinusitis" TargetMode="External"/><Relationship Id="rId85" Type="http://schemas.openxmlformats.org/officeDocument/2006/relationships/hyperlink" Target="http://en.wikipedia.org/wiki/Otitis_media" TargetMode="External"/><Relationship Id="rId86" Type="http://schemas.openxmlformats.org/officeDocument/2006/relationships/hyperlink" Target="http://en.wikipedia.org/wiki/Influenza" TargetMode="External"/><Relationship Id="rId87" Type="http://schemas.openxmlformats.org/officeDocument/2006/relationships/hyperlink" Target="http://en.wikipedia.org/wiki/Common_cold" TargetMode="External"/><Relationship Id="rId88" Type="http://schemas.openxmlformats.org/officeDocument/2006/relationships/hyperlink" Target="http://en.wikipedia.org/wiki/Cough" TargetMode="External"/><Relationship Id="rId89" Type="http://schemas.openxmlformats.org/officeDocument/2006/relationships/hyperlink" Target="http://en.wikipedia.org/wiki/Sore_throat" TargetMode="External"/><Relationship Id="rId90" Type="http://schemas.openxmlformats.org/officeDocument/2006/relationships/hyperlink" Target="http://en.wikipedia.org/wiki/Runny_nose" TargetMode="External"/><Relationship Id="rId91" Type="http://schemas.openxmlformats.org/officeDocument/2006/relationships/hyperlink" Target="http://en.wikipedia.org/wiki/Nasal_congestion" TargetMode="External"/><Relationship Id="rId92" Type="http://schemas.openxmlformats.org/officeDocument/2006/relationships/hyperlink" Target="http://en.wikipedia.org/wiki/Headache" TargetMode="External"/><Relationship Id="rId93" Type="http://schemas.openxmlformats.org/officeDocument/2006/relationships/hyperlink" Target="http://en.wikipedia.org/wiki/Fever" TargetMode="External"/><Relationship Id="rId94" Type="http://schemas.openxmlformats.org/officeDocument/2006/relationships/hyperlink" Target="http://en.wikipedia.org/wiki/Sneezing" TargetMode="External"/><Relationship Id="rId95" Type="http://schemas.openxmlformats.org/officeDocument/2006/relationships/hyperlink" Target="http://en.wikipedia.org/wiki/Bronchitis" TargetMode="External"/><Relationship Id="rId96" Type="http://schemas.openxmlformats.org/officeDocument/2006/relationships/hyperlink" Target="http://en.wikipedia.org/wiki/Pneumonia" TargetMode="External"/><Relationship Id="rId97" Type="http://schemas.openxmlformats.org/officeDocument/2006/relationships/hyperlink" Target="http://en.wikipedia.org/wiki/H5N1" TargetMode="External"/><Relationship Id="rId98" Type="http://schemas.openxmlformats.org/officeDocument/2006/relationships/hyperlink" Target="http://www.nhs.uk/conditions/Antibiotics-penicillins/Pages/Introduction.aspx" TargetMode="External"/><Relationship Id="rId99" Type="http://schemas.openxmlformats.org/officeDocument/2006/relationships/hyperlink" Target="http://en.wikipedia.org/wiki/Gram-negative" TargetMode="External"/><Relationship Id="rId100" Type="http://schemas.openxmlformats.org/officeDocument/2006/relationships/hyperlink" Target="http://en.wikipedia.org/wiki/Bacterial_capsule" TargetMode="External"/><Relationship Id="rId101" Type="http://schemas.openxmlformats.org/officeDocument/2006/relationships/hyperlink" Target="http://en.wikipedia.org/wiki/Lactose" TargetMode="External"/><Relationship Id="rId102" Type="http://schemas.openxmlformats.org/officeDocument/2006/relationships/hyperlink" Target="http://en.wikipedia.org/wiki/Fermentation_%28biochemistry%29" TargetMode="External"/><Relationship Id="rId103" Type="http://schemas.openxmlformats.org/officeDocument/2006/relationships/hyperlink" Target="http://en.wikipedia.org/wiki/Facultative_anaerobic" TargetMode="External"/><Relationship Id="rId104" Type="http://schemas.openxmlformats.org/officeDocument/2006/relationships/hyperlink" Target="http://en.wikipedia.org/wiki/Bacterium" TargetMode="External"/><Relationship Id="rId105" Type="http://schemas.openxmlformats.org/officeDocument/2006/relationships/hyperlink" Target="http://en.wikipedia.org/wiki/Lipopolysaccharide" TargetMode="External"/><Relationship Id="rId106" Type="http://schemas.openxmlformats.org/officeDocument/2006/relationships/hyperlink" Target="http://en.wikipedia.org/wiki/Serogroup" TargetMode="External"/><Relationship Id="rId107" Type="http://schemas.openxmlformats.org/officeDocument/2006/relationships/hyperlink" Target="http://en.wikipedia.org/wiki/Nosocomial" TargetMode="External"/><Relationship Id="rId108" Type="http://schemas.openxmlformats.org/officeDocument/2006/relationships/hyperlink" Target="http://en.wikipedia.org/wiki/Klebsiella" TargetMode="External"/><Relationship Id="rId109" Type="http://schemas.openxmlformats.org/officeDocument/2006/relationships/hyperlink" Target="http://en.wikipedia.org/wiki/Genus" TargetMode="External"/><Relationship Id="rId110" Type="http://schemas.openxmlformats.org/officeDocument/2006/relationships/hyperlink" Target="http://en.wikipedia.org/wiki/Enterobacteriaceae" TargetMode="External"/><Relationship Id="rId111" Type="http://schemas.openxmlformats.org/officeDocument/2006/relationships/hyperlink" Target="http://en.wikipedia.org/wiki/Carbapenemase" TargetMode="External"/><Relationship Id="rId112" Type="http://schemas.openxmlformats.org/officeDocument/2006/relationships/hyperlink" Target="http://en.wikipedia.org/wiki/Pathogen" TargetMode="External"/><Relationship Id="rId113" Type="http://schemas.openxmlformats.org/officeDocument/2006/relationships/hyperlink" Target="http://en.wikipedia.org/wiki/Virulence" TargetMode="External"/><Relationship Id="rId114" Type="http://schemas.openxmlformats.org/officeDocument/2006/relationships/hyperlink" Target="http://en.wikipedia.org/wiki/Hyaluronic_acid" TargetMode="External"/><Relationship Id="rId115" Type="http://schemas.openxmlformats.org/officeDocument/2006/relationships/hyperlink" Target="http://en.wikipedia.org/wiki/Phagocytosis" TargetMode="External"/><Relationship Id="rId116" Type="http://schemas.openxmlformats.org/officeDocument/2006/relationships/hyperlink" Target="http://en.wikipedia.org/wiki/Neutrophils" TargetMode="External"/><Relationship Id="rId117" Type="http://schemas.openxmlformats.org/officeDocument/2006/relationships/hyperlink" Target="http://en.wikipedia.org/wiki/M_protein_%28Streptococcus%29" TargetMode="External"/><Relationship Id="rId118" Type="http://schemas.openxmlformats.org/officeDocument/2006/relationships/hyperlink" Target="http://en.wikipedia.org/wiki/Lipoteichoic_acid" TargetMode="External"/><Relationship Id="rId119" Type="http://schemas.openxmlformats.org/officeDocument/2006/relationships/hyperlink" Target="http://en.wikipedia.org/wiki/Toxin" TargetMode="External"/><Relationship Id="rId120" Type="http://schemas.openxmlformats.org/officeDocument/2006/relationships/hyperlink" Target="http://en.wikipedia.org/wiki/Scarlet_fever" TargetMode="External"/><Relationship Id="rId121" Type="http://schemas.openxmlformats.org/officeDocument/2006/relationships/hyperlink" Target="http://en.wikipedia.org/wiki/Toxic_shock_syndrome" TargetMode="External"/><Relationship Id="rId122" Type="http://schemas.openxmlformats.org/officeDocument/2006/relationships/hyperlink" Target="http://en.wikipedia.org/wiki/Medical_diagnosis" TargetMode="External"/><Relationship Id="rId123" Type="http://schemas.openxmlformats.org/officeDocument/2006/relationships/hyperlink" Target="http://en.wikipedia.org/wiki/Sepsis" TargetMode="External"/><Relationship Id="rId124" Type="http://schemas.openxmlformats.org/officeDocument/2006/relationships/hyperlink" Target="http://en.wikipedia.org/wiki/Macrolide" TargetMode="External"/><Relationship Id="rId125" Type="http://schemas.openxmlformats.org/officeDocument/2006/relationships/hyperlink" Target="http://en.wikipedia.org/wiki/Penicillin" TargetMode="External"/><Relationship Id="rId126" Type="http://schemas.openxmlformats.org/officeDocument/2006/relationships/hyperlink" Target="http://www.dermnetnz.org/treatments/erythromycin.html" TargetMode="External"/><Relationship Id="rId127" Type="http://schemas.openxmlformats.org/officeDocument/2006/relationships/hyperlink" Target="http://www.dermnetnz.org/treatments/clindamycin.html" TargetMode="External"/><Relationship Id="rId128" Type="http://schemas.openxmlformats.org/officeDocument/2006/relationships/hyperlink" Target="http://en.wikipedia.org/wiki/Gram-positive" TargetMode="External"/><Relationship Id="rId129" Type="http://schemas.openxmlformats.org/officeDocument/2006/relationships/hyperlink" Target="http://en.wikipedia.org/wiki/Hemolysis_%28microbiology%29" TargetMode="External"/><Relationship Id="rId130" Type="http://schemas.openxmlformats.org/officeDocument/2006/relationships/hyperlink" Target="http://en.wikipedia.org/wiki/Streptococcus" TargetMode="External"/><Relationship Id="rId131" Type="http://schemas.openxmlformats.org/officeDocument/2006/relationships/hyperlink" Target="http://en.wikipedia.org/wiki/Streptococcus_viridans" TargetMode="External"/><Relationship Id="rId132" Type="http://schemas.openxmlformats.org/officeDocument/2006/relationships/hyperlink" Target="http://en.wikipedia.org/wiki/Optochin" TargetMode="External"/><Relationship Id="rId133" Type="http://schemas.openxmlformats.org/officeDocument/2006/relationships/hyperlink" Target="http://en.wikipedia.org/wiki/Pathogenic_bacterium" TargetMode="External"/><Relationship Id="rId134" Type="http://schemas.openxmlformats.org/officeDocument/2006/relationships/hyperlink" Target="http://en.wikipedia.org/wiki/Humoral_immunity" TargetMode="External"/><Relationship Id="rId135" Type="http://schemas.openxmlformats.org/officeDocument/2006/relationships/hyperlink" Target="http://en.wikipedia.org/wiki/Pneumococcal_infection" TargetMode="External"/><Relationship Id="rId136" Type="http://schemas.openxmlformats.org/officeDocument/2006/relationships/hyperlink" Target="http://en.wikipedia.org/wiki/Acute_sinusitis" TargetMode="External"/><Relationship Id="rId137" Type="http://schemas.openxmlformats.org/officeDocument/2006/relationships/hyperlink" Target="http://en.wikipedia.org/wiki/Meningitis" TargetMode="External"/><Relationship Id="rId138" Type="http://schemas.openxmlformats.org/officeDocument/2006/relationships/hyperlink" Target="http://en.wikipedia.org/wiki/Bacteremia" TargetMode="External"/><Relationship Id="rId139" Type="http://schemas.openxmlformats.org/officeDocument/2006/relationships/hyperlink" Target="http://en.wikipedia.org/wiki/Osteomyelitis" TargetMode="External"/><Relationship Id="rId140" Type="http://schemas.openxmlformats.org/officeDocument/2006/relationships/hyperlink" Target="http://en.wikipedia.org/wiki/Septic_arthritis" TargetMode="External"/><Relationship Id="rId141" Type="http://schemas.openxmlformats.org/officeDocument/2006/relationships/hyperlink" Target="http://en.wikipedia.org/wiki/Endocarditis" TargetMode="External"/><Relationship Id="rId142" Type="http://schemas.openxmlformats.org/officeDocument/2006/relationships/hyperlink" Target="http://en.wikipedia.org/wiki/Peritonitis" TargetMode="External"/><Relationship Id="rId143" Type="http://schemas.openxmlformats.org/officeDocument/2006/relationships/hyperlink" Target="http://en.wikipedia.org/wiki/Pericarditis" TargetMode="External"/><Relationship Id="rId144" Type="http://schemas.openxmlformats.org/officeDocument/2006/relationships/hyperlink" Target="http://en.wikipedia.org/wiki/Cellulitis" TargetMode="External"/><Relationship Id="rId145" Type="http://schemas.openxmlformats.org/officeDocument/2006/relationships/hyperlink" Target="http://en.wikipedia.org/wiki/Brain_abscess" TargetMode="External"/><Relationship Id="rId146" Type="http://schemas.openxmlformats.org/officeDocument/2006/relationships/hyperlink" Target="http://emedicine.medscape.com/article/234240-overview" TargetMode="External"/><Relationship Id="rId147" Type="http://schemas.openxmlformats.org/officeDocument/2006/relationships/hyperlink" Target="http://emedicine.medscape.com/article/232915-overview" TargetMode="External"/><Relationship Id="rId148" Type="http://schemas.openxmlformats.org/officeDocument/2006/relationships/hyperlink" Target="http://emedicine.medscape.com/article/967600-overview" TargetMode="External"/><Relationship Id="rId149" Type="http://schemas.openxmlformats.org/officeDocument/2006/relationships/hyperlink" Target="http://emedicine.medscape.com/article/236299-overview" TargetMode="External"/><Relationship Id="rId150" Type="http://schemas.openxmlformats.org/officeDocument/2006/relationships/hyperlink" Target="http://emedicine.medscape.com/article/216650-overview" TargetMode="External"/><Relationship Id="rId151" Type="http://schemas.openxmlformats.org/officeDocument/2006/relationships/hyperlink" Target="http://en.wikipedia.org/wiki/Bacillus_%28shape%29" TargetMode="External"/><Relationship Id="rId152" Type="http://schemas.openxmlformats.org/officeDocument/2006/relationships/hyperlink" Target="http://en.wikipedia.org/wiki/Pasteurellaceae" TargetMode="External"/><Relationship Id="rId153" Type="http://schemas.openxmlformats.org/officeDocument/2006/relationships/hyperlink" Target="http://en.wikipedia.org/wiki/Aerobic_organism" TargetMode="External"/><Relationship Id="rId154" Type="http://schemas.openxmlformats.org/officeDocument/2006/relationships/hyperlink" Target="http://en.wikipedia.org/wiki/Facultative_anaerobe" TargetMode="External"/><Relationship Id="rId155" Type="http://schemas.openxmlformats.org/officeDocument/2006/relationships/hyperlink" Target="http://en.wikipedia.org/wiki/Etiology" TargetMode="External"/><Relationship Id="rId156" Type="http://schemas.openxmlformats.org/officeDocument/2006/relationships/hyperlink" Target="http://www.medscape.com/resource/otitis-media" TargetMode="External"/><Relationship Id="rId157" Type="http://schemas.openxmlformats.org/officeDocument/2006/relationships/hyperlink" Target="http://emedicine.medscape.com/article/1001332-overview" TargetMode="External"/><Relationship Id="rId158" Type="http://schemas.openxmlformats.org/officeDocument/2006/relationships/hyperlink" Target="http://emedicine.medscape.com/article/232670-overview" TargetMode="External"/><Relationship Id="rId159" Type="http://schemas.openxmlformats.org/officeDocument/2006/relationships/hyperlink" Target="http://www.medscape.com/resource/arthritis" TargetMode="External"/><Relationship Id="rId160" Type="http://schemas.openxmlformats.org/officeDocument/2006/relationships/hyperlink" Target="http://www.medscape.com/resource/pneumonia" TargetMode="External"/><Relationship Id="rId161" Type="http://schemas.openxmlformats.org/officeDocument/2006/relationships/hyperlink" Target="http://www.patient.co.uk/search.asp?searchterm=HAEMOPHILUS%2BINFLUENZAE%2BIMMUNISATION" TargetMode="External"/><Relationship Id="rId162" Type="http://schemas.openxmlformats.org/officeDocument/2006/relationships/hyperlink" Target="http://www.patient.co.uk/search.asp?searchterm=ASPLENIA" TargetMode="External"/><Relationship Id="rId163" Type="http://schemas.openxmlformats.org/officeDocument/2006/relationships/hyperlink" Target="http://www.patient.co.uk/search.asp?searchterm=SPLENECTOMY" TargetMode="External"/><Relationship Id="rId164" Type="http://schemas.openxmlformats.org/officeDocument/2006/relationships/hyperlink" Target="http://www.patient.co.uk/search.asp?searchterm=SICKLE%2BCELL%2BDISEASE" TargetMode="External"/><Relationship Id="rId165" Type="http://schemas.openxmlformats.org/officeDocument/2006/relationships/hyperlink" Target="http://www.patient.co.uk/search.asp?searchterm=IMMUNE%2BDEFICIENCY" TargetMode="External"/><Relationship Id="rId166" Type="http://schemas.openxmlformats.org/officeDocument/2006/relationships/hyperlink" Target="http://www.patient.co.uk/search.asp?searchterm=PERICARDITIS" TargetMode="External"/><Relationship Id="rId167" Type="http://schemas.openxmlformats.org/officeDocument/2006/relationships/hyperlink" Target="http://www.patient.co.uk/search.asp?searchterm=PRETERM%2BBABIES" TargetMode="External"/><Relationship Id="rId168" Type="http://schemas.openxmlformats.org/officeDocument/2006/relationships/hyperlink" Target="http://www.patient.co.uk/search.asp?searchterm=PREMATURE%2BRUPTURE%2BOF%2BMEMBRANES" TargetMode="External"/><Relationship Id="rId169" Type="http://schemas.openxmlformats.org/officeDocument/2006/relationships/hyperlink" Target="http://www.patient.co.uk/search.asp?searchterm=RESPIRATORY%2BDISTRESS%2B%2BFINDING%2B" TargetMode="External"/><Relationship Id="rId170" Type="http://schemas.openxmlformats.org/officeDocument/2006/relationships/hyperlink" Target="http://en.wikipedia.org/wiki/Hib_vaccine" TargetMode="External"/><Relationship Id="rId171" Type="http://schemas.openxmlformats.org/officeDocument/2006/relationships/hyperlink" Target="http://www.patient.co.uk/search.asp?searchterm=MENINGITIS" TargetMode="External"/><Relationship Id="rId172" Type="http://schemas.openxmlformats.org/officeDocument/2006/relationships/hyperlink" Target="http://www.patient.co.uk/search.asp?searchterm=CELLULITIS" TargetMode="External"/><Relationship Id="rId173" Type="http://schemas.openxmlformats.org/officeDocument/2006/relationships/hyperlink" Target="http://www.patient.co.uk/search.asp?searchterm=ACUTE%2BEPIGLOTTITIS" TargetMode="External"/><Relationship Id="rId174" Type="http://schemas.openxmlformats.org/officeDocument/2006/relationships/hyperlink" Target="http://www.patient.co.uk/search.asp?searchterm=SEPTIC%2BARTHRITIS" TargetMode="External"/><Relationship Id="rId175" Type="http://schemas.openxmlformats.org/officeDocument/2006/relationships/hyperlink" Target="http://www.patient.co.uk/search.asp?searchterm=PNEUMONIA" TargetMode="External"/><Relationship Id="rId176" Type="http://schemas.openxmlformats.org/officeDocument/2006/relationships/hyperlink" Target="http://www.patient.co.uk/search.asp?searchterm=EMPYEMA" TargetMode="External"/><Relationship Id="rId177" Type="http://schemas.openxmlformats.org/officeDocument/2006/relationships/hyperlink" Target="http://www.patient.co.uk/doctor/Endophthalmitis.htm" TargetMode="External"/><Relationship Id="rId178" Type="http://schemas.openxmlformats.org/officeDocument/2006/relationships/hyperlink" Target="http://www.patient.co.uk/search.asp?searchterm=URINARY%2BTRACT%2BINFECTION%2B%2BUTI%2B" TargetMode="External"/><Relationship Id="rId179" Type="http://schemas.openxmlformats.org/officeDocument/2006/relationships/hyperlink" Target="http://www.patient.co.uk/search.asp?searchterm=GLOSSITIS" TargetMode="External"/><Relationship Id="rId180" Type="http://schemas.openxmlformats.org/officeDocument/2006/relationships/hyperlink" Target="http://www.patient.co.uk/search.asp?searchterm=OSTEOMYELITIS" TargetMode="External"/><Relationship Id="rId181" Type="http://schemas.openxmlformats.org/officeDocument/2006/relationships/hyperlink" Target="http://www.patient.co.uk/search.asp?searchterm=ENDOCARDITIS" TargetMode="External"/><Relationship Id="rId182" Type="http://schemas.openxmlformats.org/officeDocument/2006/relationships/hyperlink" Target="http://www.patient.co.uk/search.asp?searchterm=OTITIS%2BMEDIA" TargetMode="External"/><Relationship Id="rId183" Type="http://schemas.openxmlformats.org/officeDocument/2006/relationships/hyperlink" Target="http://www.patient.co.uk/search.asp?searchterm=CONJUNCTIVITIS" TargetMode="External"/><Relationship Id="rId184" Type="http://schemas.openxmlformats.org/officeDocument/2006/relationships/hyperlink" Target="http://www.patient.co.uk/search.asp?searchterm=SINUSITIS" TargetMode="External"/><Relationship Id="rId185" Type="http://schemas.openxmlformats.org/officeDocument/2006/relationships/hyperlink" Target="http://en.wikipedia.org/wiki/Cefotaxime" TargetMode="External"/><Relationship Id="rId186" Type="http://schemas.openxmlformats.org/officeDocument/2006/relationships/hyperlink" Target="http://en.wikipedia.org/wiki/Ceftriaxone" TargetMode="External"/><Relationship Id="rId187" Type="http://schemas.openxmlformats.org/officeDocument/2006/relationships/hyperlink" Target="http://en.wikipedia.org/wiki/Ampicillin" TargetMode="External"/><Relationship Id="rId188" Type="http://schemas.openxmlformats.org/officeDocument/2006/relationships/hyperlink" Target="http://en.wikipedia.org/wiki/Sulbactam" TargetMode="External"/><Relationship Id="rId189" Type="http://schemas.openxmlformats.org/officeDocument/2006/relationships/hyperlink" Target="http://en.wikipedia.org/wiki/Cephalosporins" TargetMode="External"/><Relationship Id="rId190" Type="http://schemas.openxmlformats.org/officeDocument/2006/relationships/hyperlink" Target="http://en.wikipedia.org/wiki/Fluoroquinolones" TargetMode="External"/><Relationship Id="rId191" Type="http://schemas.openxmlformats.org/officeDocument/2006/relationships/hyperlink" Target="http://en.wikipedia.org/wiki/Clarithromycin" TargetMode="External"/><Relationship Id="rId192" Type="http://schemas.openxmlformats.org/officeDocument/2006/relationships/hyperlink" Target="http://en.wikipedia.org/wiki/Firmicutes" TargetMode="External"/><Relationship Id="rId193" Type="http://schemas.openxmlformats.org/officeDocument/2006/relationships/hyperlink" Target="http://en.wikipedia.org/wiki/Grape" TargetMode="External"/><Relationship Id="rId194" Type="http://schemas.openxmlformats.org/officeDocument/2006/relationships/hyperlink" Target="http://en.wikipedia.org/wiki/Agar_plate" TargetMode="External"/><Relationship Id="rId195" Type="http://schemas.openxmlformats.org/officeDocument/2006/relationships/hyperlink" Target="http://en.wikipedia.org/wiki/Catalase" TargetMode="External"/><Relationship Id="rId196" Type="http://schemas.openxmlformats.org/officeDocument/2006/relationships/hyperlink" Target="http://en.wikipedia.org/wiki/Enterococcus" TargetMode="External"/><Relationship Id="rId197" Type="http://schemas.openxmlformats.org/officeDocument/2006/relationships/hyperlink" Target="http://en.wikipedia.org/wiki/Coagulase" TargetMode="External"/><Relationship Id="rId198" Type="http://schemas.openxmlformats.org/officeDocument/2006/relationships/hyperlink" Target="http://en.wikipedia.org/wiki/Staphyloxanthin" TargetMode="External"/><Relationship Id="rId199" Type="http://schemas.openxmlformats.org/officeDocument/2006/relationships/hyperlink" Target="http://en.wikipedia.org/wiki/Carotenoid" TargetMode="External"/><Relationship Id="rId200" Type="http://schemas.openxmlformats.org/officeDocument/2006/relationships/hyperlink" Target="http://en.wikipedia.org/wiki/Pigment" TargetMode="External"/><Relationship Id="rId201" Type="http://schemas.openxmlformats.org/officeDocument/2006/relationships/hyperlink" Target="http://en.wikipedia.org/wiki/Virulence_factor" TargetMode="External"/><Relationship Id="rId202" Type="http://schemas.openxmlformats.org/officeDocument/2006/relationships/hyperlink" Target="http://en.wikipedia.org/wiki/Antioxidant" TargetMode="External"/><Relationship Id="rId203" Type="http://schemas.openxmlformats.org/officeDocument/2006/relationships/hyperlink" Target="http://en.wikipedia.org/wiki/Reactive_oxygen_species" TargetMode="External"/><Relationship Id="rId204" Type="http://schemas.openxmlformats.org/officeDocument/2006/relationships/hyperlink" Target="http://en.wikipedia.org/wiki/Skin_flora" TargetMode="External"/><Relationship Id="rId205" Type="http://schemas.openxmlformats.org/officeDocument/2006/relationships/hyperlink" Target="http://en.wikipedia.org/wiki/Infection" TargetMode="External"/><Relationship Id="rId206" Type="http://schemas.openxmlformats.org/officeDocument/2006/relationships/hyperlink" Target="http://en.wikipedia.org/wiki/Pimple" TargetMode="External"/><Relationship Id="rId207" Type="http://schemas.openxmlformats.org/officeDocument/2006/relationships/hyperlink" Target="http://en.wikipedia.org/wiki/Impetigo" TargetMode="External"/><Relationship Id="rId208" Type="http://schemas.openxmlformats.org/officeDocument/2006/relationships/hyperlink" Target="http://en.wikipedia.org/wiki/Boil" TargetMode="External"/><Relationship Id="rId209" Type="http://schemas.openxmlformats.org/officeDocument/2006/relationships/hyperlink" Target="http://en.wikipedia.org/wiki/Carbuncle" TargetMode="External"/><Relationship Id="rId210" Type="http://schemas.openxmlformats.org/officeDocument/2006/relationships/hyperlink" Target="http://en.wikipedia.org/wiki/Scalded_skin_syndrome" TargetMode="External"/><Relationship Id="rId211" Type="http://schemas.openxmlformats.org/officeDocument/2006/relationships/hyperlink" Target="http://en.wikipedia.org/wiki/Abscess" TargetMode="External"/><Relationship Id="rId212" Type="http://schemas.openxmlformats.org/officeDocument/2006/relationships/hyperlink" Target="http://en.wikipedia.org/wiki/Wound_infection" TargetMode="External"/><Relationship Id="rId213" Type="http://schemas.openxmlformats.org/officeDocument/2006/relationships/hyperlink" Target="http://en.wikipedia.org/wiki/Nosocomial_infection" TargetMode="External"/><Relationship Id="rId214" Type="http://schemas.openxmlformats.org/officeDocument/2006/relationships/hyperlink" Target="http://en.wikipedia.org/wiki/Boils" TargetMode="External"/><Relationship Id="rId215" Type="http://schemas.openxmlformats.org/officeDocument/2006/relationships/hyperlink" Target="http://en.wikipedia.org/wiki/Food_poisoning" TargetMode="External"/><Relationship Id="rId216" Type="http://schemas.openxmlformats.org/officeDocument/2006/relationships/hyperlink" Target="http://en.wikipedia.org/wiki/Hyaluronidase" TargetMode="External"/><Relationship Id="rId217" Type="http://schemas.openxmlformats.org/officeDocument/2006/relationships/hyperlink" Target="http://en.wikipedia.org/wiki/Phage" TargetMode="External"/><Relationship Id="rId218" Type="http://schemas.openxmlformats.org/officeDocument/2006/relationships/hyperlink" Target="http://en.wikipedia.org/wiki/Panton-Valentine_leukocidin" TargetMode="External"/><Relationship Id="rId219" Type="http://schemas.openxmlformats.org/officeDocument/2006/relationships/hyperlink" Target="http://en.wikipedia.org/wiki/Atopic_dermatitis" TargetMode="External"/><Relationship Id="rId220" Type="http://schemas.openxmlformats.org/officeDocument/2006/relationships/hyperlink" Target="http://en.wikipedia.org/wiki/Staphylococcal_scalded_skin_syndrome" TargetMode="External"/><Relationship Id="rId221" Type="http://schemas.openxmlformats.org/officeDocument/2006/relationships/hyperlink" Target="http://en.wikipedia.org/wiki/Ritter%27s_disease" TargetMode="External"/><Relationship Id="rId222" Type="http://schemas.openxmlformats.org/officeDocument/2006/relationships/hyperlink" Target="http://en.wikipedia.org/wiki/Antibiotic-resistant" TargetMode="External"/><Relationship Id="rId223" Type="http://schemas.openxmlformats.org/officeDocument/2006/relationships/hyperlink" Target="http://en.wikipedia.org/wiki/MRSA" TargetMode="External"/><Relationship Id="rId224" Type="http://schemas.openxmlformats.org/officeDocument/2006/relationships/hyperlink" Target="http://en.wikipedia.org/wiki/Hand_washing" TargetMode="External"/><Relationship Id="rId225" Type="http://schemas.openxmlformats.org/officeDocument/2006/relationships/hyperlink" Target="http://en.wikipedia.org/wiki/Oxacillin" TargetMode="External"/><Relationship Id="rId226" Type="http://schemas.openxmlformats.org/officeDocument/2006/relationships/hyperlink" Target="http://en.wikipedia.org/wiki/Flucloxacillin" TargetMode="External"/><Relationship Id="rId227" Type="http://schemas.openxmlformats.org/officeDocument/2006/relationships/hyperlink" Target="http://en.wikipedia.org/wiki/Gentamicin" TargetMode="External"/><Relationship Id="rId228" Type="http://schemas.openxmlformats.org/officeDocument/2006/relationships/hyperlink" Target="http://en.wikipedia.org/wiki/Infective_endocarditis" TargetMode="External"/><Relationship Id="rId229" Type="http://schemas.openxmlformats.org/officeDocument/2006/relationships/hyperlink" Target="http://en.wikipedia.org/wiki/Ethanol" TargetMode="External"/><Relationship Id="rId230" Type="http://schemas.openxmlformats.org/officeDocument/2006/relationships/hyperlink" Target="http://en.wikipedia.org/wiki/Quaternary_ammonium" TargetMode="External"/><Relationship Id="rId231" Type="http://schemas.openxmlformats.org/officeDocument/2006/relationships/hyperlink" Target="http://www.niaid.nih.gov/topics/tuberculosis/understanding/whatistb/pages/tbdefinitions.aspx" TargetMode="External"/><Relationship Id="rId232" Type="http://schemas.openxmlformats.org/officeDocument/2006/relationships/hyperlink" Target="http://www.niaid.nih.gov/topics/antimicrobialResistance/Examples/neisseria/Pages/default.aspx" TargetMode="External"/><Relationship Id="rId233" Type="http://schemas.openxmlformats.org/officeDocument/2006/relationships/hyperlink" Target="http://en.wikipedia.org/wiki/Efflux_%28microbiology%29" TargetMode="External"/><Relationship Id="rId234" Type="http://schemas.openxmlformats.org/officeDocument/2006/relationships/hyperlink" Target="http://en.wikipedia.org/wiki/Penicillin_binding_protein" TargetMode="External"/><Relationship Id="rId235" Type="http://schemas.openxmlformats.org/officeDocument/2006/relationships/hyperlink" Target="http://en.wikipedia.org/wiki/Methicillin-resistant_Staphylococcus_aureus" TargetMode="External"/><Relationship Id="rId236" Type="http://schemas.openxmlformats.org/officeDocument/2006/relationships/hyperlink" Target="http://en.wikipedia.org/wiki/Beta-lactamases" TargetMode="External"/><Relationship Id="rId237" Type="http://schemas.openxmlformats.org/officeDocument/2006/relationships/hyperlink" Target="http://en.wikipedia.org/wiki/Sulfa_drugs" TargetMode="External"/><Relationship Id="rId238" Type="http://schemas.openxmlformats.org/officeDocument/2006/relationships/hyperlink" Target="http://en.wikipedia.org/wiki/Para-aminobenzoic_acid" TargetMode="External"/><Relationship Id="rId239" Type="http://schemas.openxmlformats.org/officeDocument/2006/relationships/hyperlink" Target="http://en.wikipedia.org/wiki/Folic_acid" TargetMode="External"/><Relationship Id="rId240" Type="http://schemas.openxmlformats.org/officeDocument/2006/relationships/hyperlink" Target="http://en.wikipedia.org/wiki/Nucleic_acids" TargetMode="External"/><Relationship Id="rId241" Type="http://schemas.openxmlformats.org/officeDocument/2006/relationships/hyperlink" Target="http://en.wikipedia.org/wiki/Aminoglycoside" TargetMode="External"/><Relationship Id="rId242" Type="http://schemas.openxmlformats.org/officeDocument/2006/relationships/hyperlink" Target="http://en.wikipedia.org/wiki/Kanamycin" TargetMode="External"/><Relationship Id="rId243" Type="http://schemas.openxmlformats.org/officeDocument/2006/relationships/hyperlink" Target="http://en.wikipedia.org/wiki/Streptomycin" TargetMode="External"/><Relationship Id="rId244" Type="http://schemas.openxmlformats.org/officeDocument/2006/relationships/hyperlink" Target="http://en.wikipedia.org/wiki/Ribosomal_RNA" TargetMode="External"/><Relationship Id="rId245" Type="http://schemas.openxmlformats.org/officeDocument/2006/relationships/hyperlink" Target="http://en.wikipedia.org/wiki/30S_ribosomal_subunit" TargetMode="External"/><Relationship Id="rId246" Type="http://schemas.openxmlformats.org/officeDocument/2006/relationships/hyperlink" Target="http://en.wikipedia.org/wiki/X-ray_crystallography" TargetMode="External"/><Relationship Id="rId247" Type="http://schemas.openxmlformats.org/officeDocument/2006/relationships/hyperlink" Target="http://en.wikipedia.org/wiki/Quinolone" TargetMode="External"/><Relationship Id="rId248" Type="http://schemas.openxmlformats.org/officeDocument/2006/relationships/hyperlink" Target="http://en.wikipedia.org/wiki/DNA_gyrase" TargetMode="External"/><Relationship Id="rId249" Type="http://schemas.openxmlformats.org/officeDocument/2006/relationships/hyperlink" Target="http://en.wikipedia.org/wiki/Topoisomerase_IV" TargetMode="External"/><Relationship Id="rId250" Type="http://schemas.openxmlformats.org/officeDocument/2006/relationships/hyperlink" Target="http://en.wikipedia.org/wiki/LexA" TargetMode="External"/><Relationship Id="rId251" Type="http://schemas.openxmlformats.org/officeDocument/2006/relationships/image" Target="media/image5.png"/><Relationship Id="rId252" Type="http://schemas.openxmlformats.org/officeDocument/2006/relationships/image" Target="media/image6.png"/><Relationship Id="rId253" Type="http://schemas.openxmlformats.org/officeDocument/2006/relationships/image" Target="media/image7.png"/><Relationship Id="rId254" Type="http://schemas.openxmlformats.org/officeDocument/2006/relationships/image" Target="media/image8.png"/><Relationship Id="rId255" Type="http://schemas.openxmlformats.org/officeDocument/2006/relationships/image" Target="media/image9.png"/><Relationship Id="rId256" Type="http://schemas.openxmlformats.org/officeDocument/2006/relationships/image" Target="media/image10.png"/><Relationship Id="rId257" Type="http://schemas.openxmlformats.org/officeDocument/2006/relationships/image" Target="media/image11.png"/><Relationship Id="rId258" Type="http://schemas.openxmlformats.org/officeDocument/2006/relationships/image" Target="media/image12.png"/><Relationship Id="rId259" Type="http://schemas.openxmlformats.org/officeDocument/2006/relationships/image" Target="media/image13.png"/><Relationship Id="rId260" Type="http://schemas.openxmlformats.org/officeDocument/2006/relationships/image" Target="media/image14.png"/><Relationship Id="rId261" Type="http://schemas.openxmlformats.org/officeDocument/2006/relationships/image" Target="media/image15.png"/><Relationship Id="rId262" Type="http://schemas.openxmlformats.org/officeDocument/2006/relationships/image" Target="media/image16.png"/><Relationship Id="rId263" Type="http://schemas.openxmlformats.org/officeDocument/2006/relationships/footer" Target="footer2.xml"/><Relationship Id="rId264" Type="http://schemas.openxmlformats.org/officeDocument/2006/relationships/image" Target="media/image17.jpeg"/><Relationship Id="rId265" Type="http://schemas.openxmlformats.org/officeDocument/2006/relationships/footer" Target="footer3.xml"/><Relationship Id="rId266" Type="http://schemas.openxmlformats.org/officeDocument/2006/relationships/image" Target="media/image18.jpeg"/><Relationship Id="rId267" Type="http://schemas.openxmlformats.org/officeDocument/2006/relationships/image" Target="media/image19.png"/><Relationship Id="rId268" Type="http://schemas.openxmlformats.org/officeDocument/2006/relationships/image" Target="media/image20.png"/><Relationship Id="rId269" Type="http://schemas.openxmlformats.org/officeDocument/2006/relationships/image" Target="media/image21.png"/><Relationship Id="rId270" Type="http://schemas.openxmlformats.org/officeDocument/2006/relationships/image" Target="media/image22.png"/><Relationship Id="rId271" Type="http://schemas.openxmlformats.org/officeDocument/2006/relationships/image" Target="media/image23.png"/><Relationship Id="rId272" Type="http://schemas.openxmlformats.org/officeDocument/2006/relationships/image" Target="media/image24.png"/><Relationship Id="rId273" Type="http://schemas.openxmlformats.org/officeDocument/2006/relationships/image" Target="media/image25.png"/><Relationship Id="rId274" Type="http://schemas.openxmlformats.org/officeDocument/2006/relationships/image" Target="media/image26.png"/><Relationship Id="rId275" Type="http://schemas.openxmlformats.org/officeDocument/2006/relationships/image" Target="media/image27.png"/><Relationship Id="rId276" Type="http://schemas.openxmlformats.org/officeDocument/2006/relationships/image" Target="media/image28.png"/><Relationship Id="rId277" Type="http://schemas.openxmlformats.org/officeDocument/2006/relationships/image" Target="media/image29.png"/><Relationship Id="rId278" Type="http://schemas.openxmlformats.org/officeDocument/2006/relationships/image" Target="media/image30.png"/><Relationship Id="rId279" Type="http://schemas.openxmlformats.org/officeDocument/2006/relationships/image" Target="media/image31.png"/><Relationship Id="rId280" Type="http://schemas.openxmlformats.org/officeDocument/2006/relationships/image" Target="media/image32.png"/><Relationship Id="rId281" Type="http://schemas.openxmlformats.org/officeDocument/2006/relationships/image" Target="media/image33.png"/><Relationship Id="rId282" Type="http://schemas.openxmlformats.org/officeDocument/2006/relationships/image" Target="media/image34.png"/><Relationship Id="rId283" Type="http://schemas.openxmlformats.org/officeDocument/2006/relationships/image" Target="media/image35.png"/><Relationship Id="rId284" Type="http://schemas.openxmlformats.org/officeDocument/2006/relationships/image" Target="media/image36.png"/><Relationship Id="rId285" Type="http://schemas.openxmlformats.org/officeDocument/2006/relationships/image" Target="media/image37.png"/><Relationship Id="rId286" Type="http://schemas.openxmlformats.org/officeDocument/2006/relationships/image" Target="media/image38.png"/><Relationship Id="rId287" Type="http://schemas.openxmlformats.org/officeDocument/2006/relationships/image" Target="media/image39.png"/><Relationship Id="rId288" Type="http://schemas.openxmlformats.org/officeDocument/2006/relationships/image" Target="media/image40.png"/><Relationship Id="rId289" Type="http://schemas.openxmlformats.org/officeDocument/2006/relationships/image" Target="media/image41.png"/><Relationship Id="rId290" Type="http://schemas.openxmlformats.org/officeDocument/2006/relationships/image" Target="media/image42.png"/><Relationship Id="rId291" Type="http://schemas.openxmlformats.org/officeDocument/2006/relationships/image" Target="media/image43.png"/><Relationship Id="rId292" Type="http://schemas.openxmlformats.org/officeDocument/2006/relationships/image" Target="media/image44.png"/><Relationship Id="rId293" Type="http://schemas.openxmlformats.org/officeDocument/2006/relationships/image" Target="media/image45.png"/><Relationship Id="rId294" Type="http://schemas.openxmlformats.org/officeDocument/2006/relationships/image" Target="media/image46.png"/><Relationship Id="rId295" Type="http://schemas.openxmlformats.org/officeDocument/2006/relationships/image" Target="media/image47.png"/><Relationship Id="rId296" Type="http://schemas.openxmlformats.org/officeDocument/2006/relationships/image" Target="media/image48.png"/><Relationship Id="rId297" Type="http://schemas.openxmlformats.org/officeDocument/2006/relationships/image" Target="media/image49.png"/><Relationship Id="rId298" Type="http://schemas.openxmlformats.org/officeDocument/2006/relationships/hyperlink" Target="http://www.cdc.gov/ncidod/eid/vol10no3/03-0252.htm" TargetMode="External"/><Relationship Id="rId299" Type="http://schemas.openxmlformats.org/officeDocument/2006/relationships/hyperlink" Target="http://www.thenakedscientists.com/HTML/articles/article/forgotten-" TargetMode="External"/><Relationship Id="rId300" Type="http://schemas.openxmlformats.org/officeDocument/2006/relationships/hyperlink" Target="http://dx.plos.org/10.1371/journal.pone.0009798" TargetMode="External"/><Relationship Id="rId301" Type="http://schemas.openxmlformats.org/officeDocument/2006/relationships/hyperlink" Target="http://en.wikipedia.org/wiki/PLoS_ONE" TargetMode="External"/><Relationship Id="rId302" Type="http://schemas.openxmlformats.org/officeDocument/2006/relationships/hyperlink" Target="http://www.medscape.com/viewarticle/554704" TargetMode="External"/><Relationship Id="rId303" Type="http://schemas.openxmlformats.org/officeDocument/2006/relationships/hyperlink" Target="http://ijs.sgmjournals.org/cgi/reprint/51/3/915?maxtoshow&amp;HITS=10&amp;hits=10&amp;RESULTFORMAT=1&amp;title=klebsiella%2Bpneumoniae&amp;andorexacttitle=and&amp;andorexacttitleabs=and&amp;andorexactfulltext=and&amp;searchid=1&amp;FIRSTINDEX=0&amp;sortspec=relevance&amp;resourcetype=HWCIT" TargetMode="External"/><Relationship Id="rId304" Type="http://schemas.openxmlformats.org/officeDocument/2006/relationships/hyperlink" Target="http://www.springerlink.com/content/76hp9hkuu8l1pnuq/fulltext.pdf" TargetMode="External"/><Relationship Id="rId305" Type="http://schemas.openxmlformats.org/officeDocument/2006/relationships/hyperlink" Target="http://evolution.berkeley.edu/evolibrary/article/mutations_07" TargetMode="External"/><Relationship Id="rId306" Type="http://schemas.openxmlformats.org/officeDocument/2006/relationships/hyperlink" Target="http://evolution.berkeley.edu/evolibrary/article/mutations-07" TargetMode="External"/><Relationship Id="rId307" Type="http://schemas.openxmlformats.org/officeDocument/2006/relationships/hyperlink" Target="http://books.google.com/books?id=zDjmYpZGh_4C&amp;lpg=PA195&amp;dq=Bonnie%20Brae%20lemon&amp;pg=PA195%23v%3Donepage&amp;q=Bonnie%20Brae%20lemon&amp;f=false" TargetMode="External"/><Relationship Id="rId308" Type="http://schemas.openxmlformats.org/officeDocument/2006/relationships/hyperlink" Target="http://en.wikipedia.org/wiki/Los_Angeles%2C_California" TargetMode="External"/><Relationship Id="rId309" Type="http://schemas.openxmlformats.org/officeDocument/2006/relationships/hyperlink" Target="http://en.wikipedia.org/wiki/Kessinger_Publishing" TargetMode="External"/><Relationship Id="rId310" Type="http://schemas.openxmlformats.org/officeDocument/2006/relationships/hyperlink" Target="http://www.cdc.gov/getsmart/antibiotic-use/anitbiotic-resistance-faqs.html#j" TargetMode="External"/><Relationship Id="rId311" Type="http://schemas.openxmlformats.org/officeDocument/2006/relationships/hyperlink" Target="http://www.cdc.gov/getsmart/antibiotic-" TargetMode="External"/><Relationship Id="rId312" Type="http://schemas.openxmlformats.org/officeDocument/2006/relationships/hyperlink" Target="http://www.cdc.gov/ncidod/dbmd/diseaseinfo/groupastreptococcal_g.htm" TargetMode="External"/><Relationship Id="rId313" Type="http://schemas.openxmlformats.org/officeDocument/2006/relationships/hyperlink" Target="http://www.google.com.ng/search?tbo=p&amp;tbm=bks&amp;q=inauthor%3A%22Charles%2BD.%2BBluestone%22" TargetMode="External"/><Relationship Id="rId314" Type="http://schemas.openxmlformats.org/officeDocument/2006/relationships/hyperlink" Target="http://www.google.com.ng/search?tbo=bks&amp;q=inauthor" TargetMode="External"/><Relationship Id="rId315" Type="http://schemas.openxmlformats.org/officeDocument/2006/relationships/hyperlink" Target="http://cen.acs.org/articles/90/web/2012/05/Modified-Bee-Peptide-Slays-Deadly.html" TargetMode="External"/><Relationship Id="rId316" Type="http://schemas.openxmlformats.org/officeDocument/2006/relationships/hyperlink" Target="http://www.Cen.acs.org.html/" TargetMode="External"/><Relationship Id="rId317" Type="http://schemas.openxmlformats.org/officeDocument/2006/relationships/hyperlink" Target="http://biology.plosjournals.org/perlserv/?request=get-document&amp;doi=10.1371/journal.pbio.0030176" TargetMode="External"/><Relationship Id="rId318" Type="http://schemas.openxmlformats.org/officeDocument/2006/relationships/hyperlink" Target="http://iai.asm.org/cgi/pmidlookup?view=long&amp;pmid=16861688" TargetMode="External"/><Relationship Id="rId319" Type="http://schemas.openxmlformats.org/officeDocument/2006/relationships/hyperlink" Target="http://www.ncbi.nlm.nih.gov/pmc/articles/PMC96227/" TargetMode="External"/><Relationship Id="rId320" Type="http://schemas.openxmlformats.org/officeDocument/2006/relationships/hyperlink" Target="http://www.patient.co.uk/doctor/Haemophilus-Influenzae.htm" TargetMode="External"/><Relationship Id="rId321" Type="http://schemas.openxmlformats.org/officeDocument/2006/relationships/hyperlink" Target="http://www.journals.uchicago.edu/cgi-bin/resolve?CID40836" TargetMode="External"/><Relationship Id="rId322" Type="http://schemas.openxmlformats.org/officeDocument/2006/relationships/hyperlink" Target="http://www.bmj.com/cgi/content/full/340/may18_2/c2096" TargetMode="External"/><Relationship Id="rId323" Type="http://schemas.openxmlformats.org/officeDocument/2006/relationships/hyperlink" Target="http://www.worldcat.org/title/archaeology-of-" TargetMode="External"/><Relationship Id="rId324" Type="http://schemas.openxmlformats.org/officeDocument/2006/relationships/hyperlink" Target="http://emedicine.medscape.com/article/225811-overview" TargetMode="External"/><Relationship Id="rId325" Type="http://schemas.openxmlformats.org/officeDocument/2006/relationships/hyperlink" Target="http://www.emedicine.com/MED/topic936.htm" TargetMode="External"/><Relationship Id="rId326" Type="http://schemas.openxmlformats.org/officeDocument/2006/relationships/hyperlink" Target="http://www.ncbi.nlm.nih.gov/pubmed/17636648" TargetMode="External"/><Relationship Id="rId327" Type="http://schemas.openxmlformats.org/officeDocument/2006/relationships/hyperlink" Target="http://www.ncbi.nih.gov/pubmed/17636648" TargetMode="External"/><Relationship Id="rId328" Type="http://schemas.openxmlformats.org/officeDocument/2006/relationships/hyperlink" Target="http://www.drgrotte.com/honey-medicine.shtml" TargetMode="External"/><Relationship Id="rId329" Type="http://schemas.openxmlformats.org/officeDocument/2006/relationships/hyperlink" Target="http://medinfo.ufl.edu/year2/mmid/bms5300/bugs/strpyoge.html" TargetMode="External"/><Relationship Id="rId330" Type="http://schemas.openxmlformats.org/officeDocument/2006/relationships/hyperlink" Target="http://www.ecdc.europa.eu/en/healthtopics/antimicrobial_resistance/database/pages/database.aspx" TargetMode="External"/><Relationship Id="rId331" Type="http://schemas.openxmlformats.org/officeDocument/2006/relationships/hyperlink" Target="http://ecdc.europa.eu/en/publications/surveillance_reports/Communicable-Disease-" TargetMode="External"/><Relationship Id="rId332" Type="http://schemas.openxmlformats.org/officeDocument/2006/relationships/hyperlink" Target="http://wherefoodcomesfrom.com/Article.aspx?ArticleID=6380" TargetMode="External"/><Relationship Id="rId333" Type="http://schemas.openxmlformats.org/officeDocument/2006/relationships/hyperlink" Target="http://books.google.com/books?id=xteiARU46SQC&amp;printsec=frontcover" TargetMode="External"/><Relationship Id="rId334" Type="http://schemas.openxmlformats.org/officeDocument/2006/relationships/hyperlink" Target="http://www.herbs2000.com/herbs/herbs_lemon.htm" TargetMode="External"/><Relationship Id="rId335" Type="http://schemas.openxmlformats.org/officeDocument/2006/relationships/hyperlink" Target="http://www.mrw.interscience.wiley.com/emrw/9780470015902/els/article/a0001426/current/html" TargetMode="External"/><Relationship Id="rId336" Type="http://schemas.openxmlformats.org/officeDocument/2006/relationships/hyperlink" Target="http://www.mrw.interscience.wiley.com/emrw/9780470015902/els/article/a0001426/curre" TargetMode="External"/><Relationship Id="rId337" Type="http://schemas.openxmlformats.org/officeDocument/2006/relationships/hyperlink" Target="http://www.nytimes.com/2012/07/12/nyregion/in-rory-stauntons-fight-for-his-life-signs-that-went-unheeded.html" TargetMode="External"/><Relationship Id="rId338" Type="http://schemas.openxmlformats.org/officeDocument/2006/relationships/hyperlink" Target="http://www.nytimes.com/2012/07/12/nyregion/in-rory-stauntons-fight-for-his-" TargetMode="External"/><Relationship Id="rId339" Type="http://schemas.openxmlformats.org/officeDocument/2006/relationships/hyperlink" Target="http://cmr.asm.org/cgi/pmidlookup?view=long&amp;pmid=9227864" TargetMode="External"/><Relationship Id="rId340" Type="http://schemas.openxmlformats.org/officeDocument/2006/relationships/hyperlink" Target="http://books.google.com/books?id=BzzBBbnIJhIC&amp;pg=PA7" TargetMode="External"/><Relationship Id="rId341" Type="http://schemas.openxmlformats.org/officeDocument/2006/relationships/hyperlink" Target="http://en.wikipedia.org/wiki/Regul_Toxicol_Pharmacol" TargetMode="External"/><Relationship Id="rId342" Type="http://schemas.openxmlformats.org/officeDocument/2006/relationships/hyperlink" Target="http://www.blackwell-synergy.com/action/showFullText?submitFullText=Full%2BText%2BHTML&amp;doi=10.1111%2Fj.1365-2958.2005.04918.x" TargetMode="External"/><Relationship Id="rId343" Type="http://schemas.openxmlformats.org/officeDocument/2006/relationships/hyperlink" Target="http://www.ncbi.nlm.nih.gov/entrez/query.fcgi?cmd=Retrieve&amp;db=PubMed&amp;dopt=Abstract&amp;list_uids=12007844" TargetMode="External"/><Relationship Id="rId344" Type="http://schemas.openxmlformats.org/officeDocument/2006/relationships/hyperlink" Target="http://www.ncbi.nlm.nih.gov/pmc/articles/PMC2847397" TargetMode="External"/><Relationship Id="rId345" Type="http://schemas.openxmlformats.org/officeDocument/2006/relationships/hyperlink" Target="http://www.jem.org/cgi/content/full/202/2/209" TargetMode="External"/><Relationship Id="rId346" Type="http://schemas.openxmlformats.org/officeDocument/2006/relationships/hyperlink" Target="http://www.latimes.com/features/la-fo-limoncello8sep08%2C0%2C771590.story" TargetMode="External"/><Relationship Id="rId347" Type="http://schemas.openxmlformats.org/officeDocument/2006/relationships/hyperlink" Target="http://en.wikipedia.org/wiki/Los_Angeles_Times" TargetMode="External"/><Relationship Id="rId348" Type="http://schemas.openxmlformats.org/officeDocument/2006/relationships/hyperlink" Target="http://www.latimes.com/features/la-fo-limoncello8sep08%2C0%2C7715990.story" TargetMode="External"/><Relationship Id="rId349" Type="http://schemas.openxmlformats.org/officeDocument/2006/relationships/hyperlink" Target="http://www.ingentaconnect.com/content/iafp/jfp/1997/00000060/00000006/art00015" TargetMode="External"/><Relationship Id="rId350" Type="http://schemas.openxmlformats.org/officeDocument/2006/relationships/hyperlink" Target="http://www.ncbi.nlm.nih.gov/entrez/query.fcgi?cmd=Retrieve&amp;db=PubMed&amp;dopt=Abstract&amp;list_uids=15310180" TargetMode="External"/><Relationship Id="rId351" Type="http://schemas.openxmlformats.org/officeDocument/2006/relationships/hyperlink" Target="http://www.ncbi.nlm.nih.gov/pmc/articles/PMC105682" TargetMode="External"/><Relationship Id="rId352" Type="http://schemas.openxmlformats.org/officeDocument/2006/relationships/hyperlink" Target="http://161.58.48.157/foodindustry/resourcedb/carbohydrates.htm" TargetMode="External"/><Relationship Id="rId353" Type="http://schemas.openxmlformats.org/officeDocument/2006/relationships/hyperlink" Target="http://161.58.48.157/foodindustry/resourceb/carbohydrates.htm" TargetMode="External"/><Relationship Id="rId354" Type="http://schemas.openxmlformats.org/officeDocument/2006/relationships/hyperlink" Target="http://www.niaid.nih.gov/factsheets/strep.htm" TargetMode="External"/><Relationship Id="rId355" Type="http://schemas.openxmlformats.org/officeDocument/2006/relationships/hyperlink" Target="http://jcm.asm.org/cgi/pmidlookup?view=long&amp;pmid=10655374" TargetMode="External"/><Relationship Id="rId356" Type="http://schemas.openxmlformats.org/officeDocument/2006/relationships/hyperlink" Target="http://www.kidshealth.org/parent/infections/bacterial_viral/toxic_shock.html" TargetMode="External"/><Relationship Id="rId357" Type="http://schemas.openxmlformats.org/officeDocument/2006/relationships/hyperlink" Target="http://www.ncbi.nlm.nih.gov/pmc/articles/PMC2824695/?tool=pubmed" TargetMode="External"/><Relationship Id="rId358" Type="http://schemas.openxmlformats.org/officeDocument/2006/relationships/hyperlink" Target="http://www.biomedcentral.com/1471-2180/10/27" TargetMode="External"/><Relationship Id="rId359" Type="http://schemas.openxmlformats.org/officeDocument/2006/relationships/hyperlink" Target="http://www.ncbi.nlm.nih.gov/books/bv.fcgi?rid=mmed.section.824" TargetMode="External"/><Relationship Id="rId360" Type="http://schemas.openxmlformats.org/officeDocument/2006/relationships/hyperlink" Target="http://www.journals.uchicago.edu/doi/pdf/10.1086/322803?cookieSet=1" TargetMode="External"/><Relationship Id="rId361" Type="http://schemas.openxmlformats.org/officeDocument/2006/relationships/hyperlink" Target="http://cmr.asm.org/cgi/content/full/11/4/589?maxtoshow&amp;HITS=10&amp;hits=10&amp;RESULTFORMAT&amp;titleabstract=Klebsiella%2Bspp.%2Bas%2Bnosocomial%2Bpathogen&amp;searchid=1&amp;FIRSTINDEX=0&amp;resourcetype=HWCIT" TargetMode="External"/><Relationship Id="rId362" Type="http://schemas.openxmlformats.org/officeDocument/2006/relationships/hyperlink" Target="http://www.livestrong.com/article/492104-medicinal-benefits-of-honey-lemons/National%20Center%20for%20Biotechnical%20Information%3B" TargetMode="External"/><Relationship Id="rId363" Type="http://schemas.openxmlformats.org/officeDocument/2006/relationships/hyperlink" Target="http://www.ncbi.nlm.nih.gov/pmc/articles/PMC2265977/" TargetMode="External"/><Relationship Id="rId364" Type="http://schemas.openxmlformats.org/officeDocument/2006/relationships/hyperlink" Target="http://www.microbialfuelcell.org/Publications/LabMET/Rabaey%20and%20Verstraete%20Trends%20in%20Biotechnology.pdf" TargetMode="External"/><Relationship Id="rId365" Type="http://schemas.openxmlformats.org/officeDocument/2006/relationships/hyperlink" Target="http://www.who.int/entity/whr/2004/en/report04_en.pdf" TargetMode="External"/><Relationship Id="rId366" Type="http://schemas.openxmlformats.org/officeDocument/2006/relationships/hyperlink" Target="http://en.wikipedia.org/wiki/World_Health_Organization" TargetMode="External"/><Relationship Id="rId367" Type="http://schemas.openxmlformats.org/officeDocument/2006/relationships/hyperlink" Target="http://linkinghub.elsevier.com/retrieve/pii/S1473-3099%2806%2970599-0" TargetMode="External"/><Relationship Id="rId368" Type="http://schemas.openxmlformats.org/officeDocument/2006/relationships/hyperlink" Target="http://www.ecosalon.com/20-unusual-uses-for-lemon-juice.html" TargetMode="External"/><Relationship Id="rId369" Type="http://schemas.openxmlformats.org/officeDocument/2006/relationships/hyperlink" Target="http://books.google.ca/books?id=rRIdiGE42IEC" TargetMode="External"/><Relationship Id="rId370" Type="http://schemas.openxmlformats.org/officeDocument/2006/relationships/hyperlink" Target="http://books.google.com/books?id=i0PoSYNEsh0C&amp;pg=PA350" TargetMode="External"/><Relationship Id="rId371" Type="http://schemas.openxmlformats.org/officeDocument/2006/relationships/hyperlink" Target="http://www.cgdev.org/content/article/detail/1422307/" TargetMode="External"/><Relationship Id="rId372" Type="http://schemas.openxmlformats.org/officeDocument/2006/relationships/hyperlink" Target="http://www.cgdev.org/content/article/detail/1422307" TargetMode="External"/><Relationship Id="rId373" Type="http://schemas.openxmlformats.org/officeDocument/2006/relationships/hyperlink" Target="http://www.care2.com/greenliving/13-healing-powers-of-lemons.html" TargetMode="External"/><Relationship Id="rId374" Type="http://schemas.openxmlformats.org/officeDocument/2006/relationships/hyperlink" Target="http://www.sciencedaily.com/articles/a/antibiotic_resistance.htm" TargetMode="External"/><Relationship Id="rId375" Type="http://schemas.openxmlformats.org/officeDocument/2006/relationships/hyperlink" Target="http://www.emedicine.com/med/topic2184.htm" TargetMode="External"/><Relationship Id="rId376" Type="http://schemas.openxmlformats.org/officeDocument/2006/relationships/hyperlink" Target="http://shine.yahoo.com/work-money/6-ingredients-for-a-green-clean-home-155345.html" TargetMode="External"/><Relationship Id="rId377" Type="http://schemas.openxmlformats.org/officeDocument/2006/relationships/hyperlink" Target="http://www.biomedcentral.com/1471-2334/11/314" TargetMode="External"/><Relationship Id="rId378" Type="http://schemas.openxmlformats.org/officeDocument/2006/relationships/hyperlink" Target="http://www.cdc.gov/ncidod/eid/vol1no3/stevens.htm" TargetMode="External"/><Relationship Id="rId379" Type="http://schemas.openxmlformats.org/officeDocument/2006/relationships/hyperlink" Target="http://aac.asm.org/cgi/content/full/43/8/2051?maxtoshow&amp;HITS=10&amp;hits=10&amp;RESULTFORMAT&amp;author1=Brisse%2C%2Bs&amp;titleabstract=comparative%2Bin%2Bvitro%2Bactivity%2Bof%2Bciprofloxacin&amp;searchid=1&amp;FIRSTINDEX=0&amp;resourcetype=HWCIT" TargetMode="External"/><Relationship Id="rId380" Type="http://schemas.openxmlformats.org/officeDocument/2006/relationships/hyperlink" Target="http://www.ncbi.nlm.nih.gov/pmc/articles/PMC105492" TargetMode="External"/><Relationship Id="rId381" Type="http://schemas.openxmlformats.org/officeDocument/2006/relationships/hyperlink" Target="http://textbookofbacteriology.net/streptococcus.html" TargetMode="External"/><Relationship Id="rId382" Type="http://schemas.openxmlformats.org/officeDocument/2006/relationships/hyperlink" Target="http://www.bact.wisc.edu/themicrobialworld/strep.html" TargetMode="External"/><Relationship Id="rId383" Type="http://schemas.openxmlformats.org/officeDocument/2006/relationships/hyperlink" Target="http://textbookofbacteriology.net/S.pneumoniae.html" TargetMode="External"/><Relationship Id="rId384" Type="http://schemas.openxmlformats.org/officeDocument/2006/relationships/hyperlink" Target="http://www.ncbi.nlm.nih.gov/pmc/articles/PMC2691606/?tool=pubmed" TargetMode="External"/><Relationship Id="rId385" Type="http://schemas.openxmlformats.org/officeDocument/2006/relationships/hyperlink" Target="http://www.ucsusa.org/food_and_environment/antibiotics_and_food/hogging-it-estimates-of-antimicrobial-abuse-in-livestock.html" TargetMode="External"/><Relationship Id="rId386" Type="http://schemas.openxmlformats.org/officeDocument/2006/relationships/hyperlink" Target="http://www.ucsusa.org/food_and_environment/antibiotics_and_food/hogging-" TargetMode="External"/><Relationship Id="rId387" Type="http://schemas.openxmlformats.org/officeDocument/2006/relationships/hyperlink" Target="http://usda.mannlib.cornell.edu/MannUsda/viewDocumentInfo.do?documentID=1191" TargetMode="External"/><Relationship Id="rId388" Type="http://schemas.openxmlformats.org/officeDocument/2006/relationships/hyperlink" Target="http://www.reference.medscape.com/article/1898852-0verview#awaab6b3" TargetMode="External"/><Relationship Id="rId389" Type="http://schemas.openxmlformats.org/officeDocument/2006/relationships/hyperlink" Target="http://www.bbc.co.uk/news/health-21737844" TargetMode="External"/><Relationship Id="rId390" Type="http://schemas.openxmlformats.org/officeDocument/2006/relationships/hyperlink" Target="http://www.washingtonpost.com/national/health-science/superbug-stalked-nih-hospital-last-year-killing-six/2012/08/22/5be18b1a-ec66-11e1-9ddc-340d5efb1e9c_story_1.html" TargetMode="External"/><Relationship Id="rId391" Type="http://schemas.openxmlformats.org/officeDocument/2006/relationships/hyperlink" Target="http://www.ncbi.nlm.nih.gov/pmc/articles/PMC2732457/Ko" TargetMode="External"/><Relationship Id="rId392" Type="http://schemas.openxmlformats.org/officeDocument/2006/relationships/hyperlink" Target="http://www.ncbi.nlm.nih.gov/pmc/articles/pmc2732457/ko" TargetMode="External"/><Relationship Id="rId393" Type="http://schemas.openxmlformats.org/officeDocument/2006/relationships/hyperlink" Target="http://en.wikipedia.org/wiki/World_Health_Organisation" TargetMode="External"/><Relationship Id="rId394" Type="http://schemas.openxmlformats.org/officeDocument/2006/relationships/hyperlink" Target="http://www.who.int/mediacentre/factsheets/" TargetMode="External"/><Relationship Id="rId395" Type="http://schemas.openxmlformats.org/officeDocument/2006/relationships/hyperlink" Target="http://www.ask.com/explore/popular-types-lemon-trees" TargetMode="External"/><Relationship Id="rId396" Type="http://schemas.openxmlformats.org/officeDocument/2006/relationships/image" Target="media/image50.jpeg"/><Relationship Id="rId39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Donrimas</dc:creator>
  <dcterms:created xsi:type="dcterms:W3CDTF">2023-11-14T16:55:16Z</dcterms:created>
  <dcterms:modified xsi:type="dcterms:W3CDTF">2023-11-14T16:55:16Z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2014-08-22T00:00:00Z</vt:filetime>
  </property>
  <property fmtid="{D5CDD505-2E9C-101B-9397-08002B2CF9AE}" pid="3" name="Creator">
    <vt:lpwstr>Microsoft® Office Word 2007</vt:lpwstr>
  </property>
  <property fmtid="{D5CDD505-2E9C-101B-9397-08002B2CF9AE}" pid="4" name="LastSaved">
    <vt:filetime>2023-11-14T00:00:00Z</vt:filetime>
  </property>
  <property fmtid="{D5CDD505-2E9C-101B-9397-08002B2CF9AE}" pid="5" name="Producer">
    <vt:lpwstr>Microsoft® Office Word 2007</vt:lpwstr>
  </property>
</Properties>
</file>